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13B90">
      <w:pPr>
        <w:rPr>
          <w:rFonts w:eastAsia="仿宋_GB2312"/>
          <w:sz w:val="36"/>
          <w:szCs w:val="36"/>
        </w:rPr>
      </w:pPr>
    </w:p>
    <w:p w14:paraId="5036E8A2">
      <w:pPr>
        <w:rPr>
          <w:rFonts w:eastAsia="仿宋_GB2312"/>
          <w:sz w:val="36"/>
          <w:szCs w:val="36"/>
        </w:rPr>
      </w:pPr>
    </w:p>
    <w:p w14:paraId="3C9D918D">
      <w:pPr>
        <w:rPr>
          <w:rFonts w:eastAsia="仿宋_GB2312"/>
          <w:sz w:val="36"/>
          <w:szCs w:val="36"/>
        </w:rPr>
      </w:pPr>
    </w:p>
    <w:p w14:paraId="65A95276">
      <w:pPr>
        <w:rPr>
          <w:rFonts w:eastAsia="仿宋_GB2312"/>
          <w:sz w:val="36"/>
          <w:szCs w:val="36"/>
        </w:rPr>
      </w:pPr>
    </w:p>
    <w:p w14:paraId="187F1FAC">
      <w:pPr>
        <w:adjustRightInd w:val="0"/>
        <w:snapToGrid w:val="0"/>
        <w:jc w:val="center"/>
        <w:outlineLvl w:val="0"/>
        <w:rPr>
          <w:rFonts w:hint="eastAsia" w:ascii="方正小标宋_GBK" w:hAnsi="Times New Roman" w:eastAsia="方正小标宋_GBK" w:cs="Times New Roman"/>
          <w:bCs/>
          <w:color w:val="auto"/>
          <w:sz w:val="60"/>
          <w:szCs w:val="60"/>
        </w:rPr>
      </w:pPr>
      <w:bookmarkStart w:id="0" w:name="_Toc68128881"/>
      <w:bookmarkStart w:id="1" w:name="_Toc73103616"/>
      <w:bookmarkStart w:id="2" w:name="_Toc73103760"/>
      <w:bookmarkStart w:id="3" w:name="_Toc68128720"/>
      <w:bookmarkStart w:id="4" w:name="_Toc19157"/>
      <w:r>
        <w:rPr>
          <w:rFonts w:hint="default" w:ascii="方正小标宋_GBK" w:hAnsi="Times New Roman" w:eastAsia="方正小标宋_GBK" w:cs="Times New Roman"/>
          <w:bCs/>
          <w:color w:val="auto"/>
          <w:sz w:val="60"/>
          <w:szCs w:val="60"/>
          <w:lang w:val="en-US"/>
        </w:rPr>
        <w:t>建设项目</w:t>
      </w:r>
      <w:r>
        <w:rPr>
          <w:rFonts w:hint="eastAsia" w:ascii="方正小标宋_GBK" w:eastAsia="方正小标宋_GBK" w:cs="Times New Roman"/>
          <w:bCs/>
          <w:color w:val="auto"/>
          <w:sz w:val="60"/>
          <w:szCs w:val="60"/>
          <w:lang w:val="en-US" w:eastAsia="zh-CN"/>
        </w:rPr>
        <w:t>生态</w:t>
      </w:r>
      <w:r>
        <w:rPr>
          <w:rFonts w:hint="eastAsia" w:ascii="方正小标宋_GBK" w:hAnsi="Times New Roman" w:eastAsia="方正小标宋_GBK" w:cs="Times New Roman"/>
          <w:bCs/>
          <w:color w:val="auto"/>
          <w:sz w:val="60"/>
          <w:szCs w:val="60"/>
        </w:rPr>
        <w:t>环境影响报告表</w:t>
      </w:r>
      <w:bookmarkEnd w:id="0"/>
      <w:bookmarkEnd w:id="1"/>
      <w:bookmarkEnd w:id="2"/>
      <w:bookmarkEnd w:id="3"/>
    </w:p>
    <w:p w14:paraId="5F0C5A07">
      <w:pPr>
        <w:adjustRightInd w:val="0"/>
        <w:snapToGrid w:val="0"/>
        <w:spacing w:line="288" w:lineRule="auto"/>
        <w:jc w:val="center"/>
        <w:rPr>
          <w:rFonts w:eastAsia="华文仿宋"/>
          <w:kern w:val="44"/>
          <w:sz w:val="44"/>
          <w:szCs w:val="44"/>
        </w:rPr>
      </w:pPr>
      <w:r>
        <w:rPr>
          <w:rFonts w:hint="eastAsia" w:ascii="楷体_GB2312" w:hAnsi="Times New Roman" w:eastAsia="楷体_GB2312" w:cs="Times New Roman"/>
          <w:bCs/>
          <w:color w:val="auto"/>
          <w:sz w:val="48"/>
          <w:szCs w:val="48"/>
        </w:rPr>
        <w:t>（污染影响类）</w:t>
      </w:r>
      <w:bookmarkEnd w:id="4"/>
    </w:p>
    <w:p w14:paraId="34644E89">
      <w:pPr>
        <w:jc w:val="center"/>
        <w:rPr>
          <w:rFonts w:eastAsia="仿宋"/>
          <w:sz w:val="52"/>
          <w:szCs w:val="52"/>
        </w:rPr>
      </w:pPr>
    </w:p>
    <w:p w14:paraId="0652F38B">
      <w:pPr>
        <w:ind w:firstLine="1040"/>
        <w:rPr>
          <w:rFonts w:eastAsia="仿宋"/>
          <w:sz w:val="44"/>
          <w:szCs w:val="44"/>
        </w:rPr>
      </w:pPr>
    </w:p>
    <w:p w14:paraId="0C3B1437">
      <w:pPr>
        <w:ind w:firstLine="1040"/>
        <w:rPr>
          <w:rFonts w:eastAsia="仿宋"/>
          <w:sz w:val="44"/>
          <w:szCs w:val="44"/>
        </w:rPr>
      </w:pPr>
    </w:p>
    <w:p w14:paraId="51336BF7">
      <w:pPr>
        <w:ind w:firstLine="1040"/>
        <w:rPr>
          <w:rFonts w:eastAsia="仿宋"/>
          <w:sz w:val="44"/>
          <w:szCs w:val="44"/>
        </w:rPr>
      </w:pPr>
    </w:p>
    <w:p w14:paraId="3D584705">
      <w:pPr>
        <w:ind w:firstLine="1040"/>
        <w:rPr>
          <w:rFonts w:eastAsia="仿宋"/>
          <w:sz w:val="44"/>
          <w:szCs w:val="44"/>
        </w:rPr>
      </w:pPr>
    </w:p>
    <w:p w14:paraId="73E55ED2">
      <w:pPr>
        <w:adjustRightInd w:val="0"/>
        <w:snapToGrid w:val="0"/>
        <w:spacing w:line="288" w:lineRule="auto"/>
        <w:ind w:left="2646" w:leftChars="304" w:hanging="2008" w:hangingChars="558"/>
        <w:rPr>
          <w:rFonts w:eastAsia="仿宋_GB2312"/>
          <w:sz w:val="36"/>
          <w:szCs w:val="36"/>
          <w:u w:val="single"/>
        </w:rPr>
      </w:pPr>
      <w:r>
        <w:rPr>
          <w:rFonts w:hint="eastAsia" w:eastAsia="仿宋_GB2312"/>
          <w:sz w:val="36"/>
          <w:szCs w:val="36"/>
        </w:rPr>
        <w:t>项目名称：</w:t>
      </w:r>
      <w:r>
        <w:rPr>
          <w:rFonts w:hint="eastAsia" w:eastAsia="仿宋_GB2312"/>
          <w:sz w:val="36"/>
          <w:szCs w:val="36"/>
          <w:u w:val="single"/>
        </w:rPr>
        <w:t>杭州矩正医疗科技有限公司年产封堵止血器30万套以及球囊导管15万套项目及封堵止血器和球囊导管研发项目</w:t>
      </w:r>
    </w:p>
    <w:p w14:paraId="307FE47C">
      <w:pPr>
        <w:adjustRightInd w:val="0"/>
        <w:snapToGrid w:val="0"/>
        <w:spacing w:line="288" w:lineRule="auto"/>
        <w:ind w:left="2646" w:leftChars="304" w:hanging="2008" w:hangingChars="558"/>
        <w:rPr>
          <w:rFonts w:eastAsia="仿宋_GB2312"/>
          <w:sz w:val="36"/>
          <w:szCs w:val="36"/>
          <w:u w:val="single"/>
        </w:rPr>
      </w:pPr>
    </w:p>
    <w:p w14:paraId="1454E3EA">
      <w:pPr>
        <w:adjustRightInd w:val="0"/>
        <w:snapToGrid w:val="0"/>
        <w:spacing w:line="288" w:lineRule="auto"/>
        <w:ind w:left="2646" w:leftChars="304" w:hanging="2008" w:hangingChars="558"/>
        <w:rPr>
          <w:rFonts w:eastAsia="仿宋_GB2312"/>
          <w:sz w:val="36"/>
          <w:szCs w:val="36"/>
          <w:u w:val="single"/>
        </w:rPr>
      </w:pPr>
      <w:r>
        <w:rPr>
          <w:rFonts w:hint="eastAsia" w:eastAsia="仿宋_GB2312"/>
          <w:sz w:val="36"/>
          <w:szCs w:val="36"/>
        </w:rPr>
        <w:t>建设单位（盖章）：</w:t>
      </w:r>
      <w:r>
        <w:rPr>
          <w:rFonts w:hint="eastAsia" w:eastAsia="仿宋_GB2312"/>
          <w:sz w:val="36"/>
          <w:szCs w:val="36"/>
          <w:u w:val="single"/>
        </w:rPr>
        <w:t>杭州矩正医疗科技有限公司</w:t>
      </w:r>
    </w:p>
    <w:p w14:paraId="4CF11069">
      <w:pPr>
        <w:adjustRightInd w:val="0"/>
        <w:snapToGrid w:val="0"/>
        <w:spacing w:line="288" w:lineRule="auto"/>
        <w:ind w:left="2646" w:leftChars="304" w:hanging="2008" w:hangingChars="558"/>
        <w:rPr>
          <w:rFonts w:eastAsia="仿宋_GB2312"/>
          <w:sz w:val="36"/>
          <w:szCs w:val="36"/>
          <w:u w:val="single"/>
        </w:rPr>
      </w:pPr>
    </w:p>
    <w:p w14:paraId="041013EE">
      <w:pPr>
        <w:adjustRightInd w:val="0"/>
        <w:snapToGrid w:val="0"/>
        <w:spacing w:line="288" w:lineRule="auto"/>
        <w:ind w:left="2646" w:leftChars="304" w:hanging="2008" w:hangingChars="558"/>
        <w:rPr>
          <w:rFonts w:eastAsia="仿宋_GB2312"/>
          <w:sz w:val="36"/>
          <w:szCs w:val="36"/>
          <w:u w:val="single"/>
        </w:rPr>
      </w:pPr>
      <w:r>
        <w:rPr>
          <w:rFonts w:hint="eastAsia" w:eastAsia="仿宋_GB2312"/>
          <w:sz w:val="36"/>
          <w:szCs w:val="36"/>
        </w:rPr>
        <w:t>编制日期：</w:t>
      </w:r>
      <w:r>
        <w:rPr>
          <w:rFonts w:eastAsia="仿宋_GB2312"/>
          <w:sz w:val="36"/>
          <w:szCs w:val="36"/>
          <w:u w:val="single"/>
        </w:rPr>
        <w:t xml:space="preserve">          </w:t>
      </w:r>
      <w:r>
        <w:rPr>
          <w:rFonts w:hint="eastAsia" w:eastAsia="仿宋_GB2312"/>
          <w:sz w:val="36"/>
          <w:szCs w:val="36"/>
          <w:u w:val="single"/>
        </w:rPr>
        <w:t xml:space="preserve"> </w:t>
      </w:r>
      <w:r>
        <w:rPr>
          <w:rFonts w:eastAsia="仿宋_GB2312"/>
          <w:sz w:val="36"/>
          <w:szCs w:val="36"/>
          <w:u w:val="single"/>
        </w:rPr>
        <w:t xml:space="preserve"> 20</w:t>
      </w:r>
      <w:r>
        <w:rPr>
          <w:rFonts w:hint="eastAsia" w:eastAsia="仿宋_GB2312"/>
          <w:sz w:val="36"/>
          <w:szCs w:val="36"/>
          <w:u w:val="single"/>
        </w:rPr>
        <w:t>26</w:t>
      </w:r>
      <w:r>
        <w:rPr>
          <w:rFonts w:hint="eastAsia" w:eastAsia="仿宋_GB2312"/>
          <w:color w:val="auto"/>
          <w:sz w:val="36"/>
          <w:szCs w:val="36"/>
          <w:u w:val="single"/>
        </w:rPr>
        <w:t>年</w:t>
      </w:r>
      <w:r>
        <w:rPr>
          <w:rFonts w:hint="eastAsia" w:eastAsia="仿宋_GB2312"/>
          <w:color w:val="auto"/>
          <w:sz w:val="36"/>
          <w:szCs w:val="36"/>
          <w:u w:val="single"/>
          <w:lang w:val="en-US" w:eastAsia="zh-CN"/>
        </w:rPr>
        <w:t>10</w:t>
      </w:r>
      <w:r>
        <w:rPr>
          <w:rFonts w:hint="eastAsia" w:eastAsia="仿宋_GB2312"/>
          <w:sz w:val="36"/>
          <w:szCs w:val="36"/>
          <w:highlight w:val="none"/>
          <w:u w:val="single"/>
        </w:rPr>
        <w:t>月</w:t>
      </w:r>
      <w:r>
        <w:rPr>
          <w:rFonts w:eastAsia="仿宋_GB2312"/>
          <w:sz w:val="36"/>
          <w:szCs w:val="36"/>
          <w:u w:val="single"/>
        </w:rPr>
        <w:t xml:space="preserve">  </w:t>
      </w:r>
      <w:r>
        <w:rPr>
          <w:rFonts w:hint="eastAsia" w:eastAsia="仿宋_GB2312"/>
          <w:sz w:val="36"/>
          <w:szCs w:val="36"/>
          <w:u w:val="single"/>
        </w:rPr>
        <w:t xml:space="preserve">    </w:t>
      </w:r>
      <w:r>
        <w:rPr>
          <w:rFonts w:eastAsia="仿宋_GB2312"/>
          <w:sz w:val="36"/>
          <w:szCs w:val="36"/>
          <w:u w:val="single"/>
        </w:rPr>
        <w:t xml:space="preserve">   </w:t>
      </w:r>
      <w:r>
        <w:rPr>
          <w:rFonts w:eastAsia="仿宋_GB2312"/>
          <w:sz w:val="36"/>
          <w:szCs w:val="36"/>
          <w:u w:val="single"/>
        </w:rPr>
        <w:tab/>
      </w:r>
      <w:r>
        <w:rPr>
          <w:rFonts w:hint="eastAsia" w:eastAsia="仿宋_GB2312"/>
          <w:sz w:val="36"/>
          <w:szCs w:val="36"/>
          <w:u w:val="single"/>
        </w:rPr>
        <w:tab/>
      </w:r>
      <w:r>
        <w:rPr>
          <w:rFonts w:eastAsia="仿宋_GB2312"/>
          <w:sz w:val="36"/>
          <w:szCs w:val="36"/>
          <w:u w:val="single"/>
        </w:rPr>
        <w:t xml:space="preserve"> </w:t>
      </w:r>
    </w:p>
    <w:p w14:paraId="0A001314">
      <w:pPr>
        <w:adjustRightInd w:val="0"/>
        <w:snapToGrid w:val="0"/>
        <w:spacing w:line="288" w:lineRule="auto"/>
        <w:ind w:firstLine="1040"/>
        <w:rPr>
          <w:rFonts w:eastAsia="仿宋_GB2312"/>
          <w:sz w:val="36"/>
          <w:szCs w:val="36"/>
          <w:u w:val="single"/>
        </w:rPr>
      </w:pPr>
      <w:bookmarkStart w:id="5" w:name="_Hlk57884087"/>
    </w:p>
    <w:p w14:paraId="58D64E71">
      <w:pPr>
        <w:adjustRightInd w:val="0"/>
        <w:snapToGrid w:val="0"/>
        <w:spacing w:line="288" w:lineRule="auto"/>
        <w:ind w:firstLine="1040"/>
        <w:rPr>
          <w:rFonts w:eastAsia="仿宋_GB2312"/>
          <w:sz w:val="36"/>
          <w:szCs w:val="36"/>
        </w:rPr>
      </w:pPr>
    </w:p>
    <w:p w14:paraId="41E14B86">
      <w:pPr>
        <w:adjustRightInd w:val="0"/>
        <w:snapToGrid w:val="0"/>
        <w:spacing w:line="288" w:lineRule="auto"/>
        <w:ind w:firstLine="1040"/>
        <w:rPr>
          <w:rFonts w:eastAsia="仿宋_GB2312"/>
          <w:sz w:val="36"/>
          <w:szCs w:val="36"/>
        </w:rPr>
      </w:pPr>
    </w:p>
    <w:bookmarkEnd w:id="5"/>
    <w:p w14:paraId="6D919EE9">
      <w:pPr>
        <w:adjustRightInd w:val="0"/>
        <w:snapToGrid w:val="0"/>
        <w:spacing w:line="288" w:lineRule="auto"/>
        <w:jc w:val="center"/>
        <w:rPr>
          <w:rFonts w:eastAsia="楷体_GB2312"/>
          <w:sz w:val="36"/>
          <w:szCs w:val="36"/>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eastAsia="楷体_GB2312"/>
          <w:sz w:val="36"/>
          <w:szCs w:val="36"/>
        </w:rPr>
        <w:t>中华人民共和国生态环境部制</w:t>
      </w:r>
    </w:p>
    <w:sdt>
      <w:sdtPr>
        <w:rPr>
          <w:rFonts w:ascii="宋体" w:hAnsi="宋体"/>
          <w:b/>
          <w:bCs/>
        </w:rPr>
        <w:id w:val="147460222"/>
        <w15:color w:val="DBDBDB"/>
        <w:docPartObj>
          <w:docPartGallery w:val="Table of Contents"/>
          <w:docPartUnique/>
        </w:docPartObj>
      </w:sdtPr>
      <w:sdtEndPr>
        <w:rPr>
          <w:rFonts w:ascii="宋体" w:hAnsi="宋体"/>
          <w:b/>
          <w:bCs/>
        </w:rPr>
      </w:sdtEndPr>
      <w:sdtContent>
        <w:p w14:paraId="2C594167">
          <w:pPr>
            <w:spacing w:line="360" w:lineRule="auto"/>
            <w:jc w:val="center"/>
            <w:rPr>
              <w:b/>
              <w:bCs/>
              <w:sz w:val="28"/>
              <w:szCs w:val="28"/>
            </w:rPr>
          </w:pPr>
          <w:bookmarkStart w:id="6" w:name="_Toc4325"/>
          <w:bookmarkStart w:id="7" w:name="_Toc25354"/>
          <w:bookmarkStart w:id="8" w:name="_Toc2649"/>
          <w:bookmarkStart w:id="9" w:name="_Toc25675"/>
          <w:r>
            <w:rPr>
              <w:rFonts w:hint="eastAsia" w:ascii="宋体" w:hAnsi="宋体"/>
              <w:b/>
              <w:bCs/>
              <w:sz w:val="28"/>
              <w:szCs w:val="28"/>
            </w:rPr>
            <w:t>目 录</w:t>
          </w:r>
        </w:p>
        <w:p w14:paraId="3A314D93">
          <w:pPr>
            <w:pStyle w:val="17"/>
            <w:tabs>
              <w:tab w:val="right" w:leader="dot" w:pos="8844"/>
            </w:tabs>
            <w:spacing w:line="360" w:lineRule="auto"/>
            <w:rPr>
              <w:sz w:val="24"/>
            </w:rPr>
          </w:pPr>
          <w:r>
            <w:rPr>
              <w:sz w:val="24"/>
            </w:rPr>
            <w:fldChar w:fldCharType="begin"/>
          </w:r>
          <w:r>
            <w:rPr>
              <w:sz w:val="24"/>
            </w:rPr>
            <w:instrText xml:space="preserve">TOC \o "1-3" \h \u </w:instrText>
          </w:r>
          <w:r>
            <w:rPr>
              <w:sz w:val="24"/>
            </w:rPr>
            <w:fldChar w:fldCharType="separate"/>
          </w:r>
          <w:r>
            <w:fldChar w:fldCharType="begin"/>
          </w:r>
          <w:r>
            <w:instrText xml:space="preserve"> HYPERLINK \l "_Toc5408" </w:instrText>
          </w:r>
          <w:r>
            <w:fldChar w:fldCharType="separate"/>
          </w:r>
          <w:r>
            <w:rPr>
              <w:rFonts w:hint="eastAsia"/>
              <w:snapToGrid w:val="0"/>
              <w:sz w:val="24"/>
            </w:rPr>
            <w:t>一、建设项目基本情况</w:t>
          </w:r>
          <w:r>
            <w:rPr>
              <w:sz w:val="24"/>
            </w:rPr>
            <w:tab/>
          </w:r>
          <w:r>
            <w:rPr>
              <w:sz w:val="24"/>
            </w:rPr>
            <w:fldChar w:fldCharType="begin"/>
          </w:r>
          <w:r>
            <w:rPr>
              <w:sz w:val="24"/>
            </w:rPr>
            <w:instrText xml:space="preserve"> PAGEREF _Toc5408 \h </w:instrText>
          </w:r>
          <w:r>
            <w:rPr>
              <w:sz w:val="24"/>
            </w:rPr>
            <w:fldChar w:fldCharType="separate"/>
          </w:r>
          <w:r>
            <w:rPr>
              <w:sz w:val="24"/>
            </w:rPr>
            <w:t>1</w:t>
          </w:r>
          <w:r>
            <w:rPr>
              <w:sz w:val="24"/>
            </w:rPr>
            <w:fldChar w:fldCharType="end"/>
          </w:r>
          <w:r>
            <w:rPr>
              <w:sz w:val="24"/>
            </w:rPr>
            <w:fldChar w:fldCharType="end"/>
          </w:r>
        </w:p>
        <w:p w14:paraId="4889AE7B">
          <w:pPr>
            <w:pStyle w:val="17"/>
            <w:tabs>
              <w:tab w:val="right" w:leader="dot" w:pos="8844"/>
            </w:tabs>
            <w:spacing w:line="360" w:lineRule="auto"/>
            <w:rPr>
              <w:sz w:val="24"/>
            </w:rPr>
          </w:pPr>
          <w:r>
            <w:fldChar w:fldCharType="begin"/>
          </w:r>
          <w:r>
            <w:instrText xml:space="preserve"> HYPERLINK \l "_Toc21212" </w:instrText>
          </w:r>
          <w:r>
            <w:fldChar w:fldCharType="separate"/>
          </w:r>
          <w:r>
            <w:rPr>
              <w:rFonts w:hint="eastAsia"/>
              <w:snapToGrid w:val="0"/>
              <w:sz w:val="24"/>
            </w:rPr>
            <w:t>二、建设项目工程分析</w:t>
          </w:r>
          <w:r>
            <w:rPr>
              <w:sz w:val="24"/>
            </w:rPr>
            <w:tab/>
          </w:r>
          <w:r>
            <w:rPr>
              <w:sz w:val="24"/>
            </w:rPr>
            <w:fldChar w:fldCharType="begin"/>
          </w:r>
          <w:r>
            <w:rPr>
              <w:sz w:val="24"/>
            </w:rPr>
            <w:instrText xml:space="preserve"> PAGEREF _Toc21212 \h </w:instrText>
          </w:r>
          <w:r>
            <w:rPr>
              <w:sz w:val="24"/>
            </w:rPr>
            <w:fldChar w:fldCharType="separate"/>
          </w:r>
          <w:r>
            <w:rPr>
              <w:sz w:val="24"/>
            </w:rPr>
            <w:t>24</w:t>
          </w:r>
          <w:r>
            <w:rPr>
              <w:sz w:val="24"/>
            </w:rPr>
            <w:fldChar w:fldCharType="end"/>
          </w:r>
          <w:r>
            <w:rPr>
              <w:sz w:val="24"/>
            </w:rPr>
            <w:fldChar w:fldCharType="end"/>
          </w:r>
        </w:p>
        <w:p w14:paraId="33C0F82C">
          <w:pPr>
            <w:pStyle w:val="17"/>
            <w:tabs>
              <w:tab w:val="right" w:leader="dot" w:pos="8844"/>
            </w:tabs>
            <w:spacing w:line="360" w:lineRule="auto"/>
            <w:rPr>
              <w:sz w:val="24"/>
            </w:rPr>
          </w:pPr>
          <w:r>
            <w:fldChar w:fldCharType="begin"/>
          </w:r>
          <w:r>
            <w:instrText xml:space="preserve"> HYPERLINK \l "_Toc4997" </w:instrText>
          </w:r>
          <w:r>
            <w:fldChar w:fldCharType="separate"/>
          </w:r>
          <w:r>
            <w:rPr>
              <w:rFonts w:hint="eastAsia"/>
              <w:snapToGrid w:val="0"/>
              <w:sz w:val="24"/>
            </w:rPr>
            <w:t>三、区域环境质量现状、环境保护目标及评价标准</w:t>
          </w:r>
          <w:r>
            <w:rPr>
              <w:sz w:val="24"/>
            </w:rPr>
            <w:tab/>
          </w:r>
          <w:r>
            <w:rPr>
              <w:sz w:val="24"/>
            </w:rPr>
            <w:fldChar w:fldCharType="begin"/>
          </w:r>
          <w:r>
            <w:rPr>
              <w:sz w:val="24"/>
            </w:rPr>
            <w:instrText xml:space="preserve"> PAGEREF _Toc4997 \h </w:instrText>
          </w:r>
          <w:r>
            <w:rPr>
              <w:sz w:val="24"/>
            </w:rPr>
            <w:fldChar w:fldCharType="separate"/>
          </w:r>
          <w:r>
            <w:rPr>
              <w:sz w:val="24"/>
            </w:rPr>
            <w:t>48</w:t>
          </w:r>
          <w:r>
            <w:rPr>
              <w:sz w:val="24"/>
            </w:rPr>
            <w:fldChar w:fldCharType="end"/>
          </w:r>
          <w:r>
            <w:rPr>
              <w:sz w:val="24"/>
            </w:rPr>
            <w:fldChar w:fldCharType="end"/>
          </w:r>
        </w:p>
        <w:p w14:paraId="42A2B2D8">
          <w:pPr>
            <w:pStyle w:val="17"/>
            <w:tabs>
              <w:tab w:val="right" w:leader="dot" w:pos="8844"/>
            </w:tabs>
            <w:spacing w:line="360" w:lineRule="auto"/>
            <w:rPr>
              <w:sz w:val="24"/>
            </w:rPr>
          </w:pPr>
          <w:r>
            <w:fldChar w:fldCharType="begin"/>
          </w:r>
          <w:r>
            <w:instrText xml:space="preserve"> HYPERLINK \l "_Toc16161" </w:instrText>
          </w:r>
          <w:r>
            <w:fldChar w:fldCharType="separate"/>
          </w:r>
          <w:r>
            <w:rPr>
              <w:rFonts w:hint="eastAsia"/>
              <w:snapToGrid w:val="0"/>
              <w:sz w:val="24"/>
            </w:rPr>
            <w:t>四、主要环境影响和保护措施</w:t>
          </w:r>
          <w:r>
            <w:rPr>
              <w:sz w:val="24"/>
            </w:rPr>
            <w:tab/>
          </w:r>
          <w:r>
            <w:rPr>
              <w:sz w:val="24"/>
            </w:rPr>
            <w:fldChar w:fldCharType="begin"/>
          </w:r>
          <w:r>
            <w:rPr>
              <w:sz w:val="24"/>
            </w:rPr>
            <w:instrText xml:space="preserve"> PAGEREF _Toc16161 \h </w:instrText>
          </w:r>
          <w:r>
            <w:rPr>
              <w:sz w:val="24"/>
            </w:rPr>
            <w:fldChar w:fldCharType="separate"/>
          </w:r>
          <w:r>
            <w:rPr>
              <w:sz w:val="24"/>
            </w:rPr>
            <w:t>56</w:t>
          </w:r>
          <w:r>
            <w:rPr>
              <w:sz w:val="24"/>
            </w:rPr>
            <w:fldChar w:fldCharType="end"/>
          </w:r>
          <w:r>
            <w:rPr>
              <w:sz w:val="24"/>
            </w:rPr>
            <w:fldChar w:fldCharType="end"/>
          </w:r>
        </w:p>
        <w:p w14:paraId="6DF46BCC">
          <w:pPr>
            <w:pStyle w:val="17"/>
            <w:tabs>
              <w:tab w:val="right" w:leader="dot" w:pos="8844"/>
            </w:tabs>
            <w:spacing w:line="360" w:lineRule="auto"/>
            <w:rPr>
              <w:sz w:val="24"/>
            </w:rPr>
          </w:pPr>
          <w:r>
            <w:fldChar w:fldCharType="begin"/>
          </w:r>
          <w:r>
            <w:instrText xml:space="preserve"> HYPERLINK \l "_Toc8690" </w:instrText>
          </w:r>
          <w:r>
            <w:fldChar w:fldCharType="separate"/>
          </w:r>
          <w:r>
            <w:rPr>
              <w:rFonts w:hint="eastAsia"/>
              <w:snapToGrid w:val="0"/>
              <w:sz w:val="24"/>
            </w:rPr>
            <w:t>五、环境保护措施监督检查清单</w:t>
          </w:r>
          <w:r>
            <w:rPr>
              <w:sz w:val="24"/>
            </w:rPr>
            <w:tab/>
          </w:r>
          <w:r>
            <w:rPr>
              <w:sz w:val="24"/>
            </w:rPr>
            <w:fldChar w:fldCharType="begin"/>
          </w:r>
          <w:r>
            <w:rPr>
              <w:sz w:val="24"/>
            </w:rPr>
            <w:instrText xml:space="preserve"> PAGEREF _Toc8690 \h </w:instrText>
          </w:r>
          <w:r>
            <w:rPr>
              <w:sz w:val="24"/>
            </w:rPr>
            <w:fldChar w:fldCharType="separate"/>
          </w:r>
          <w:r>
            <w:rPr>
              <w:sz w:val="24"/>
            </w:rPr>
            <w:t>64</w:t>
          </w:r>
          <w:r>
            <w:rPr>
              <w:sz w:val="24"/>
            </w:rPr>
            <w:fldChar w:fldCharType="end"/>
          </w:r>
          <w:r>
            <w:rPr>
              <w:sz w:val="24"/>
            </w:rPr>
            <w:fldChar w:fldCharType="end"/>
          </w:r>
        </w:p>
        <w:p w14:paraId="1BFB2006">
          <w:pPr>
            <w:pStyle w:val="17"/>
            <w:tabs>
              <w:tab w:val="right" w:leader="dot" w:pos="8844"/>
            </w:tabs>
            <w:spacing w:line="360" w:lineRule="auto"/>
            <w:rPr>
              <w:sz w:val="24"/>
            </w:rPr>
          </w:pPr>
          <w:r>
            <w:fldChar w:fldCharType="begin"/>
          </w:r>
          <w:r>
            <w:instrText xml:space="preserve"> HYPERLINK \l "_Toc32065" </w:instrText>
          </w:r>
          <w:r>
            <w:fldChar w:fldCharType="separate"/>
          </w:r>
          <w:r>
            <w:rPr>
              <w:rFonts w:hint="eastAsia"/>
              <w:snapToGrid w:val="0"/>
              <w:sz w:val="24"/>
            </w:rPr>
            <w:t>六、结论</w:t>
          </w:r>
          <w:r>
            <w:rPr>
              <w:sz w:val="24"/>
            </w:rPr>
            <w:tab/>
          </w:r>
          <w:r>
            <w:rPr>
              <w:sz w:val="24"/>
            </w:rPr>
            <w:fldChar w:fldCharType="begin"/>
          </w:r>
          <w:r>
            <w:rPr>
              <w:sz w:val="24"/>
            </w:rPr>
            <w:instrText xml:space="preserve"> PAGEREF _Toc32065 \h </w:instrText>
          </w:r>
          <w:r>
            <w:rPr>
              <w:sz w:val="24"/>
            </w:rPr>
            <w:fldChar w:fldCharType="separate"/>
          </w:r>
          <w:r>
            <w:rPr>
              <w:sz w:val="24"/>
            </w:rPr>
            <w:t>85</w:t>
          </w:r>
          <w:r>
            <w:rPr>
              <w:sz w:val="24"/>
            </w:rPr>
            <w:fldChar w:fldCharType="end"/>
          </w:r>
          <w:r>
            <w:rPr>
              <w:sz w:val="24"/>
            </w:rPr>
            <w:fldChar w:fldCharType="end"/>
          </w:r>
        </w:p>
        <w:p w14:paraId="6D7BD3E4">
          <w:pPr>
            <w:pStyle w:val="17"/>
            <w:tabs>
              <w:tab w:val="right" w:leader="dot" w:pos="8844"/>
            </w:tabs>
            <w:spacing w:line="360" w:lineRule="auto"/>
            <w:rPr>
              <w:sz w:val="24"/>
            </w:rPr>
          </w:pPr>
          <w:r>
            <w:fldChar w:fldCharType="begin"/>
          </w:r>
          <w:r>
            <w:instrText xml:space="preserve"> HYPERLINK \l "_Toc515" </w:instrText>
          </w:r>
          <w:r>
            <w:fldChar w:fldCharType="separate"/>
          </w:r>
          <w:r>
            <w:rPr>
              <w:rFonts w:hint="eastAsia"/>
              <w:snapToGrid w:val="0"/>
              <w:sz w:val="24"/>
            </w:rPr>
            <w:t>附表</w:t>
          </w:r>
          <w:r>
            <w:rPr>
              <w:sz w:val="24"/>
            </w:rPr>
            <w:tab/>
          </w:r>
          <w:r>
            <w:rPr>
              <w:sz w:val="24"/>
            </w:rPr>
            <w:fldChar w:fldCharType="begin"/>
          </w:r>
          <w:r>
            <w:rPr>
              <w:sz w:val="24"/>
            </w:rPr>
            <w:instrText xml:space="preserve"> PAGEREF _Toc515 \h </w:instrText>
          </w:r>
          <w:r>
            <w:rPr>
              <w:sz w:val="24"/>
            </w:rPr>
            <w:fldChar w:fldCharType="separate"/>
          </w:r>
          <w:r>
            <w:rPr>
              <w:sz w:val="24"/>
            </w:rPr>
            <w:t>86</w:t>
          </w:r>
          <w:r>
            <w:rPr>
              <w:sz w:val="24"/>
            </w:rPr>
            <w:fldChar w:fldCharType="end"/>
          </w:r>
          <w:r>
            <w:rPr>
              <w:sz w:val="24"/>
            </w:rPr>
            <w:fldChar w:fldCharType="end"/>
          </w:r>
        </w:p>
        <w:p w14:paraId="0DEC164F">
          <w:pPr>
            <w:pStyle w:val="17"/>
            <w:tabs>
              <w:tab w:val="right" w:leader="dot" w:pos="8844"/>
            </w:tabs>
            <w:spacing w:line="360" w:lineRule="auto"/>
            <w:rPr>
              <w:sz w:val="24"/>
            </w:rPr>
          </w:pPr>
          <w:r>
            <w:fldChar w:fldCharType="begin"/>
          </w:r>
          <w:r>
            <w:instrText xml:space="preserve"> HYPERLINK \l "_Toc2522" </w:instrText>
          </w:r>
          <w:r>
            <w:fldChar w:fldCharType="separate"/>
          </w:r>
          <w:r>
            <w:rPr>
              <w:rFonts w:hint="eastAsia"/>
              <w:snapToGrid w:val="0"/>
              <w:sz w:val="24"/>
            </w:rPr>
            <w:t>建设项目污染物排放量汇总表</w:t>
          </w:r>
          <w:r>
            <w:rPr>
              <w:sz w:val="24"/>
            </w:rPr>
            <w:tab/>
          </w:r>
          <w:r>
            <w:rPr>
              <w:sz w:val="24"/>
            </w:rPr>
            <w:fldChar w:fldCharType="begin"/>
          </w:r>
          <w:r>
            <w:rPr>
              <w:sz w:val="24"/>
            </w:rPr>
            <w:instrText xml:space="preserve"> PAGEREF _Toc2522 \h </w:instrText>
          </w:r>
          <w:r>
            <w:rPr>
              <w:sz w:val="24"/>
            </w:rPr>
            <w:fldChar w:fldCharType="separate"/>
          </w:r>
          <w:r>
            <w:rPr>
              <w:sz w:val="24"/>
            </w:rPr>
            <w:t>86</w:t>
          </w:r>
          <w:r>
            <w:rPr>
              <w:sz w:val="24"/>
            </w:rPr>
            <w:fldChar w:fldCharType="end"/>
          </w:r>
          <w:r>
            <w:rPr>
              <w:sz w:val="24"/>
            </w:rPr>
            <w:fldChar w:fldCharType="end"/>
          </w:r>
        </w:p>
        <w:p w14:paraId="5748B2A8">
          <w:pPr>
            <w:spacing w:line="360" w:lineRule="auto"/>
          </w:pPr>
          <w:r>
            <w:rPr>
              <w:sz w:val="24"/>
            </w:rPr>
            <w:fldChar w:fldCharType="end"/>
          </w:r>
        </w:p>
      </w:sdtContent>
    </w:sdt>
    <w:p w14:paraId="655770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b/>
          <w:sz w:val="24"/>
          <w:szCs w:val="24"/>
        </w:rPr>
      </w:pPr>
      <w:r>
        <w:rPr>
          <w:rFonts w:hint="eastAsia"/>
          <w:b/>
          <w:sz w:val="24"/>
          <w:szCs w:val="24"/>
        </w:rPr>
        <w:t>附图</w:t>
      </w:r>
      <w:r>
        <w:rPr>
          <w:rFonts w:hint="eastAsia"/>
          <w:b/>
          <w:sz w:val="24"/>
          <w:szCs w:val="24"/>
          <w:lang w:eastAsia="zh-CN"/>
        </w:rPr>
        <w:t>：</w:t>
      </w:r>
    </w:p>
    <w:p w14:paraId="0861D505">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附图1：项目地理位置图</w:t>
      </w:r>
    </w:p>
    <w:p w14:paraId="725D0915">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附图2：建设项目周边环境图</w:t>
      </w:r>
    </w:p>
    <w:p w14:paraId="5900464E">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附图3：项目平面布置图</w:t>
      </w:r>
    </w:p>
    <w:p w14:paraId="7570FDB2">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附图4：杭州市余杭区环境管控单元分类图</w:t>
      </w:r>
    </w:p>
    <w:p w14:paraId="64E10A90">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附图5：</w:t>
      </w:r>
      <w:r>
        <w:rPr>
          <w:rFonts w:hint="eastAsia"/>
          <w:szCs w:val="21"/>
          <w:lang w:val="en-US" w:eastAsia="zh-CN"/>
        </w:rPr>
        <w:t>余杭区国土空间总体规划(2021-2035年)三条控制线图</w:t>
      </w:r>
    </w:p>
    <w:p w14:paraId="02CFD0AA">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附图6：杭州市余杭区水环境功能区划图</w:t>
      </w:r>
    </w:p>
    <w:p w14:paraId="27C47A93">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附图7：杭州市环境空气质量功能区划图</w:t>
      </w:r>
    </w:p>
    <w:p w14:paraId="06278F83">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附图8：中泰街道声环境功能区划图（修订版）</w:t>
      </w:r>
    </w:p>
    <w:p w14:paraId="05821C6C">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附图9：</w:t>
      </w:r>
      <w:r>
        <w:rPr>
          <w:rFonts w:hint="eastAsia"/>
          <w:kern w:val="0"/>
          <w:szCs w:val="21"/>
        </w:rPr>
        <w:t>杭州市余杭区南湖单元（YH10）控制性详细规划</w:t>
      </w:r>
      <w:r>
        <w:rPr>
          <w:rFonts w:hint="eastAsia"/>
          <w:szCs w:val="21"/>
        </w:rPr>
        <w:t>——用地规划图</w:t>
      </w:r>
    </w:p>
    <w:p w14:paraId="305FA27B">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eastAsia"/>
          <w:szCs w:val="21"/>
        </w:rPr>
      </w:pPr>
      <w:r>
        <w:rPr>
          <w:rFonts w:hint="eastAsia"/>
          <w:szCs w:val="21"/>
        </w:rPr>
        <w:t>附图10：大气环境质量现状监测点位图</w:t>
      </w:r>
    </w:p>
    <w:p w14:paraId="412C3328">
      <w:pPr>
        <w:keepNext w:val="0"/>
        <w:keepLines w:val="0"/>
        <w:pageBreakBefore w:val="0"/>
        <w:widowControl w:val="0"/>
        <w:kinsoku/>
        <w:wordWrap/>
        <w:overflowPunct/>
        <w:topLinePunct w:val="0"/>
        <w:autoSpaceDE/>
        <w:autoSpaceDN/>
        <w:bidi w:val="0"/>
        <w:adjustRightInd w:val="0"/>
        <w:snapToGrid w:val="0"/>
        <w:spacing w:line="360" w:lineRule="auto"/>
        <w:ind w:firstLine="120" w:firstLineChars="50"/>
        <w:jc w:val="left"/>
        <w:textAlignment w:val="auto"/>
        <w:rPr>
          <w:rFonts w:hint="eastAsia"/>
          <w:sz w:val="24"/>
          <w:szCs w:val="24"/>
        </w:rPr>
      </w:pPr>
      <w:r>
        <w:rPr>
          <w:rFonts w:hint="eastAsia"/>
          <w:b/>
          <w:sz w:val="24"/>
          <w:szCs w:val="24"/>
          <w:lang w:val="en-US" w:eastAsia="zh-CN"/>
        </w:rPr>
        <w:t>附件</w:t>
      </w:r>
      <w:r>
        <w:rPr>
          <w:rFonts w:hint="eastAsia"/>
          <w:b/>
          <w:sz w:val="24"/>
          <w:szCs w:val="24"/>
        </w:rPr>
        <w:t>：</w:t>
      </w:r>
    </w:p>
    <w:p w14:paraId="6C58EBFD">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附件1：</w:t>
      </w:r>
      <w:r>
        <w:rPr>
          <w:rFonts w:hint="eastAsia"/>
          <w:szCs w:val="21"/>
          <w:lang w:val="en-US" w:eastAsia="zh-CN"/>
        </w:rPr>
        <w:t>申请报告</w:t>
      </w:r>
    </w:p>
    <w:p w14:paraId="3BAB6857">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default" w:eastAsia="宋体"/>
          <w:szCs w:val="21"/>
          <w:lang w:val="en-US" w:eastAsia="zh-CN"/>
        </w:rPr>
      </w:pPr>
      <w:r>
        <w:rPr>
          <w:rFonts w:hint="eastAsia"/>
          <w:szCs w:val="21"/>
        </w:rPr>
        <w:t>附件2：授权委</w:t>
      </w:r>
      <w:r>
        <w:rPr>
          <w:rFonts w:hint="eastAsia"/>
          <w:color w:val="auto"/>
          <w:szCs w:val="21"/>
        </w:rPr>
        <w:t>托书</w:t>
      </w:r>
      <w:r>
        <w:rPr>
          <w:rFonts w:hint="eastAsia"/>
          <w:color w:val="auto"/>
          <w:szCs w:val="21"/>
          <w:lang w:eastAsia="zh-CN"/>
        </w:rPr>
        <w:t>、</w:t>
      </w:r>
      <w:r>
        <w:rPr>
          <w:rFonts w:hint="eastAsia"/>
          <w:color w:val="auto"/>
          <w:szCs w:val="21"/>
          <w:lang w:val="en-US" w:eastAsia="zh-CN"/>
        </w:rPr>
        <w:t>委托人及受托人身份证扫描件</w:t>
      </w:r>
    </w:p>
    <w:p w14:paraId="7E60F667">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eastAsia"/>
          <w:szCs w:val="21"/>
          <w:lang w:val="en-US" w:eastAsia="zh-CN"/>
        </w:rPr>
      </w:pPr>
      <w:r>
        <w:rPr>
          <w:rFonts w:hint="eastAsia"/>
          <w:szCs w:val="21"/>
        </w:rPr>
        <w:t>附件3：</w:t>
      </w:r>
      <w:r>
        <w:rPr>
          <w:rFonts w:hint="eastAsia"/>
          <w:szCs w:val="21"/>
          <w:lang w:val="en-US" w:eastAsia="zh-CN"/>
        </w:rPr>
        <w:t>环评确认书</w:t>
      </w:r>
    </w:p>
    <w:p w14:paraId="3CEEF046">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default"/>
          <w:szCs w:val="21"/>
          <w:lang w:val="en-US" w:eastAsia="zh-CN"/>
        </w:rPr>
      </w:pPr>
      <w:r>
        <w:rPr>
          <w:rFonts w:hint="eastAsia"/>
          <w:szCs w:val="21"/>
          <w:lang w:val="en-US" w:eastAsia="zh-CN"/>
        </w:rPr>
        <w:t>附件4：环评报告真实性及公示情况说明</w:t>
      </w:r>
    </w:p>
    <w:p w14:paraId="45CD02B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w:t>
      </w:r>
      <w:r>
        <w:rPr>
          <w:rFonts w:hint="eastAsia"/>
          <w:szCs w:val="21"/>
          <w:lang w:val="en-US" w:eastAsia="zh-CN"/>
        </w:rPr>
        <w:t>5</w:t>
      </w:r>
      <w:r>
        <w:rPr>
          <w:rFonts w:hint="eastAsia"/>
          <w:szCs w:val="21"/>
        </w:rPr>
        <w:t>：技术咨询合同</w:t>
      </w:r>
    </w:p>
    <w:p w14:paraId="776EA73C">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w:t>
      </w:r>
      <w:r>
        <w:rPr>
          <w:rFonts w:hint="eastAsia"/>
          <w:szCs w:val="21"/>
          <w:lang w:val="en-US" w:eastAsia="zh-CN"/>
        </w:rPr>
        <w:t>6</w:t>
      </w:r>
      <w:r>
        <w:rPr>
          <w:rFonts w:hint="eastAsia"/>
          <w:szCs w:val="21"/>
        </w:rPr>
        <w:t>：</w:t>
      </w:r>
      <w:r>
        <w:rPr>
          <w:rFonts w:hint="eastAsia"/>
          <w:szCs w:val="21"/>
          <w:lang w:val="en-US" w:eastAsia="zh-CN"/>
        </w:rPr>
        <w:t>内审单</w:t>
      </w:r>
    </w:p>
    <w:p w14:paraId="43817BF7">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w:t>
      </w:r>
      <w:r>
        <w:rPr>
          <w:rFonts w:hint="eastAsia"/>
          <w:szCs w:val="21"/>
          <w:lang w:val="en-US" w:eastAsia="zh-CN"/>
        </w:rPr>
        <w:t>7</w:t>
      </w:r>
      <w:r>
        <w:rPr>
          <w:rFonts w:hint="eastAsia"/>
          <w:szCs w:val="21"/>
        </w:rPr>
        <w:t>：浙江省企业投资项目备案（赋码）信息表</w:t>
      </w:r>
    </w:p>
    <w:p w14:paraId="7C529220">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w:t>
      </w:r>
      <w:r>
        <w:rPr>
          <w:rFonts w:hint="eastAsia"/>
          <w:szCs w:val="21"/>
          <w:lang w:val="en-US" w:eastAsia="zh-CN"/>
        </w:rPr>
        <w:t>8</w:t>
      </w:r>
      <w:r>
        <w:rPr>
          <w:rFonts w:hint="eastAsia"/>
          <w:szCs w:val="21"/>
        </w:rPr>
        <w:t>：</w:t>
      </w:r>
      <w:r>
        <w:rPr>
          <w:rFonts w:hint="eastAsia"/>
          <w:szCs w:val="21"/>
          <w:lang w:val="en-US" w:eastAsia="zh-CN"/>
        </w:rPr>
        <w:t>营业执照、法人身份证扫描件</w:t>
      </w:r>
    </w:p>
    <w:p w14:paraId="56E32298">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szCs w:val="21"/>
        </w:rPr>
      </w:pPr>
      <w:r>
        <w:rPr>
          <w:rFonts w:hint="eastAsia"/>
          <w:szCs w:val="21"/>
        </w:rPr>
        <w:t>附件</w:t>
      </w:r>
      <w:r>
        <w:rPr>
          <w:rFonts w:hint="eastAsia"/>
          <w:szCs w:val="21"/>
          <w:lang w:val="en-US" w:eastAsia="zh-CN"/>
        </w:rPr>
        <w:t>9</w:t>
      </w:r>
      <w:r>
        <w:rPr>
          <w:rFonts w:hint="eastAsia"/>
          <w:szCs w:val="21"/>
        </w:rPr>
        <w:t>：</w:t>
      </w:r>
      <w:r>
        <w:rPr>
          <w:rFonts w:hint="eastAsia"/>
          <w:szCs w:val="21"/>
          <w:lang w:val="en-US" w:eastAsia="zh-CN"/>
        </w:rPr>
        <w:t>租赁合同、</w:t>
      </w:r>
      <w:r>
        <w:rPr>
          <w:rFonts w:hint="eastAsia"/>
          <w:szCs w:val="21"/>
        </w:rPr>
        <w:t>不动产权证</w:t>
      </w:r>
    </w:p>
    <w:p w14:paraId="2259FCA8">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eastAsia"/>
          <w:szCs w:val="21"/>
        </w:rPr>
      </w:pPr>
      <w:r>
        <w:rPr>
          <w:rFonts w:hint="eastAsia"/>
          <w:szCs w:val="21"/>
        </w:rPr>
        <w:t>附件</w:t>
      </w:r>
      <w:r>
        <w:rPr>
          <w:rFonts w:hint="eastAsia"/>
          <w:szCs w:val="21"/>
          <w:lang w:val="en-US" w:eastAsia="zh-CN"/>
        </w:rPr>
        <w:t>10</w:t>
      </w:r>
      <w:r>
        <w:rPr>
          <w:rFonts w:hint="eastAsia"/>
          <w:szCs w:val="21"/>
        </w:rPr>
        <w:t>：城镇污水排入排水管网许可证</w:t>
      </w:r>
    </w:p>
    <w:p w14:paraId="09D9625B">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eastAsia"/>
          <w:szCs w:val="21"/>
          <w:lang w:val="en-US" w:eastAsia="zh-CN"/>
        </w:rPr>
      </w:pPr>
      <w:r>
        <w:rPr>
          <w:rFonts w:hint="eastAsia"/>
          <w:szCs w:val="21"/>
          <w:lang w:val="en-US" w:eastAsia="zh-CN"/>
        </w:rPr>
        <w:t>附件11：现有环评批文及验收意见</w:t>
      </w:r>
    </w:p>
    <w:p w14:paraId="65671DD3">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eastAsia"/>
          <w:szCs w:val="21"/>
          <w:lang w:val="en-US" w:eastAsia="zh-CN"/>
        </w:rPr>
      </w:pPr>
      <w:r>
        <w:rPr>
          <w:rFonts w:hint="eastAsia"/>
          <w:szCs w:val="21"/>
          <w:lang w:val="en-US" w:eastAsia="zh-CN"/>
        </w:rPr>
        <w:t>附件12：原辅材料MSDS</w:t>
      </w:r>
    </w:p>
    <w:p w14:paraId="659F3B59">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jc w:val="left"/>
        <w:textAlignment w:val="auto"/>
        <w:rPr>
          <w:rFonts w:hint="default"/>
          <w:szCs w:val="21"/>
          <w:lang w:val="en-US" w:eastAsia="zh-CN"/>
        </w:rPr>
      </w:pPr>
      <w:r>
        <w:rPr>
          <w:rFonts w:hint="eastAsia"/>
          <w:szCs w:val="21"/>
          <w:lang w:val="en-US" w:eastAsia="zh-CN"/>
        </w:rPr>
        <w:t>附件13：现有项目危废委托处置合同</w:t>
      </w:r>
    </w:p>
    <w:p w14:paraId="019C1862">
      <w:pPr>
        <w:keepNext w:val="0"/>
        <w:keepLines w:val="0"/>
        <w:pageBreakBefore w:val="0"/>
        <w:widowControl w:val="0"/>
        <w:kinsoku/>
        <w:wordWrap/>
        <w:overflowPunct/>
        <w:topLinePunct w:val="0"/>
        <w:autoSpaceDE/>
        <w:autoSpaceDN/>
        <w:bidi w:val="0"/>
        <w:adjustRightInd w:val="0"/>
        <w:snapToGrid w:val="0"/>
        <w:spacing w:line="312" w:lineRule="auto"/>
        <w:ind w:firstLine="105" w:firstLineChars="50"/>
        <w:jc w:val="left"/>
        <w:textAlignment w:val="auto"/>
        <w:rPr>
          <w:szCs w:val="21"/>
        </w:rPr>
      </w:pPr>
    </w:p>
    <w:p w14:paraId="6909CA81">
      <w:pPr>
        <w:pStyle w:val="22"/>
        <w:jc w:val="both"/>
        <w:outlineLvl w:val="0"/>
        <w:rPr>
          <w:rFonts w:ascii="Times New Roman" w:hAnsi="Times New Roman" w:eastAsia="黑体"/>
          <w:snapToGrid w:val="0"/>
          <w:sz w:val="30"/>
          <w:szCs w:val="30"/>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514CB18">
      <w:pPr>
        <w:pStyle w:val="22"/>
        <w:jc w:val="center"/>
        <w:outlineLvl w:val="0"/>
        <w:rPr>
          <w:rFonts w:ascii="Times New Roman" w:hAnsi="Times New Roman" w:eastAsia="黑体"/>
          <w:snapToGrid w:val="0"/>
          <w:sz w:val="30"/>
          <w:szCs w:val="30"/>
        </w:rPr>
      </w:pPr>
      <w:bookmarkStart w:id="10" w:name="_Toc5408"/>
      <w:r>
        <w:rPr>
          <w:rFonts w:hint="eastAsia" w:ascii="Times New Roman" w:hAnsi="Times New Roman" w:eastAsia="黑体"/>
          <w:snapToGrid w:val="0"/>
          <w:sz w:val="30"/>
          <w:szCs w:val="30"/>
        </w:rPr>
        <w:t>一、建设项目基本情况</w:t>
      </w:r>
      <w:bookmarkEnd w:id="6"/>
      <w:bookmarkEnd w:id="7"/>
      <w:bookmarkEnd w:id="8"/>
      <w:bookmarkEnd w:id="9"/>
      <w:bookmarkEnd w:id="10"/>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82"/>
        <w:gridCol w:w="1309"/>
        <w:gridCol w:w="2127"/>
        <w:gridCol w:w="1984"/>
        <w:gridCol w:w="3022"/>
      </w:tblGrid>
      <w:tr w14:paraId="2E7B82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69F941D8">
            <w:pPr>
              <w:adjustRightInd w:val="0"/>
              <w:snapToGrid w:val="0"/>
              <w:jc w:val="center"/>
              <w:rPr>
                <w:szCs w:val="21"/>
              </w:rPr>
            </w:pPr>
            <w:r>
              <w:rPr>
                <w:rFonts w:hint="eastAsia"/>
                <w:szCs w:val="21"/>
              </w:rPr>
              <w:t>建设项目名称</w:t>
            </w:r>
          </w:p>
        </w:tc>
        <w:tc>
          <w:tcPr>
            <w:tcW w:w="7133" w:type="dxa"/>
            <w:gridSpan w:val="3"/>
            <w:vAlign w:val="center"/>
          </w:tcPr>
          <w:p w14:paraId="21FAA676">
            <w:pPr>
              <w:adjustRightInd w:val="0"/>
              <w:snapToGrid w:val="0"/>
              <w:jc w:val="center"/>
              <w:rPr>
                <w:szCs w:val="21"/>
              </w:rPr>
            </w:pPr>
            <w:r>
              <w:rPr>
                <w:rFonts w:hint="eastAsia"/>
                <w:szCs w:val="21"/>
              </w:rPr>
              <w:t>杭州矩正医疗科技有限公司年产封堵止血器30万套以及球囊导管15万套项目及封堵止血器和球囊导管研发项目</w:t>
            </w:r>
          </w:p>
        </w:tc>
      </w:tr>
      <w:tr w14:paraId="0433C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15DE094D">
            <w:pPr>
              <w:adjustRightInd w:val="0"/>
              <w:snapToGrid w:val="0"/>
              <w:jc w:val="center"/>
              <w:rPr>
                <w:szCs w:val="21"/>
              </w:rPr>
            </w:pPr>
            <w:r>
              <w:rPr>
                <w:rFonts w:hint="eastAsia"/>
                <w:szCs w:val="21"/>
              </w:rPr>
              <w:t>项目代码</w:t>
            </w:r>
          </w:p>
        </w:tc>
        <w:tc>
          <w:tcPr>
            <w:tcW w:w="7133" w:type="dxa"/>
            <w:gridSpan w:val="3"/>
            <w:vAlign w:val="center"/>
          </w:tcPr>
          <w:p w14:paraId="566DFCAF">
            <w:pPr>
              <w:adjustRightInd w:val="0"/>
              <w:snapToGrid w:val="0"/>
              <w:jc w:val="center"/>
              <w:rPr>
                <w:szCs w:val="21"/>
              </w:rPr>
            </w:pPr>
            <w:r>
              <w:rPr>
                <w:rFonts w:hint="eastAsia"/>
                <w:szCs w:val="21"/>
              </w:rPr>
              <w:t>2601-330110-07-02-888778</w:t>
            </w:r>
          </w:p>
        </w:tc>
      </w:tr>
      <w:tr w14:paraId="5FF9A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3" w:hRule="atLeast"/>
          <w:jc w:val="center"/>
        </w:trPr>
        <w:tc>
          <w:tcPr>
            <w:tcW w:w="1691" w:type="dxa"/>
            <w:gridSpan w:val="2"/>
            <w:tcMar>
              <w:top w:w="16" w:type="dxa"/>
              <w:left w:w="16" w:type="dxa"/>
              <w:right w:w="16" w:type="dxa"/>
            </w:tcMar>
            <w:vAlign w:val="center"/>
          </w:tcPr>
          <w:p w14:paraId="37E67C22">
            <w:pPr>
              <w:adjustRightInd w:val="0"/>
              <w:snapToGrid w:val="0"/>
              <w:jc w:val="center"/>
              <w:rPr>
                <w:szCs w:val="21"/>
              </w:rPr>
            </w:pPr>
            <w:r>
              <w:rPr>
                <w:rFonts w:hint="eastAsia"/>
                <w:szCs w:val="21"/>
              </w:rPr>
              <w:t>建设单位联系人</w:t>
            </w:r>
          </w:p>
        </w:tc>
        <w:tc>
          <w:tcPr>
            <w:tcW w:w="2127" w:type="dxa"/>
            <w:vAlign w:val="center"/>
          </w:tcPr>
          <w:p w14:paraId="1A10CE34">
            <w:pPr>
              <w:adjustRightInd w:val="0"/>
              <w:snapToGrid w:val="0"/>
              <w:jc w:val="center"/>
              <w:rPr>
                <w:szCs w:val="21"/>
              </w:rPr>
            </w:pPr>
            <w:r>
              <w:rPr>
                <w:rFonts w:hint="eastAsia"/>
                <w:szCs w:val="21"/>
              </w:rPr>
              <w:t>蔡文婧</w:t>
            </w:r>
          </w:p>
        </w:tc>
        <w:tc>
          <w:tcPr>
            <w:tcW w:w="1984" w:type="dxa"/>
            <w:vAlign w:val="center"/>
          </w:tcPr>
          <w:p w14:paraId="72586899">
            <w:pPr>
              <w:adjustRightInd w:val="0"/>
              <w:snapToGrid w:val="0"/>
              <w:jc w:val="center"/>
              <w:rPr>
                <w:szCs w:val="21"/>
              </w:rPr>
            </w:pPr>
            <w:r>
              <w:rPr>
                <w:rFonts w:hint="eastAsia"/>
                <w:szCs w:val="21"/>
              </w:rPr>
              <w:t>联系方式</w:t>
            </w:r>
          </w:p>
        </w:tc>
        <w:tc>
          <w:tcPr>
            <w:tcW w:w="3022" w:type="dxa"/>
            <w:vAlign w:val="center"/>
          </w:tcPr>
          <w:p w14:paraId="3C1E259D">
            <w:pPr>
              <w:adjustRightInd w:val="0"/>
              <w:snapToGrid w:val="0"/>
              <w:jc w:val="center"/>
              <w:rPr>
                <w:szCs w:val="21"/>
              </w:rPr>
            </w:pPr>
            <w:r>
              <w:rPr>
                <w:rFonts w:hint="eastAsia"/>
                <w:szCs w:val="21"/>
              </w:rPr>
              <w:t>19906612103</w:t>
            </w:r>
          </w:p>
        </w:tc>
      </w:tr>
      <w:tr w14:paraId="1F3BF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6C022FF1">
            <w:pPr>
              <w:adjustRightInd w:val="0"/>
              <w:snapToGrid w:val="0"/>
              <w:jc w:val="center"/>
              <w:rPr>
                <w:szCs w:val="21"/>
              </w:rPr>
            </w:pPr>
            <w:r>
              <w:rPr>
                <w:rFonts w:hint="eastAsia"/>
                <w:szCs w:val="21"/>
              </w:rPr>
              <w:t>建设地点</w:t>
            </w:r>
          </w:p>
        </w:tc>
        <w:tc>
          <w:tcPr>
            <w:tcW w:w="7133" w:type="dxa"/>
            <w:gridSpan w:val="3"/>
            <w:vAlign w:val="center"/>
          </w:tcPr>
          <w:p w14:paraId="56A1538F">
            <w:pPr>
              <w:adjustRightInd w:val="0"/>
              <w:snapToGrid w:val="0"/>
              <w:jc w:val="center"/>
              <w:rPr>
                <w:szCs w:val="21"/>
              </w:rPr>
            </w:pPr>
            <w:r>
              <w:rPr>
                <w:rFonts w:hint="eastAsia"/>
                <w:szCs w:val="21"/>
                <w:u w:val="none"/>
              </w:rPr>
              <w:t>浙江</w:t>
            </w:r>
            <w:r>
              <w:rPr>
                <w:rFonts w:hint="eastAsia"/>
                <w:szCs w:val="21"/>
              </w:rPr>
              <w:t>省</w:t>
            </w:r>
            <w:r>
              <w:rPr>
                <w:rFonts w:hint="eastAsia"/>
                <w:szCs w:val="21"/>
                <w:u w:val="none"/>
              </w:rPr>
              <w:t>杭州</w:t>
            </w:r>
            <w:r>
              <w:rPr>
                <w:rFonts w:hint="eastAsia"/>
                <w:szCs w:val="21"/>
              </w:rPr>
              <w:t>市</w:t>
            </w:r>
            <w:r>
              <w:rPr>
                <w:rFonts w:hint="eastAsia"/>
                <w:szCs w:val="21"/>
                <w:u w:val="none"/>
              </w:rPr>
              <w:t>余杭</w:t>
            </w:r>
            <w:r>
              <w:rPr>
                <w:rFonts w:hint="eastAsia"/>
                <w:szCs w:val="21"/>
              </w:rPr>
              <w:t>区</w:t>
            </w:r>
            <w:r>
              <w:rPr>
                <w:rFonts w:hint="eastAsia"/>
                <w:szCs w:val="21"/>
                <w:u w:val="none"/>
              </w:rPr>
              <w:t>中泰</w:t>
            </w:r>
            <w:r>
              <w:rPr>
                <w:rFonts w:hint="eastAsia"/>
                <w:szCs w:val="21"/>
              </w:rPr>
              <w:t>街道</w:t>
            </w:r>
            <w:r>
              <w:rPr>
                <w:rFonts w:hint="eastAsia"/>
                <w:szCs w:val="21"/>
                <w:u w:val="none"/>
              </w:rPr>
              <w:t>铜山溪路2号南湖未来科学院5号楼301-302室</w:t>
            </w:r>
          </w:p>
        </w:tc>
      </w:tr>
      <w:tr w14:paraId="05B30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5D0ADBCC">
            <w:pPr>
              <w:adjustRightInd w:val="0"/>
              <w:snapToGrid w:val="0"/>
              <w:jc w:val="center"/>
              <w:rPr>
                <w:szCs w:val="21"/>
              </w:rPr>
            </w:pPr>
            <w:r>
              <w:rPr>
                <w:rFonts w:hint="eastAsia"/>
                <w:szCs w:val="21"/>
              </w:rPr>
              <w:t>地理坐标</w:t>
            </w:r>
          </w:p>
        </w:tc>
        <w:tc>
          <w:tcPr>
            <w:tcW w:w="7133" w:type="dxa"/>
            <w:gridSpan w:val="3"/>
            <w:vAlign w:val="center"/>
          </w:tcPr>
          <w:p w14:paraId="2AFF68CF">
            <w:pPr>
              <w:jc w:val="center"/>
              <w:rPr>
                <w:szCs w:val="21"/>
              </w:rPr>
            </w:pPr>
            <w:r>
              <w:rPr>
                <w:rFonts w:hint="eastAsia"/>
                <w:szCs w:val="21"/>
              </w:rPr>
              <w:t>（</w:t>
            </w:r>
            <w:r>
              <w:rPr>
                <w:szCs w:val="21"/>
                <w:u w:val="single"/>
              </w:rPr>
              <w:t>1</w:t>
            </w:r>
            <w:r>
              <w:rPr>
                <w:rFonts w:hint="eastAsia"/>
                <w:szCs w:val="21"/>
                <w:u w:val="single"/>
              </w:rPr>
              <w:t>19</w:t>
            </w:r>
            <w:r>
              <w:rPr>
                <w:rFonts w:hint="eastAsia"/>
                <w:szCs w:val="21"/>
              </w:rPr>
              <w:t>度</w:t>
            </w:r>
            <w:r>
              <w:rPr>
                <w:rFonts w:hint="eastAsia"/>
                <w:szCs w:val="21"/>
                <w:u w:val="single"/>
              </w:rPr>
              <w:t>54</w:t>
            </w:r>
            <w:r>
              <w:rPr>
                <w:rFonts w:hint="eastAsia"/>
                <w:szCs w:val="21"/>
              </w:rPr>
              <w:t>分</w:t>
            </w:r>
            <w:r>
              <w:rPr>
                <w:rFonts w:hint="eastAsia"/>
                <w:szCs w:val="21"/>
                <w:u w:val="single"/>
              </w:rPr>
              <w:t>11.597</w:t>
            </w:r>
            <w:r>
              <w:rPr>
                <w:rFonts w:hint="eastAsia"/>
                <w:szCs w:val="21"/>
              </w:rPr>
              <w:t>秒，</w:t>
            </w:r>
            <w:r>
              <w:rPr>
                <w:szCs w:val="21"/>
                <w:u w:val="single"/>
              </w:rPr>
              <w:t>30</w:t>
            </w:r>
            <w:r>
              <w:rPr>
                <w:rFonts w:hint="eastAsia"/>
                <w:szCs w:val="21"/>
              </w:rPr>
              <w:t>度</w:t>
            </w:r>
            <w:r>
              <w:rPr>
                <w:rFonts w:hint="eastAsia"/>
                <w:szCs w:val="21"/>
                <w:u w:val="single"/>
              </w:rPr>
              <w:t>14</w:t>
            </w:r>
            <w:r>
              <w:rPr>
                <w:rFonts w:hint="eastAsia"/>
                <w:szCs w:val="21"/>
              </w:rPr>
              <w:t>分</w:t>
            </w:r>
            <w:r>
              <w:rPr>
                <w:rFonts w:hint="eastAsia"/>
                <w:szCs w:val="21"/>
                <w:u w:val="single"/>
              </w:rPr>
              <w:t>56.497</w:t>
            </w:r>
            <w:r>
              <w:rPr>
                <w:rFonts w:hint="eastAsia"/>
                <w:szCs w:val="21"/>
              </w:rPr>
              <w:t>秒）</w:t>
            </w:r>
          </w:p>
        </w:tc>
      </w:tr>
      <w:tr w14:paraId="5D904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691" w:type="dxa"/>
            <w:gridSpan w:val="2"/>
            <w:tcMar>
              <w:top w:w="16" w:type="dxa"/>
              <w:left w:w="16" w:type="dxa"/>
              <w:right w:w="16" w:type="dxa"/>
            </w:tcMar>
            <w:vAlign w:val="center"/>
          </w:tcPr>
          <w:p w14:paraId="2C34CF99">
            <w:pPr>
              <w:adjustRightInd w:val="0"/>
              <w:snapToGrid w:val="0"/>
              <w:jc w:val="center"/>
              <w:rPr>
                <w:szCs w:val="21"/>
              </w:rPr>
            </w:pPr>
            <w:r>
              <w:rPr>
                <w:rFonts w:hint="eastAsia"/>
                <w:szCs w:val="21"/>
              </w:rPr>
              <w:t>国民经济行业类别</w:t>
            </w:r>
          </w:p>
        </w:tc>
        <w:tc>
          <w:tcPr>
            <w:tcW w:w="2127" w:type="dxa"/>
            <w:vAlign w:val="center"/>
          </w:tcPr>
          <w:p w14:paraId="6C94DA0A">
            <w:pPr>
              <w:adjustRightInd w:val="0"/>
              <w:snapToGrid w:val="0"/>
              <w:jc w:val="center"/>
              <w:rPr>
                <w:szCs w:val="21"/>
              </w:rPr>
            </w:pPr>
            <w:r>
              <w:rPr>
                <w:rFonts w:hint="eastAsia"/>
                <w:szCs w:val="21"/>
              </w:rPr>
              <w:t>C3589 其他医疗设备及器械制造</w:t>
            </w:r>
          </w:p>
        </w:tc>
        <w:tc>
          <w:tcPr>
            <w:tcW w:w="1984" w:type="dxa"/>
            <w:vAlign w:val="center"/>
          </w:tcPr>
          <w:p w14:paraId="69AE7EF3">
            <w:pPr>
              <w:adjustRightInd w:val="0"/>
              <w:snapToGrid w:val="0"/>
              <w:jc w:val="center"/>
              <w:rPr>
                <w:szCs w:val="21"/>
              </w:rPr>
            </w:pPr>
            <w:bookmarkStart w:id="11" w:name="_Hlk49843745"/>
            <w:r>
              <w:rPr>
                <w:rFonts w:hint="eastAsia"/>
                <w:szCs w:val="21"/>
              </w:rPr>
              <w:t>建设项目</w:t>
            </w:r>
          </w:p>
          <w:p w14:paraId="2DC4D392">
            <w:pPr>
              <w:adjustRightInd w:val="0"/>
              <w:snapToGrid w:val="0"/>
              <w:jc w:val="center"/>
              <w:rPr>
                <w:szCs w:val="21"/>
              </w:rPr>
            </w:pPr>
            <w:r>
              <w:rPr>
                <w:rFonts w:hint="eastAsia"/>
                <w:szCs w:val="21"/>
              </w:rPr>
              <w:t>行业类别</w:t>
            </w:r>
            <w:bookmarkEnd w:id="11"/>
          </w:p>
        </w:tc>
        <w:tc>
          <w:tcPr>
            <w:tcW w:w="3022" w:type="dxa"/>
            <w:vAlign w:val="center"/>
          </w:tcPr>
          <w:p w14:paraId="4B968EDF">
            <w:pPr>
              <w:adjustRightInd w:val="0"/>
              <w:snapToGrid w:val="0"/>
              <w:rPr>
                <w:rFonts w:hint="default" w:eastAsia="宋体"/>
                <w:szCs w:val="21"/>
                <w:lang w:val="en-US" w:eastAsia="zh-CN"/>
              </w:rPr>
            </w:pPr>
            <w:r>
              <w:rPr>
                <w:rFonts w:hint="eastAsia"/>
                <w:szCs w:val="21"/>
              </w:rPr>
              <w:t>三十二、专用设备制造业 35；医疗 仪器设备及器械制造 358；其他</w:t>
            </w:r>
            <w:r>
              <w:rPr>
                <w:rFonts w:hint="eastAsia"/>
                <w:lang w:eastAsia="zh-CN"/>
              </w:rPr>
              <w:t>；</w:t>
            </w:r>
            <w:r>
              <w:rPr>
                <w:rFonts w:hint="eastAsia"/>
                <w:lang w:val="en-US" w:eastAsia="zh-CN"/>
              </w:rPr>
              <w:t>四十五、研究和试验发展；专业实验室、研发（试验）基地；其他</w:t>
            </w:r>
          </w:p>
        </w:tc>
      </w:tr>
      <w:tr w14:paraId="67203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91" w:type="dxa"/>
            <w:gridSpan w:val="2"/>
            <w:tcMar>
              <w:top w:w="16" w:type="dxa"/>
              <w:left w:w="16" w:type="dxa"/>
              <w:right w:w="16" w:type="dxa"/>
            </w:tcMar>
            <w:vAlign w:val="center"/>
          </w:tcPr>
          <w:p w14:paraId="00C07864">
            <w:pPr>
              <w:adjustRightInd w:val="0"/>
              <w:snapToGrid w:val="0"/>
              <w:jc w:val="center"/>
              <w:rPr>
                <w:rFonts w:hint="eastAsia" w:ascii="宋体" w:hAnsi="宋体" w:cs="宋体"/>
                <w:szCs w:val="21"/>
              </w:rPr>
            </w:pPr>
            <w:r>
              <w:rPr>
                <w:rFonts w:hint="eastAsia" w:ascii="宋体" w:hAnsi="宋体" w:cs="宋体"/>
                <w:szCs w:val="21"/>
              </w:rPr>
              <w:t>建设性质</w:t>
            </w:r>
          </w:p>
        </w:tc>
        <w:tc>
          <w:tcPr>
            <w:tcW w:w="2127" w:type="dxa"/>
            <w:vAlign w:val="center"/>
          </w:tcPr>
          <w:p w14:paraId="6B5CA09C">
            <w:pPr>
              <w:jc w:val="left"/>
              <w:rPr>
                <w:rFonts w:hint="eastAsia" w:ascii="宋体" w:hAnsi="宋体" w:cs="宋体"/>
                <w:szCs w:val="21"/>
              </w:rPr>
            </w:pPr>
            <w:r>
              <w:rPr>
                <w:rFonts w:hint="eastAsia" w:ascii="宋体" w:hAnsi="宋体" w:cs="宋体"/>
                <w:szCs w:val="21"/>
              </w:rPr>
              <w:t>■新建（迁建）</w:t>
            </w:r>
          </w:p>
          <w:p w14:paraId="64033A74">
            <w:pPr>
              <w:jc w:val="left"/>
              <w:rPr>
                <w:rFonts w:hint="eastAsia" w:ascii="宋体" w:hAnsi="宋体" w:cs="宋体"/>
                <w:szCs w:val="21"/>
              </w:rPr>
            </w:pPr>
            <w:r>
              <w:rPr>
                <w:rFonts w:hint="eastAsia" w:ascii="宋体" w:hAnsi="宋体" w:cs="宋体"/>
                <w:szCs w:val="21"/>
              </w:rPr>
              <w:t>□改建</w:t>
            </w:r>
          </w:p>
          <w:p w14:paraId="1E778858">
            <w:pPr>
              <w:jc w:val="left"/>
              <w:rPr>
                <w:rFonts w:hint="eastAsia" w:ascii="宋体" w:hAnsi="宋体" w:cs="宋体"/>
                <w:szCs w:val="21"/>
              </w:rPr>
            </w:pPr>
            <w:r>
              <w:rPr>
                <w:rFonts w:hint="eastAsia" w:ascii="宋体" w:hAnsi="宋体" w:cs="宋体"/>
                <w:szCs w:val="21"/>
              </w:rPr>
              <w:t>□扩建</w:t>
            </w:r>
          </w:p>
          <w:p w14:paraId="362E3D2B">
            <w:pPr>
              <w:jc w:val="left"/>
              <w:rPr>
                <w:rFonts w:hint="eastAsia" w:ascii="宋体" w:hAnsi="宋体" w:cs="宋体"/>
                <w:szCs w:val="21"/>
              </w:rPr>
            </w:pPr>
            <w:r>
              <w:rPr>
                <w:rFonts w:hint="eastAsia" w:ascii="宋体" w:hAnsi="宋体" w:cs="宋体"/>
                <w:szCs w:val="21"/>
              </w:rPr>
              <w:t>□技术改造</w:t>
            </w:r>
          </w:p>
        </w:tc>
        <w:tc>
          <w:tcPr>
            <w:tcW w:w="1984" w:type="dxa"/>
            <w:vAlign w:val="center"/>
          </w:tcPr>
          <w:p w14:paraId="1F7D0409">
            <w:pPr>
              <w:adjustRightInd w:val="0"/>
              <w:snapToGrid w:val="0"/>
              <w:jc w:val="center"/>
              <w:rPr>
                <w:szCs w:val="21"/>
              </w:rPr>
            </w:pPr>
            <w:r>
              <w:rPr>
                <w:rFonts w:hint="eastAsia"/>
                <w:szCs w:val="21"/>
              </w:rPr>
              <w:t>建设项目</w:t>
            </w:r>
          </w:p>
          <w:p w14:paraId="56FF854A">
            <w:pPr>
              <w:adjustRightInd w:val="0"/>
              <w:snapToGrid w:val="0"/>
              <w:jc w:val="center"/>
              <w:rPr>
                <w:szCs w:val="21"/>
              </w:rPr>
            </w:pPr>
            <w:r>
              <w:rPr>
                <w:rFonts w:hint="eastAsia"/>
                <w:szCs w:val="21"/>
              </w:rPr>
              <w:t>申报情形</w:t>
            </w:r>
          </w:p>
        </w:tc>
        <w:tc>
          <w:tcPr>
            <w:tcW w:w="3022" w:type="dxa"/>
            <w:vAlign w:val="center"/>
          </w:tcPr>
          <w:p w14:paraId="5C070F69">
            <w:pPr>
              <w:jc w:val="left"/>
              <w:rPr>
                <w:rFonts w:hint="eastAsia" w:ascii="宋体" w:hAnsi="宋体" w:cs="宋体"/>
                <w:szCs w:val="21"/>
              </w:rPr>
            </w:pPr>
            <w:r>
              <w:rPr>
                <w:rFonts w:hint="eastAsia" w:ascii="宋体" w:hAnsi="宋体" w:cs="宋体"/>
                <w:szCs w:val="21"/>
              </w:rPr>
              <w:t>■</w:t>
            </w:r>
            <w:r>
              <w:rPr>
                <w:rFonts w:hint="eastAsia"/>
                <w:szCs w:val="21"/>
              </w:rPr>
              <w:t>首</w:t>
            </w:r>
            <w:r>
              <w:rPr>
                <w:rFonts w:hint="eastAsia" w:ascii="宋体" w:hAnsi="宋体" w:cs="宋体"/>
                <w:szCs w:val="21"/>
              </w:rPr>
              <w:t xml:space="preserve">次申报项目             </w:t>
            </w:r>
          </w:p>
          <w:p w14:paraId="38F59719">
            <w:pPr>
              <w:jc w:val="left"/>
              <w:rPr>
                <w:rFonts w:hint="eastAsia" w:ascii="宋体" w:hAnsi="宋体" w:cs="宋体"/>
                <w:szCs w:val="21"/>
              </w:rPr>
            </w:pPr>
            <w:r>
              <w:rPr>
                <w:rFonts w:hint="eastAsia" w:ascii="宋体" w:hAnsi="宋体" w:cs="宋体"/>
                <w:szCs w:val="21"/>
              </w:rPr>
              <w:t>□不予批准后再次申报项目</w:t>
            </w:r>
          </w:p>
          <w:p w14:paraId="22F2BAC8">
            <w:pPr>
              <w:jc w:val="left"/>
              <w:rPr>
                <w:rFonts w:hint="eastAsia" w:ascii="宋体" w:hAnsi="宋体" w:cs="宋体"/>
                <w:szCs w:val="21"/>
              </w:rPr>
            </w:pPr>
            <w:r>
              <w:rPr>
                <w:rFonts w:ascii="宋体" w:hAnsi="宋体" w:cs="宋体"/>
                <w:szCs w:val="21"/>
              </w:rPr>
              <w:sym w:font="Wingdings 2" w:char="00A3"/>
            </w:r>
            <w:r>
              <w:rPr>
                <w:rFonts w:hint="eastAsia" w:ascii="宋体" w:hAnsi="宋体" w:cs="宋体"/>
                <w:szCs w:val="21"/>
              </w:rPr>
              <w:t xml:space="preserve">超五年重新审核项目     </w:t>
            </w:r>
          </w:p>
          <w:p w14:paraId="0709ACD7">
            <w:pPr>
              <w:jc w:val="left"/>
              <w:rPr>
                <w:szCs w:val="21"/>
              </w:rPr>
            </w:pPr>
            <w:r>
              <w:rPr>
                <w:rFonts w:hint="eastAsia" w:ascii="宋体" w:hAnsi="宋体" w:cs="宋体"/>
                <w:szCs w:val="21"/>
              </w:rPr>
              <w:t>□</w:t>
            </w:r>
            <w:r>
              <w:rPr>
                <w:rFonts w:hint="eastAsia"/>
                <w:szCs w:val="21"/>
              </w:rPr>
              <w:t>重大变动重新报批项目</w:t>
            </w:r>
          </w:p>
        </w:tc>
      </w:tr>
      <w:tr w14:paraId="7AF16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91" w:type="dxa"/>
            <w:gridSpan w:val="2"/>
            <w:tcMar>
              <w:top w:w="16" w:type="dxa"/>
              <w:left w:w="16" w:type="dxa"/>
              <w:right w:w="16" w:type="dxa"/>
            </w:tcMar>
            <w:vAlign w:val="center"/>
          </w:tcPr>
          <w:p w14:paraId="058675AF">
            <w:pPr>
              <w:adjustRightInd w:val="0"/>
              <w:snapToGrid w:val="0"/>
              <w:jc w:val="center"/>
              <w:rPr>
                <w:szCs w:val="21"/>
              </w:rPr>
            </w:pPr>
            <w:r>
              <w:rPr>
                <w:rFonts w:hint="eastAsia"/>
                <w:szCs w:val="21"/>
              </w:rPr>
              <w:t>项目审批（核准/</w:t>
            </w:r>
          </w:p>
          <w:p w14:paraId="1E79A63F">
            <w:pPr>
              <w:adjustRightInd w:val="0"/>
              <w:snapToGrid w:val="0"/>
              <w:jc w:val="center"/>
              <w:rPr>
                <w:szCs w:val="21"/>
              </w:rPr>
            </w:pPr>
            <w:r>
              <w:rPr>
                <w:rFonts w:hint="eastAsia"/>
                <w:szCs w:val="21"/>
              </w:rPr>
              <w:t>备案）部门（选填）</w:t>
            </w:r>
          </w:p>
        </w:tc>
        <w:tc>
          <w:tcPr>
            <w:tcW w:w="2127" w:type="dxa"/>
            <w:vAlign w:val="center"/>
          </w:tcPr>
          <w:p w14:paraId="1A674C6A">
            <w:pPr>
              <w:adjustRightInd w:val="0"/>
              <w:snapToGrid w:val="0"/>
              <w:jc w:val="center"/>
              <w:rPr>
                <w:szCs w:val="21"/>
              </w:rPr>
            </w:pPr>
            <w:r>
              <w:rPr>
                <w:rFonts w:hint="eastAsia"/>
                <w:szCs w:val="21"/>
              </w:rPr>
              <w:t>余杭区经济和信息化局</w:t>
            </w:r>
          </w:p>
        </w:tc>
        <w:tc>
          <w:tcPr>
            <w:tcW w:w="1984" w:type="dxa"/>
            <w:vAlign w:val="center"/>
          </w:tcPr>
          <w:p w14:paraId="7F270179">
            <w:pPr>
              <w:adjustRightInd w:val="0"/>
              <w:snapToGrid w:val="0"/>
              <w:jc w:val="center"/>
              <w:rPr>
                <w:szCs w:val="21"/>
              </w:rPr>
            </w:pPr>
            <w:r>
              <w:rPr>
                <w:rFonts w:hint="eastAsia"/>
                <w:szCs w:val="21"/>
              </w:rPr>
              <w:t>项目审批（核准/</w:t>
            </w:r>
          </w:p>
          <w:p w14:paraId="7EB3629C">
            <w:pPr>
              <w:adjustRightInd w:val="0"/>
              <w:snapToGrid w:val="0"/>
              <w:jc w:val="center"/>
              <w:rPr>
                <w:szCs w:val="21"/>
              </w:rPr>
            </w:pPr>
            <w:r>
              <w:rPr>
                <w:rFonts w:hint="eastAsia"/>
                <w:szCs w:val="21"/>
              </w:rPr>
              <w:t>备案）文号（选填）</w:t>
            </w:r>
          </w:p>
        </w:tc>
        <w:tc>
          <w:tcPr>
            <w:tcW w:w="3022" w:type="dxa"/>
            <w:vAlign w:val="center"/>
          </w:tcPr>
          <w:p w14:paraId="25798083">
            <w:pPr>
              <w:adjustRightInd w:val="0"/>
              <w:snapToGrid w:val="0"/>
              <w:jc w:val="center"/>
              <w:rPr>
                <w:szCs w:val="21"/>
              </w:rPr>
            </w:pPr>
            <w:r>
              <w:rPr>
                <w:rFonts w:hint="eastAsia"/>
                <w:szCs w:val="21"/>
              </w:rPr>
              <w:t>2601-330110-07-02-888778</w:t>
            </w:r>
          </w:p>
        </w:tc>
      </w:tr>
      <w:tr w14:paraId="293F39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36477600">
            <w:pPr>
              <w:adjustRightInd w:val="0"/>
              <w:snapToGrid w:val="0"/>
              <w:jc w:val="center"/>
              <w:rPr>
                <w:szCs w:val="21"/>
              </w:rPr>
            </w:pPr>
            <w:r>
              <w:rPr>
                <w:rFonts w:hint="eastAsia"/>
                <w:szCs w:val="21"/>
              </w:rPr>
              <w:t>总投资（万元）</w:t>
            </w:r>
          </w:p>
        </w:tc>
        <w:tc>
          <w:tcPr>
            <w:tcW w:w="2127" w:type="dxa"/>
            <w:vAlign w:val="center"/>
          </w:tcPr>
          <w:p w14:paraId="4BFD2D0B">
            <w:pPr>
              <w:adjustRightInd w:val="0"/>
              <w:snapToGrid w:val="0"/>
              <w:jc w:val="center"/>
              <w:rPr>
                <w:szCs w:val="21"/>
              </w:rPr>
            </w:pPr>
            <w:r>
              <w:rPr>
                <w:rFonts w:hint="eastAsia"/>
                <w:szCs w:val="21"/>
              </w:rPr>
              <w:t>1464.91</w:t>
            </w:r>
          </w:p>
        </w:tc>
        <w:tc>
          <w:tcPr>
            <w:tcW w:w="1984" w:type="dxa"/>
            <w:tcMar>
              <w:top w:w="16" w:type="dxa"/>
              <w:left w:w="16" w:type="dxa"/>
              <w:right w:w="16" w:type="dxa"/>
            </w:tcMar>
            <w:vAlign w:val="center"/>
          </w:tcPr>
          <w:p w14:paraId="7085E9F6">
            <w:pPr>
              <w:adjustRightInd w:val="0"/>
              <w:snapToGrid w:val="0"/>
              <w:jc w:val="center"/>
              <w:rPr>
                <w:szCs w:val="21"/>
              </w:rPr>
            </w:pPr>
            <w:r>
              <w:rPr>
                <w:rFonts w:hint="eastAsia"/>
                <w:szCs w:val="21"/>
              </w:rPr>
              <w:t>环保投资（万元）</w:t>
            </w:r>
          </w:p>
        </w:tc>
        <w:tc>
          <w:tcPr>
            <w:tcW w:w="3022" w:type="dxa"/>
            <w:vAlign w:val="center"/>
          </w:tcPr>
          <w:p w14:paraId="68A709D9">
            <w:pPr>
              <w:adjustRightInd w:val="0"/>
              <w:snapToGrid w:val="0"/>
              <w:jc w:val="center"/>
              <w:rPr>
                <w:szCs w:val="21"/>
              </w:rPr>
            </w:pPr>
            <w:r>
              <w:rPr>
                <w:rFonts w:hint="eastAsia"/>
              </w:rPr>
              <w:t>30</w:t>
            </w:r>
          </w:p>
        </w:tc>
      </w:tr>
      <w:tr w14:paraId="0BF320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7B6A2D41">
            <w:pPr>
              <w:adjustRightInd w:val="0"/>
              <w:snapToGrid w:val="0"/>
              <w:jc w:val="center"/>
              <w:rPr>
                <w:szCs w:val="21"/>
              </w:rPr>
            </w:pPr>
            <w:r>
              <w:rPr>
                <w:rFonts w:hint="eastAsia"/>
                <w:szCs w:val="21"/>
              </w:rPr>
              <w:t>环保投资占比（%）</w:t>
            </w:r>
          </w:p>
        </w:tc>
        <w:tc>
          <w:tcPr>
            <w:tcW w:w="2127" w:type="dxa"/>
            <w:vAlign w:val="center"/>
          </w:tcPr>
          <w:p w14:paraId="6C91B0D1">
            <w:pPr>
              <w:adjustRightInd w:val="0"/>
              <w:snapToGrid w:val="0"/>
              <w:jc w:val="center"/>
              <w:rPr>
                <w:szCs w:val="21"/>
              </w:rPr>
            </w:pPr>
            <w:r>
              <w:rPr>
                <w:rFonts w:hint="eastAsia"/>
              </w:rPr>
              <w:t>2.05</w:t>
            </w:r>
          </w:p>
        </w:tc>
        <w:tc>
          <w:tcPr>
            <w:tcW w:w="1984" w:type="dxa"/>
            <w:tcMar>
              <w:top w:w="16" w:type="dxa"/>
              <w:left w:w="16" w:type="dxa"/>
              <w:right w:w="16" w:type="dxa"/>
            </w:tcMar>
            <w:vAlign w:val="center"/>
          </w:tcPr>
          <w:p w14:paraId="7B8E8322">
            <w:pPr>
              <w:adjustRightInd w:val="0"/>
              <w:snapToGrid w:val="0"/>
              <w:jc w:val="center"/>
              <w:rPr>
                <w:szCs w:val="21"/>
              </w:rPr>
            </w:pPr>
            <w:r>
              <w:rPr>
                <w:rFonts w:hint="eastAsia"/>
                <w:szCs w:val="21"/>
              </w:rPr>
              <w:t>施工工期</w:t>
            </w:r>
          </w:p>
        </w:tc>
        <w:tc>
          <w:tcPr>
            <w:tcW w:w="3022" w:type="dxa"/>
            <w:vAlign w:val="center"/>
          </w:tcPr>
          <w:p w14:paraId="530CEFAB">
            <w:pPr>
              <w:adjustRightInd w:val="0"/>
              <w:snapToGrid w:val="0"/>
              <w:jc w:val="center"/>
              <w:rPr>
                <w:szCs w:val="21"/>
              </w:rPr>
            </w:pPr>
            <w:r>
              <w:rPr>
                <w:rFonts w:hint="eastAsia"/>
                <w:szCs w:val="21"/>
              </w:rPr>
              <w:t>两个月</w:t>
            </w:r>
          </w:p>
        </w:tc>
      </w:tr>
      <w:tr w14:paraId="2F310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1" w:type="dxa"/>
            <w:gridSpan w:val="2"/>
            <w:tcMar>
              <w:top w:w="16" w:type="dxa"/>
              <w:left w:w="16" w:type="dxa"/>
              <w:right w:w="16" w:type="dxa"/>
            </w:tcMar>
            <w:vAlign w:val="center"/>
          </w:tcPr>
          <w:p w14:paraId="1CDDA1ED">
            <w:pPr>
              <w:adjustRightInd w:val="0"/>
              <w:snapToGrid w:val="0"/>
              <w:jc w:val="center"/>
              <w:rPr>
                <w:szCs w:val="21"/>
              </w:rPr>
            </w:pPr>
            <w:r>
              <w:rPr>
                <w:rFonts w:hint="eastAsia"/>
                <w:szCs w:val="21"/>
              </w:rPr>
              <w:t>是否开工建设</w:t>
            </w:r>
          </w:p>
        </w:tc>
        <w:tc>
          <w:tcPr>
            <w:tcW w:w="2127" w:type="dxa"/>
            <w:vAlign w:val="center"/>
          </w:tcPr>
          <w:p w14:paraId="3574DE5E">
            <w:pPr>
              <w:adjustRightInd w:val="0"/>
              <w:snapToGrid w:val="0"/>
              <w:rPr>
                <w:rFonts w:hint="eastAsia" w:ascii="宋体" w:hAnsi="宋体" w:cs="宋体"/>
                <w:szCs w:val="21"/>
              </w:rPr>
            </w:pPr>
            <w:r>
              <w:rPr>
                <w:rFonts w:hint="eastAsia" w:ascii="宋体" w:hAnsi="宋体" w:cs="宋体"/>
                <w:szCs w:val="21"/>
              </w:rPr>
              <w:t>■否</w:t>
            </w:r>
          </w:p>
          <w:p w14:paraId="43FA1FEB">
            <w:pPr>
              <w:adjustRightInd w:val="0"/>
              <w:snapToGrid w:val="0"/>
              <w:rPr>
                <w:szCs w:val="21"/>
              </w:rPr>
            </w:pPr>
            <w:r>
              <w:rPr>
                <w:szCs w:val="21"/>
              </w:rPr>
              <w:sym w:font="Wingdings 2" w:char="00A3"/>
            </w:r>
            <w:r>
              <w:rPr>
                <w:rFonts w:hint="eastAsia"/>
                <w:szCs w:val="21"/>
              </w:rPr>
              <w:t>是：</w:t>
            </w:r>
            <w:r>
              <w:rPr>
                <w:szCs w:val="21"/>
                <w:u w:val="single"/>
              </w:rPr>
              <w:t xml:space="preserve">             </w:t>
            </w:r>
          </w:p>
        </w:tc>
        <w:tc>
          <w:tcPr>
            <w:tcW w:w="1984" w:type="dxa"/>
            <w:tcMar>
              <w:top w:w="16" w:type="dxa"/>
              <w:left w:w="16" w:type="dxa"/>
              <w:right w:w="16" w:type="dxa"/>
            </w:tcMar>
            <w:vAlign w:val="center"/>
          </w:tcPr>
          <w:p w14:paraId="113A0B15">
            <w:pPr>
              <w:adjustRightInd w:val="0"/>
              <w:snapToGrid w:val="0"/>
              <w:jc w:val="center"/>
              <w:rPr>
                <w:spacing w:val="-6"/>
                <w:szCs w:val="21"/>
              </w:rPr>
            </w:pPr>
            <w:r>
              <w:rPr>
                <w:rFonts w:hint="eastAsia"/>
                <w:spacing w:val="-6"/>
                <w:szCs w:val="21"/>
              </w:rPr>
              <w:t>用地（用海）</w:t>
            </w:r>
          </w:p>
          <w:p w14:paraId="43D680C4">
            <w:pPr>
              <w:adjustRightInd w:val="0"/>
              <w:snapToGrid w:val="0"/>
              <w:jc w:val="center"/>
              <w:rPr>
                <w:szCs w:val="21"/>
              </w:rPr>
            </w:pPr>
            <w:r>
              <w:rPr>
                <w:rFonts w:hint="eastAsia"/>
                <w:spacing w:val="-6"/>
                <w:szCs w:val="21"/>
              </w:rPr>
              <w:t>面积（m</w:t>
            </w:r>
            <w:r>
              <w:rPr>
                <w:spacing w:val="-6"/>
                <w:szCs w:val="21"/>
                <w:vertAlign w:val="superscript"/>
              </w:rPr>
              <w:t>2</w:t>
            </w:r>
            <w:r>
              <w:rPr>
                <w:rFonts w:hint="eastAsia"/>
                <w:spacing w:val="-6"/>
                <w:szCs w:val="21"/>
              </w:rPr>
              <w:t>）</w:t>
            </w:r>
          </w:p>
        </w:tc>
        <w:tc>
          <w:tcPr>
            <w:tcW w:w="3022" w:type="dxa"/>
            <w:vAlign w:val="center"/>
          </w:tcPr>
          <w:p w14:paraId="498F1D22">
            <w:pPr>
              <w:adjustRightInd w:val="0"/>
              <w:snapToGrid w:val="0"/>
              <w:jc w:val="center"/>
              <w:rPr>
                <w:szCs w:val="21"/>
              </w:rPr>
            </w:pPr>
            <w:r>
              <w:rPr>
                <w:rFonts w:hint="eastAsia"/>
                <w:szCs w:val="21"/>
              </w:rPr>
              <w:t>3400</w:t>
            </w:r>
          </w:p>
        </w:tc>
      </w:tr>
      <w:tr w14:paraId="64F9A3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382" w:type="dxa"/>
            <w:vAlign w:val="center"/>
          </w:tcPr>
          <w:p w14:paraId="3FFFBD50">
            <w:pPr>
              <w:autoSpaceDE w:val="0"/>
              <w:autoSpaceDN w:val="0"/>
              <w:adjustRightInd w:val="0"/>
              <w:snapToGrid w:val="0"/>
              <w:jc w:val="center"/>
              <w:rPr>
                <w:kern w:val="0"/>
                <w:szCs w:val="21"/>
              </w:rPr>
            </w:pPr>
            <w:r>
              <w:rPr>
                <w:rFonts w:hint="eastAsia"/>
                <w:kern w:val="0"/>
                <w:szCs w:val="21"/>
              </w:rPr>
              <w:t>专项评价设置情况</w:t>
            </w:r>
          </w:p>
        </w:tc>
        <w:tc>
          <w:tcPr>
            <w:tcW w:w="8442" w:type="dxa"/>
            <w:gridSpan w:val="4"/>
            <w:vAlign w:val="center"/>
          </w:tcPr>
          <w:p w14:paraId="2DD5AD59">
            <w:pPr>
              <w:spacing w:line="360" w:lineRule="auto"/>
              <w:ind w:firstLine="420" w:firstLineChars="200"/>
              <w:rPr>
                <w:rFonts w:hint="eastAsia" w:ascii="宋体" w:hAnsi="宋体" w:cs="宋体"/>
                <w:szCs w:val="21"/>
              </w:rPr>
            </w:pPr>
            <w:r>
              <w:rPr>
                <w:rFonts w:hint="eastAsia" w:ascii="宋体" w:hAnsi="宋体" w:cs="宋体"/>
                <w:szCs w:val="21"/>
              </w:rPr>
              <w:t>本项目专项评价设置分析</w:t>
            </w:r>
            <w:r>
              <w:rPr>
                <w:rFonts w:hint="default" w:ascii="Times New Roman" w:hAnsi="Times New Roman" w:cs="Times New Roman"/>
                <w:szCs w:val="21"/>
              </w:rPr>
              <w:t>如表</w:t>
            </w:r>
            <w:r>
              <w:rPr>
                <w:rFonts w:hint="default" w:ascii="Times New Roman" w:hAnsi="Times New Roman" w:cs="Times New Roman"/>
                <w:szCs w:val="21"/>
                <w:lang w:val="en-US" w:eastAsia="zh-CN"/>
              </w:rPr>
              <w:t>1-1</w:t>
            </w:r>
            <w:r>
              <w:rPr>
                <w:rFonts w:hint="eastAsia" w:ascii="宋体" w:hAnsi="宋体" w:cs="宋体"/>
                <w:szCs w:val="21"/>
              </w:rPr>
              <w:t>所示：</w:t>
            </w:r>
          </w:p>
          <w:p w14:paraId="294D7BCD">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r>
              <w:rPr>
                <w:rFonts w:hint="eastAsia" w:ascii="黑体" w:hAnsi="黑体" w:eastAsia="黑体" w:cs="黑体"/>
                <w:kern w:val="0"/>
                <w:szCs w:val="21"/>
              </w:rPr>
              <w:t>专项评价设置原则表</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902"/>
              <w:gridCol w:w="4351"/>
              <w:gridCol w:w="3144"/>
            </w:tblGrid>
            <w:tr w14:paraId="598353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37" w:type="pct"/>
                  <w:tcBorders>
                    <w:tl2br w:val="nil"/>
                    <w:tr2bl w:val="nil"/>
                  </w:tcBorders>
                  <w:vAlign w:val="center"/>
                </w:tcPr>
                <w:p w14:paraId="659E288A">
                  <w:pPr>
                    <w:autoSpaceDE w:val="0"/>
                    <w:autoSpaceDN w:val="0"/>
                    <w:adjustRightInd w:val="0"/>
                    <w:snapToGrid w:val="0"/>
                    <w:jc w:val="center"/>
                    <w:rPr>
                      <w:kern w:val="21"/>
                      <w:sz w:val="18"/>
                      <w:szCs w:val="18"/>
                    </w:rPr>
                  </w:pPr>
                  <w:r>
                    <w:rPr>
                      <w:rFonts w:hint="eastAsia"/>
                      <w:kern w:val="21"/>
                      <w:sz w:val="18"/>
                      <w:szCs w:val="18"/>
                    </w:rPr>
                    <w:t>专项评价的类别</w:t>
                  </w:r>
                </w:p>
              </w:tc>
              <w:tc>
                <w:tcPr>
                  <w:tcW w:w="2590" w:type="pct"/>
                  <w:tcBorders>
                    <w:tl2br w:val="nil"/>
                    <w:tr2bl w:val="nil"/>
                  </w:tcBorders>
                  <w:vAlign w:val="center"/>
                </w:tcPr>
                <w:p w14:paraId="569852F5">
                  <w:pPr>
                    <w:autoSpaceDE w:val="0"/>
                    <w:autoSpaceDN w:val="0"/>
                    <w:adjustRightInd w:val="0"/>
                    <w:snapToGrid w:val="0"/>
                    <w:jc w:val="center"/>
                    <w:rPr>
                      <w:kern w:val="21"/>
                      <w:sz w:val="18"/>
                      <w:szCs w:val="18"/>
                    </w:rPr>
                  </w:pPr>
                  <w:r>
                    <w:rPr>
                      <w:rFonts w:hint="eastAsia"/>
                      <w:kern w:val="21"/>
                      <w:sz w:val="18"/>
                      <w:szCs w:val="18"/>
                    </w:rPr>
                    <w:t>设置原则</w:t>
                  </w:r>
                </w:p>
              </w:tc>
              <w:tc>
                <w:tcPr>
                  <w:tcW w:w="1871" w:type="pct"/>
                  <w:tcBorders>
                    <w:tl2br w:val="nil"/>
                    <w:tr2bl w:val="nil"/>
                  </w:tcBorders>
                  <w:vAlign w:val="center"/>
                </w:tcPr>
                <w:p w14:paraId="6703F4A4">
                  <w:pPr>
                    <w:autoSpaceDE w:val="0"/>
                    <w:autoSpaceDN w:val="0"/>
                    <w:adjustRightInd w:val="0"/>
                    <w:snapToGrid w:val="0"/>
                    <w:jc w:val="center"/>
                    <w:rPr>
                      <w:kern w:val="21"/>
                      <w:sz w:val="18"/>
                      <w:szCs w:val="18"/>
                    </w:rPr>
                  </w:pPr>
                  <w:r>
                    <w:rPr>
                      <w:rFonts w:hint="eastAsia"/>
                      <w:kern w:val="21"/>
                      <w:sz w:val="18"/>
                      <w:szCs w:val="18"/>
                    </w:rPr>
                    <w:t>本项目执行情况</w:t>
                  </w:r>
                </w:p>
              </w:tc>
            </w:tr>
            <w:tr w14:paraId="60D0E3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4ED070B8">
                  <w:pPr>
                    <w:autoSpaceDE w:val="0"/>
                    <w:autoSpaceDN w:val="0"/>
                    <w:adjustRightInd w:val="0"/>
                    <w:snapToGrid w:val="0"/>
                    <w:jc w:val="center"/>
                    <w:rPr>
                      <w:kern w:val="21"/>
                      <w:sz w:val="18"/>
                      <w:szCs w:val="18"/>
                    </w:rPr>
                  </w:pPr>
                  <w:r>
                    <w:rPr>
                      <w:rFonts w:hint="eastAsia"/>
                      <w:kern w:val="21"/>
                      <w:sz w:val="18"/>
                      <w:szCs w:val="18"/>
                    </w:rPr>
                    <w:t>大气</w:t>
                  </w:r>
                </w:p>
              </w:tc>
              <w:tc>
                <w:tcPr>
                  <w:tcW w:w="2590" w:type="pct"/>
                  <w:tcBorders>
                    <w:tl2br w:val="nil"/>
                    <w:tr2bl w:val="nil"/>
                  </w:tcBorders>
                  <w:vAlign w:val="center"/>
                </w:tcPr>
                <w:p w14:paraId="71518443">
                  <w:pPr>
                    <w:autoSpaceDE w:val="0"/>
                    <w:autoSpaceDN w:val="0"/>
                    <w:adjustRightInd w:val="0"/>
                    <w:snapToGrid w:val="0"/>
                    <w:rPr>
                      <w:kern w:val="21"/>
                      <w:sz w:val="18"/>
                      <w:szCs w:val="18"/>
                      <w:highlight w:val="none"/>
                    </w:rPr>
                  </w:pPr>
                  <w:r>
                    <w:rPr>
                      <w:rFonts w:hint="eastAsia"/>
                      <w:kern w:val="21"/>
                      <w:sz w:val="18"/>
                      <w:szCs w:val="18"/>
                      <w:highlight w:val="none"/>
                    </w:rPr>
                    <w:t>排放废气含有毒有害污染物、二噁英、苯并[a]芘、氰化物、氯气且厂界外500米范围内有环境空气保护目标的建设项目</w:t>
                  </w:r>
                </w:p>
              </w:tc>
              <w:tc>
                <w:tcPr>
                  <w:tcW w:w="1871" w:type="pct"/>
                  <w:tcBorders>
                    <w:tl2br w:val="nil"/>
                    <w:tr2bl w:val="nil"/>
                  </w:tcBorders>
                  <w:vAlign w:val="center"/>
                </w:tcPr>
                <w:p w14:paraId="32CB8697">
                  <w:pPr>
                    <w:autoSpaceDE w:val="0"/>
                    <w:autoSpaceDN w:val="0"/>
                    <w:adjustRightInd w:val="0"/>
                    <w:snapToGrid w:val="0"/>
                    <w:rPr>
                      <w:kern w:val="21"/>
                      <w:sz w:val="18"/>
                      <w:szCs w:val="18"/>
                      <w:highlight w:val="none"/>
                    </w:rPr>
                  </w:pPr>
                  <w:r>
                    <w:rPr>
                      <w:rFonts w:hint="eastAsia"/>
                      <w:kern w:val="21"/>
                      <w:sz w:val="18"/>
                      <w:szCs w:val="18"/>
                      <w:highlight w:val="none"/>
                    </w:rPr>
                    <w:t>本项目</w:t>
                  </w:r>
                  <w:r>
                    <w:rPr>
                      <w:rFonts w:hint="eastAsia"/>
                      <w:kern w:val="21"/>
                      <w:sz w:val="18"/>
                      <w:szCs w:val="18"/>
                      <w:highlight w:val="none"/>
                      <w:lang w:val="en-US" w:eastAsia="zh-CN"/>
                    </w:rPr>
                    <w:t>厂界500米范围内有规划居住用地，排放废气中含有三氯甲烷，但无对应排放标准</w:t>
                  </w:r>
                  <w:r>
                    <w:rPr>
                      <w:rFonts w:hint="eastAsia"/>
                      <w:kern w:val="21"/>
                      <w:sz w:val="18"/>
                      <w:szCs w:val="18"/>
                      <w:highlight w:val="none"/>
                    </w:rPr>
                    <w:t>，不开展专项评价</w:t>
                  </w:r>
                </w:p>
              </w:tc>
            </w:tr>
            <w:tr w14:paraId="649C0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466B7D2B">
                  <w:pPr>
                    <w:autoSpaceDE w:val="0"/>
                    <w:autoSpaceDN w:val="0"/>
                    <w:adjustRightInd w:val="0"/>
                    <w:snapToGrid w:val="0"/>
                    <w:jc w:val="center"/>
                    <w:rPr>
                      <w:kern w:val="21"/>
                      <w:sz w:val="18"/>
                      <w:szCs w:val="18"/>
                    </w:rPr>
                  </w:pPr>
                  <w:r>
                    <w:rPr>
                      <w:rFonts w:hint="eastAsia"/>
                      <w:kern w:val="21"/>
                      <w:sz w:val="18"/>
                      <w:szCs w:val="18"/>
                    </w:rPr>
                    <w:t>地表水</w:t>
                  </w:r>
                </w:p>
              </w:tc>
              <w:tc>
                <w:tcPr>
                  <w:tcW w:w="2590" w:type="pct"/>
                  <w:tcBorders>
                    <w:tl2br w:val="nil"/>
                    <w:tr2bl w:val="nil"/>
                  </w:tcBorders>
                  <w:vAlign w:val="center"/>
                </w:tcPr>
                <w:p w14:paraId="36A579B2">
                  <w:pPr>
                    <w:autoSpaceDE w:val="0"/>
                    <w:autoSpaceDN w:val="0"/>
                    <w:adjustRightInd w:val="0"/>
                    <w:snapToGrid w:val="0"/>
                    <w:rPr>
                      <w:kern w:val="21"/>
                      <w:sz w:val="18"/>
                      <w:szCs w:val="18"/>
                    </w:rPr>
                  </w:pPr>
                  <w:r>
                    <w:rPr>
                      <w:rFonts w:hint="eastAsia"/>
                      <w:kern w:val="21"/>
                      <w:sz w:val="18"/>
                      <w:szCs w:val="18"/>
                    </w:rPr>
                    <w:t>新增工业废水直排建设项目（槽罐车外送污水处理厂的除外）；新增废水直排的污水集中处理厂</w:t>
                  </w:r>
                </w:p>
              </w:tc>
              <w:tc>
                <w:tcPr>
                  <w:tcW w:w="1871" w:type="pct"/>
                  <w:tcBorders>
                    <w:tl2br w:val="nil"/>
                    <w:tr2bl w:val="nil"/>
                  </w:tcBorders>
                  <w:vAlign w:val="center"/>
                </w:tcPr>
                <w:p w14:paraId="0F9F132C">
                  <w:pPr>
                    <w:autoSpaceDE w:val="0"/>
                    <w:autoSpaceDN w:val="0"/>
                    <w:adjustRightInd w:val="0"/>
                    <w:snapToGrid w:val="0"/>
                    <w:rPr>
                      <w:kern w:val="21"/>
                      <w:sz w:val="18"/>
                      <w:szCs w:val="18"/>
                    </w:rPr>
                  </w:pPr>
                  <w:r>
                    <w:rPr>
                      <w:rFonts w:hint="eastAsia"/>
                      <w:kern w:val="21"/>
                      <w:sz w:val="18"/>
                      <w:szCs w:val="18"/>
                    </w:rPr>
                    <w:t>本项目废水纳管排放，不涉及工业废水直排，不开展专项评价</w:t>
                  </w:r>
                </w:p>
              </w:tc>
            </w:tr>
            <w:tr w14:paraId="4FE75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6E2EDC2B">
                  <w:pPr>
                    <w:autoSpaceDE w:val="0"/>
                    <w:autoSpaceDN w:val="0"/>
                    <w:adjustRightInd w:val="0"/>
                    <w:snapToGrid w:val="0"/>
                    <w:jc w:val="center"/>
                    <w:rPr>
                      <w:kern w:val="21"/>
                      <w:sz w:val="18"/>
                      <w:szCs w:val="18"/>
                    </w:rPr>
                  </w:pPr>
                  <w:r>
                    <w:rPr>
                      <w:rFonts w:hint="eastAsia"/>
                      <w:kern w:val="21"/>
                      <w:sz w:val="18"/>
                      <w:szCs w:val="18"/>
                    </w:rPr>
                    <w:t>环境风险</w:t>
                  </w:r>
                </w:p>
              </w:tc>
              <w:tc>
                <w:tcPr>
                  <w:tcW w:w="2590" w:type="pct"/>
                  <w:tcBorders>
                    <w:tl2br w:val="nil"/>
                    <w:tr2bl w:val="nil"/>
                  </w:tcBorders>
                  <w:vAlign w:val="center"/>
                </w:tcPr>
                <w:p w14:paraId="6BABF4C2">
                  <w:pPr>
                    <w:autoSpaceDE w:val="0"/>
                    <w:autoSpaceDN w:val="0"/>
                    <w:adjustRightInd w:val="0"/>
                    <w:snapToGrid w:val="0"/>
                    <w:rPr>
                      <w:kern w:val="21"/>
                      <w:sz w:val="18"/>
                      <w:szCs w:val="18"/>
                    </w:rPr>
                  </w:pPr>
                  <w:r>
                    <w:rPr>
                      <w:rFonts w:hint="eastAsia"/>
                      <w:kern w:val="21"/>
                      <w:sz w:val="18"/>
                      <w:szCs w:val="18"/>
                    </w:rPr>
                    <w:t>有毒有害和易燃易爆危险物质存储量超过临界量的建设项目</w:t>
                  </w:r>
                </w:p>
              </w:tc>
              <w:tc>
                <w:tcPr>
                  <w:tcW w:w="1871" w:type="pct"/>
                  <w:tcBorders>
                    <w:tl2br w:val="nil"/>
                    <w:tr2bl w:val="nil"/>
                  </w:tcBorders>
                  <w:vAlign w:val="center"/>
                </w:tcPr>
                <w:p w14:paraId="03CD0E68">
                  <w:pPr>
                    <w:autoSpaceDE w:val="0"/>
                    <w:autoSpaceDN w:val="0"/>
                    <w:adjustRightInd w:val="0"/>
                    <w:snapToGrid w:val="0"/>
                    <w:rPr>
                      <w:kern w:val="21"/>
                      <w:sz w:val="18"/>
                      <w:szCs w:val="18"/>
                    </w:rPr>
                  </w:pPr>
                  <w:r>
                    <w:rPr>
                      <w:rFonts w:hint="eastAsia"/>
                      <w:kern w:val="21"/>
                      <w:sz w:val="18"/>
                      <w:szCs w:val="18"/>
                    </w:rPr>
                    <w:t>本项目有毒有害的危险物质存储量未超过临界量，不开展专项评价</w:t>
                  </w:r>
                </w:p>
              </w:tc>
            </w:tr>
            <w:tr w14:paraId="59F39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33DCAF50">
                  <w:pPr>
                    <w:autoSpaceDE w:val="0"/>
                    <w:autoSpaceDN w:val="0"/>
                    <w:adjustRightInd w:val="0"/>
                    <w:snapToGrid w:val="0"/>
                    <w:jc w:val="center"/>
                    <w:rPr>
                      <w:kern w:val="21"/>
                      <w:sz w:val="18"/>
                      <w:szCs w:val="18"/>
                    </w:rPr>
                  </w:pPr>
                  <w:r>
                    <w:rPr>
                      <w:rFonts w:hint="eastAsia"/>
                      <w:kern w:val="21"/>
                      <w:sz w:val="18"/>
                      <w:szCs w:val="18"/>
                    </w:rPr>
                    <w:t>生态</w:t>
                  </w:r>
                </w:p>
              </w:tc>
              <w:tc>
                <w:tcPr>
                  <w:tcW w:w="2590" w:type="pct"/>
                  <w:tcBorders>
                    <w:tl2br w:val="nil"/>
                    <w:tr2bl w:val="nil"/>
                  </w:tcBorders>
                  <w:vAlign w:val="center"/>
                </w:tcPr>
                <w:p w14:paraId="4815FA57">
                  <w:pPr>
                    <w:autoSpaceDE w:val="0"/>
                    <w:autoSpaceDN w:val="0"/>
                    <w:adjustRightInd w:val="0"/>
                    <w:snapToGrid w:val="0"/>
                    <w:rPr>
                      <w:kern w:val="21"/>
                      <w:sz w:val="18"/>
                      <w:szCs w:val="18"/>
                    </w:rPr>
                  </w:pPr>
                  <w:r>
                    <w:rPr>
                      <w:rFonts w:hint="eastAsia"/>
                      <w:kern w:val="21"/>
                      <w:sz w:val="18"/>
                      <w:szCs w:val="18"/>
                    </w:rPr>
                    <w:t>取水口下游500米范围内有重要水生生物的自然产卵场、索饵场、越冬场和洄游通道的新增河道取水的污染类建设项目</w:t>
                  </w:r>
                </w:p>
              </w:tc>
              <w:tc>
                <w:tcPr>
                  <w:tcW w:w="1871" w:type="pct"/>
                  <w:tcBorders>
                    <w:tl2br w:val="nil"/>
                    <w:tr2bl w:val="nil"/>
                  </w:tcBorders>
                  <w:vAlign w:val="center"/>
                </w:tcPr>
                <w:p w14:paraId="6C1EB717">
                  <w:pPr>
                    <w:autoSpaceDE w:val="0"/>
                    <w:autoSpaceDN w:val="0"/>
                    <w:adjustRightInd w:val="0"/>
                    <w:snapToGrid w:val="0"/>
                    <w:rPr>
                      <w:kern w:val="21"/>
                      <w:sz w:val="18"/>
                      <w:szCs w:val="18"/>
                    </w:rPr>
                  </w:pPr>
                  <w:r>
                    <w:rPr>
                      <w:rFonts w:hint="eastAsia"/>
                      <w:kern w:val="21"/>
                      <w:sz w:val="18"/>
                      <w:szCs w:val="18"/>
                    </w:rPr>
                    <w:t>本项目不涉及，不开展专项评价</w:t>
                  </w:r>
                </w:p>
              </w:tc>
            </w:tr>
            <w:tr w14:paraId="442979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1F436A0C">
                  <w:pPr>
                    <w:autoSpaceDE w:val="0"/>
                    <w:autoSpaceDN w:val="0"/>
                    <w:adjustRightInd w:val="0"/>
                    <w:snapToGrid w:val="0"/>
                    <w:jc w:val="center"/>
                    <w:rPr>
                      <w:kern w:val="21"/>
                      <w:sz w:val="18"/>
                      <w:szCs w:val="18"/>
                    </w:rPr>
                  </w:pPr>
                  <w:r>
                    <w:rPr>
                      <w:rFonts w:hint="eastAsia"/>
                      <w:kern w:val="21"/>
                      <w:sz w:val="18"/>
                      <w:szCs w:val="18"/>
                    </w:rPr>
                    <w:t>海洋</w:t>
                  </w:r>
                </w:p>
              </w:tc>
              <w:tc>
                <w:tcPr>
                  <w:tcW w:w="2590" w:type="pct"/>
                  <w:tcBorders>
                    <w:tl2br w:val="nil"/>
                    <w:tr2bl w:val="nil"/>
                  </w:tcBorders>
                  <w:vAlign w:val="center"/>
                </w:tcPr>
                <w:p w14:paraId="2389A953">
                  <w:pPr>
                    <w:autoSpaceDE w:val="0"/>
                    <w:autoSpaceDN w:val="0"/>
                    <w:adjustRightInd w:val="0"/>
                    <w:snapToGrid w:val="0"/>
                    <w:rPr>
                      <w:kern w:val="21"/>
                      <w:sz w:val="18"/>
                      <w:szCs w:val="18"/>
                    </w:rPr>
                  </w:pPr>
                  <w:r>
                    <w:rPr>
                      <w:rFonts w:hint="eastAsia"/>
                      <w:kern w:val="21"/>
                      <w:sz w:val="18"/>
                      <w:szCs w:val="18"/>
                    </w:rPr>
                    <w:t>直接向海排放污染物的海洋工程建设项目</w:t>
                  </w:r>
                </w:p>
              </w:tc>
              <w:tc>
                <w:tcPr>
                  <w:tcW w:w="1871" w:type="pct"/>
                  <w:tcBorders>
                    <w:tl2br w:val="nil"/>
                    <w:tr2bl w:val="nil"/>
                  </w:tcBorders>
                  <w:vAlign w:val="center"/>
                </w:tcPr>
                <w:p w14:paraId="09233C75">
                  <w:pPr>
                    <w:autoSpaceDE w:val="0"/>
                    <w:autoSpaceDN w:val="0"/>
                    <w:adjustRightInd w:val="0"/>
                    <w:snapToGrid w:val="0"/>
                    <w:rPr>
                      <w:kern w:val="21"/>
                      <w:sz w:val="18"/>
                      <w:szCs w:val="18"/>
                    </w:rPr>
                  </w:pPr>
                  <w:r>
                    <w:rPr>
                      <w:rFonts w:hint="eastAsia"/>
                      <w:kern w:val="21"/>
                      <w:sz w:val="18"/>
                      <w:szCs w:val="18"/>
                    </w:rPr>
                    <w:t>本项目不涉及，不开展专项评价</w:t>
                  </w:r>
                </w:p>
              </w:tc>
            </w:tr>
          </w:tbl>
          <w:p w14:paraId="65CF2996">
            <w:pPr>
              <w:spacing w:line="360" w:lineRule="auto"/>
              <w:ind w:firstLine="420" w:firstLineChars="200"/>
              <w:rPr>
                <w:rFonts w:hint="eastAsia" w:ascii="宋体" w:hAnsi="宋体" w:cs="宋体"/>
                <w:szCs w:val="21"/>
              </w:rPr>
            </w:pPr>
            <w:r>
              <w:rPr>
                <w:rFonts w:hint="eastAsia" w:ascii="宋体" w:hAnsi="宋体" w:cs="宋体"/>
                <w:szCs w:val="21"/>
              </w:rPr>
              <w:t>经分析可知，本项目不需要进行专项评价。</w:t>
            </w:r>
          </w:p>
        </w:tc>
      </w:tr>
      <w:tr w14:paraId="31CB4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2" w:type="dxa"/>
            <w:vAlign w:val="center"/>
          </w:tcPr>
          <w:p w14:paraId="27960FD7">
            <w:pPr>
              <w:autoSpaceDE w:val="0"/>
              <w:autoSpaceDN w:val="0"/>
              <w:adjustRightInd w:val="0"/>
              <w:snapToGrid w:val="0"/>
              <w:jc w:val="center"/>
              <w:rPr>
                <w:kern w:val="0"/>
                <w:szCs w:val="21"/>
              </w:rPr>
            </w:pPr>
            <w:r>
              <w:rPr>
                <w:rFonts w:hint="eastAsia"/>
                <w:szCs w:val="21"/>
              </w:rPr>
              <w:t>规划情况</w:t>
            </w:r>
          </w:p>
        </w:tc>
        <w:tc>
          <w:tcPr>
            <w:tcW w:w="8442" w:type="dxa"/>
            <w:gridSpan w:val="4"/>
            <w:vAlign w:val="center"/>
          </w:tcPr>
          <w:p w14:paraId="763B9274">
            <w:pPr>
              <w:autoSpaceDE w:val="0"/>
              <w:autoSpaceDN w:val="0"/>
              <w:adjustRightInd w:val="0"/>
              <w:snapToGrid w:val="0"/>
              <w:spacing w:line="360" w:lineRule="auto"/>
              <w:rPr>
                <w:kern w:val="0"/>
                <w:szCs w:val="21"/>
              </w:rPr>
            </w:pPr>
            <w:r>
              <w:rPr>
                <w:rFonts w:hint="eastAsia"/>
                <w:kern w:val="0"/>
                <w:szCs w:val="21"/>
              </w:rPr>
              <w:t>规划名称：《杭州市余杭区南湖单元（YH10）控制性详细规划》</w:t>
            </w:r>
          </w:p>
          <w:p w14:paraId="2CC9F312">
            <w:pPr>
              <w:autoSpaceDE w:val="0"/>
              <w:autoSpaceDN w:val="0"/>
              <w:adjustRightInd w:val="0"/>
              <w:snapToGrid w:val="0"/>
              <w:spacing w:line="360" w:lineRule="auto"/>
              <w:rPr>
                <w:kern w:val="0"/>
                <w:szCs w:val="21"/>
              </w:rPr>
            </w:pPr>
            <w:r>
              <w:rPr>
                <w:rFonts w:hint="eastAsia"/>
                <w:kern w:val="0"/>
                <w:szCs w:val="21"/>
              </w:rPr>
              <w:t>审批机关：杭州市人民政府办公厅</w:t>
            </w:r>
          </w:p>
          <w:p w14:paraId="3E05AC84">
            <w:pPr>
              <w:autoSpaceDE w:val="0"/>
              <w:autoSpaceDN w:val="0"/>
              <w:adjustRightInd w:val="0"/>
              <w:snapToGrid w:val="0"/>
              <w:spacing w:line="360" w:lineRule="auto"/>
              <w:rPr>
                <w:kern w:val="0"/>
                <w:szCs w:val="21"/>
              </w:rPr>
            </w:pPr>
            <w:r>
              <w:rPr>
                <w:rFonts w:hint="eastAsia"/>
                <w:kern w:val="0"/>
                <w:szCs w:val="21"/>
              </w:rPr>
              <w:t>审批文件名称及文号：《关于杭州城西科创大走廊14个单元详细规划的批复》（杭政函〔2023〕87号）</w:t>
            </w:r>
          </w:p>
        </w:tc>
      </w:tr>
      <w:tr w14:paraId="7378D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382" w:type="dxa"/>
            <w:vAlign w:val="center"/>
          </w:tcPr>
          <w:p w14:paraId="7743379F">
            <w:pPr>
              <w:adjustRightInd w:val="0"/>
              <w:snapToGrid w:val="0"/>
              <w:jc w:val="center"/>
              <w:rPr>
                <w:kern w:val="0"/>
                <w:szCs w:val="21"/>
              </w:rPr>
            </w:pPr>
            <w:r>
              <w:rPr>
                <w:rFonts w:hint="eastAsia"/>
                <w:szCs w:val="21"/>
              </w:rPr>
              <w:t>规划环境影响评价情况</w:t>
            </w:r>
          </w:p>
        </w:tc>
        <w:tc>
          <w:tcPr>
            <w:tcW w:w="8442" w:type="dxa"/>
            <w:gridSpan w:val="4"/>
            <w:vAlign w:val="center"/>
          </w:tcPr>
          <w:p w14:paraId="1AB40ED6">
            <w:pPr>
              <w:adjustRightInd w:val="0"/>
              <w:snapToGrid w:val="0"/>
              <w:spacing w:line="360" w:lineRule="auto"/>
              <w:rPr>
                <w:szCs w:val="21"/>
              </w:rPr>
            </w:pPr>
            <w:r>
              <w:rPr>
                <w:rFonts w:hint="eastAsia"/>
                <w:kern w:val="0"/>
                <w:szCs w:val="21"/>
              </w:rPr>
              <w:t>规划环境影响评价名称：</w:t>
            </w:r>
            <w:r>
              <w:rPr>
                <w:rFonts w:hint="eastAsia"/>
                <w:szCs w:val="21"/>
              </w:rPr>
              <w:t>《杭州未来科技城高新技术产业开发区总体规划(2024-2035)环境影响报告书》</w:t>
            </w:r>
          </w:p>
          <w:p w14:paraId="58381835">
            <w:pPr>
              <w:adjustRightInd w:val="0"/>
              <w:snapToGrid w:val="0"/>
              <w:spacing w:line="360" w:lineRule="auto"/>
              <w:rPr>
                <w:szCs w:val="21"/>
              </w:rPr>
            </w:pPr>
            <w:r>
              <w:rPr>
                <w:rFonts w:hint="eastAsia"/>
                <w:szCs w:val="21"/>
              </w:rPr>
              <w:t>审查机关：浙江省生态环境厅</w:t>
            </w:r>
          </w:p>
          <w:p w14:paraId="0BC2CD41">
            <w:pPr>
              <w:adjustRightInd w:val="0"/>
              <w:snapToGrid w:val="0"/>
              <w:spacing w:line="360" w:lineRule="auto"/>
              <w:rPr>
                <w:kern w:val="0"/>
                <w:szCs w:val="21"/>
              </w:rPr>
            </w:pPr>
            <w:r>
              <w:rPr>
                <w:rFonts w:hint="eastAsia"/>
                <w:szCs w:val="21"/>
              </w:rPr>
              <w:t>审查文件名称及文号：《浙江省生态环境厅关于&lt;杭州未来科技城高新技术产业开发区总体规划(2024-2035)环境影响报告书&gt;的审查意见》（浙环函</w:t>
            </w:r>
            <w:r>
              <w:rPr>
                <w:rFonts w:hint="eastAsia"/>
                <w:kern w:val="0"/>
                <w:szCs w:val="21"/>
              </w:rPr>
              <w:t>〔</w:t>
            </w:r>
            <w:r>
              <w:rPr>
                <w:szCs w:val="21"/>
              </w:rPr>
              <w:t>20</w:t>
            </w:r>
            <w:r>
              <w:rPr>
                <w:rFonts w:hint="eastAsia"/>
                <w:szCs w:val="21"/>
              </w:rPr>
              <w:t>26</w:t>
            </w:r>
            <w:r>
              <w:rPr>
                <w:rFonts w:hint="eastAsia"/>
                <w:kern w:val="0"/>
                <w:szCs w:val="21"/>
              </w:rPr>
              <w:t>〕</w:t>
            </w:r>
            <w:r>
              <w:rPr>
                <w:rFonts w:hint="eastAsia"/>
                <w:szCs w:val="21"/>
              </w:rPr>
              <w:t>63号）</w:t>
            </w:r>
          </w:p>
        </w:tc>
      </w:tr>
      <w:tr w14:paraId="6E411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382" w:type="dxa"/>
            <w:vAlign w:val="center"/>
          </w:tcPr>
          <w:p w14:paraId="791BDE04">
            <w:pPr>
              <w:widowControl/>
              <w:adjustRightInd w:val="0"/>
              <w:snapToGrid w:val="0"/>
              <w:jc w:val="center"/>
              <w:rPr>
                <w:kern w:val="0"/>
                <w:szCs w:val="21"/>
              </w:rPr>
            </w:pPr>
            <w:r>
              <w:rPr>
                <w:rFonts w:hint="eastAsia"/>
                <w:kern w:val="0"/>
                <w:szCs w:val="21"/>
              </w:rPr>
              <w:t>规划及规划环境影响评价符合性分析</w:t>
            </w:r>
          </w:p>
        </w:tc>
        <w:tc>
          <w:tcPr>
            <w:tcW w:w="8442" w:type="dxa"/>
            <w:gridSpan w:val="4"/>
            <w:vAlign w:val="center"/>
          </w:tcPr>
          <w:p w14:paraId="53F76B9C">
            <w:pPr>
              <w:spacing w:line="360" w:lineRule="auto"/>
              <w:jc w:val="left"/>
              <w:outlineLvl w:val="1"/>
              <w:rPr>
                <w:b/>
                <w:bCs/>
                <w:sz w:val="24"/>
              </w:rPr>
            </w:pPr>
            <w:r>
              <w:rPr>
                <w:rFonts w:hint="eastAsia"/>
                <w:b/>
                <w:kern w:val="0"/>
                <w:sz w:val="24"/>
              </w:rPr>
              <w:t xml:space="preserve">1.1  </w:t>
            </w:r>
            <w:r>
              <w:rPr>
                <w:rFonts w:hint="eastAsia"/>
                <w:b/>
                <w:bCs/>
                <w:sz w:val="24"/>
              </w:rPr>
              <w:t>《杭州市余杭区南湖单元（YH10）控制性详细规划》符合性分析</w:t>
            </w:r>
          </w:p>
          <w:p w14:paraId="40C31C43">
            <w:pPr>
              <w:spacing w:line="360" w:lineRule="auto"/>
              <w:ind w:firstLine="422" w:firstLineChars="200"/>
              <w:rPr>
                <w:szCs w:val="21"/>
              </w:rPr>
            </w:pPr>
            <w:r>
              <w:rPr>
                <w:rFonts w:hint="eastAsia"/>
                <w:b/>
                <w:bCs/>
                <w:szCs w:val="21"/>
              </w:rPr>
              <w:t>（1）规划范围</w:t>
            </w:r>
          </w:p>
          <w:p w14:paraId="78D465D6">
            <w:pPr>
              <w:spacing w:line="360" w:lineRule="auto"/>
              <w:ind w:firstLine="420" w:firstLineChars="200"/>
              <w:rPr>
                <w:szCs w:val="21"/>
              </w:rPr>
            </w:pPr>
            <w:r>
              <w:rPr>
                <w:rFonts w:hint="eastAsia"/>
                <w:szCs w:val="21"/>
              </w:rPr>
              <w:t>南湖单元规划范围西至杭州绕城高速西复线，东至运溪路，北至南苕溪，南至杭瑞高速，规划范围面积约25.7平方千米。</w:t>
            </w:r>
          </w:p>
          <w:p w14:paraId="3B39A1FA">
            <w:pPr>
              <w:numPr>
                <w:ilvl w:val="0"/>
                <w:numId w:val="3"/>
              </w:numPr>
              <w:spacing w:line="360" w:lineRule="auto"/>
              <w:ind w:firstLine="422" w:firstLineChars="200"/>
              <w:rPr>
                <w:szCs w:val="21"/>
              </w:rPr>
            </w:pPr>
            <w:r>
              <w:rPr>
                <w:rFonts w:hint="eastAsia" w:ascii="宋体" w:hAnsi="宋体" w:cs="宋体"/>
                <w:b/>
                <w:bCs/>
                <w:szCs w:val="21"/>
              </w:rPr>
              <w:t>发展目标</w:t>
            </w:r>
          </w:p>
          <w:p w14:paraId="695F07A2">
            <w:pPr>
              <w:spacing w:line="360" w:lineRule="auto"/>
              <w:ind w:firstLine="420" w:firstLineChars="200"/>
              <w:rPr>
                <w:rFonts w:hint="eastAsia" w:ascii="宋体" w:hAnsi="宋体" w:cs="宋体"/>
              </w:rPr>
            </w:pPr>
            <w:r>
              <w:rPr>
                <w:rFonts w:hint="eastAsia" w:ascii="宋体" w:hAnsi="宋体" w:cs="宋体"/>
              </w:rPr>
              <w:t>以“科技创新”为发展方向，充分依托高能级的研、学平台和优质山水资源，突出科技、生态、文化、服务等创新要素的复合，增强南湖的策源创新能力。联动周边，完善 “研-学-产-用”功能体系，构筑以南湖为中心的“泛南湖”创新圈，打造引领未来的科学中心标杆区；以“创新赋能”为转型动力，培育发展新兴产业，加快推动传统产业转型升级，优化产业创新水平，打造上下合力的产业转型实践区；以“人文之链”为特色营造，利用好南湖历史文化资源和良好的自然山水本底，打造东方风韵的千年湖城样板区。</w:t>
            </w:r>
          </w:p>
          <w:p w14:paraId="521483C4">
            <w:pPr>
              <w:spacing w:line="360" w:lineRule="auto"/>
              <w:ind w:firstLine="422" w:firstLineChars="200"/>
              <w:rPr>
                <w:rFonts w:hint="eastAsia" w:ascii="宋体" w:hAnsi="宋体" w:cs="宋体"/>
                <w:b/>
                <w:bCs/>
                <w:szCs w:val="21"/>
              </w:rPr>
            </w:pPr>
            <w:r>
              <w:rPr>
                <w:rFonts w:hint="eastAsia" w:ascii="宋体" w:hAnsi="宋体" w:cs="宋体"/>
                <w:b/>
                <w:bCs/>
                <w:szCs w:val="21"/>
              </w:rPr>
              <w:t>（3）空间结构</w:t>
            </w:r>
          </w:p>
          <w:p w14:paraId="44E4250F">
            <w:pPr>
              <w:spacing w:line="360" w:lineRule="auto"/>
              <w:ind w:firstLine="420" w:firstLineChars="200"/>
              <w:rPr>
                <w:rFonts w:hint="eastAsia" w:ascii="宋体" w:hAnsi="宋体" w:cs="宋体"/>
                <w:szCs w:val="21"/>
              </w:rPr>
            </w:pPr>
            <w:r>
              <w:rPr>
                <w:rFonts w:hint="eastAsia" w:ascii="宋体" w:hAnsi="宋体" w:cs="宋体"/>
                <w:szCs w:val="21"/>
              </w:rPr>
              <w:t>规划形成“一链双心、山水组群、多点链接”的单元布局结构。</w:t>
            </w:r>
          </w:p>
          <w:p w14:paraId="3E6CB872">
            <w:pPr>
              <w:spacing w:line="360" w:lineRule="auto"/>
              <w:ind w:firstLine="420" w:firstLineChars="200"/>
              <w:rPr>
                <w:rFonts w:hint="eastAsia" w:ascii="宋体" w:hAnsi="宋体" w:cs="宋体"/>
                <w:szCs w:val="21"/>
              </w:rPr>
            </w:pPr>
            <w:r>
              <w:rPr>
                <w:rFonts w:hint="eastAsia" w:ascii="宋体" w:hAnsi="宋体" w:cs="宋体"/>
                <w:szCs w:val="21"/>
              </w:rPr>
              <w:t>“一链”——大走廊湿地湖链；</w:t>
            </w:r>
          </w:p>
          <w:p w14:paraId="14B32769">
            <w:pPr>
              <w:spacing w:line="360" w:lineRule="auto"/>
              <w:ind w:firstLine="420" w:firstLineChars="200"/>
              <w:rPr>
                <w:rFonts w:hint="eastAsia" w:ascii="宋体" w:hAnsi="宋体" w:cs="宋体"/>
                <w:szCs w:val="21"/>
              </w:rPr>
            </w:pPr>
            <w:r>
              <w:rPr>
                <w:rFonts w:hint="eastAsia" w:ascii="宋体" w:hAnsi="宋体" w:cs="宋体"/>
                <w:szCs w:val="21"/>
              </w:rPr>
              <w:t>“三片”——西侧创新策源片、临湖人文宜居片、东侧数智发展片；</w:t>
            </w:r>
          </w:p>
          <w:p w14:paraId="6F40BE5A">
            <w:pPr>
              <w:spacing w:line="360" w:lineRule="auto"/>
              <w:ind w:firstLine="420" w:firstLineChars="200"/>
              <w:rPr>
                <w:rFonts w:hint="eastAsia" w:ascii="宋体" w:hAnsi="宋体" w:cs="宋体"/>
                <w:szCs w:val="21"/>
              </w:rPr>
            </w:pPr>
            <w:r>
              <w:rPr>
                <w:rFonts w:hint="eastAsia" w:ascii="宋体" w:hAnsi="宋体" w:cs="宋体"/>
                <w:szCs w:val="21"/>
              </w:rPr>
              <w:t>“一链双心”——湿地湖链，特色双心。以大走廊“湿地湖链”为脉络，串联南湖生态绿心、湖西科创核心，强化地区创新与风景赋能。</w:t>
            </w:r>
          </w:p>
          <w:p w14:paraId="3F9ADD85">
            <w:pPr>
              <w:spacing w:line="360" w:lineRule="auto"/>
              <w:ind w:firstLine="420" w:firstLineChars="200"/>
              <w:rPr>
                <w:rFonts w:hint="eastAsia" w:ascii="宋体" w:hAnsi="宋体" w:cs="宋体"/>
                <w:szCs w:val="21"/>
              </w:rPr>
            </w:pPr>
            <w:r>
              <w:rPr>
                <w:rFonts w:hint="eastAsia" w:ascii="宋体" w:hAnsi="宋体" w:cs="宋体"/>
                <w:szCs w:val="21"/>
              </w:rPr>
              <w:t>“山水组群”——3个功能板块、12个组团。以山水网络为联系，形成西侧创新策源片、临湖人文宜居片、东侧数智发展片。</w:t>
            </w:r>
          </w:p>
          <w:p w14:paraId="33ED79D7">
            <w:pPr>
              <w:spacing w:line="360" w:lineRule="auto"/>
              <w:ind w:firstLine="420" w:firstLineChars="200"/>
              <w:rPr>
                <w:b/>
                <w:bCs/>
                <w:szCs w:val="21"/>
              </w:rPr>
            </w:pPr>
            <w:r>
              <w:rPr>
                <w:rFonts w:hint="eastAsia" w:ascii="宋体" w:hAnsi="宋体" w:cs="宋体"/>
                <w:szCs w:val="21"/>
              </w:rPr>
              <w:t>“多片区”——网络化链接的多中心。依托各个功能片区，形成多个相互联系的生活中心及产业服务中心。</w:t>
            </w:r>
          </w:p>
          <w:p w14:paraId="08ED949F">
            <w:pPr>
              <w:spacing w:line="360" w:lineRule="auto"/>
              <w:ind w:firstLine="422" w:firstLineChars="200"/>
              <w:rPr>
                <w:b/>
                <w:szCs w:val="21"/>
              </w:rPr>
            </w:pPr>
            <w:r>
              <w:rPr>
                <w:rFonts w:hint="eastAsia"/>
                <w:b/>
                <w:szCs w:val="21"/>
              </w:rPr>
              <w:t>（4）规划符合性分析</w:t>
            </w:r>
          </w:p>
          <w:p w14:paraId="36AE46EB">
            <w:pPr>
              <w:widowControl/>
              <w:spacing w:line="360" w:lineRule="auto"/>
              <w:ind w:firstLine="420" w:firstLineChars="200"/>
              <w:rPr>
                <w:szCs w:val="21"/>
              </w:rPr>
            </w:pPr>
            <w:r>
              <w:rPr>
                <w:rFonts w:hint="eastAsia"/>
                <w:szCs w:val="21"/>
              </w:rPr>
              <w:t>本项目为新建项目，租用传嘉科技（杭州）有限公司现有厂房（位于余杭区中泰街道铜山溪路2号南湖未来科学院5号楼301-302室），不新增用地，位于“科创核心”-“达摩科创策源聚落”。根据不动产权证，本项目选址用地规划为工业用地</w:t>
            </w:r>
            <w:r>
              <w:rPr>
                <w:rFonts w:hint="eastAsia"/>
                <w:kern w:val="0"/>
                <w:szCs w:val="21"/>
              </w:rPr>
              <w:t>。</w:t>
            </w:r>
            <w:r>
              <w:rPr>
                <w:rFonts w:hint="eastAsia"/>
                <w:szCs w:val="21"/>
              </w:rPr>
              <w:t>综上，项目建设符合所在区域中用地性质要求。</w:t>
            </w:r>
          </w:p>
          <w:p w14:paraId="46A1F490">
            <w:pPr>
              <w:widowControl/>
              <w:spacing w:line="360" w:lineRule="auto"/>
              <w:outlineLvl w:val="1"/>
              <w:rPr>
                <w:b/>
                <w:bCs/>
                <w:kern w:val="0"/>
                <w:sz w:val="24"/>
              </w:rPr>
            </w:pPr>
            <w:r>
              <w:rPr>
                <w:rFonts w:hint="eastAsia"/>
                <w:b/>
                <w:bCs/>
                <w:kern w:val="0"/>
                <w:sz w:val="24"/>
              </w:rPr>
              <w:t>1.2  规划环评符合性分析</w:t>
            </w:r>
          </w:p>
          <w:p w14:paraId="5E9E4738">
            <w:pPr>
              <w:widowControl/>
              <w:spacing w:line="360" w:lineRule="auto"/>
              <w:outlineLvl w:val="2"/>
              <w:rPr>
                <w:b/>
                <w:bCs/>
                <w:kern w:val="0"/>
                <w:sz w:val="22"/>
                <w:szCs w:val="22"/>
              </w:rPr>
            </w:pPr>
            <w:r>
              <w:rPr>
                <w:rFonts w:hint="eastAsia"/>
                <w:b/>
                <w:bCs/>
                <w:kern w:val="0"/>
                <w:sz w:val="22"/>
                <w:szCs w:val="22"/>
              </w:rPr>
              <w:t>1.2.1  规划环评结论清单符合性分析</w:t>
            </w:r>
          </w:p>
          <w:p w14:paraId="4FB2F5CA">
            <w:pPr>
              <w:widowControl/>
              <w:spacing w:line="360" w:lineRule="auto"/>
              <w:ind w:firstLine="420" w:firstLineChars="200"/>
              <w:rPr>
                <w:kern w:val="0"/>
                <w:szCs w:val="21"/>
              </w:rPr>
            </w:pPr>
            <w:r>
              <w:rPr>
                <w:rFonts w:hint="eastAsia"/>
                <w:kern w:val="0"/>
                <w:szCs w:val="21"/>
              </w:rPr>
              <w:t>本次评价对照原《</w:t>
            </w:r>
            <w:r>
              <w:rPr>
                <w:rFonts w:hint="eastAsia"/>
                <w:szCs w:val="21"/>
              </w:rPr>
              <w:t>杭州未来科技城高新技术产业开发区总体规划(2024-2035)环境影响报告书</w:t>
            </w:r>
            <w:r>
              <w:rPr>
                <w:rFonts w:hint="eastAsia"/>
                <w:kern w:val="0"/>
                <w:szCs w:val="21"/>
              </w:rPr>
              <w:t>》，符合性分析如下。</w:t>
            </w:r>
          </w:p>
          <w:p w14:paraId="45664747">
            <w:pPr>
              <w:widowControl/>
              <w:spacing w:line="360" w:lineRule="auto"/>
              <w:ind w:firstLine="422" w:firstLineChars="200"/>
              <w:jc w:val="left"/>
              <w:rPr>
                <w:b/>
                <w:bCs/>
                <w:kern w:val="0"/>
                <w:szCs w:val="21"/>
              </w:rPr>
            </w:pPr>
            <w:r>
              <w:rPr>
                <w:rFonts w:hint="eastAsia" w:ascii="宋体" w:hAnsi="宋体" w:cs="宋体"/>
                <w:b/>
                <w:bCs/>
                <w:kern w:val="0"/>
                <w:szCs w:val="21"/>
              </w:rPr>
              <w:t>①</w:t>
            </w:r>
            <w:r>
              <w:rPr>
                <w:rFonts w:hint="eastAsia"/>
                <w:b/>
                <w:bCs/>
                <w:kern w:val="0"/>
                <w:szCs w:val="21"/>
              </w:rPr>
              <w:t>生态空间清单</w:t>
            </w:r>
          </w:p>
          <w:p w14:paraId="532CE4DF">
            <w:pPr>
              <w:widowControl/>
              <w:spacing w:line="360" w:lineRule="auto"/>
              <w:ind w:firstLine="420" w:firstLineChars="200"/>
              <w:jc w:val="left"/>
              <w:rPr>
                <w:kern w:val="0"/>
                <w:szCs w:val="21"/>
              </w:rPr>
            </w:pPr>
            <w:r>
              <w:rPr>
                <w:rFonts w:hint="eastAsia"/>
                <w:kern w:val="0"/>
                <w:szCs w:val="21"/>
              </w:rPr>
              <w:t>项目与规划环评中生态空间清单符合性分析如</w:t>
            </w:r>
            <w:r>
              <w:rPr>
                <w:rFonts w:hint="eastAsia"/>
                <w:kern w:val="0"/>
                <w:szCs w:val="21"/>
                <w:lang w:val="en-US" w:eastAsia="zh-CN"/>
              </w:rPr>
              <w:t>下表</w:t>
            </w:r>
            <w:r>
              <w:rPr>
                <w:rFonts w:hint="eastAsia"/>
                <w:kern w:val="0"/>
                <w:szCs w:val="21"/>
              </w:rPr>
              <w:t>所示：</w:t>
            </w:r>
          </w:p>
          <w:p w14:paraId="4C3466C5">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r>
              <w:rPr>
                <w:rFonts w:hint="eastAsia" w:ascii="黑体" w:hAnsi="黑体" w:eastAsia="黑体" w:cs="黑体"/>
                <w:kern w:val="0"/>
                <w:szCs w:val="21"/>
                <w:lang w:val="zh-CN"/>
              </w:rPr>
              <w:t>项目与生态空间清单符合性分析</w:t>
            </w:r>
          </w:p>
          <w:tbl>
            <w:tblPr>
              <w:tblStyle w:val="2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1" w:type="dxa"/>
                <w:bottom w:w="0" w:type="dxa"/>
                <w:right w:w="11" w:type="dxa"/>
              </w:tblCellMar>
            </w:tblPr>
            <w:tblGrid>
              <w:gridCol w:w="278"/>
              <w:gridCol w:w="676"/>
              <w:gridCol w:w="2204"/>
              <w:gridCol w:w="3082"/>
              <w:gridCol w:w="2158"/>
            </w:tblGrid>
            <w:tr w14:paraId="0C9C62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65" w:type="pct"/>
                  <w:tcBorders>
                    <w:tl2br w:val="nil"/>
                    <w:tr2bl w:val="nil"/>
                  </w:tcBorders>
                  <w:vAlign w:val="center"/>
                </w:tcPr>
                <w:p w14:paraId="335953F2">
                  <w:pPr>
                    <w:widowControl/>
                    <w:jc w:val="center"/>
                    <w:rPr>
                      <w:kern w:val="0"/>
                      <w:sz w:val="18"/>
                      <w:szCs w:val="18"/>
                    </w:rPr>
                  </w:pPr>
                  <w:r>
                    <w:rPr>
                      <w:rFonts w:hint="eastAsia"/>
                      <w:kern w:val="0"/>
                      <w:sz w:val="18"/>
                      <w:szCs w:val="18"/>
                    </w:rPr>
                    <w:t>规划区块</w:t>
                  </w:r>
                </w:p>
              </w:tc>
              <w:tc>
                <w:tcPr>
                  <w:tcW w:w="402" w:type="pct"/>
                  <w:tcBorders>
                    <w:tl2br w:val="nil"/>
                    <w:tr2bl w:val="nil"/>
                  </w:tcBorders>
                  <w:vAlign w:val="center"/>
                </w:tcPr>
                <w:p w14:paraId="1DE35570">
                  <w:pPr>
                    <w:widowControl/>
                    <w:jc w:val="center"/>
                    <w:rPr>
                      <w:kern w:val="0"/>
                      <w:sz w:val="18"/>
                      <w:szCs w:val="18"/>
                    </w:rPr>
                  </w:pPr>
                  <w:r>
                    <w:rPr>
                      <w:rFonts w:hint="eastAsia"/>
                      <w:kern w:val="0"/>
                      <w:sz w:val="18"/>
                      <w:szCs w:val="18"/>
                    </w:rPr>
                    <w:t>生态空间名称及编号</w:t>
                  </w:r>
                </w:p>
              </w:tc>
              <w:tc>
                <w:tcPr>
                  <w:tcW w:w="1312" w:type="pct"/>
                  <w:tcBorders>
                    <w:tl2br w:val="nil"/>
                    <w:tr2bl w:val="nil"/>
                  </w:tcBorders>
                  <w:vAlign w:val="center"/>
                </w:tcPr>
                <w:p w14:paraId="77E61562">
                  <w:pPr>
                    <w:widowControl/>
                    <w:jc w:val="center"/>
                    <w:rPr>
                      <w:kern w:val="0"/>
                      <w:sz w:val="18"/>
                      <w:szCs w:val="18"/>
                    </w:rPr>
                  </w:pPr>
                  <w:r>
                    <w:rPr>
                      <w:rFonts w:hint="eastAsia"/>
                      <w:kern w:val="0"/>
                      <w:sz w:val="18"/>
                      <w:szCs w:val="18"/>
                    </w:rPr>
                    <w:t>生态空间范围及示意图</w:t>
                  </w:r>
                </w:p>
              </w:tc>
              <w:tc>
                <w:tcPr>
                  <w:tcW w:w="1835" w:type="pct"/>
                  <w:tcBorders>
                    <w:tl2br w:val="nil"/>
                    <w:tr2bl w:val="nil"/>
                  </w:tcBorders>
                  <w:vAlign w:val="center"/>
                </w:tcPr>
                <w:p w14:paraId="2B14873E">
                  <w:pPr>
                    <w:widowControl/>
                    <w:jc w:val="center"/>
                    <w:rPr>
                      <w:kern w:val="0"/>
                      <w:sz w:val="18"/>
                      <w:szCs w:val="18"/>
                    </w:rPr>
                  </w:pPr>
                  <w:r>
                    <w:rPr>
                      <w:rFonts w:hint="eastAsia"/>
                      <w:kern w:val="0"/>
                      <w:sz w:val="18"/>
                      <w:szCs w:val="18"/>
                    </w:rPr>
                    <w:t>管控要求</w:t>
                  </w:r>
                </w:p>
              </w:tc>
              <w:tc>
                <w:tcPr>
                  <w:tcW w:w="1285" w:type="pct"/>
                  <w:tcBorders>
                    <w:tl2br w:val="nil"/>
                    <w:tr2bl w:val="nil"/>
                  </w:tcBorders>
                  <w:vAlign w:val="center"/>
                </w:tcPr>
                <w:p w14:paraId="5FDA7A16">
                  <w:pPr>
                    <w:widowControl/>
                    <w:jc w:val="center"/>
                    <w:rPr>
                      <w:kern w:val="0"/>
                      <w:sz w:val="18"/>
                      <w:szCs w:val="18"/>
                    </w:rPr>
                  </w:pPr>
                  <w:r>
                    <w:rPr>
                      <w:rFonts w:hint="eastAsia"/>
                      <w:kern w:val="0"/>
                      <w:sz w:val="18"/>
                      <w:szCs w:val="18"/>
                    </w:rPr>
                    <w:t>现状用地类型</w:t>
                  </w:r>
                </w:p>
              </w:tc>
            </w:tr>
            <w:tr w14:paraId="3568B3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65" w:type="pct"/>
                  <w:tcBorders>
                    <w:tl2br w:val="nil"/>
                    <w:tr2bl w:val="nil"/>
                  </w:tcBorders>
                  <w:vAlign w:val="center"/>
                </w:tcPr>
                <w:p w14:paraId="4750A16D">
                  <w:pPr>
                    <w:widowControl/>
                    <w:jc w:val="center"/>
                    <w:rPr>
                      <w:kern w:val="0"/>
                      <w:sz w:val="18"/>
                      <w:szCs w:val="18"/>
                    </w:rPr>
                  </w:pPr>
                  <w:r>
                    <w:rPr>
                      <w:rFonts w:hint="eastAsia"/>
                      <w:kern w:val="0"/>
                      <w:sz w:val="18"/>
                      <w:szCs w:val="18"/>
                    </w:rPr>
                    <w:t>南湖科学中心</w:t>
                  </w:r>
                </w:p>
              </w:tc>
              <w:tc>
                <w:tcPr>
                  <w:tcW w:w="402" w:type="pct"/>
                  <w:tcBorders>
                    <w:tl2br w:val="nil"/>
                    <w:tr2bl w:val="nil"/>
                  </w:tcBorders>
                  <w:vAlign w:val="center"/>
                </w:tcPr>
                <w:p w14:paraId="7EA928C0">
                  <w:pPr>
                    <w:widowControl/>
                    <w:jc w:val="center"/>
                    <w:rPr>
                      <w:kern w:val="0"/>
                      <w:sz w:val="18"/>
                      <w:szCs w:val="18"/>
                    </w:rPr>
                  </w:pPr>
                  <w:r>
                    <w:rPr>
                      <w:rFonts w:hint="eastAsia"/>
                      <w:sz w:val="18"/>
                      <w:szCs w:val="18"/>
                    </w:rPr>
                    <w:t>余杭区南湖科学中心(ZH33011020010)</w:t>
                  </w:r>
                </w:p>
              </w:tc>
              <w:tc>
                <w:tcPr>
                  <w:tcW w:w="1312" w:type="pct"/>
                  <w:tcBorders>
                    <w:tl2br w:val="nil"/>
                    <w:tr2bl w:val="nil"/>
                  </w:tcBorders>
                  <w:vAlign w:val="center"/>
                </w:tcPr>
                <w:p w14:paraId="1FC4F0A8">
                  <w:pPr>
                    <w:widowControl/>
                    <w:jc w:val="center"/>
                    <w:rPr>
                      <w:sz w:val="18"/>
                      <w:szCs w:val="18"/>
                    </w:rPr>
                  </w:pPr>
                  <w:r>
                    <w:rPr>
                      <w:sz w:val="18"/>
                      <w:szCs w:val="18"/>
                    </w:rPr>
                    <w:drawing>
                      <wp:inline distT="0" distB="0" distL="114300" distR="114300">
                        <wp:extent cx="1191895" cy="1087755"/>
                        <wp:effectExtent l="0" t="0" r="1206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1191895" cy="1087755"/>
                                </a:xfrm>
                                <a:prstGeom prst="rect">
                                  <a:avLst/>
                                </a:prstGeom>
                                <a:noFill/>
                                <a:ln>
                                  <a:noFill/>
                                </a:ln>
                              </pic:spPr>
                            </pic:pic>
                          </a:graphicData>
                        </a:graphic>
                      </wp:inline>
                    </w:drawing>
                  </w:r>
                </w:p>
                <w:p w14:paraId="40C97CC9">
                  <w:pPr>
                    <w:pStyle w:val="16"/>
                    <w:jc w:val="center"/>
                    <w:rPr>
                      <w:rFonts w:ascii="Times New Roman" w:hAnsi="Times New Roman" w:cs="Times New Roman"/>
                      <w:sz w:val="18"/>
                      <w:szCs w:val="18"/>
                    </w:rPr>
                  </w:pPr>
                  <w:r>
                    <w:rPr>
                      <w:rFonts w:hint="eastAsia" w:ascii="Times New Roman" w:hAnsi="Times New Roman" w:cs="Times New Roman"/>
                      <w:sz w:val="18"/>
                      <w:szCs w:val="18"/>
                    </w:rPr>
                    <w:t>高新区范围内蓝色区域</w:t>
                  </w:r>
                </w:p>
              </w:tc>
              <w:tc>
                <w:tcPr>
                  <w:tcW w:w="1835" w:type="pct"/>
                  <w:tcBorders>
                    <w:tl2br w:val="nil"/>
                    <w:tr2bl w:val="nil"/>
                  </w:tcBorders>
                  <w:vAlign w:val="center"/>
                </w:tcPr>
                <w:p w14:paraId="22213924">
                  <w:pPr>
                    <w:rPr>
                      <w:sz w:val="18"/>
                      <w:szCs w:val="18"/>
                    </w:rPr>
                  </w:pPr>
                  <w:r>
                    <w:rPr>
                      <w:rFonts w:hint="eastAsia"/>
                      <w:b/>
                      <w:bCs/>
                      <w:sz w:val="18"/>
                      <w:szCs w:val="18"/>
                    </w:rPr>
                    <w:t>空间布局引导：</w:t>
                  </w:r>
                  <w:r>
                    <w:rPr>
                      <w:rFonts w:hint="eastAsia"/>
                      <w:sz w:val="18"/>
                      <w:szCs w:val="18"/>
                    </w:rPr>
                    <w:t>根据产业集聚区块的功能定位，建立分区差别化的产业准入条件。合理规划布局居住、医疗卫生、文化教育等功能区块，与工业区块、工业企业之间设置防护绿地、生活绿地等隔离带。</w:t>
                  </w:r>
                </w:p>
                <w:p w14:paraId="30A62A20">
                  <w:pPr>
                    <w:rPr>
                      <w:sz w:val="18"/>
                      <w:szCs w:val="18"/>
                    </w:rPr>
                  </w:pPr>
                  <w:r>
                    <w:rPr>
                      <w:rFonts w:hint="eastAsia"/>
                      <w:b/>
                      <w:bCs/>
                      <w:sz w:val="18"/>
                      <w:szCs w:val="18"/>
                    </w:rPr>
                    <w:t>污染物排放管控：</w:t>
                  </w:r>
                  <w:r>
                    <w:rPr>
                      <w:rFonts w:hint="eastAsia"/>
                      <w:sz w:val="18"/>
                      <w:szCs w:val="18"/>
                    </w:rPr>
                    <w:t>严格实施污染物总量控制制度，根据区域环境质量改善目标，削减污染物排放总量。所有企业实现雨污分流。</w:t>
                  </w:r>
                </w:p>
                <w:p w14:paraId="42F3BC81">
                  <w:pPr>
                    <w:widowControl/>
                    <w:rPr>
                      <w:kern w:val="0"/>
                      <w:sz w:val="18"/>
                      <w:szCs w:val="18"/>
                    </w:rPr>
                  </w:pPr>
                  <w:r>
                    <w:rPr>
                      <w:rFonts w:hint="eastAsia"/>
                      <w:b/>
                      <w:bCs/>
                      <w:sz w:val="18"/>
                      <w:szCs w:val="18"/>
                    </w:rPr>
                    <w:t>环境风险防控：</w:t>
                  </w:r>
                  <w:r>
                    <w:rPr>
                      <w:rFonts w:hint="eastAsia"/>
                      <w:sz w:val="18"/>
                      <w:szCs w:val="18"/>
                    </w:rPr>
                    <w:t>强化工业集聚区企业环境风险防范设施设备建设和正常运行监管，加强重点环境风险管控企业应急预案制定，建立常态化的企业隐患排查整治监管机制，加强风险防控体系建设。</w:t>
                  </w:r>
                </w:p>
              </w:tc>
              <w:tc>
                <w:tcPr>
                  <w:tcW w:w="1285" w:type="pct"/>
                  <w:tcBorders>
                    <w:tl2br w:val="nil"/>
                    <w:tr2bl w:val="nil"/>
                  </w:tcBorders>
                  <w:vAlign w:val="center"/>
                </w:tcPr>
                <w:p w14:paraId="476BF970">
                  <w:pPr>
                    <w:rPr>
                      <w:b/>
                      <w:bCs/>
                      <w:sz w:val="18"/>
                      <w:szCs w:val="18"/>
                    </w:rPr>
                  </w:pPr>
                  <w:r>
                    <w:rPr>
                      <w:rFonts w:hint="eastAsia"/>
                      <w:sz w:val="18"/>
                      <w:szCs w:val="18"/>
                    </w:rPr>
                    <w:t>南湖科学中心铜山溪路以东现状主要为工业用地、公共管理与公共服务用地(杭州狄邦文理学校)、公园绿地和少量商业服务业用地，另有部分耕地、林地、草地和陆地水域等非建设用地；铜山溪路以西现状主要为耕地、园地、草地和陆地水域等非建设用地，另有部分公共管理与公共服务用地(之江实验室、浙里橙长托育园)和少量公共设施用地、商业服务业用地。</w:t>
                  </w:r>
                </w:p>
              </w:tc>
            </w:tr>
          </w:tbl>
          <w:p w14:paraId="52258E30">
            <w:pPr>
              <w:widowControl/>
              <w:spacing w:line="360" w:lineRule="auto"/>
              <w:ind w:firstLine="420" w:firstLineChars="200"/>
              <w:rPr>
                <w:kern w:val="0"/>
                <w:szCs w:val="21"/>
              </w:rPr>
            </w:pPr>
            <w:r>
              <w:rPr>
                <w:rFonts w:hint="eastAsia"/>
                <w:kern w:val="0"/>
                <w:szCs w:val="21"/>
              </w:rPr>
              <w:t>符合性分析：</w:t>
            </w:r>
          </w:p>
          <w:p w14:paraId="65CE164C">
            <w:pPr>
              <w:widowControl/>
              <w:spacing w:line="360" w:lineRule="auto"/>
              <w:ind w:firstLine="420" w:firstLineChars="200"/>
              <w:rPr>
                <w:rFonts w:hint="default" w:eastAsia="宋体"/>
                <w:szCs w:val="21"/>
                <w:lang w:val="en-US" w:eastAsia="zh-CN"/>
              </w:rPr>
            </w:pPr>
            <w:r>
              <w:rPr>
                <w:rFonts w:hint="eastAsia"/>
                <w:kern w:val="0"/>
                <w:szCs w:val="21"/>
              </w:rPr>
              <w:t>（1）本项目国标行</w:t>
            </w:r>
            <w:r>
              <w:rPr>
                <w:rFonts w:hint="eastAsia"/>
                <w:kern w:val="0"/>
                <w:szCs w:val="21"/>
                <w:highlight w:val="none"/>
              </w:rPr>
              <w:t>业为C3589 其他医疗设备及器械制造，属于二类工业项目</w:t>
            </w:r>
            <w:r>
              <w:rPr>
                <w:rFonts w:hint="eastAsia"/>
                <w:kern w:val="0"/>
                <w:szCs w:val="21"/>
                <w:highlight w:val="none"/>
                <w:lang w:eastAsia="zh-CN"/>
              </w:rPr>
              <w:t>；</w:t>
            </w:r>
            <w:r>
              <w:rPr>
                <w:rFonts w:hint="eastAsia"/>
                <w:szCs w:val="21"/>
                <w:highlight w:val="none"/>
              </w:rPr>
              <w:t>项目和附近的中桥村距离约为700米</w:t>
            </w:r>
            <w:r>
              <w:rPr>
                <w:rFonts w:hint="eastAsia"/>
                <w:szCs w:val="21"/>
                <w:highlight w:val="none"/>
                <w:lang w:eastAsia="zh-CN"/>
              </w:rPr>
              <w:t>；</w:t>
            </w:r>
            <w:r>
              <w:rPr>
                <w:rFonts w:hint="eastAsia"/>
                <w:szCs w:val="21"/>
                <w:highlight w:val="none"/>
                <w:lang w:val="en-US" w:eastAsia="zh-CN"/>
              </w:rPr>
              <w:t>和西侧的规划居住用地距离约140米；</w:t>
            </w:r>
            <w:r>
              <w:rPr>
                <w:rFonts w:hint="eastAsia"/>
                <w:szCs w:val="21"/>
                <w:highlight w:val="none"/>
              </w:rPr>
              <w:t>中间有道路和防护绿地隔离。</w:t>
            </w:r>
            <w:r>
              <w:rPr>
                <w:rFonts w:hint="eastAsia"/>
                <w:szCs w:val="21"/>
                <w:highlight w:val="none"/>
                <w:lang w:val="en-US" w:eastAsia="zh-CN"/>
              </w:rPr>
              <w:t>根据相关文件</w:t>
            </w:r>
            <w:r>
              <w:rPr>
                <w:rFonts w:hint="eastAsia"/>
                <w:szCs w:val="21"/>
                <w:lang w:val="en-US" w:eastAsia="zh-CN"/>
              </w:rPr>
              <w:t>要求，符合准入。</w:t>
            </w:r>
          </w:p>
          <w:p w14:paraId="65584EF1">
            <w:pPr>
              <w:widowControl/>
              <w:spacing w:line="360" w:lineRule="auto"/>
              <w:ind w:firstLine="420" w:firstLineChars="200"/>
              <w:rPr>
                <w:kern w:val="0"/>
                <w:szCs w:val="21"/>
              </w:rPr>
            </w:pPr>
            <w:r>
              <w:rPr>
                <w:rFonts w:hint="eastAsia"/>
                <w:kern w:val="0"/>
                <w:szCs w:val="21"/>
              </w:rPr>
              <w:t>（2）本项目属于二类工业项目，</w:t>
            </w:r>
            <w:r>
              <w:rPr>
                <w:rFonts w:hint="eastAsia"/>
              </w:rPr>
              <w:t>需要按照相关要求进行</w:t>
            </w:r>
            <w:r>
              <w:rPr>
                <w:rFonts w:hint="eastAsia"/>
                <w:kern w:val="0"/>
                <w:szCs w:val="21"/>
              </w:rPr>
              <w:t>总量区域内削减替代。项目依托园区现有厂房，园区内已采取雨污分流相关措施，能够有效防止土壤和地下水污染。</w:t>
            </w:r>
          </w:p>
          <w:p w14:paraId="4C648F59">
            <w:pPr>
              <w:widowControl/>
              <w:spacing w:line="360" w:lineRule="auto"/>
              <w:ind w:firstLine="420" w:firstLineChars="200"/>
              <w:rPr>
                <w:kern w:val="0"/>
                <w:szCs w:val="21"/>
              </w:rPr>
            </w:pPr>
            <w:r>
              <w:rPr>
                <w:rFonts w:hint="eastAsia"/>
                <w:kern w:val="0"/>
                <w:szCs w:val="21"/>
              </w:rPr>
              <w:t>（3）本项目严格做好安全生产工作，严格遵守各项操作规程和制度，落实各项风险防范措施，减少对周围环境的影响，因此符合环境风险防控要求。</w:t>
            </w:r>
          </w:p>
          <w:p w14:paraId="633F1799">
            <w:pPr>
              <w:widowControl/>
              <w:spacing w:line="360" w:lineRule="auto"/>
              <w:ind w:firstLine="420" w:firstLineChars="200"/>
              <w:rPr>
                <w:kern w:val="0"/>
                <w:szCs w:val="21"/>
              </w:rPr>
            </w:pPr>
            <w:r>
              <w:rPr>
                <w:rFonts w:hint="eastAsia"/>
                <w:kern w:val="0"/>
                <w:szCs w:val="21"/>
              </w:rPr>
              <w:t>综上，本项目建设符合生态空间清单要求。</w:t>
            </w:r>
          </w:p>
          <w:p w14:paraId="0E1EE863">
            <w:pPr>
              <w:widowControl/>
              <w:spacing w:line="360" w:lineRule="auto"/>
              <w:ind w:firstLine="422" w:firstLineChars="200"/>
              <w:rPr>
                <w:b/>
                <w:bCs/>
                <w:kern w:val="0"/>
                <w:szCs w:val="21"/>
              </w:rPr>
            </w:pPr>
            <w:r>
              <w:rPr>
                <w:rFonts w:hint="eastAsia" w:ascii="宋体" w:hAnsi="宋体" w:cs="宋体"/>
                <w:b/>
                <w:bCs/>
                <w:kern w:val="0"/>
                <w:szCs w:val="21"/>
              </w:rPr>
              <w:t>②</w:t>
            </w:r>
            <w:r>
              <w:rPr>
                <w:rFonts w:hint="eastAsia"/>
                <w:b/>
                <w:bCs/>
                <w:kern w:val="0"/>
                <w:szCs w:val="21"/>
              </w:rPr>
              <w:t>现有问题整改措施清单</w:t>
            </w:r>
          </w:p>
          <w:p w14:paraId="59663452">
            <w:pPr>
              <w:widowControl/>
              <w:spacing w:line="360" w:lineRule="auto"/>
              <w:ind w:firstLine="420" w:firstLineChars="200"/>
              <w:rPr>
                <w:kern w:val="0"/>
                <w:szCs w:val="21"/>
              </w:rPr>
            </w:pPr>
            <w:r>
              <w:rPr>
                <w:rFonts w:hint="eastAsia"/>
                <w:kern w:val="0"/>
                <w:szCs w:val="21"/>
              </w:rPr>
              <w:t>项目与现有问题整改措施清单符合性分析如</w:t>
            </w:r>
            <w:r>
              <w:rPr>
                <w:rFonts w:hint="eastAsia"/>
                <w:kern w:val="0"/>
                <w:szCs w:val="21"/>
                <w:lang w:val="en-US" w:eastAsia="zh-CN"/>
              </w:rPr>
              <w:t>下表</w:t>
            </w:r>
            <w:r>
              <w:rPr>
                <w:rFonts w:hint="eastAsia"/>
                <w:kern w:val="0"/>
                <w:szCs w:val="21"/>
              </w:rPr>
              <w:t>所示：</w:t>
            </w:r>
          </w:p>
          <w:p w14:paraId="37D689B9">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r>
              <w:rPr>
                <w:rFonts w:hint="eastAsia" w:ascii="黑体" w:hAnsi="黑体" w:eastAsia="黑体" w:cs="黑体"/>
                <w:kern w:val="0"/>
                <w:szCs w:val="21"/>
                <w:lang w:val="zh-CN"/>
              </w:rPr>
              <w:t>项目与现有问题整改措施清单符合性分析</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2"/>
              <w:gridCol w:w="512"/>
              <w:gridCol w:w="2573"/>
              <w:gridCol w:w="3263"/>
              <w:gridCol w:w="1497"/>
            </w:tblGrid>
            <w:tr w14:paraId="6B949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34" w:type="pct"/>
                  <w:gridSpan w:val="2"/>
                  <w:tcBorders>
                    <w:tl2br w:val="nil"/>
                    <w:tr2bl w:val="nil"/>
                  </w:tcBorders>
                  <w:vAlign w:val="center"/>
                </w:tcPr>
                <w:p w14:paraId="4937C66F">
                  <w:pPr>
                    <w:pStyle w:val="57"/>
                    <w:spacing w:before="0" w:line="240" w:lineRule="auto"/>
                    <w:rPr>
                      <w:b w:val="0"/>
                      <w:bCs/>
                      <w:sz w:val="18"/>
                      <w:szCs w:val="18"/>
                    </w:rPr>
                  </w:pPr>
                  <w:r>
                    <w:rPr>
                      <w:rFonts w:hint="eastAsia"/>
                      <w:b w:val="0"/>
                      <w:bCs/>
                      <w:sz w:val="18"/>
                      <w:szCs w:val="18"/>
                    </w:rPr>
                    <w:t>类别</w:t>
                  </w:r>
                </w:p>
              </w:tc>
              <w:tc>
                <w:tcPr>
                  <w:tcW w:w="1531" w:type="pct"/>
                  <w:tcBorders>
                    <w:tl2br w:val="nil"/>
                    <w:tr2bl w:val="nil"/>
                  </w:tcBorders>
                  <w:vAlign w:val="center"/>
                </w:tcPr>
                <w:p w14:paraId="697AAF17">
                  <w:pPr>
                    <w:pStyle w:val="57"/>
                    <w:spacing w:before="0" w:line="240" w:lineRule="auto"/>
                    <w:rPr>
                      <w:b w:val="0"/>
                      <w:bCs/>
                      <w:sz w:val="18"/>
                      <w:szCs w:val="18"/>
                    </w:rPr>
                  </w:pPr>
                  <w:r>
                    <w:rPr>
                      <w:rFonts w:hint="eastAsia"/>
                      <w:b w:val="0"/>
                      <w:bCs/>
                      <w:sz w:val="18"/>
                      <w:szCs w:val="18"/>
                    </w:rPr>
                    <w:t>存在的环保问题及主要原因</w:t>
                  </w:r>
                </w:p>
              </w:tc>
              <w:tc>
                <w:tcPr>
                  <w:tcW w:w="1942" w:type="pct"/>
                  <w:tcBorders>
                    <w:tl2br w:val="nil"/>
                    <w:tr2bl w:val="nil"/>
                  </w:tcBorders>
                  <w:vAlign w:val="center"/>
                </w:tcPr>
                <w:p w14:paraId="48991805">
                  <w:pPr>
                    <w:pStyle w:val="57"/>
                    <w:spacing w:before="0" w:line="240" w:lineRule="auto"/>
                    <w:rPr>
                      <w:b w:val="0"/>
                      <w:bCs/>
                      <w:sz w:val="18"/>
                      <w:szCs w:val="18"/>
                    </w:rPr>
                  </w:pPr>
                  <w:r>
                    <w:rPr>
                      <w:rFonts w:hint="eastAsia"/>
                      <w:b w:val="0"/>
                      <w:bCs/>
                      <w:sz w:val="18"/>
                      <w:szCs w:val="18"/>
                    </w:rPr>
                    <w:t>解决方案</w:t>
                  </w:r>
                </w:p>
              </w:tc>
              <w:tc>
                <w:tcPr>
                  <w:tcW w:w="891" w:type="pct"/>
                  <w:tcBorders>
                    <w:tl2br w:val="nil"/>
                    <w:tr2bl w:val="nil"/>
                  </w:tcBorders>
                  <w:vAlign w:val="center"/>
                </w:tcPr>
                <w:p w14:paraId="71E3BE2C">
                  <w:pPr>
                    <w:pStyle w:val="57"/>
                    <w:spacing w:before="0" w:line="240" w:lineRule="auto"/>
                    <w:rPr>
                      <w:b w:val="0"/>
                      <w:bCs/>
                      <w:sz w:val="18"/>
                      <w:szCs w:val="18"/>
                    </w:rPr>
                  </w:pPr>
                  <w:r>
                    <w:rPr>
                      <w:rFonts w:hint="eastAsia"/>
                      <w:b w:val="0"/>
                      <w:bCs/>
                      <w:sz w:val="18"/>
                      <w:szCs w:val="18"/>
                    </w:rPr>
                    <w:t>本项目情况</w:t>
                  </w:r>
                </w:p>
              </w:tc>
            </w:tr>
            <w:tr w14:paraId="582E22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restart"/>
                  <w:tcBorders>
                    <w:tl2br w:val="nil"/>
                    <w:tr2bl w:val="nil"/>
                  </w:tcBorders>
                  <w:vAlign w:val="center"/>
                </w:tcPr>
                <w:p w14:paraId="29A16598">
                  <w:pPr>
                    <w:pStyle w:val="57"/>
                    <w:spacing w:before="0" w:line="240" w:lineRule="auto"/>
                    <w:rPr>
                      <w:b w:val="0"/>
                      <w:bCs/>
                      <w:sz w:val="18"/>
                      <w:szCs w:val="18"/>
                    </w:rPr>
                  </w:pPr>
                  <w:r>
                    <w:rPr>
                      <w:rFonts w:hint="eastAsia"/>
                      <w:b w:val="0"/>
                      <w:bCs/>
                      <w:sz w:val="18"/>
                      <w:szCs w:val="18"/>
                    </w:rPr>
                    <w:t>产业结构与布局</w:t>
                  </w:r>
                </w:p>
              </w:tc>
              <w:tc>
                <w:tcPr>
                  <w:tcW w:w="305" w:type="pct"/>
                  <w:tcBorders>
                    <w:tl2br w:val="nil"/>
                    <w:tr2bl w:val="nil"/>
                  </w:tcBorders>
                  <w:vAlign w:val="center"/>
                </w:tcPr>
                <w:p w14:paraId="529E3EAB">
                  <w:pPr>
                    <w:pStyle w:val="57"/>
                    <w:spacing w:before="0" w:line="240" w:lineRule="auto"/>
                    <w:rPr>
                      <w:b w:val="0"/>
                      <w:bCs/>
                      <w:sz w:val="18"/>
                      <w:szCs w:val="18"/>
                    </w:rPr>
                  </w:pPr>
                  <w:r>
                    <w:rPr>
                      <w:rFonts w:hint="eastAsia"/>
                      <w:b w:val="0"/>
                      <w:bCs/>
                      <w:sz w:val="18"/>
                      <w:szCs w:val="18"/>
                    </w:rPr>
                    <w:t>产业结构</w:t>
                  </w:r>
                </w:p>
              </w:tc>
              <w:tc>
                <w:tcPr>
                  <w:tcW w:w="1531" w:type="pct"/>
                  <w:tcBorders>
                    <w:tl2br w:val="nil"/>
                    <w:tr2bl w:val="nil"/>
                  </w:tcBorders>
                  <w:vAlign w:val="center"/>
                </w:tcPr>
                <w:p w14:paraId="21C53194">
                  <w:pPr>
                    <w:pStyle w:val="57"/>
                    <w:spacing w:before="0" w:line="240" w:lineRule="auto"/>
                    <w:jc w:val="both"/>
                    <w:rPr>
                      <w:b w:val="0"/>
                      <w:bCs/>
                      <w:sz w:val="18"/>
                      <w:szCs w:val="18"/>
                    </w:rPr>
                  </w:pPr>
                  <w:r>
                    <w:rPr>
                      <w:rFonts w:hint="eastAsia"/>
                      <w:b w:val="0"/>
                      <w:bCs/>
                      <w:sz w:val="18"/>
                      <w:szCs w:val="18"/>
                    </w:rPr>
                    <w:t>目前，高新区内现有工业生产型企业已基本形成以装备制造、电子电器两大支柱产业为主导，人工智能、生物医药等战略性新兴产业为特色的工业产业体系。但由于部分工业区块(如瓶窑产业园、闲林工业园等)起步较早且缺乏严格的规划指引，导致园区内现状产业门类众多，行业较为分散，企业间关联度不高，并且存在一些低效用地，同时有部分企业与高新区规划产业定位不符，产业链仍有待进一步完善。</w:t>
                  </w:r>
                </w:p>
              </w:tc>
              <w:tc>
                <w:tcPr>
                  <w:tcW w:w="1942" w:type="pct"/>
                  <w:tcBorders>
                    <w:tl2br w:val="nil"/>
                    <w:tr2bl w:val="nil"/>
                  </w:tcBorders>
                  <w:vAlign w:val="center"/>
                </w:tcPr>
                <w:p w14:paraId="6A2B8E56">
                  <w:pPr>
                    <w:pStyle w:val="57"/>
                    <w:spacing w:before="0" w:line="240" w:lineRule="auto"/>
                    <w:jc w:val="both"/>
                    <w:outlineLvl w:val="9"/>
                    <w:rPr>
                      <w:b w:val="0"/>
                      <w:bCs/>
                      <w:sz w:val="18"/>
                      <w:szCs w:val="18"/>
                    </w:rPr>
                  </w:pPr>
                  <w:r>
                    <w:rPr>
                      <w:rFonts w:hint="eastAsia"/>
                      <w:b w:val="0"/>
                      <w:bCs/>
                      <w:sz w:val="18"/>
                      <w:szCs w:val="18"/>
                    </w:rPr>
                    <w:t>①高新区应严格工业项目准入，根据规划产业发展方向，聚焦互联网和相关服务业、软件和信息技术服务业、计算机、通信和其他电子设备制造业三大主导产业，积极谋划布局数字经济、生命健康、智能制造及未来信息、未来空间、未来健康等产业，重点引进符合产业导向及准入条件的鼓励性企业。</w:t>
                  </w:r>
                </w:p>
                <w:p w14:paraId="32A3EDAE">
                  <w:pPr>
                    <w:pStyle w:val="57"/>
                    <w:spacing w:before="0" w:line="240" w:lineRule="auto"/>
                    <w:jc w:val="both"/>
                    <w:outlineLvl w:val="9"/>
                    <w:rPr>
                      <w:b w:val="0"/>
                      <w:bCs/>
                      <w:sz w:val="18"/>
                      <w:szCs w:val="18"/>
                    </w:rPr>
                  </w:pPr>
                  <w:r>
                    <w:rPr>
                      <w:rFonts w:hint="eastAsia"/>
                      <w:b w:val="0"/>
                      <w:bCs/>
                      <w:sz w:val="18"/>
                      <w:szCs w:val="18"/>
                    </w:rPr>
                    <w:t>②有序推动园区有机更新，盘活利用低效用地和存量资产。对高新区内现有不符合产业定位、用地布局规划和环保要求的企业，可根据产业用地综合效益评估，制定保留优化、整治提升、刚性清退等更新策略，推动现状低效工业用地整治，构建产业发展新生态。</w:t>
                  </w:r>
                </w:p>
              </w:tc>
              <w:tc>
                <w:tcPr>
                  <w:tcW w:w="891" w:type="pct"/>
                  <w:tcBorders>
                    <w:tl2br w:val="nil"/>
                    <w:tr2bl w:val="nil"/>
                  </w:tcBorders>
                  <w:vAlign w:val="center"/>
                </w:tcPr>
                <w:p w14:paraId="6F2F0B8F">
                  <w:pPr>
                    <w:pStyle w:val="57"/>
                    <w:spacing w:before="0" w:line="240" w:lineRule="auto"/>
                    <w:jc w:val="both"/>
                    <w:outlineLvl w:val="9"/>
                    <w:rPr>
                      <w:b w:val="0"/>
                      <w:bCs/>
                      <w:sz w:val="18"/>
                      <w:szCs w:val="18"/>
                    </w:rPr>
                  </w:pPr>
                  <w:r>
                    <w:rPr>
                      <w:rFonts w:hint="eastAsia"/>
                      <w:b w:val="0"/>
                      <w:bCs/>
                      <w:sz w:val="18"/>
                      <w:szCs w:val="18"/>
                    </w:rPr>
                    <w:t>符合。本项目生产球囊导管和封堵止血器等医疗器械，符合产业导向。</w:t>
                  </w:r>
                </w:p>
              </w:tc>
            </w:tr>
            <w:tr w14:paraId="33F6C6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58864C43">
                  <w:pPr>
                    <w:pStyle w:val="57"/>
                    <w:spacing w:before="0" w:line="240" w:lineRule="auto"/>
                    <w:rPr>
                      <w:b w:val="0"/>
                      <w:bCs/>
                      <w:sz w:val="18"/>
                      <w:szCs w:val="18"/>
                    </w:rPr>
                  </w:pPr>
                </w:p>
              </w:tc>
              <w:tc>
                <w:tcPr>
                  <w:tcW w:w="305" w:type="pct"/>
                  <w:vMerge w:val="restart"/>
                  <w:tcBorders>
                    <w:tl2br w:val="nil"/>
                    <w:tr2bl w:val="nil"/>
                  </w:tcBorders>
                  <w:vAlign w:val="center"/>
                </w:tcPr>
                <w:p w14:paraId="4D16DDF5">
                  <w:pPr>
                    <w:pStyle w:val="57"/>
                    <w:spacing w:before="0" w:line="240" w:lineRule="auto"/>
                    <w:rPr>
                      <w:b w:val="0"/>
                      <w:bCs/>
                      <w:sz w:val="18"/>
                      <w:szCs w:val="18"/>
                    </w:rPr>
                  </w:pPr>
                  <w:r>
                    <w:rPr>
                      <w:rFonts w:hint="eastAsia"/>
                      <w:b w:val="0"/>
                      <w:bCs/>
                      <w:sz w:val="18"/>
                      <w:szCs w:val="18"/>
                    </w:rPr>
                    <w:t>空间布局</w:t>
                  </w:r>
                </w:p>
              </w:tc>
              <w:tc>
                <w:tcPr>
                  <w:tcW w:w="1531" w:type="pct"/>
                  <w:tcBorders>
                    <w:tl2br w:val="nil"/>
                    <w:tr2bl w:val="nil"/>
                  </w:tcBorders>
                  <w:vAlign w:val="center"/>
                </w:tcPr>
                <w:p w14:paraId="50E4AD8D">
                  <w:pPr>
                    <w:pStyle w:val="57"/>
                    <w:spacing w:before="0" w:line="240" w:lineRule="auto"/>
                    <w:jc w:val="both"/>
                    <w:rPr>
                      <w:b w:val="0"/>
                      <w:bCs/>
                      <w:sz w:val="18"/>
                      <w:szCs w:val="18"/>
                    </w:rPr>
                  </w:pPr>
                  <w:r>
                    <w:rPr>
                      <w:rFonts w:hint="eastAsia"/>
                      <w:b w:val="0"/>
                      <w:bCs/>
                      <w:sz w:val="18"/>
                      <w:szCs w:val="18"/>
                    </w:rPr>
                    <w:t>由于早期城市规模的迅速扩张等历史原因，高新区内存在局部地块开发时序不当等情况，从而导致规划区域内存在部分居民点与工业企业紧邻或距离较近的情况，也是近年来涉气、噪声信访等投诉较为突出的区域。典型区块包括：位于余杭义桥工业园内的义桥村，位于瓶窑产业园内的凤都村，以及位于闲林工业园内的联荣村等。</w:t>
                  </w:r>
                </w:p>
              </w:tc>
              <w:tc>
                <w:tcPr>
                  <w:tcW w:w="1942" w:type="pct"/>
                  <w:tcBorders>
                    <w:tl2br w:val="nil"/>
                    <w:tr2bl w:val="nil"/>
                  </w:tcBorders>
                  <w:vAlign w:val="center"/>
                </w:tcPr>
                <w:p w14:paraId="751DBC11">
                  <w:pPr>
                    <w:pStyle w:val="57"/>
                    <w:spacing w:before="0" w:line="240" w:lineRule="auto"/>
                    <w:jc w:val="both"/>
                    <w:rPr>
                      <w:b w:val="0"/>
                      <w:bCs/>
                      <w:sz w:val="18"/>
                      <w:szCs w:val="18"/>
                    </w:rPr>
                  </w:pPr>
                  <w:r>
                    <w:rPr>
                      <w:rFonts w:hint="eastAsia"/>
                      <w:b w:val="0"/>
                      <w:bCs/>
                      <w:sz w:val="18"/>
                      <w:szCs w:val="18"/>
                    </w:rPr>
                    <w:t>本轮规划总体上已结合上位国土空间总体规划及相关单元详规用地布局要求，将与工业企业紧邻或距离较近的零散居住用地调整为工业用地，规划实施过程中，应加快推进分散居民拆迁安置，从根本上解决工居混杂带来的厂群矛盾问题。在居民待拆迁过渡期内，应加大区域环境监管力度，确保企业废气、噪声稳定达标排放。</w:t>
                  </w:r>
                </w:p>
              </w:tc>
              <w:tc>
                <w:tcPr>
                  <w:tcW w:w="891" w:type="pct"/>
                  <w:tcBorders>
                    <w:tl2br w:val="nil"/>
                    <w:tr2bl w:val="nil"/>
                  </w:tcBorders>
                  <w:vAlign w:val="center"/>
                </w:tcPr>
                <w:p w14:paraId="5B821A0C">
                  <w:pPr>
                    <w:pStyle w:val="57"/>
                    <w:spacing w:before="0" w:line="240" w:lineRule="auto"/>
                    <w:jc w:val="both"/>
                    <w:rPr>
                      <w:b w:val="0"/>
                      <w:bCs/>
                      <w:sz w:val="18"/>
                      <w:szCs w:val="18"/>
                    </w:rPr>
                  </w:pPr>
                  <w:r>
                    <w:rPr>
                      <w:rFonts w:hint="eastAsia"/>
                      <w:b w:val="0"/>
                      <w:bCs/>
                      <w:sz w:val="18"/>
                      <w:szCs w:val="18"/>
                    </w:rPr>
                    <w:t>符合，本项目位于南湖未来科技园内，废气、噪声排放量较小，与附近的中桥村有道路和防护绿地相隔。</w:t>
                  </w:r>
                </w:p>
              </w:tc>
            </w:tr>
            <w:tr w14:paraId="2D351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2A27741D">
                  <w:pPr>
                    <w:pStyle w:val="57"/>
                    <w:spacing w:before="0" w:line="240" w:lineRule="auto"/>
                    <w:rPr>
                      <w:b w:val="0"/>
                      <w:bCs/>
                      <w:sz w:val="18"/>
                      <w:szCs w:val="18"/>
                    </w:rPr>
                  </w:pPr>
                </w:p>
              </w:tc>
              <w:tc>
                <w:tcPr>
                  <w:tcW w:w="305" w:type="pct"/>
                  <w:vMerge w:val="continue"/>
                  <w:tcBorders>
                    <w:tl2br w:val="nil"/>
                    <w:tr2bl w:val="nil"/>
                  </w:tcBorders>
                  <w:vAlign w:val="center"/>
                </w:tcPr>
                <w:p w14:paraId="6EA6A4E1">
                  <w:pPr>
                    <w:pStyle w:val="57"/>
                    <w:spacing w:before="0" w:line="240" w:lineRule="auto"/>
                    <w:rPr>
                      <w:b w:val="0"/>
                      <w:bCs/>
                      <w:sz w:val="18"/>
                      <w:szCs w:val="18"/>
                    </w:rPr>
                  </w:pPr>
                </w:p>
              </w:tc>
              <w:tc>
                <w:tcPr>
                  <w:tcW w:w="1531" w:type="pct"/>
                  <w:tcBorders>
                    <w:tl2br w:val="nil"/>
                    <w:tr2bl w:val="nil"/>
                  </w:tcBorders>
                  <w:vAlign w:val="center"/>
                </w:tcPr>
                <w:p w14:paraId="034B1727">
                  <w:pPr>
                    <w:rPr>
                      <w:bCs/>
                      <w:sz w:val="18"/>
                      <w:szCs w:val="18"/>
                    </w:rPr>
                  </w:pPr>
                  <w:r>
                    <w:rPr>
                      <w:rFonts w:hint="eastAsia"/>
                      <w:bCs/>
                      <w:sz w:val="18"/>
                      <w:szCs w:val="18"/>
                    </w:rPr>
                    <w:t>瓶窑产业园与良渚遗址重点保护区(ZBH-CZ)和一般保护区(YHB-CN1)重叠区域均为已建成区，其中重点保护区现状用地类型为工业用地和城镇住宅用地，现状工业企业有杭州泛利实业有限公司、浙江川崎茶业机械有限公司、浙江致腾电气成套设备有限公司等；一般保护区现状用地类型为工业用地，现状工业企业有杭州飞华环保器材厂、杭州利富豪科技有限公司、杭州余杭振华日化玻璃有限公司、杭州宝航机械有限公司、杭州博大生物技术有限公司、杭州力程建筑五金有限公司、杭州欧贝尔塑业有限公司、杭州浦悦金属夹芯板工厂、杭州飞华环保器材厂等。本次规划在用地布局上衔接已经依法批准的《杭州市余杭区瓶窑新城单元详细规划》，其中重点保护区、一般保护区规划用地性质均为工业用地，且建设用地规模保持现状不变，不符合《良渚遗址和鲤鱼山-老虎岭水坝遗址保护总体规划(2021-2035)》中提出的重点保护区和一般保护区内的遗址安全范围内“应减少建设用地规模，应逐步削减与遗址保护管理研究、遗址展示服务无关的建设用地”、“本区内的居民和企业，以及与遗址保护管理研究、遗址展示服务无关的建、构筑物应分期、分批外迁和拆除”，以及一般保护区(除遗址安全范围外)内“应消减工矿用地、仓储用地”的管理规定，规划实施存在较大制约。</w:t>
                  </w:r>
                </w:p>
              </w:tc>
              <w:tc>
                <w:tcPr>
                  <w:tcW w:w="1942" w:type="pct"/>
                  <w:tcBorders>
                    <w:tl2br w:val="nil"/>
                    <w:tr2bl w:val="nil"/>
                  </w:tcBorders>
                  <w:vAlign w:val="center"/>
                </w:tcPr>
                <w:p w14:paraId="2BECD52B">
                  <w:pPr>
                    <w:rPr>
                      <w:bCs/>
                      <w:sz w:val="18"/>
                      <w:szCs w:val="18"/>
                    </w:rPr>
                  </w:pPr>
                  <w:r>
                    <w:rPr>
                      <w:rFonts w:hint="eastAsia"/>
                      <w:bCs/>
                      <w:sz w:val="18"/>
                      <w:szCs w:val="18"/>
                    </w:rPr>
                    <w:t>为加强与良渚遗址保护总体规划的衔接，建议本次高新区规划综合考虑文物安全、环境协调、功能协同等因素，对瓶窑产业园与良渚遗址重点保护区、一般保护区重叠区域的用地布局进行调整，合理确定土地用途。其中，对重点保护区和一般保护区内的遗址安全范围内的现状企业和居民，应分期、分批外迁和拆除，腾退用地应调整为与遗址保护管理研究、遗址展示服务相关的用地类型，有条件的应逐步征收为国有并变更为“文物古迹用地”；对除遗产安全范围外的一般保护区，应逐步消减现状工业用地，腾退用地应调整为与遗址保护展示、良渚遗址文化产业导向、民生服务需求相符的用地类型，同时该区内的建设项目应满足总体拆建比不大于0.8的管控要求。此外，瓶窑产业园位于良渚遗址保护范围(包括重点保护区和一般保护区)内的现有企业和居民在腾退前，仅可保留现状，不得进行改建或扩建。</w:t>
                  </w:r>
                </w:p>
              </w:tc>
              <w:tc>
                <w:tcPr>
                  <w:tcW w:w="891" w:type="pct"/>
                  <w:tcBorders>
                    <w:tl2br w:val="nil"/>
                    <w:tr2bl w:val="nil"/>
                  </w:tcBorders>
                  <w:vAlign w:val="center"/>
                </w:tcPr>
                <w:p w14:paraId="11D2C770">
                  <w:pPr>
                    <w:rPr>
                      <w:bCs/>
                      <w:sz w:val="18"/>
                      <w:szCs w:val="18"/>
                    </w:rPr>
                  </w:pPr>
                  <w:r>
                    <w:rPr>
                      <w:rFonts w:hint="eastAsia"/>
                      <w:bCs/>
                      <w:sz w:val="18"/>
                      <w:szCs w:val="18"/>
                    </w:rPr>
                    <w:t>本项目不涉及。</w:t>
                  </w:r>
                </w:p>
              </w:tc>
            </w:tr>
            <w:tr w14:paraId="0E40D6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restart"/>
                  <w:tcBorders>
                    <w:tl2br w:val="nil"/>
                    <w:tr2bl w:val="nil"/>
                  </w:tcBorders>
                  <w:vAlign w:val="center"/>
                </w:tcPr>
                <w:p w14:paraId="055CE5DD">
                  <w:pPr>
                    <w:pStyle w:val="57"/>
                    <w:spacing w:before="0" w:line="240" w:lineRule="auto"/>
                    <w:rPr>
                      <w:b w:val="0"/>
                      <w:bCs/>
                      <w:sz w:val="18"/>
                      <w:szCs w:val="18"/>
                    </w:rPr>
                  </w:pPr>
                  <w:r>
                    <w:rPr>
                      <w:rFonts w:hint="eastAsia"/>
                      <w:b w:val="0"/>
                      <w:bCs/>
                      <w:sz w:val="18"/>
                      <w:szCs w:val="18"/>
                    </w:rPr>
                    <w:t>污染防治与环境保护</w:t>
                  </w:r>
                </w:p>
              </w:tc>
              <w:tc>
                <w:tcPr>
                  <w:tcW w:w="305" w:type="pct"/>
                  <w:tcBorders>
                    <w:tl2br w:val="nil"/>
                    <w:tr2bl w:val="nil"/>
                  </w:tcBorders>
                  <w:vAlign w:val="center"/>
                </w:tcPr>
                <w:p w14:paraId="2606B5CD">
                  <w:pPr>
                    <w:pStyle w:val="57"/>
                    <w:spacing w:before="0" w:line="240" w:lineRule="auto"/>
                    <w:rPr>
                      <w:b w:val="0"/>
                      <w:bCs/>
                      <w:sz w:val="18"/>
                      <w:szCs w:val="18"/>
                    </w:rPr>
                  </w:pPr>
                  <w:r>
                    <w:rPr>
                      <w:rFonts w:hint="eastAsia"/>
                      <w:b w:val="0"/>
                      <w:bCs/>
                      <w:sz w:val="18"/>
                      <w:szCs w:val="18"/>
                    </w:rPr>
                    <w:t>企业污染防治</w:t>
                  </w:r>
                </w:p>
              </w:tc>
              <w:tc>
                <w:tcPr>
                  <w:tcW w:w="1531" w:type="pct"/>
                  <w:tcBorders>
                    <w:tl2br w:val="nil"/>
                    <w:tr2bl w:val="nil"/>
                  </w:tcBorders>
                  <w:vAlign w:val="center"/>
                </w:tcPr>
                <w:p w14:paraId="4EF2F2FA">
                  <w:pPr>
                    <w:pStyle w:val="57"/>
                    <w:spacing w:before="0" w:line="240" w:lineRule="auto"/>
                    <w:jc w:val="both"/>
                    <w:outlineLvl w:val="9"/>
                    <w:rPr>
                      <w:b w:val="0"/>
                      <w:bCs/>
                      <w:sz w:val="18"/>
                      <w:szCs w:val="18"/>
                    </w:rPr>
                  </w:pPr>
                  <w:r>
                    <w:rPr>
                      <w:rFonts w:hint="eastAsia"/>
                      <w:b w:val="0"/>
                      <w:bCs/>
                      <w:sz w:val="18"/>
                      <w:szCs w:val="18"/>
                    </w:rPr>
                    <w:t>根据近三年来环境信访投诉调查统计，近年来随着生态环境部门不断加强环境执法监管力度，高新区内环境信访投诉量有效降低，但局部区域仍有工业企业废气异味扰民、噪音扰民等现象存在。被投诉企业多数与周边居民区距离较近，且以实行登记管理的小规模排污单位为主。主要投诉原因与部分小企业源头控制力度不够、废气收集效率偏低、日常管理不到位等问题有关。</w:t>
                  </w:r>
                </w:p>
              </w:tc>
              <w:tc>
                <w:tcPr>
                  <w:tcW w:w="1942" w:type="pct"/>
                  <w:tcBorders>
                    <w:tl2br w:val="nil"/>
                    <w:tr2bl w:val="nil"/>
                  </w:tcBorders>
                  <w:vAlign w:val="center"/>
                </w:tcPr>
                <w:p w14:paraId="6A611984">
                  <w:pPr>
                    <w:pStyle w:val="57"/>
                    <w:spacing w:before="0" w:line="240" w:lineRule="auto"/>
                    <w:jc w:val="both"/>
                    <w:rPr>
                      <w:b w:val="0"/>
                      <w:bCs/>
                      <w:sz w:val="18"/>
                      <w:szCs w:val="18"/>
                    </w:rPr>
                  </w:pPr>
                  <w:r>
                    <w:rPr>
                      <w:rFonts w:hint="eastAsia"/>
                      <w:b w:val="0"/>
                      <w:bCs/>
                      <w:sz w:val="18"/>
                      <w:szCs w:val="18"/>
                    </w:rPr>
                    <w:t>高新区应充分利用环保管家管理模式，在建立“一企一档”，制定适合企业的解决方案的基础上，深入推进入园企业环保整治，从VOCs和粉尘等废气减排入手，从污染源头进行控制；改善生产操作条件，提高废气收集效率，降低废气无组织逸散限制污染物产生，对照VOCs等行业整治的要求，落实整改，提高废气处理效率，减少对周边居民影响。同时，当地生态环境部门应加大对废气排放较大企业的检查和监测频次，加大处罚力度，对监测结果超标企业从严查处，减少事故性排放及环境风险。</w:t>
                  </w:r>
                </w:p>
              </w:tc>
              <w:tc>
                <w:tcPr>
                  <w:tcW w:w="891" w:type="pct"/>
                  <w:tcBorders>
                    <w:tl2br w:val="nil"/>
                    <w:tr2bl w:val="nil"/>
                  </w:tcBorders>
                  <w:vAlign w:val="center"/>
                </w:tcPr>
                <w:p w14:paraId="1FD3469A">
                  <w:pPr>
                    <w:pStyle w:val="57"/>
                    <w:spacing w:before="0" w:line="240" w:lineRule="auto"/>
                    <w:jc w:val="both"/>
                    <w:rPr>
                      <w:b w:val="0"/>
                      <w:bCs/>
                      <w:sz w:val="18"/>
                      <w:szCs w:val="18"/>
                    </w:rPr>
                  </w:pPr>
                  <w:r>
                    <w:rPr>
                      <w:rFonts w:hint="eastAsia"/>
                      <w:b w:val="0"/>
                      <w:bCs/>
                      <w:sz w:val="18"/>
                      <w:szCs w:val="18"/>
                    </w:rPr>
                    <w:t>本项目的VOCs废气</w:t>
                  </w:r>
                  <w:r>
                    <w:rPr>
                      <w:rFonts w:hint="eastAsia"/>
                      <w:b w:val="0"/>
                      <w:bCs/>
                      <w:sz w:val="18"/>
                      <w:szCs w:val="18"/>
                      <w:lang w:val="en-US" w:eastAsia="zh-CN"/>
                    </w:rPr>
                    <w:t>产量小</w:t>
                  </w:r>
                  <w:r>
                    <w:rPr>
                      <w:rFonts w:hint="eastAsia"/>
                      <w:b w:val="0"/>
                      <w:bCs/>
                      <w:sz w:val="18"/>
                      <w:szCs w:val="18"/>
                    </w:rPr>
                    <w:t>，</w:t>
                  </w:r>
                  <w:r>
                    <w:rPr>
                      <w:rFonts w:hint="eastAsia"/>
                      <w:b w:val="0"/>
                      <w:bCs/>
                      <w:sz w:val="18"/>
                      <w:szCs w:val="18"/>
                      <w:lang w:val="en-US" w:eastAsia="zh-CN"/>
                    </w:rPr>
                    <w:t>采取有效收集处理措施，</w:t>
                  </w:r>
                  <w:r>
                    <w:rPr>
                      <w:rFonts w:hint="eastAsia"/>
                      <w:b w:val="0"/>
                      <w:bCs/>
                      <w:sz w:val="18"/>
                      <w:szCs w:val="18"/>
                    </w:rPr>
                    <w:t>并</w:t>
                  </w:r>
                  <w:r>
                    <w:rPr>
                      <w:rFonts w:hint="eastAsia"/>
                      <w:b w:val="0"/>
                      <w:bCs/>
                      <w:sz w:val="18"/>
                      <w:szCs w:val="18"/>
                      <w:lang w:val="en-US" w:eastAsia="zh-CN"/>
                    </w:rPr>
                    <w:t>按相关要求由</w:t>
                  </w:r>
                  <w:r>
                    <w:rPr>
                      <w:rFonts w:hint="eastAsia"/>
                      <w:b w:val="0"/>
                      <w:bCs/>
                      <w:sz w:val="18"/>
                      <w:szCs w:val="18"/>
                    </w:rPr>
                    <w:t>企业自行定期监测。</w:t>
                  </w:r>
                </w:p>
              </w:tc>
            </w:tr>
            <w:tr w14:paraId="23628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551E3082">
                  <w:pPr>
                    <w:pStyle w:val="57"/>
                    <w:spacing w:before="0" w:line="240" w:lineRule="auto"/>
                    <w:rPr>
                      <w:b w:val="0"/>
                      <w:bCs/>
                      <w:sz w:val="18"/>
                      <w:szCs w:val="18"/>
                    </w:rPr>
                  </w:pPr>
                </w:p>
              </w:tc>
              <w:tc>
                <w:tcPr>
                  <w:tcW w:w="305" w:type="pct"/>
                  <w:vMerge w:val="restart"/>
                  <w:tcBorders>
                    <w:tl2br w:val="nil"/>
                    <w:tr2bl w:val="nil"/>
                  </w:tcBorders>
                  <w:vAlign w:val="center"/>
                </w:tcPr>
                <w:p w14:paraId="2DCE1516">
                  <w:pPr>
                    <w:pStyle w:val="57"/>
                    <w:spacing w:before="0" w:line="240" w:lineRule="auto"/>
                    <w:rPr>
                      <w:b w:val="0"/>
                      <w:bCs/>
                      <w:sz w:val="18"/>
                      <w:szCs w:val="18"/>
                    </w:rPr>
                  </w:pPr>
                  <w:r>
                    <w:rPr>
                      <w:rFonts w:hint="eastAsia"/>
                      <w:b w:val="0"/>
                      <w:bCs/>
                      <w:sz w:val="18"/>
                      <w:szCs w:val="18"/>
                    </w:rPr>
                    <w:t>环境质量</w:t>
                  </w:r>
                </w:p>
              </w:tc>
              <w:tc>
                <w:tcPr>
                  <w:tcW w:w="1531" w:type="pct"/>
                  <w:tcBorders>
                    <w:tl2br w:val="nil"/>
                    <w:tr2bl w:val="nil"/>
                  </w:tcBorders>
                  <w:vAlign w:val="center"/>
                </w:tcPr>
                <w:p w14:paraId="058CA468">
                  <w:pPr>
                    <w:pStyle w:val="57"/>
                    <w:spacing w:before="0" w:line="240" w:lineRule="auto"/>
                    <w:jc w:val="both"/>
                    <w:rPr>
                      <w:b w:val="0"/>
                      <w:bCs/>
                      <w:sz w:val="18"/>
                      <w:szCs w:val="18"/>
                    </w:rPr>
                  </w:pPr>
                  <w:r>
                    <w:rPr>
                      <w:rFonts w:hint="eastAsia"/>
                      <w:b w:val="0"/>
                      <w:bCs/>
                      <w:sz w:val="18"/>
                      <w:szCs w:val="18"/>
                    </w:rPr>
                    <w:t>环境空气：根据《2024年杭州市余杭区生态环境状况公报》，规划所在区域大气环境中臭氧(O</w:t>
                  </w:r>
                  <w:r>
                    <w:rPr>
                      <w:b w:val="0"/>
                      <w:bCs/>
                      <w:sz w:val="18"/>
                      <w:szCs w:val="18"/>
                      <w:vertAlign w:val="subscript"/>
                    </w:rPr>
                    <w:t>3</w:t>
                  </w:r>
                  <w:r>
                    <w:rPr>
                      <w:rFonts w:hint="eastAsia"/>
                      <w:b w:val="0"/>
                      <w:bCs/>
                      <w:sz w:val="18"/>
                      <w:szCs w:val="18"/>
                    </w:rPr>
                    <w:t>)浓度较2023年有所上升，未达到国家二级标准，属于不达标区。</w:t>
                  </w:r>
                  <w:r>
                    <w:rPr>
                      <w:rFonts w:hint="eastAsia"/>
                      <w:b w:val="0"/>
                      <w:bCs/>
                      <w:sz w:val="18"/>
                      <w:szCs w:val="18"/>
                      <w:lang w:val="en-US" w:eastAsia="zh-CN"/>
                    </w:rPr>
                    <w:t>2025年，余杭区各因子能达到国家标准过渡阶段二级标准限值。</w:t>
                  </w:r>
                  <w:r>
                    <w:rPr>
                      <w:rFonts w:hint="eastAsia"/>
                      <w:b w:val="0"/>
                      <w:bCs/>
                      <w:sz w:val="18"/>
                      <w:szCs w:val="18"/>
                    </w:rPr>
                    <w:t>区域空气质量巩固改善基础尚不稳固，特别是臭氧污染问题凸显，主要与区域发展过程中臭氧污染前体物挥发性有机物(VOCs)和氮氧化物(NOx)排放量过大有关，具有大气复合污染特征，也是目前全省治气的首要问题。</w:t>
                  </w:r>
                </w:p>
              </w:tc>
              <w:tc>
                <w:tcPr>
                  <w:tcW w:w="1942" w:type="pct"/>
                  <w:tcBorders>
                    <w:tl2br w:val="nil"/>
                    <w:tr2bl w:val="nil"/>
                  </w:tcBorders>
                  <w:vAlign w:val="center"/>
                </w:tcPr>
                <w:p w14:paraId="62DF2D95">
                  <w:pPr>
                    <w:pStyle w:val="57"/>
                    <w:spacing w:before="0" w:line="240" w:lineRule="auto"/>
                    <w:jc w:val="both"/>
                    <w:rPr>
                      <w:b w:val="0"/>
                      <w:bCs/>
                      <w:sz w:val="18"/>
                      <w:szCs w:val="18"/>
                    </w:rPr>
                  </w:pPr>
                  <w:r>
                    <w:rPr>
                      <w:rFonts w:hint="eastAsia"/>
                      <w:b w:val="0"/>
                      <w:bCs/>
                      <w:sz w:val="18"/>
                      <w:szCs w:val="18"/>
                    </w:rPr>
                    <w:t>(1)杭州市、余杭区层面，贯彻落实《关于深入践行绿水青山就是金山银山理念 加快建设更高水平生态省的实施意见》、《浙江省空气质量持续改善行动计划》及《杭州市空气质量持续改善行动计划》等文件要求，“十五五”时期重点调整优化能源结构、产业结构和交通结构，落实减污降碳协同增效总要求，持续开展清新空气行动以及臭氧污染防治行动。</w:t>
                  </w:r>
                </w:p>
                <w:p w14:paraId="68D0F555">
                  <w:pPr>
                    <w:pStyle w:val="57"/>
                    <w:spacing w:before="0" w:line="240" w:lineRule="auto"/>
                    <w:jc w:val="both"/>
                    <w:rPr>
                      <w:b w:val="0"/>
                      <w:bCs/>
                      <w:sz w:val="18"/>
                      <w:szCs w:val="18"/>
                    </w:rPr>
                  </w:pPr>
                  <w:r>
                    <w:rPr>
                      <w:rFonts w:hint="eastAsia"/>
                      <w:b w:val="0"/>
                      <w:bCs/>
                      <w:sz w:val="18"/>
                      <w:szCs w:val="18"/>
                    </w:rPr>
                    <w:t>(2)高新区层面，考虑规划区域主要为轻污染产业，主要能源来自天然气和电力。建议一是重点推进交通领域协同减排，聚焦建筑工地、物流配送、工矿企业等重点领域推动清洁运输，拓展新能源货车使用场景，完善充换电服务网络，优化新能源货车充换电站布点规划，推动国四及以下柴油货车淘汰。二是抓好施工场地扬尘、城市餐饮油烟治理。提标落实施工工地扬尘“八个百分百”要求，加大工地出入口保洁力度，严禁车辆带泥上路，推动电动化施工机械等规模化应用，城市施工扬尘污染防控评价一类项目占比达70%。提升高效油烟净化设备安装率、油烟在线监测设备安装率，在住宅集中区域推广实施餐饮油烟二次净化治理。</w:t>
                  </w:r>
                </w:p>
              </w:tc>
              <w:tc>
                <w:tcPr>
                  <w:tcW w:w="891" w:type="pct"/>
                  <w:tcBorders>
                    <w:tl2br w:val="nil"/>
                    <w:tr2bl w:val="nil"/>
                  </w:tcBorders>
                  <w:vAlign w:val="center"/>
                </w:tcPr>
                <w:p w14:paraId="22BB7CCD">
                  <w:pPr>
                    <w:pStyle w:val="57"/>
                    <w:spacing w:before="0" w:line="240" w:lineRule="auto"/>
                    <w:jc w:val="both"/>
                    <w:rPr>
                      <w:b w:val="0"/>
                      <w:bCs/>
                      <w:sz w:val="18"/>
                      <w:szCs w:val="18"/>
                    </w:rPr>
                  </w:pPr>
                  <w:r>
                    <w:rPr>
                      <w:rFonts w:hint="eastAsia"/>
                      <w:b w:val="0"/>
                      <w:bCs/>
                      <w:sz w:val="18"/>
                      <w:szCs w:val="18"/>
                    </w:rPr>
                    <w:t>本项目不涉及。</w:t>
                  </w:r>
                </w:p>
              </w:tc>
            </w:tr>
            <w:tr w14:paraId="165CC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20C64FB6">
                  <w:pPr>
                    <w:pStyle w:val="57"/>
                    <w:spacing w:before="0" w:line="240" w:lineRule="auto"/>
                    <w:rPr>
                      <w:b w:val="0"/>
                      <w:bCs/>
                      <w:sz w:val="18"/>
                      <w:szCs w:val="18"/>
                    </w:rPr>
                  </w:pPr>
                </w:p>
              </w:tc>
              <w:tc>
                <w:tcPr>
                  <w:tcW w:w="305" w:type="pct"/>
                  <w:vMerge w:val="continue"/>
                  <w:tcBorders>
                    <w:tl2br w:val="nil"/>
                    <w:tr2bl w:val="nil"/>
                  </w:tcBorders>
                  <w:vAlign w:val="center"/>
                </w:tcPr>
                <w:p w14:paraId="2873AC2B">
                  <w:pPr>
                    <w:pStyle w:val="57"/>
                    <w:spacing w:before="0" w:line="240" w:lineRule="auto"/>
                    <w:rPr>
                      <w:b w:val="0"/>
                      <w:bCs/>
                      <w:sz w:val="18"/>
                      <w:szCs w:val="18"/>
                    </w:rPr>
                  </w:pPr>
                </w:p>
              </w:tc>
              <w:tc>
                <w:tcPr>
                  <w:tcW w:w="1531" w:type="pct"/>
                  <w:tcBorders>
                    <w:tl2br w:val="nil"/>
                    <w:tr2bl w:val="nil"/>
                  </w:tcBorders>
                  <w:vAlign w:val="center"/>
                </w:tcPr>
                <w:p w14:paraId="77459684">
                  <w:pPr>
                    <w:pStyle w:val="57"/>
                    <w:spacing w:before="0" w:line="240" w:lineRule="auto"/>
                    <w:jc w:val="both"/>
                    <w:rPr>
                      <w:b w:val="0"/>
                      <w:bCs/>
                      <w:sz w:val="18"/>
                      <w:szCs w:val="18"/>
                    </w:rPr>
                  </w:pPr>
                  <w:r>
                    <w:rPr>
                      <w:rFonts w:hint="eastAsia"/>
                      <w:b w:val="0"/>
                      <w:bCs/>
                      <w:sz w:val="18"/>
                      <w:szCs w:val="18"/>
                    </w:rPr>
                    <w:t>地表水环境：近年来，规划所在区域地表水环境质量状况虽呈现出逐年好转趋势，但目前仍有部分河段水质未能稳定达标，特别是区域纳污水体余杭塘河、良渚港等水质容易波动，主要超标因子为氨氮、溶解氧等。超标原因主要与局部地区由于历史原因导致城镇污水管网破损、雨污分流不彻底，沿线部分农村生活污水处理设施存在建设标准低、处理模式选择不合理、预处理不到位、达标排放率低等问题，以及受到农业面源的污染和河道水体自净能力弱等因素有关。</w:t>
                  </w:r>
                </w:p>
              </w:tc>
              <w:tc>
                <w:tcPr>
                  <w:tcW w:w="1942" w:type="pct"/>
                  <w:tcBorders>
                    <w:tl2br w:val="nil"/>
                    <w:tr2bl w:val="nil"/>
                  </w:tcBorders>
                  <w:vAlign w:val="center"/>
                </w:tcPr>
                <w:p w14:paraId="431E0B4F">
                  <w:pPr>
                    <w:pStyle w:val="57"/>
                    <w:spacing w:before="0" w:line="240" w:lineRule="auto"/>
                    <w:jc w:val="both"/>
                    <w:outlineLvl w:val="9"/>
                    <w:rPr>
                      <w:b w:val="0"/>
                      <w:bCs/>
                      <w:sz w:val="18"/>
                      <w:szCs w:val="18"/>
                    </w:rPr>
                  </w:pPr>
                  <w:r>
                    <w:rPr>
                      <w:rFonts w:hint="eastAsia"/>
                      <w:b w:val="0"/>
                      <w:bCs/>
                      <w:sz w:val="18"/>
                      <w:szCs w:val="18"/>
                    </w:rPr>
                    <w:t>①余杭区应持续深入推进“五水共治”、“污水零直排区”建设及工业园区“水污染整治专项行动”等各项工作，进一步加强城镇污水收集管网建设、老旧管网修复及雨污分流改造，全面提升污水收集能力。</w:t>
                  </w:r>
                </w:p>
                <w:p w14:paraId="06DABB28">
                  <w:pPr>
                    <w:pStyle w:val="57"/>
                    <w:spacing w:before="0" w:line="240" w:lineRule="auto"/>
                    <w:jc w:val="both"/>
                    <w:outlineLvl w:val="9"/>
                    <w:rPr>
                      <w:b w:val="0"/>
                      <w:bCs/>
                      <w:sz w:val="18"/>
                      <w:szCs w:val="18"/>
                    </w:rPr>
                  </w:pPr>
                  <w:r>
                    <w:rPr>
                      <w:rFonts w:hint="eastAsia"/>
                      <w:b w:val="0"/>
                      <w:bCs/>
                      <w:sz w:val="18"/>
                      <w:szCs w:val="18"/>
                    </w:rPr>
                    <w:t>②加大高新区内及周边农村生活污水处理设施建设和改造力度，统筹推进城镇污水管网向农村延伸和村庄内雨污分流改造，确保于2027年底前完成瓶窑镇崇化村城乡一体化污水纳厂行政村改造。</w:t>
                  </w:r>
                </w:p>
                <w:p w14:paraId="2BC97330">
                  <w:pPr>
                    <w:pStyle w:val="57"/>
                    <w:spacing w:before="0" w:line="240" w:lineRule="auto"/>
                    <w:jc w:val="both"/>
                    <w:outlineLvl w:val="9"/>
                    <w:rPr>
                      <w:b w:val="0"/>
                      <w:bCs/>
                      <w:sz w:val="18"/>
                      <w:szCs w:val="18"/>
                    </w:rPr>
                  </w:pPr>
                  <w:r>
                    <w:rPr>
                      <w:rFonts w:hint="eastAsia"/>
                      <w:b w:val="0"/>
                      <w:bCs/>
                      <w:sz w:val="18"/>
                      <w:szCs w:val="18"/>
                    </w:rPr>
                    <w:t>③加快推进良渚古城遗址公园周边水环境提升项目实施，对瓶窑镇域内下金村港等8条河道进行清淤，并同步实施截污纳管、流域配水、生态修复等工程，计划到2026年底完成全部河道清淤，使水质基本达到Ⅳ类水标准，到2028年底实现水质全面优于Ⅳ类标准。</w:t>
                  </w:r>
                </w:p>
                <w:p w14:paraId="3DC66A90">
                  <w:pPr>
                    <w:pStyle w:val="57"/>
                    <w:spacing w:before="0" w:line="240" w:lineRule="auto"/>
                    <w:jc w:val="both"/>
                    <w:outlineLvl w:val="9"/>
                    <w:rPr>
                      <w:b w:val="0"/>
                      <w:bCs/>
                      <w:sz w:val="18"/>
                      <w:szCs w:val="18"/>
                    </w:rPr>
                  </w:pPr>
                  <w:r>
                    <w:rPr>
                      <w:rFonts w:hint="eastAsia"/>
                      <w:b w:val="0"/>
                      <w:bCs/>
                      <w:sz w:val="18"/>
                      <w:szCs w:val="18"/>
                    </w:rPr>
                    <w:t>④余杭污水处理厂应适时启动一二三期改扩建项目，拆除现状一二三期污水厂后原址进行提升改造。项目启动后，建议结合污水厂环评及入河排污口设置论证工作开展情况，合理选择纳污水体，并进一步提升尾水排放标准，确保实现区域水环境质量改善目标。</w:t>
                  </w:r>
                </w:p>
              </w:tc>
              <w:tc>
                <w:tcPr>
                  <w:tcW w:w="891" w:type="pct"/>
                  <w:tcBorders>
                    <w:tl2br w:val="nil"/>
                    <w:tr2bl w:val="nil"/>
                  </w:tcBorders>
                  <w:vAlign w:val="center"/>
                </w:tcPr>
                <w:p w14:paraId="1DA17917">
                  <w:pPr>
                    <w:pStyle w:val="57"/>
                    <w:spacing w:before="0" w:line="240" w:lineRule="auto"/>
                    <w:jc w:val="both"/>
                    <w:outlineLvl w:val="9"/>
                    <w:rPr>
                      <w:b w:val="0"/>
                      <w:bCs/>
                      <w:sz w:val="18"/>
                      <w:szCs w:val="18"/>
                    </w:rPr>
                  </w:pPr>
                  <w:r>
                    <w:rPr>
                      <w:rFonts w:hint="eastAsia"/>
                      <w:b w:val="0"/>
                      <w:bCs/>
                      <w:sz w:val="18"/>
                      <w:szCs w:val="18"/>
                    </w:rPr>
                    <w:t>符合。本项目所在区域污水管网已建成，新增生产废水、生活污水经预处理后纳管排入余杭污水处理厂处理达标后排放。</w:t>
                  </w:r>
                </w:p>
              </w:tc>
            </w:tr>
            <w:tr w14:paraId="16C11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4508BF6C">
                  <w:pPr>
                    <w:pStyle w:val="57"/>
                    <w:spacing w:before="0" w:line="240" w:lineRule="auto"/>
                    <w:rPr>
                      <w:b w:val="0"/>
                      <w:bCs/>
                      <w:sz w:val="18"/>
                      <w:szCs w:val="18"/>
                    </w:rPr>
                  </w:pPr>
                </w:p>
              </w:tc>
              <w:tc>
                <w:tcPr>
                  <w:tcW w:w="305" w:type="pct"/>
                  <w:vMerge w:val="continue"/>
                  <w:tcBorders>
                    <w:tl2br w:val="nil"/>
                    <w:tr2bl w:val="nil"/>
                  </w:tcBorders>
                  <w:vAlign w:val="center"/>
                </w:tcPr>
                <w:p w14:paraId="0F3ACAE5">
                  <w:pPr>
                    <w:pStyle w:val="57"/>
                    <w:spacing w:before="0" w:line="240" w:lineRule="auto"/>
                    <w:rPr>
                      <w:b w:val="0"/>
                      <w:bCs/>
                      <w:sz w:val="18"/>
                      <w:szCs w:val="18"/>
                    </w:rPr>
                  </w:pPr>
                </w:p>
              </w:tc>
              <w:tc>
                <w:tcPr>
                  <w:tcW w:w="1531" w:type="pct"/>
                  <w:tcBorders>
                    <w:tl2br w:val="nil"/>
                    <w:tr2bl w:val="nil"/>
                  </w:tcBorders>
                  <w:vAlign w:val="center"/>
                </w:tcPr>
                <w:p w14:paraId="2B2E5D23">
                  <w:pPr>
                    <w:pStyle w:val="133"/>
                    <w:spacing w:line="240" w:lineRule="auto"/>
                    <w:jc w:val="both"/>
                    <w:rPr>
                      <w:bCs/>
                      <w:sz w:val="18"/>
                      <w:szCs w:val="18"/>
                    </w:rPr>
                  </w:pPr>
                  <w:r>
                    <w:rPr>
                      <w:rFonts w:hint="eastAsia"/>
                      <w:bCs/>
                      <w:sz w:val="18"/>
                      <w:szCs w:val="18"/>
                    </w:rPr>
                    <w:t>地下水环境：规划所在区域现状地下水环境未达到《地下水质量标准》(GB/T14848-2017)中Ⅲ类水质标准，超标因子为pH、高锰酸盐指数、色度、溶解性总固体、总硬度、氨氮、硝酸盐氮、锰、菌落总数、总大肠菌群等。主要超标原因可能为区域历史开发过程中存在农村生活污水散乱排放以及污水管网的渗漏，导致地下水受到污染，以及与区域地表矿物质含量偏高有关。</w:t>
                  </w:r>
                </w:p>
              </w:tc>
              <w:tc>
                <w:tcPr>
                  <w:tcW w:w="1942" w:type="pct"/>
                  <w:tcBorders>
                    <w:tl2br w:val="nil"/>
                    <w:tr2bl w:val="nil"/>
                  </w:tcBorders>
                  <w:vAlign w:val="center"/>
                </w:tcPr>
                <w:p w14:paraId="00740520">
                  <w:pPr>
                    <w:pStyle w:val="133"/>
                    <w:spacing w:line="240" w:lineRule="auto"/>
                    <w:jc w:val="both"/>
                    <w:rPr>
                      <w:bCs/>
                      <w:sz w:val="18"/>
                      <w:szCs w:val="18"/>
                    </w:rPr>
                  </w:pPr>
                  <w:r>
                    <w:rPr>
                      <w:rFonts w:hint="eastAsia"/>
                      <w:bCs/>
                      <w:sz w:val="18"/>
                      <w:szCs w:val="18"/>
                    </w:rPr>
                    <w:t>高新区应严格控制地下水的开采和使用，并结合“五水共治”、“污水零直排区”建设等工作，加快城镇排污管网的排查与修复。同时，强化工业企业地面硬化等防渗、防漏措施，确保生活污水、生产废水全部纳管排放，定期对污水管网和危废仓库等进行检修，严禁向周边地表水体和地下水排放污染物，防止地下水水质进一步恶化。</w:t>
                  </w:r>
                </w:p>
              </w:tc>
              <w:tc>
                <w:tcPr>
                  <w:tcW w:w="891" w:type="pct"/>
                  <w:tcBorders>
                    <w:tl2br w:val="nil"/>
                    <w:tr2bl w:val="nil"/>
                  </w:tcBorders>
                  <w:vAlign w:val="center"/>
                </w:tcPr>
                <w:p w14:paraId="7D283CFA">
                  <w:pPr>
                    <w:pStyle w:val="133"/>
                    <w:spacing w:line="240" w:lineRule="auto"/>
                    <w:jc w:val="both"/>
                    <w:rPr>
                      <w:bCs/>
                      <w:sz w:val="18"/>
                      <w:szCs w:val="18"/>
                    </w:rPr>
                  </w:pPr>
                  <w:r>
                    <w:rPr>
                      <w:rFonts w:hint="eastAsia"/>
                      <w:bCs/>
                      <w:sz w:val="18"/>
                      <w:szCs w:val="18"/>
                    </w:rPr>
                    <w:t>符合。本项目厂区地面做好防渗，危废仓库严格按照相关标准进行建设和管理，避免地下水污染。</w:t>
                  </w:r>
                </w:p>
              </w:tc>
            </w:tr>
            <w:tr w14:paraId="0C0E83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01D4AE7E">
                  <w:pPr>
                    <w:pStyle w:val="57"/>
                    <w:spacing w:before="0" w:line="240" w:lineRule="auto"/>
                    <w:rPr>
                      <w:b w:val="0"/>
                      <w:bCs/>
                      <w:sz w:val="18"/>
                      <w:szCs w:val="18"/>
                    </w:rPr>
                  </w:pPr>
                </w:p>
              </w:tc>
              <w:tc>
                <w:tcPr>
                  <w:tcW w:w="305" w:type="pct"/>
                  <w:vMerge w:val="continue"/>
                  <w:tcBorders>
                    <w:tl2br w:val="nil"/>
                    <w:tr2bl w:val="nil"/>
                  </w:tcBorders>
                  <w:vAlign w:val="center"/>
                </w:tcPr>
                <w:p w14:paraId="74A3FF8A">
                  <w:pPr>
                    <w:pStyle w:val="57"/>
                    <w:spacing w:before="0" w:line="240" w:lineRule="auto"/>
                    <w:rPr>
                      <w:b w:val="0"/>
                      <w:bCs/>
                      <w:sz w:val="18"/>
                      <w:szCs w:val="18"/>
                    </w:rPr>
                  </w:pPr>
                </w:p>
              </w:tc>
              <w:tc>
                <w:tcPr>
                  <w:tcW w:w="1531" w:type="pct"/>
                  <w:tcBorders>
                    <w:tl2br w:val="nil"/>
                    <w:tr2bl w:val="nil"/>
                  </w:tcBorders>
                  <w:vAlign w:val="center"/>
                </w:tcPr>
                <w:p w14:paraId="2F553C2D">
                  <w:pPr>
                    <w:adjustRightInd w:val="0"/>
                    <w:snapToGrid w:val="0"/>
                    <w:rPr>
                      <w:bCs/>
                      <w:sz w:val="18"/>
                      <w:szCs w:val="18"/>
                    </w:rPr>
                  </w:pPr>
                  <w:r>
                    <w:rPr>
                      <w:rFonts w:hint="eastAsia"/>
                      <w:bCs/>
                      <w:sz w:val="18"/>
                      <w:szCs w:val="18"/>
                    </w:rPr>
                    <w:t>土壤环境：闲林工业园及附近区域部分监测点位及深度土壤样品中砷浓度超过GB36600-2018中相应风险筛选值，分析其原因，主要是受区域内土壤类型及地质背景中砷本底较高影响所致。</w:t>
                  </w:r>
                </w:p>
                <w:p w14:paraId="6B155067">
                  <w:pPr>
                    <w:adjustRightInd w:val="0"/>
                    <w:snapToGrid w:val="0"/>
                    <w:rPr>
                      <w:bCs/>
                      <w:sz w:val="18"/>
                      <w:szCs w:val="18"/>
                    </w:rPr>
                  </w:pPr>
                  <w:r>
                    <w:rPr>
                      <w:rFonts w:hint="eastAsia"/>
                      <w:bCs/>
                      <w:sz w:val="18"/>
                      <w:szCs w:val="18"/>
                    </w:rPr>
                    <w:t>河道底泥：瓶窑产业园内现状河道(下金村港)底质未达到农用地风险管控标准要求，超标因子为镉、砷、锌，可能原因为历史上管理不善，历史发展过程中存在垃圾散落掉落河道、废水无序排放入河等情况，且河道底质经过长期堆积，没有及时清淤处理，导致河道底质超标。</w:t>
                  </w:r>
                </w:p>
                <w:p w14:paraId="4D32F7C8">
                  <w:pPr>
                    <w:adjustRightInd w:val="0"/>
                    <w:snapToGrid w:val="0"/>
                    <w:rPr>
                      <w:bCs/>
                      <w:sz w:val="18"/>
                      <w:szCs w:val="18"/>
                    </w:rPr>
                  </w:pPr>
                  <w:r>
                    <w:rPr>
                      <w:rFonts w:hint="eastAsia"/>
                      <w:bCs/>
                      <w:sz w:val="18"/>
                      <w:szCs w:val="18"/>
                    </w:rPr>
                    <w:t>局部区域土壤环境、河道底泥超标，对上述两个园区未来引进企业的环境风险防范提出了更高要求。</w:t>
                  </w:r>
                </w:p>
              </w:tc>
              <w:tc>
                <w:tcPr>
                  <w:tcW w:w="1942" w:type="pct"/>
                  <w:tcBorders>
                    <w:tl2br w:val="nil"/>
                    <w:tr2bl w:val="nil"/>
                  </w:tcBorders>
                  <w:vAlign w:val="center"/>
                </w:tcPr>
                <w:p w14:paraId="7ED9122D">
                  <w:pPr>
                    <w:adjustRightInd w:val="0"/>
                    <w:snapToGrid w:val="0"/>
                    <w:rPr>
                      <w:bCs/>
                      <w:sz w:val="18"/>
                      <w:szCs w:val="18"/>
                    </w:rPr>
                  </w:pPr>
                  <w:r>
                    <w:rPr>
                      <w:rFonts w:hint="eastAsia"/>
                      <w:bCs/>
                      <w:sz w:val="18"/>
                      <w:szCs w:val="18"/>
                    </w:rPr>
                    <w:t>①闲林工业园及周边区域石灰(岩)土属于砷高背景土壤，在园区土地开发过程中，应对此类土壤进行有效管理，减少扰动，防止二次污染。场地开挖过程中，砷含量高的石灰(岩)土，应明确去向，加强监管，尽可能减少外运，以阻断砷污染。</w:t>
                  </w:r>
                </w:p>
                <w:p w14:paraId="120C366A">
                  <w:pPr>
                    <w:adjustRightInd w:val="0"/>
                    <w:snapToGrid w:val="0"/>
                    <w:rPr>
                      <w:bCs/>
                      <w:sz w:val="18"/>
                      <w:szCs w:val="18"/>
                    </w:rPr>
                  </w:pPr>
                  <w:r>
                    <w:rPr>
                      <w:rFonts w:hint="eastAsia"/>
                      <w:bCs/>
                      <w:sz w:val="18"/>
                      <w:szCs w:val="18"/>
                    </w:rPr>
                    <w:t>②加快推进良渚古城遗址公园周边水环境提升项目实施，对瓶窑镇域内下金村港等8条河道进行清淤，并同步实施截污纳管、流域配水、生态修复等工程。</w:t>
                  </w:r>
                </w:p>
                <w:p w14:paraId="2E3B2CFE">
                  <w:pPr>
                    <w:adjustRightInd w:val="0"/>
                    <w:snapToGrid w:val="0"/>
                    <w:rPr>
                      <w:bCs/>
                      <w:sz w:val="18"/>
                      <w:szCs w:val="18"/>
                    </w:rPr>
                  </w:pPr>
                  <w:r>
                    <w:rPr>
                      <w:rFonts w:hint="eastAsia"/>
                      <w:bCs/>
                      <w:sz w:val="18"/>
                      <w:szCs w:val="18"/>
                    </w:rPr>
                    <w:t>③高新区内企业(特别是闲林工业园和瓶窑产业园入驻企业)应做好截污纳管工作，加强风险防范措施，涉及重大风险源的，严格按照相关要求做好事故应急措施，防止土壤和地下水污染。</w:t>
                  </w:r>
                </w:p>
              </w:tc>
              <w:tc>
                <w:tcPr>
                  <w:tcW w:w="891" w:type="pct"/>
                  <w:tcBorders>
                    <w:tl2br w:val="nil"/>
                    <w:tr2bl w:val="nil"/>
                  </w:tcBorders>
                  <w:vAlign w:val="center"/>
                </w:tcPr>
                <w:p w14:paraId="1379E260">
                  <w:pPr>
                    <w:adjustRightInd w:val="0"/>
                    <w:snapToGrid w:val="0"/>
                    <w:rPr>
                      <w:bCs/>
                      <w:sz w:val="18"/>
                      <w:szCs w:val="18"/>
                    </w:rPr>
                  </w:pPr>
                  <w:r>
                    <w:rPr>
                      <w:rFonts w:hint="eastAsia"/>
                      <w:bCs/>
                      <w:sz w:val="18"/>
                      <w:szCs w:val="18"/>
                    </w:rPr>
                    <w:t>符合。本项目厂区地面做好防渗，危废仓库严格按照相关标准进行建设和管理，避免渗漏造成的土壤污染。</w:t>
                  </w:r>
                </w:p>
              </w:tc>
            </w:tr>
            <w:tr w14:paraId="3C9112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1F4C0E77">
                  <w:pPr>
                    <w:pStyle w:val="57"/>
                    <w:spacing w:before="0" w:line="240" w:lineRule="auto"/>
                    <w:rPr>
                      <w:b w:val="0"/>
                      <w:bCs/>
                      <w:sz w:val="18"/>
                      <w:szCs w:val="18"/>
                    </w:rPr>
                  </w:pPr>
                </w:p>
              </w:tc>
              <w:tc>
                <w:tcPr>
                  <w:tcW w:w="305" w:type="pct"/>
                  <w:tcBorders>
                    <w:tl2br w:val="nil"/>
                    <w:tr2bl w:val="nil"/>
                  </w:tcBorders>
                  <w:vAlign w:val="center"/>
                </w:tcPr>
                <w:p w14:paraId="046F47EC">
                  <w:pPr>
                    <w:pStyle w:val="57"/>
                    <w:spacing w:before="0" w:line="240" w:lineRule="auto"/>
                    <w:rPr>
                      <w:b w:val="0"/>
                      <w:bCs/>
                      <w:sz w:val="18"/>
                      <w:szCs w:val="18"/>
                    </w:rPr>
                  </w:pPr>
                  <w:r>
                    <w:rPr>
                      <w:rFonts w:hint="eastAsia"/>
                      <w:b w:val="0"/>
                      <w:bCs/>
                      <w:sz w:val="18"/>
                      <w:szCs w:val="18"/>
                    </w:rPr>
                    <w:t>环境管理</w:t>
                  </w:r>
                </w:p>
              </w:tc>
              <w:tc>
                <w:tcPr>
                  <w:tcW w:w="1531" w:type="pct"/>
                  <w:tcBorders>
                    <w:tl2br w:val="nil"/>
                    <w:tr2bl w:val="nil"/>
                  </w:tcBorders>
                  <w:vAlign w:val="center"/>
                </w:tcPr>
                <w:p w14:paraId="13BB1B2C">
                  <w:pPr>
                    <w:pStyle w:val="57"/>
                    <w:spacing w:before="0" w:line="240" w:lineRule="auto"/>
                    <w:jc w:val="both"/>
                    <w:rPr>
                      <w:b w:val="0"/>
                      <w:bCs/>
                      <w:sz w:val="18"/>
                      <w:szCs w:val="18"/>
                    </w:rPr>
                  </w:pPr>
                  <w:r>
                    <w:rPr>
                      <w:rFonts w:hint="eastAsia"/>
                      <w:b w:val="0"/>
                      <w:bCs/>
                      <w:sz w:val="18"/>
                      <w:szCs w:val="18"/>
                    </w:rPr>
                    <w:t>高新区内各区块现有企业均已按要求落实环评审批和排污许可申报手续，但仍有个别企业因自主意识不足，未能及时开展竣工环保验收，存在“未验先投”的情形。</w:t>
                  </w:r>
                </w:p>
              </w:tc>
              <w:tc>
                <w:tcPr>
                  <w:tcW w:w="1942" w:type="pct"/>
                  <w:tcBorders>
                    <w:tl2br w:val="nil"/>
                    <w:tr2bl w:val="nil"/>
                  </w:tcBorders>
                  <w:vAlign w:val="center"/>
                </w:tcPr>
                <w:p w14:paraId="06CF806F">
                  <w:pPr>
                    <w:pStyle w:val="57"/>
                    <w:spacing w:before="0" w:line="240" w:lineRule="auto"/>
                    <w:jc w:val="both"/>
                    <w:rPr>
                      <w:b w:val="0"/>
                      <w:bCs/>
                      <w:sz w:val="18"/>
                      <w:szCs w:val="18"/>
                    </w:rPr>
                  </w:pPr>
                  <w:r>
                    <w:rPr>
                      <w:rFonts w:hint="eastAsia"/>
                      <w:b w:val="0"/>
                      <w:bCs/>
                      <w:sz w:val="18"/>
                      <w:szCs w:val="18"/>
                    </w:rPr>
                    <w:t>依据相关法律法规，高新区需进一步强化环保管理的系统性和规范性，建立健全环境管理制度。建议管委会与当地生态环境主管部门加大日常监督力度，督促“未验先投”项目依法依规完成竣工环保验收，不断提升建设项目“三同时”制度的执行率与验收率，确保企业持证排污、按证排污，实现环境管理的全面规范化。</w:t>
                  </w:r>
                </w:p>
              </w:tc>
              <w:tc>
                <w:tcPr>
                  <w:tcW w:w="891" w:type="pct"/>
                  <w:tcBorders>
                    <w:tl2br w:val="nil"/>
                    <w:tr2bl w:val="nil"/>
                  </w:tcBorders>
                  <w:vAlign w:val="center"/>
                </w:tcPr>
                <w:p w14:paraId="0AC70A4F">
                  <w:pPr>
                    <w:pStyle w:val="57"/>
                    <w:spacing w:before="0" w:line="240" w:lineRule="auto"/>
                    <w:jc w:val="both"/>
                    <w:rPr>
                      <w:b w:val="0"/>
                      <w:bCs/>
                      <w:sz w:val="18"/>
                      <w:szCs w:val="18"/>
                    </w:rPr>
                  </w:pPr>
                  <w:r>
                    <w:rPr>
                      <w:rFonts w:hint="eastAsia"/>
                      <w:b w:val="0"/>
                      <w:bCs/>
                      <w:sz w:val="18"/>
                      <w:szCs w:val="18"/>
                    </w:rPr>
                    <w:t>符合。本项目按照相关法律法规要求进行环境管理。</w:t>
                  </w:r>
                </w:p>
              </w:tc>
            </w:tr>
            <w:tr w14:paraId="06EC1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9" w:type="pct"/>
                  <w:vMerge w:val="continue"/>
                  <w:tcBorders>
                    <w:tl2br w:val="nil"/>
                    <w:tr2bl w:val="nil"/>
                  </w:tcBorders>
                  <w:vAlign w:val="center"/>
                </w:tcPr>
                <w:p w14:paraId="338BB54F">
                  <w:pPr>
                    <w:pStyle w:val="57"/>
                    <w:spacing w:before="0" w:line="240" w:lineRule="auto"/>
                    <w:rPr>
                      <w:b w:val="0"/>
                      <w:bCs/>
                      <w:sz w:val="18"/>
                      <w:szCs w:val="18"/>
                    </w:rPr>
                  </w:pPr>
                </w:p>
              </w:tc>
              <w:tc>
                <w:tcPr>
                  <w:tcW w:w="305" w:type="pct"/>
                  <w:tcBorders>
                    <w:tl2br w:val="nil"/>
                    <w:tr2bl w:val="nil"/>
                  </w:tcBorders>
                  <w:vAlign w:val="center"/>
                </w:tcPr>
                <w:p w14:paraId="0232AEEE">
                  <w:pPr>
                    <w:pStyle w:val="57"/>
                    <w:spacing w:before="0" w:line="240" w:lineRule="auto"/>
                    <w:rPr>
                      <w:b w:val="0"/>
                      <w:bCs/>
                      <w:sz w:val="18"/>
                      <w:szCs w:val="18"/>
                    </w:rPr>
                  </w:pPr>
                  <w:r>
                    <w:rPr>
                      <w:rFonts w:hint="eastAsia"/>
                      <w:b w:val="0"/>
                      <w:bCs/>
                      <w:sz w:val="18"/>
                      <w:szCs w:val="18"/>
                    </w:rPr>
                    <w:t>风险防范</w:t>
                  </w:r>
                </w:p>
              </w:tc>
              <w:tc>
                <w:tcPr>
                  <w:tcW w:w="1531" w:type="pct"/>
                  <w:tcBorders>
                    <w:tl2br w:val="nil"/>
                    <w:tr2bl w:val="nil"/>
                  </w:tcBorders>
                  <w:vAlign w:val="center"/>
                </w:tcPr>
                <w:p w14:paraId="2D2D7560">
                  <w:pPr>
                    <w:pStyle w:val="57"/>
                    <w:spacing w:before="0" w:line="240" w:lineRule="auto"/>
                    <w:jc w:val="both"/>
                    <w:rPr>
                      <w:b w:val="0"/>
                      <w:bCs/>
                      <w:sz w:val="18"/>
                      <w:szCs w:val="18"/>
                    </w:rPr>
                  </w:pPr>
                  <w:r>
                    <w:rPr>
                      <w:rFonts w:hint="eastAsia"/>
                      <w:b w:val="0"/>
                      <w:bCs/>
                      <w:sz w:val="18"/>
                      <w:szCs w:val="18"/>
                    </w:rPr>
                    <w:t>目前高新区未编制园区层面的突发环境事件应急预案，也未成立环境应急管理领导小组，区域应急能力、应急资源配备等有待加强。</w:t>
                  </w:r>
                </w:p>
              </w:tc>
              <w:tc>
                <w:tcPr>
                  <w:tcW w:w="1942" w:type="pct"/>
                  <w:tcBorders>
                    <w:tl2br w:val="nil"/>
                    <w:tr2bl w:val="nil"/>
                  </w:tcBorders>
                  <w:vAlign w:val="center"/>
                </w:tcPr>
                <w:p w14:paraId="059D948A">
                  <w:pPr>
                    <w:pStyle w:val="57"/>
                    <w:spacing w:before="0" w:line="240" w:lineRule="auto"/>
                    <w:jc w:val="both"/>
                    <w:rPr>
                      <w:b w:val="0"/>
                      <w:bCs/>
                      <w:sz w:val="18"/>
                      <w:szCs w:val="18"/>
                    </w:rPr>
                  </w:pPr>
                  <w:r>
                    <w:rPr>
                      <w:rFonts w:hint="eastAsia"/>
                      <w:b w:val="0"/>
                      <w:bCs/>
                      <w:sz w:val="18"/>
                      <w:szCs w:val="18"/>
                    </w:rPr>
                    <w:t>高新区应以本次规划环评为契机，加快编制园区层面的突发环境事件应急预案，组建环境应急管理领导小组，在现有基础上强化环境风险防范措施，深化区域应急联动机制，有效管控和降低环境风险。</w:t>
                  </w:r>
                </w:p>
              </w:tc>
              <w:tc>
                <w:tcPr>
                  <w:tcW w:w="891" w:type="pct"/>
                  <w:tcBorders>
                    <w:tl2br w:val="nil"/>
                    <w:tr2bl w:val="nil"/>
                  </w:tcBorders>
                  <w:vAlign w:val="center"/>
                </w:tcPr>
                <w:p w14:paraId="2420097E">
                  <w:pPr>
                    <w:pStyle w:val="57"/>
                    <w:spacing w:before="0" w:line="240" w:lineRule="auto"/>
                    <w:jc w:val="both"/>
                    <w:rPr>
                      <w:b w:val="0"/>
                      <w:bCs/>
                      <w:sz w:val="18"/>
                      <w:szCs w:val="18"/>
                    </w:rPr>
                  </w:pPr>
                  <w:r>
                    <w:rPr>
                      <w:rFonts w:hint="eastAsia"/>
                      <w:b w:val="0"/>
                      <w:bCs/>
                      <w:sz w:val="18"/>
                      <w:szCs w:val="18"/>
                    </w:rPr>
                    <w:t>本项目不涉及。</w:t>
                  </w:r>
                </w:p>
              </w:tc>
            </w:tr>
          </w:tbl>
          <w:p w14:paraId="1F21D282">
            <w:pPr>
              <w:widowControl/>
              <w:spacing w:line="360" w:lineRule="auto"/>
              <w:ind w:firstLine="420" w:firstLineChars="200"/>
              <w:rPr>
                <w:kern w:val="0"/>
                <w:szCs w:val="21"/>
              </w:rPr>
            </w:pPr>
            <w:r>
              <w:rPr>
                <w:rFonts w:hint="eastAsia"/>
                <w:kern w:val="0"/>
                <w:szCs w:val="21"/>
              </w:rPr>
              <w:t>由上表可知，本项目的建设符合现有问题整改措施清单中的相关要求。</w:t>
            </w:r>
          </w:p>
          <w:p w14:paraId="465D9103">
            <w:pPr>
              <w:widowControl/>
              <w:spacing w:line="360" w:lineRule="auto"/>
              <w:ind w:firstLine="422" w:firstLineChars="200"/>
              <w:rPr>
                <w:rFonts w:hint="eastAsia" w:ascii="宋体" w:hAnsi="宋体" w:cs="宋体"/>
                <w:b/>
                <w:bCs/>
                <w:kern w:val="0"/>
                <w:szCs w:val="21"/>
              </w:rPr>
            </w:pPr>
            <w:r>
              <w:rPr>
                <w:rFonts w:hint="eastAsia" w:ascii="宋体" w:hAnsi="宋体" w:cs="宋体"/>
                <w:b/>
                <w:bCs/>
                <w:kern w:val="0"/>
                <w:szCs w:val="21"/>
              </w:rPr>
              <w:t>③污染物排放总量管控限值清单</w:t>
            </w:r>
          </w:p>
          <w:p w14:paraId="44875E58">
            <w:pPr>
              <w:autoSpaceDE w:val="0"/>
              <w:autoSpaceDN w:val="0"/>
              <w:spacing w:line="360" w:lineRule="auto"/>
              <w:ind w:firstLine="420" w:firstLineChars="200"/>
              <w:rPr>
                <w:kern w:val="0"/>
              </w:rPr>
            </w:pPr>
            <w:r>
              <w:rPr>
                <w:rFonts w:hint="eastAsia"/>
                <w:kern w:val="0"/>
              </w:rPr>
              <w:t>项目与污染物排放总量管控限值清单符合性分析如</w:t>
            </w:r>
            <w:r>
              <w:rPr>
                <w:rFonts w:hint="eastAsia"/>
                <w:kern w:val="0"/>
                <w:lang w:val="en-US" w:eastAsia="zh-CN"/>
              </w:rPr>
              <w:t>下表</w:t>
            </w:r>
            <w:r>
              <w:rPr>
                <w:rFonts w:hint="eastAsia"/>
                <w:kern w:val="0"/>
              </w:rPr>
              <w:t>所示。</w:t>
            </w:r>
          </w:p>
          <w:p w14:paraId="57EF487F">
            <w:pPr>
              <w:keepNext/>
              <w:keepLines/>
              <w:numPr>
                <w:ilvl w:val="0"/>
                <w:numId w:val="2"/>
              </w:numPr>
              <w:tabs>
                <w:tab w:val="left" w:pos="0"/>
              </w:tabs>
              <w:spacing w:line="360" w:lineRule="auto"/>
              <w:ind w:left="368" w:hanging="367" w:hangingChars="175"/>
              <w:jc w:val="center"/>
              <w:outlineLvl w:val="3"/>
              <w:rPr>
                <w:rFonts w:hint="eastAsia" w:ascii="黑体" w:hAnsi="黑体" w:eastAsia="黑体" w:cs="黑体"/>
                <w:szCs w:val="21"/>
                <w:lang w:val="zh-CN"/>
              </w:rPr>
            </w:pPr>
            <w:r>
              <w:rPr>
                <w:rFonts w:hint="eastAsia" w:ascii="黑体" w:hAnsi="黑体" w:eastAsia="黑体" w:cs="黑体"/>
                <w:szCs w:val="21"/>
                <w:lang w:val="zh-CN"/>
              </w:rPr>
              <w:t>污染物排放总量管控限值清单及符合性分析</w:t>
            </w:r>
          </w:p>
          <w:tbl>
            <w:tblPr>
              <w:tblStyle w:val="26"/>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327"/>
              <w:gridCol w:w="614"/>
              <w:gridCol w:w="859"/>
              <w:gridCol w:w="711"/>
              <w:gridCol w:w="710"/>
              <w:gridCol w:w="713"/>
              <w:gridCol w:w="1076"/>
              <w:gridCol w:w="778"/>
              <w:gridCol w:w="778"/>
              <w:gridCol w:w="778"/>
              <w:gridCol w:w="1052"/>
            </w:tblGrid>
            <w:tr w14:paraId="0F69F7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tblHeader/>
              </w:trPr>
              <w:tc>
                <w:tcPr>
                  <w:tcW w:w="1070" w:type="pct"/>
                  <w:gridSpan w:val="3"/>
                  <w:vMerge w:val="restart"/>
                  <w:tcBorders>
                    <w:tl2br w:val="nil"/>
                    <w:tr2bl w:val="nil"/>
                  </w:tcBorders>
                  <w:vAlign w:val="center"/>
                </w:tcPr>
                <w:p w14:paraId="3AE0E2F5">
                  <w:pPr>
                    <w:widowControl/>
                    <w:jc w:val="center"/>
                    <w:textAlignment w:val="center"/>
                    <w:rPr>
                      <w:rFonts w:eastAsia="等线"/>
                      <w:sz w:val="18"/>
                      <w:szCs w:val="18"/>
                    </w:rPr>
                  </w:pPr>
                  <w:r>
                    <w:rPr>
                      <w:rFonts w:hint="eastAsia"/>
                      <w:kern w:val="0"/>
                      <w:sz w:val="18"/>
                      <w:szCs w:val="18"/>
                      <w:lang w:bidi="ar"/>
                    </w:rPr>
                    <w:t>规划期</w:t>
                  </w:r>
                </w:p>
              </w:tc>
              <w:tc>
                <w:tcPr>
                  <w:tcW w:w="1912" w:type="pct"/>
                  <w:gridSpan w:val="4"/>
                  <w:tcBorders>
                    <w:tl2br w:val="nil"/>
                    <w:tr2bl w:val="nil"/>
                  </w:tcBorders>
                  <w:vAlign w:val="center"/>
                </w:tcPr>
                <w:p w14:paraId="0CF7E8A2">
                  <w:pPr>
                    <w:widowControl/>
                    <w:jc w:val="center"/>
                    <w:textAlignment w:val="center"/>
                    <w:rPr>
                      <w:sz w:val="18"/>
                      <w:szCs w:val="18"/>
                    </w:rPr>
                  </w:pPr>
                  <w:r>
                    <w:rPr>
                      <w:rFonts w:hint="eastAsia"/>
                      <w:kern w:val="0"/>
                      <w:sz w:val="18"/>
                      <w:szCs w:val="18"/>
                      <w:lang w:bidi="ar"/>
                    </w:rPr>
                    <w:t>规划近期(2030年)</w:t>
                  </w:r>
                </w:p>
              </w:tc>
              <w:tc>
                <w:tcPr>
                  <w:tcW w:w="2016" w:type="pct"/>
                  <w:gridSpan w:val="4"/>
                  <w:tcBorders>
                    <w:tl2br w:val="nil"/>
                    <w:tr2bl w:val="nil"/>
                  </w:tcBorders>
                  <w:vAlign w:val="center"/>
                </w:tcPr>
                <w:p w14:paraId="08B2D280">
                  <w:pPr>
                    <w:widowControl/>
                    <w:jc w:val="center"/>
                    <w:textAlignment w:val="center"/>
                    <w:rPr>
                      <w:rFonts w:eastAsia="等线"/>
                      <w:sz w:val="18"/>
                      <w:szCs w:val="18"/>
                    </w:rPr>
                  </w:pPr>
                  <w:r>
                    <w:rPr>
                      <w:rFonts w:hint="eastAsia" w:eastAsia="等线"/>
                      <w:kern w:val="0"/>
                      <w:sz w:val="18"/>
                      <w:szCs w:val="18"/>
                      <w:lang w:bidi="ar"/>
                    </w:rPr>
                    <w:t>规划远期(2035年)</w:t>
                  </w:r>
                </w:p>
              </w:tc>
            </w:tr>
            <w:tr w14:paraId="36CC3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blHeader/>
              </w:trPr>
              <w:tc>
                <w:tcPr>
                  <w:tcW w:w="1070" w:type="pct"/>
                  <w:gridSpan w:val="3"/>
                  <w:vMerge w:val="continue"/>
                  <w:tcBorders>
                    <w:tl2br w:val="nil"/>
                    <w:tr2bl w:val="nil"/>
                  </w:tcBorders>
                  <w:vAlign w:val="center"/>
                </w:tcPr>
                <w:p w14:paraId="7BCA10E8">
                  <w:pPr>
                    <w:widowControl/>
                    <w:jc w:val="center"/>
                    <w:rPr>
                      <w:rFonts w:eastAsia="等线"/>
                      <w:sz w:val="18"/>
                      <w:szCs w:val="18"/>
                    </w:rPr>
                  </w:pPr>
                </w:p>
              </w:tc>
              <w:tc>
                <w:tcPr>
                  <w:tcW w:w="1271" w:type="pct"/>
                  <w:gridSpan w:val="3"/>
                  <w:tcBorders>
                    <w:tl2br w:val="nil"/>
                    <w:tr2bl w:val="nil"/>
                  </w:tcBorders>
                  <w:vAlign w:val="center"/>
                </w:tcPr>
                <w:p w14:paraId="3C00B77C">
                  <w:pPr>
                    <w:widowControl/>
                    <w:jc w:val="center"/>
                    <w:textAlignment w:val="center"/>
                    <w:rPr>
                      <w:sz w:val="18"/>
                      <w:szCs w:val="18"/>
                    </w:rPr>
                  </w:pPr>
                  <w:r>
                    <w:rPr>
                      <w:rFonts w:hint="eastAsia"/>
                      <w:kern w:val="0"/>
                      <w:sz w:val="18"/>
                      <w:szCs w:val="18"/>
                      <w:lang w:bidi="ar"/>
                    </w:rPr>
                    <w:t>总量(t/a)</w:t>
                  </w:r>
                </w:p>
              </w:tc>
              <w:tc>
                <w:tcPr>
                  <w:tcW w:w="641" w:type="pct"/>
                  <w:tcBorders>
                    <w:tl2br w:val="nil"/>
                    <w:tr2bl w:val="nil"/>
                  </w:tcBorders>
                  <w:vAlign w:val="center"/>
                </w:tcPr>
                <w:p w14:paraId="22876116">
                  <w:pPr>
                    <w:widowControl/>
                    <w:jc w:val="center"/>
                    <w:textAlignment w:val="center"/>
                    <w:rPr>
                      <w:sz w:val="18"/>
                      <w:szCs w:val="18"/>
                    </w:rPr>
                  </w:pPr>
                  <w:r>
                    <w:rPr>
                      <w:rFonts w:hint="eastAsia"/>
                      <w:kern w:val="0"/>
                      <w:sz w:val="18"/>
                      <w:szCs w:val="18"/>
                      <w:lang w:bidi="ar"/>
                    </w:rPr>
                    <w:t>环境质量变化趋势，能否达环境质量底线</w:t>
                  </w:r>
                </w:p>
              </w:tc>
              <w:tc>
                <w:tcPr>
                  <w:tcW w:w="1389" w:type="pct"/>
                  <w:gridSpan w:val="3"/>
                  <w:tcBorders>
                    <w:tl2br w:val="nil"/>
                    <w:tr2bl w:val="nil"/>
                  </w:tcBorders>
                  <w:vAlign w:val="center"/>
                </w:tcPr>
                <w:p w14:paraId="3399D65C">
                  <w:pPr>
                    <w:widowControl/>
                    <w:jc w:val="center"/>
                    <w:textAlignment w:val="center"/>
                    <w:rPr>
                      <w:sz w:val="18"/>
                      <w:szCs w:val="18"/>
                    </w:rPr>
                  </w:pPr>
                  <w:r>
                    <w:rPr>
                      <w:rFonts w:hint="eastAsia"/>
                      <w:kern w:val="0"/>
                      <w:sz w:val="18"/>
                      <w:szCs w:val="18"/>
                      <w:lang w:bidi="ar"/>
                    </w:rPr>
                    <w:t>总量(t/a)</w:t>
                  </w:r>
                </w:p>
              </w:tc>
              <w:tc>
                <w:tcPr>
                  <w:tcW w:w="627" w:type="pct"/>
                  <w:tcBorders>
                    <w:tl2br w:val="nil"/>
                    <w:tr2bl w:val="nil"/>
                  </w:tcBorders>
                  <w:vAlign w:val="center"/>
                </w:tcPr>
                <w:p w14:paraId="40166A4F">
                  <w:pPr>
                    <w:widowControl/>
                    <w:jc w:val="center"/>
                    <w:textAlignment w:val="center"/>
                    <w:rPr>
                      <w:sz w:val="18"/>
                      <w:szCs w:val="18"/>
                    </w:rPr>
                  </w:pPr>
                  <w:r>
                    <w:rPr>
                      <w:rFonts w:hint="eastAsia"/>
                      <w:kern w:val="0"/>
                      <w:sz w:val="18"/>
                      <w:szCs w:val="18"/>
                      <w:lang w:bidi="ar"/>
                    </w:rPr>
                    <w:t>环境质量变化趋势，能否达环境质量底线</w:t>
                  </w:r>
                </w:p>
              </w:tc>
            </w:tr>
            <w:tr w14:paraId="3890B9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blHeader/>
              </w:trPr>
              <w:tc>
                <w:tcPr>
                  <w:tcW w:w="1070" w:type="pct"/>
                  <w:gridSpan w:val="3"/>
                  <w:vMerge w:val="continue"/>
                  <w:tcBorders>
                    <w:tl2br w:val="nil"/>
                    <w:tr2bl w:val="nil"/>
                  </w:tcBorders>
                  <w:vAlign w:val="center"/>
                </w:tcPr>
                <w:p w14:paraId="3F878FC9">
                  <w:pPr>
                    <w:widowControl/>
                    <w:jc w:val="center"/>
                    <w:rPr>
                      <w:rFonts w:eastAsia="等线"/>
                      <w:sz w:val="18"/>
                      <w:szCs w:val="18"/>
                    </w:rPr>
                  </w:pPr>
                </w:p>
              </w:tc>
              <w:tc>
                <w:tcPr>
                  <w:tcW w:w="423" w:type="pct"/>
                  <w:tcBorders>
                    <w:tl2br w:val="nil"/>
                    <w:tr2bl w:val="nil"/>
                  </w:tcBorders>
                  <w:vAlign w:val="center"/>
                </w:tcPr>
                <w:p w14:paraId="554E8389">
                  <w:pPr>
                    <w:widowControl/>
                    <w:jc w:val="center"/>
                    <w:textAlignment w:val="center"/>
                    <w:rPr>
                      <w:sz w:val="18"/>
                      <w:szCs w:val="18"/>
                    </w:rPr>
                  </w:pPr>
                  <w:r>
                    <w:rPr>
                      <w:rFonts w:hint="eastAsia"/>
                      <w:kern w:val="0"/>
                      <w:sz w:val="18"/>
                      <w:szCs w:val="18"/>
                      <w:lang w:bidi="ar"/>
                    </w:rPr>
                    <w:t>工业源</w:t>
                  </w:r>
                </w:p>
              </w:tc>
              <w:tc>
                <w:tcPr>
                  <w:tcW w:w="423" w:type="pct"/>
                  <w:tcBorders>
                    <w:tl2br w:val="nil"/>
                    <w:tr2bl w:val="nil"/>
                  </w:tcBorders>
                  <w:vAlign w:val="center"/>
                </w:tcPr>
                <w:p w14:paraId="56B15F60">
                  <w:pPr>
                    <w:widowControl/>
                    <w:jc w:val="center"/>
                    <w:textAlignment w:val="center"/>
                    <w:rPr>
                      <w:sz w:val="18"/>
                      <w:szCs w:val="18"/>
                    </w:rPr>
                  </w:pPr>
                  <w:r>
                    <w:rPr>
                      <w:rFonts w:hint="eastAsia"/>
                      <w:kern w:val="0"/>
                      <w:sz w:val="18"/>
                      <w:szCs w:val="18"/>
                      <w:lang w:bidi="ar"/>
                    </w:rPr>
                    <w:t>生活源</w:t>
                  </w:r>
                </w:p>
              </w:tc>
              <w:tc>
                <w:tcPr>
                  <w:tcW w:w="423" w:type="pct"/>
                  <w:tcBorders>
                    <w:tl2br w:val="nil"/>
                    <w:tr2bl w:val="nil"/>
                  </w:tcBorders>
                  <w:vAlign w:val="center"/>
                </w:tcPr>
                <w:p w14:paraId="7C51078B">
                  <w:pPr>
                    <w:widowControl/>
                    <w:jc w:val="center"/>
                    <w:textAlignment w:val="center"/>
                    <w:rPr>
                      <w:sz w:val="18"/>
                      <w:szCs w:val="18"/>
                    </w:rPr>
                  </w:pPr>
                  <w:r>
                    <w:rPr>
                      <w:rFonts w:hint="eastAsia"/>
                      <w:kern w:val="0"/>
                      <w:sz w:val="18"/>
                      <w:szCs w:val="18"/>
                      <w:lang w:bidi="ar"/>
                    </w:rPr>
                    <w:t>合计</w:t>
                  </w:r>
                </w:p>
              </w:tc>
              <w:tc>
                <w:tcPr>
                  <w:tcW w:w="641" w:type="pct"/>
                  <w:tcBorders>
                    <w:tl2br w:val="nil"/>
                    <w:tr2bl w:val="nil"/>
                  </w:tcBorders>
                  <w:vAlign w:val="center"/>
                </w:tcPr>
                <w:p w14:paraId="0A4FFD62">
                  <w:pPr>
                    <w:widowControl/>
                    <w:jc w:val="center"/>
                    <w:rPr>
                      <w:sz w:val="18"/>
                      <w:szCs w:val="18"/>
                    </w:rPr>
                  </w:pPr>
                </w:p>
              </w:tc>
              <w:tc>
                <w:tcPr>
                  <w:tcW w:w="463" w:type="pct"/>
                  <w:tcBorders>
                    <w:tl2br w:val="nil"/>
                    <w:tr2bl w:val="nil"/>
                  </w:tcBorders>
                  <w:vAlign w:val="center"/>
                </w:tcPr>
                <w:p w14:paraId="22612D9B">
                  <w:pPr>
                    <w:widowControl/>
                    <w:jc w:val="center"/>
                    <w:textAlignment w:val="center"/>
                    <w:rPr>
                      <w:sz w:val="18"/>
                      <w:szCs w:val="18"/>
                    </w:rPr>
                  </w:pPr>
                  <w:r>
                    <w:rPr>
                      <w:rFonts w:hint="eastAsia"/>
                      <w:kern w:val="0"/>
                      <w:sz w:val="18"/>
                      <w:szCs w:val="18"/>
                      <w:lang w:bidi="ar"/>
                    </w:rPr>
                    <w:t>工业源</w:t>
                  </w:r>
                </w:p>
              </w:tc>
              <w:tc>
                <w:tcPr>
                  <w:tcW w:w="463" w:type="pct"/>
                  <w:tcBorders>
                    <w:tl2br w:val="nil"/>
                    <w:tr2bl w:val="nil"/>
                  </w:tcBorders>
                  <w:vAlign w:val="center"/>
                </w:tcPr>
                <w:p w14:paraId="5E322BE0">
                  <w:pPr>
                    <w:widowControl/>
                    <w:jc w:val="center"/>
                    <w:textAlignment w:val="center"/>
                    <w:rPr>
                      <w:sz w:val="18"/>
                      <w:szCs w:val="18"/>
                    </w:rPr>
                  </w:pPr>
                  <w:r>
                    <w:rPr>
                      <w:rFonts w:hint="eastAsia"/>
                      <w:kern w:val="0"/>
                      <w:sz w:val="18"/>
                      <w:szCs w:val="18"/>
                      <w:lang w:bidi="ar"/>
                    </w:rPr>
                    <w:t>生活源</w:t>
                  </w:r>
                </w:p>
              </w:tc>
              <w:tc>
                <w:tcPr>
                  <w:tcW w:w="463" w:type="pct"/>
                  <w:tcBorders>
                    <w:tl2br w:val="nil"/>
                    <w:tr2bl w:val="nil"/>
                  </w:tcBorders>
                  <w:vAlign w:val="center"/>
                </w:tcPr>
                <w:p w14:paraId="0456C487">
                  <w:pPr>
                    <w:widowControl/>
                    <w:jc w:val="center"/>
                    <w:textAlignment w:val="center"/>
                    <w:rPr>
                      <w:sz w:val="18"/>
                      <w:szCs w:val="18"/>
                    </w:rPr>
                  </w:pPr>
                  <w:r>
                    <w:rPr>
                      <w:rFonts w:hint="eastAsia"/>
                      <w:kern w:val="0"/>
                      <w:sz w:val="18"/>
                      <w:szCs w:val="18"/>
                      <w:lang w:bidi="ar"/>
                    </w:rPr>
                    <w:t>合计</w:t>
                  </w:r>
                </w:p>
              </w:tc>
              <w:tc>
                <w:tcPr>
                  <w:tcW w:w="627" w:type="pct"/>
                  <w:tcBorders>
                    <w:tl2br w:val="nil"/>
                    <w:tr2bl w:val="nil"/>
                  </w:tcBorders>
                  <w:vAlign w:val="center"/>
                </w:tcPr>
                <w:p w14:paraId="140297D8">
                  <w:pPr>
                    <w:widowControl/>
                    <w:jc w:val="center"/>
                    <w:rPr>
                      <w:sz w:val="18"/>
                      <w:szCs w:val="18"/>
                    </w:rPr>
                  </w:pPr>
                </w:p>
              </w:tc>
            </w:tr>
            <w:tr w14:paraId="21F1DA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restart"/>
                  <w:tcBorders>
                    <w:tl2br w:val="nil"/>
                    <w:tr2bl w:val="nil"/>
                  </w:tcBorders>
                  <w:vAlign w:val="center"/>
                </w:tcPr>
                <w:p w14:paraId="2B2C44F5">
                  <w:pPr>
                    <w:widowControl/>
                    <w:jc w:val="center"/>
                    <w:textAlignment w:val="center"/>
                    <w:rPr>
                      <w:sz w:val="18"/>
                      <w:szCs w:val="18"/>
                    </w:rPr>
                  </w:pPr>
                  <w:r>
                    <w:rPr>
                      <w:rFonts w:hint="eastAsia"/>
                      <w:kern w:val="0"/>
                      <w:sz w:val="18"/>
                      <w:szCs w:val="18"/>
                      <w:lang w:bidi="ar"/>
                    </w:rPr>
                    <w:t>水污染物总量管控限值(t/a)</w:t>
                  </w:r>
                </w:p>
              </w:tc>
              <w:tc>
                <w:tcPr>
                  <w:tcW w:w="365" w:type="pct"/>
                  <w:vMerge w:val="restart"/>
                  <w:tcBorders>
                    <w:tl2br w:val="nil"/>
                    <w:tr2bl w:val="nil"/>
                  </w:tcBorders>
                  <w:vAlign w:val="center"/>
                </w:tcPr>
                <w:p w14:paraId="1B876522">
                  <w:pPr>
                    <w:widowControl/>
                    <w:jc w:val="center"/>
                    <w:textAlignment w:val="center"/>
                    <w:rPr>
                      <w:rFonts w:eastAsia="等线"/>
                      <w:sz w:val="18"/>
                      <w:szCs w:val="18"/>
                    </w:rPr>
                  </w:pPr>
                  <w:r>
                    <w:rPr>
                      <w:rFonts w:eastAsia="等线"/>
                      <w:kern w:val="0"/>
                      <w:sz w:val="18"/>
                      <w:szCs w:val="18"/>
                      <w:lang w:bidi="ar"/>
                    </w:rPr>
                    <w:t>COD</w:t>
                  </w:r>
                  <w:r>
                    <w:rPr>
                      <w:rFonts w:eastAsia="等线"/>
                      <w:kern w:val="0"/>
                      <w:sz w:val="18"/>
                      <w:szCs w:val="18"/>
                      <w:vertAlign w:val="subscript"/>
                      <w:lang w:bidi="ar"/>
                    </w:rPr>
                    <w:t>Cr</w:t>
                  </w:r>
                </w:p>
              </w:tc>
              <w:tc>
                <w:tcPr>
                  <w:tcW w:w="511" w:type="pct"/>
                  <w:tcBorders>
                    <w:tl2br w:val="nil"/>
                    <w:tr2bl w:val="nil"/>
                  </w:tcBorders>
                  <w:vAlign w:val="center"/>
                </w:tcPr>
                <w:p w14:paraId="4020861E">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079AD49C">
                  <w:pPr>
                    <w:widowControl/>
                    <w:jc w:val="center"/>
                    <w:textAlignment w:val="center"/>
                    <w:rPr>
                      <w:kern w:val="0"/>
                      <w:sz w:val="18"/>
                      <w:szCs w:val="18"/>
                      <w:lang w:bidi="ar"/>
                    </w:rPr>
                  </w:pPr>
                  <w:r>
                    <w:rPr>
                      <w:kern w:val="0"/>
                      <w:sz w:val="18"/>
                      <w:szCs w:val="18"/>
                      <w:lang w:bidi="ar"/>
                    </w:rPr>
                    <w:t xml:space="preserve">116.992 </w:t>
                  </w:r>
                </w:p>
              </w:tc>
              <w:tc>
                <w:tcPr>
                  <w:tcW w:w="423" w:type="pct"/>
                  <w:tcBorders>
                    <w:tl2br w:val="nil"/>
                    <w:tr2bl w:val="nil"/>
                  </w:tcBorders>
                  <w:vAlign w:val="center"/>
                </w:tcPr>
                <w:p w14:paraId="019E9F9A">
                  <w:pPr>
                    <w:widowControl/>
                    <w:jc w:val="center"/>
                    <w:textAlignment w:val="center"/>
                    <w:rPr>
                      <w:kern w:val="0"/>
                      <w:sz w:val="18"/>
                      <w:szCs w:val="18"/>
                      <w:lang w:bidi="ar"/>
                    </w:rPr>
                  </w:pPr>
                  <w:r>
                    <w:rPr>
                      <w:kern w:val="0"/>
                      <w:sz w:val="18"/>
                      <w:szCs w:val="18"/>
                      <w:lang w:bidi="ar"/>
                    </w:rPr>
                    <w:t xml:space="preserve">428.719 </w:t>
                  </w:r>
                </w:p>
              </w:tc>
              <w:tc>
                <w:tcPr>
                  <w:tcW w:w="423" w:type="pct"/>
                  <w:tcBorders>
                    <w:tl2br w:val="nil"/>
                    <w:tr2bl w:val="nil"/>
                  </w:tcBorders>
                  <w:vAlign w:val="center"/>
                </w:tcPr>
                <w:p w14:paraId="12ADCDFD">
                  <w:pPr>
                    <w:widowControl/>
                    <w:jc w:val="center"/>
                    <w:textAlignment w:val="center"/>
                    <w:rPr>
                      <w:kern w:val="0"/>
                      <w:sz w:val="18"/>
                      <w:szCs w:val="18"/>
                      <w:lang w:bidi="ar"/>
                    </w:rPr>
                  </w:pPr>
                  <w:r>
                    <w:rPr>
                      <w:kern w:val="0"/>
                      <w:sz w:val="18"/>
                      <w:szCs w:val="18"/>
                      <w:lang w:bidi="ar"/>
                    </w:rPr>
                    <w:t xml:space="preserve">545.710 </w:t>
                  </w:r>
                </w:p>
              </w:tc>
              <w:tc>
                <w:tcPr>
                  <w:tcW w:w="641" w:type="pct"/>
                  <w:vMerge w:val="restart"/>
                  <w:tcBorders>
                    <w:tl2br w:val="nil"/>
                    <w:tr2bl w:val="nil"/>
                  </w:tcBorders>
                  <w:vAlign w:val="center"/>
                </w:tcPr>
                <w:p w14:paraId="680275C6">
                  <w:pPr>
                    <w:widowControl/>
                    <w:jc w:val="center"/>
                    <w:textAlignment w:val="center"/>
                    <w:rPr>
                      <w:kern w:val="0"/>
                      <w:sz w:val="18"/>
                      <w:szCs w:val="18"/>
                      <w:lang w:bidi="ar"/>
                    </w:rPr>
                  </w:pPr>
                  <w:r>
                    <w:rPr>
                      <w:rFonts w:hint="eastAsia"/>
                      <w:kern w:val="0"/>
                      <w:sz w:val="18"/>
                      <w:szCs w:val="18"/>
                      <w:lang w:bidi="ar"/>
                    </w:rPr>
                    <w:t>随着“五水共治”、“污水零直排”深入推进，配套管网建设不断完善，水环境综合治理方案的实施，区域地表水水质总体趋于改善，环境质量底线具有可达性</w:t>
                  </w:r>
                </w:p>
              </w:tc>
              <w:tc>
                <w:tcPr>
                  <w:tcW w:w="463" w:type="pct"/>
                  <w:tcBorders>
                    <w:tl2br w:val="nil"/>
                    <w:tr2bl w:val="nil"/>
                  </w:tcBorders>
                  <w:vAlign w:val="center"/>
                </w:tcPr>
                <w:p w14:paraId="14A143E3">
                  <w:pPr>
                    <w:widowControl/>
                    <w:jc w:val="center"/>
                    <w:textAlignment w:val="center"/>
                    <w:rPr>
                      <w:kern w:val="0"/>
                      <w:sz w:val="18"/>
                      <w:szCs w:val="18"/>
                      <w:lang w:bidi="ar"/>
                    </w:rPr>
                  </w:pPr>
                  <w:r>
                    <w:rPr>
                      <w:kern w:val="0"/>
                      <w:sz w:val="18"/>
                      <w:szCs w:val="18"/>
                      <w:lang w:bidi="ar"/>
                    </w:rPr>
                    <w:t xml:space="preserve">116.992 </w:t>
                  </w:r>
                </w:p>
              </w:tc>
              <w:tc>
                <w:tcPr>
                  <w:tcW w:w="463" w:type="pct"/>
                  <w:tcBorders>
                    <w:tl2br w:val="nil"/>
                    <w:tr2bl w:val="nil"/>
                  </w:tcBorders>
                  <w:vAlign w:val="center"/>
                </w:tcPr>
                <w:p w14:paraId="46193858">
                  <w:pPr>
                    <w:widowControl/>
                    <w:jc w:val="center"/>
                    <w:textAlignment w:val="center"/>
                    <w:rPr>
                      <w:kern w:val="0"/>
                      <w:sz w:val="18"/>
                      <w:szCs w:val="18"/>
                      <w:lang w:bidi="ar"/>
                    </w:rPr>
                  </w:pPr>
                  <w:r>
                    <w:rPr>
                      <w:kern w:val="0"/>
                      <w:sz w:val="18"/>
                      <w:szCs w:val="18"/>
                      <w:lang w:bidi="ar"/>
                    </w:rPr>
                    <w:t xml:space="preserve">428.719 </w:t>
                  </w:r>
                </w:p>
              </w:tc>
              <w:tc>
                <w:tcPr>
                  <w:tcW w:w="463" w:type="pct"/>
                  <w:tcBorders>
                    <w:tl2br w:val="nil"/>
                    <w:tr2bl w:val="nil"/>
                  </w:tcBorders>
                  <w:vAlign w:val="center"/>
                </w:tcPr>
                <w:p w14:paraId="7A7D31C9">
                  <w:pPr>
                    <w:widowControl/>
                    <w:jc w:val="center"/>
                    <w:textAlignment w:val="center"/>
                    <w:rPr>
                      <w:kern w:val="0"/>
                      <w:sz w:val="18"/>
                      <w:szCs w:val="18"/>
                      <w:lang w:bidi="ar"/>
                    </w:rPr>
                  </w:pPr>
                  <w:r>
                    <w:rPr>
                      <w:kern w:val="0"/>
                      <w:sz w:val="18"/>
                      <w:szCs w:val="18"/>
                      <w:lang w:bidi="ar"/>
                    </w:rPr>
                    <w:t xml:space="preserve">545.710 </w:t>
                  </w:r>
                </w:p>
              </w:tc>
              <w:tc>
                <w:tcPr>
                  <w:tcW w:w="627" w:type="pct"/>
                  <w:vMerge w:val="restart"/>
                  <w:tcBorders>
                    <w:tl2br w:val="nil"/>
                    <w:tr2bl w:val="nil"/>
                  </w:tcBorders>
                  <w:vAlign w:val="center"/>
                </w:tcPr>
                <w:p w14:paraId="2C80F9CC">
                  <w:pPr>
                    <w:widowControl/>
                    <w:jc w:val="center"/>
                    <w:textAlignment w:val="center"/>
                    <w:rPr>
                      <w:rFonts w:eastAsia="等线"/>
                      <w:sz w:val="18"/>
                      <w:szCs w:val="18"/>
                    </w:rPr>
                  </w:pPr>
                  <w:r>
                    <w:rPr>
                      <w:rFonts w:hint="eastAsia"/>
                      <w:kern w:val="0"/>
                      <w:sz w:val="18"/>
                      <w:szCs w:val="18"/>
                      <w:lang w:bidi="ar"/>
                    </w:rPr>
                    <w:t>随着“五水共治”、“污水零直排”深入推进，配套管网建设不断完善，水环境综合治理方案的实施，区域地表水水质总体趋于改善，环境质量底线具有可达性</w:t>
                  </w:r>
                </w:p>
              </w:tc>
            </w:tr>
            <w:tr w14:paraId="6FD39E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729D6B3A">
                  <w:pPr>
                    <w:widowControl/>
                    <w:jc w:val="center"/>
                    <w:rPr>
                      <w:sz w:val="18"/>
                      <w:szCs w:val="18"/>
                    </w:rPr>
                  </w:pPr>
                </w:p>
              </w:tc>
              <w:tc>
                <w:tcPr>
                  <w:tcW w:w="365" w:type="pct"/>
                  <w:vMerge w:val="continue"/>
                  <w:tcBorders>
                    <w:tl2br w:val="nil"/>
                    <w:tr2bl w:val="nil"/>
                  </w:tcBorders>
                  <w:vAlign w:val="center"/>
                </w:tcPr>
                <w:p w14:paraId="77C48597">
                  <w:pPr>
                    <w:widowControl/>
                    <w:jc w:val="center"/>
                    <w:rPr>
                      <w:rFonts w:eastAsia="等线"/>
                      <w:sz w:val="18"/>
                      <w:szCs w:val="18"/>
                    </w:rPr>
                  </w:pPr>
                </w:p>
              </w:tc>
              <w:tc>
                <w:tcPr>
                  <w:tcW w:w="511" w:type="pct"/>
                  <w:tcBorders>
                    <w:tl2br w:val="nil"/>
                    <w:tr2bl w:val="nil"/>
                  </w:tcBorders>
                  <w:vAlign w:val="center"/>
                </w:tcPr>
                <w:p w14:paraId="3C1150BD">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39B49278">
                  <w:pPr>
                    <w:widowControl/>
                    <w:jc w:val="center"/>
                    <w:textAlignment w:val="center"/>
                    <w:rPr>
                      <w:kern w:val="0"/>
                      <w:sz w:val="18"/>
                      <w:szCs w:val="18"/>
                      <w:lang w:bidi="ar"/>
                    </w:rPr>
                  </w:pPr>
                  <w:r>
                    <w:rPr>
                      <w:kern w:val="0"/>
                      <w:sz w:val="18"/>
                      <w:szCs w:val="18"/>
                      <w:lang w:bidi="ar"/>
                    </w:rPr>
                    <w:t xml:space="preserve">130.052 </w:t>
                  </w:r>
                </w:p>
              </w:tc>
              <w:tc>
                <w:tcPr>
                  <w:tcW w:w="423" w:type="pct"/>
                  <w:tcBorders>
                    <w:tl2br w:val="nil"/>
                    <w:tr2bl w:val="nil"/>
                  </w:tcBorders>
                  <w:vAlign w:val="center"/>
                </w:tcPr>
                <w:p w14:paraId="501516EC">
                  <w:pPr>
                    <w:widowControl/>
                    <w:jc w:val="center"/>
                    <w:textAlignment w:val="center"/>
                    <w:rPr>
                      <w:kern w:val="0"/>
                      <w:sz w:val="18"/>
                      <w:szCs w:val="18"/>
                      <w:lang w:bidi="ar"/>
                    </w:rPr>
                  </w:pPr>
                  <w:r>
                    <w:rPr>
                      <w:kern w:val="0"/>
                      <w:sz w:val="18"/>
                      <w:szCs w:val="18"/>
                      <w:lang w:bidi="ar"/>
                    </w:rPr>
                    <w:t xml:space="preserve">603.172 </w:t>
                  </w:r>
                </w:p>
              </w:tc>
              <w:tc>
                <w:tcPr>
                  <w:tcW w:w="423" w:type="pct"/>
                  <w:tcBorders>
                    <w:tl2br w:val="nil"/>
                    <w:tr2bl w:val="nil"/>
                  </w:tcBorders>
                  <w:vAlign w:val="center"/>
                </w:tcPr>
                <w:p w14:paraId="0F64DAE9">
                  <w:pPr>
                    <w:widowControl/>
                    <w:jc w:val="center"/>
                    <w:textAlignment w:val="center"/>
                    <w:rPr>
                      <w:kern w:val="0"/>
                      <w:sz w:val="18"/>
                      <w:szCs w:val="18"/>
                      <w:lang w:bidi="ar"/>
                    </w:rPr>
                  </w:pPr>
                  <w:r>
                    <w:rPr>
                      <w:kern w:val="0"/>
                      <w:sz w:val="18"/>
                      <w:szCs w:val="18"/>
                      <w:lang w:bidi="ar"/>
                    </w:rPr>
                    <w:t xml:space="preserve">733.224 </w:t>
                  </w:r>
                </w:p>
              </w:tc>
              <w:tc>
                <w:tcPr>
                  <w:tcW w:w="641" w:type="pct"/>
                  <w:vMerge w:val="continue"/>
                  <w:tcBorders>
                    <w:tl2br w:val="nil"/>
                    <w:tr2bl w:val="nil"/>
                  </w:tcBorders>
                  <w:vAlign w:val="center"/>
                </w:tcPr>
                <w:p w14:paraId="4A716723">
                  <w:pPr>
                    <w:widowControl/>
                    <w:jc w:val="center"/>
                    <w:textAlignment w:val="center"/>
                    <w:rPr>
                      <w:kern w:val="0"/>
                      <w:sz w:val="18"/>
                      <w:szCs w:val="18"/>
                      <w:lang w:bidi="ar"/>
                    </w:rPr>
                  </w:pPr>
                </w:p>
              </w:tc>
              <w:tc>
                <w:tcPr>
                  <w:tcW w:w="463" w:type="pct"/>
                  <w:tcBorders>
                    <w:tl2br w:val="nil"/>
                    <w:tr2bl w:val="nil"/>
                  </w:tcBorders>
                  <w:vAlign w:val="center"/>
                </w:tcPr>
                <w:p w14:paraId="1598067D">
                  <w:pPr>
                    <w:widowControl/>
                    <w:jc w:val="center"/>
                    <w:textAlignment w:val="center"/>
                    <w:rPr>
                      <w:kern w:val="0"/>
                      <w:sz w:val="18"/>
                      <w:szCs w:val="18"/>
                      <w:lang w:bidi="ar"/>
                    </w:rPr>
                  </w:pPr>
                  <w:r>
                    <w:rPr>
                      <w:kern w:val="0"/>
                      <w:sz w:val="18"/>
                      <w:szCs w:val="18"/>
                      <w:lang w:bidi="ar"/>
                    </w:rPr>
                    <w:t xml:space="preserve">108.600 </w:t>
                  </w:r>
                </w:p>
              </w:tc>
              <w:tc>
                <w:tcPr>
                  <w:tcW w:w="463" w:type="pct"/>
                  <w:tcBorders>
                    <w:tl2br w:val="nil"/>
                    <w:tr2bl w:val="nil"/>
                  </w:tcBorders>
                  <w:vAlign w:val="center"/>
                </w:tcPr>
                <w:p w14:paraId="7E46F1E2">
                  <w:pPr>
                    <w:widowControl/>
                    <w:jc w:val="center"/>
                    <w:textAlignment w:val="center"/>
                    <w:rPr>
                      <w:kern w:val="0"/>
                      <w:sz w:val="18"/>
                      <w:szCs w:val="18"/>
                      <w:lang w:bidi="ar"/>
                    </w:rPr>
                  </w:pPr>
                  <w:r>
                    <w:rPr>
                      <w:kern w:val="0"/>
                      <w:sz w:val="18"/>
                      <w:szCs w:val="18"/>
                      <w:lang w:bidi="ar"/>
                    </w:rPr>
                    <w:t xml:space="preserve">772.695 </w:t>
                  </w:r>
                </w:p>
              </w:tc>
              <w:tc>
                <w:tcPr>
                  <w:tcW w:w="463" w:type="pct"/>
                  <w:tcBorders>
                    <w:tl2br w:val="nil"/>
                    <w:tr2bl w:val="nil"/>
                  </w:tcBorders>
                  <w:vAlign w:val="center"/>
                </w:tcPr>
                <w:p w14:paraId="18EC3D5F">
                  <w:pPr>
                    <w:widowControl/>
                    <w:jc w:val="center"/>
                    <w:textAlignment w:val="center"/>
                    <w:rPr>
                      <w:kern w:val="0"/>
                      <w:sz w:val="18"/>
                      <w:szCs w:val="18"/>
                      <w:lang w:bidi="ar"/>
                    </w:rPr>
                  </w:pPr>
                  <w:r>
                    <w:rPr>
                      <w:kern w:val="0"/>
                      <w:sz w:val="18"/>
                      <w:szCs w:val="18"/>
                      <w:lang w:bidi="ar"/>
                    </w:rPr>
                    <w:t xml:space="preserve">881.295 </w:t>
                  </w:r>
                </w:p>
              </w:tc>
              <w:tc>
                <w:tcPr>
                  <w:tcW w:w="627" w:type="pct"/>
                  <w:vMerge w:val="continue"/>
                  <w:tcBorders>
                    <w:tl2br w:val="nil"/>
                    <w:tr2bl w:val="nil"/>
                  </w:tcBorders>
                  <w:vAlign w:val="center"/>
                </w:tcPr>
                <w:p w14:paraId="0A176210">
                  <w:pPr>
                    <w:widowControl/>
                    <w:jc w:val="center"/>
                    <w:rPr>
                      <w:rFonts w:eastAsia="等线"/>
                      <w:sz w:val="18"/>
                      <w:szCs w:val="18"/>
                    </w:rPr>
                  </w:pPr>
                </w:p>
              </w:tc>
            </w:tr>
            <w:tr w14:paraId="4156DB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7A050D41">
                  <w:pPr>
                    <w:widowControl/>
                    <w:jc w:val="center"/>
                    <w:rPr>
                      <w:sz w:val="18"/>
                      <w:szCs w:val="18"/>
                    </w:rPr>
                  </w:pPr>
                </w:p>
              </w:tc>
              <w:tc>
                <w:tcPr>
                  <w:tcW w:w="365" w:type="pct"/>
                  <w:vMerge w:val="continue"/>
                  <w:tcBorders>
                    <w:tl2br w:val="nil"/>
                    <w:tr2bl w:val="nil"/>
                  </w:tcBorders>
                  <w:vAlign w:val="center"/>
                </w:tcPr>
                <w:p w14:paraId="4DB749B8">
                  <w:pPr>
                    <w:widowControl/>
                    <w:jc w:val="center"/>
                    <w:rPr>
                      <w:rFonts w:eastAsia="等线"/>
                      <w:sz w:val="18"/>
                      <w:szCs w:val="18"/>
                    </w:rPr>
                  </w:pPr>
                </w:p>
              </w:tc>
              <w:tc>
                <w:tcPr>
                  <w:tcW w:w="511" w:type="pct"/>
                  <w:tcBorders>
                    <w:tl2br w:val="nil"/>
                    <w:tr2bl w:val="nil"/>
                  </w:tcBorders>
                  <w:vAlign w:val="center"/>
                </w:tcPr>
                <w:p w14:paraId="5C969E31">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131A90CD">
                  <w:pPr>
                    <w:widowControl/>
                    <w:jc w:val="center"/>
                    <w:textAlignment w:val="center"/>
                    <w:rPr>
                      <w:kern w:val="0"/>
                      <w:sz w:val="18"/>
                      <w:szCs w:val="18"/>
                      <w:lang w:bidi="ar"/>
                    </w:rPr>
                  </w:pPr>
                  <w:r>
                    <w:rPr>
                      <w:kern w:val="0"/>
                      <w:sz w:val="18"/>
                      <w:szCs w:val="18"/>
                      <w:lang w:bidi="ar"/>
                    </w:rPr>
                    <w:t xml:space="preserve">+13.061 </w:t>
                  </w:r>
                </w:p>
              </w:tc>
              <w:tc>
                <w:tcPr>
                  <w:tcW w:w="423" w:type="pct"/>
                  <w:tcBorders>
                    <w:tl2br w:val="nil"/>
                    <w:tr2bl w:val="nil"/>
                  </w:tcBorders>
                  <w:vAlign w:val="center"/>
                </w:tcPr>
                <w:p w14:paraId="08EA8E74">
                  <w:pPr>
                    <w:widowControl/>
                    <w:jc w:val="center"/>
                    <w:textAlignment w:val="center"/>
                    <w:rPr>
                      <w:kern w:val="0"/>
                      <w:sz w:val="18"/>
                      <w:szCs w:val="18"/>
                      <w:lang w:bidi="ar"/>
                    </w:rPr>
                  </w:pPr>
                  <w:r>
                    <w:rPr>
                      <w:kern w:val="0"/>
                      <w:sz w:val="18"/>
                      <w:szCs w:val="18"/>
                      <w:lang w:bidi="ar"/>
                    </w:rPr>
                    <w:t xml:space="preserve">+174.453 </w:t>
                  </w:r>
                </w:p>
              </w:tc>
              <w:tc>
                <w:tcPr>
                  <w:tcW w:w="423" w:type="pct"/>
                  <w:tcBorders>
                    <w:tl2br w:val="nil"/>
                    <w:tr2bl w:val="nil"/>
                  </w:tcBorders>
                  <w:vAlign w:val="center"/>
                </w:tcPr>
                <w:p w14:paraId="6A6C1680">
                  <w:pPr>
                    <w:widowControl/>
                    <w:jc w:val="center"/>
                    <w:textAlignment w:val="center"/>
                    <w:rPr>
                      <w:kern w:val="0"/>
                      <w:sz w:val="18"/>
                      <w:szCs w:val="18"/>
                      <w:lang w:bidi="ar"/>
                    </w:rPr>
                  </w:pPr>
                  <w:r>
                    <w:rPr>
                      <w:kern w:val="0"/>
                      <w:sz w:val="18"/>
                      <w:szCs w:val="18"/>
                      <w:lang w:bidi="ar"/>
                    </w:rPr>
                    <w:t xml:space="preserve">+187.514 </w:t>
                  </w:r>
                </w:p>
              </w:tc>
              <w:tc>
                <w:tcPr>
                  <w:tcW w:w="641" w:type="pct"/>
                  <w:vMerge w:val="continue"/>
                  <w:tcBorders>
                    <w:tl2br w:val="nil"/>
                    <w:tr2bl w:val="nil"/>
                  </w:tcBorders>
                  <w:vAlign w:val="center"/>
                </w:tcPr>
                <w:p w14:paraId="0F499FAF">
                  <w:pPr>
                    <w:widowControl/>
                    <w:jc w:val="center"/>
                    <w:textAlignment w:val="center"/>
                    <w:rPr>
                      <w:kern w:val="0"/>
                      <w:sz w:val="18"/>
                      <w:szCs w:val="18"/>
                      <w:lang w:bidi="ar"/>
                    </w:rPr>
                  </w:pPr>
                </w:p>
              </w:tc>
              <w:tc>
                <w:tcPr>
                  <w:tcW w:w="463" w:type="pct"/>
                  <w:tcBorders>
                    <w:tl2br w:val="nil"/>
                    <w:tr2bl w:val="nil"/>
                  </w:tcBorders>
                  <w:vAlign w:val="center"/>
                </w:tcPr>
                <w:p w14:paraId="733E19A6">
                  <w:pPr>
                    <w:widowControl/>
                    <w:jc w:val="center"/>
                    <w:textAlignment w:val="center"/>
                    <w:rPr>
                      <w:kern w:val="0"/>
                      <w:sz w:val="18"/>
                      <w:szCs w:val="18"/>
                      <w:lang w:bidi="ar"/>
                    </w:rPr>
                  </w:pPr>
                  <w:r>
                    <w:rPr>
                      <w:kern w:val="0"/>
                      <w:sz w:val="18"/>
                      <w:szCs w:val="18"/>
                      <w:lang w:bidi="ar"/>
                    </w:rPr>
                    <w:t xml:space="preserve">-8.392 </w:t>
                  </w:r>
                </w:p>
              </w:tc>
              <w:tc>
                <w:tcPr>
                  <w:tcW w:w="463" w:type="pct"/>
                  <w:tcBorders>
                    <w:tl2br w:val="nil"/>
                    <w:tr2bl w:val="nil"/>
                  </w:tcBorders>
                  <w:vAlign w:val="center"/>
                </w:tcPr>
                <w:p w14:paraId="5CD8D4E4">
                  <w:pPr>
                    <w:widowControl/>
                    <w:jc w:val="center"/>
                    <w:textAlignment w:val="center"/>
                    <w:rPr>
                      <w:kern w:val="0"/>
                      <w:sz w:val="18"/>
                      <w:szCs w:val="18"/>
                      <w:lang w:bidi="ar"/>
                    </w:rPr>
                  </w:pPr>
                  <w:r>
                    <w:rPr>
                      <w:kern w:val="0"/>
                      <w:sz w:val="18"/>
                      <w:szCs w:val="18"/>
                      <w:lang w:bidi="ar"/>
                    </w:rPr>
                    <w:t xml:space="preserve">+343.976 </w:t>
                  </w:r>
                </w:p>
              </w:tc>
              <w:tc>
                <w:tcPr>
                  <w:tcW w:w="463" w:type="pct"/>
                  <w:tcBorders>
                    <w:tl2br w:val="nil"/>
                    <w:tr2bl w:val="nil"/>
                  </w:tcBorders>
                  <w:vAlign w:val="center"/>
                </w:tcPr>
                <w:p w14:paraId="195AFABE">
                  <w:pPr>
                    <w:widowControl/>
                    <w:jc w:val="center"/>
                    <w:textAlignment w:val="center"/>
                    <w:rPr>
                      <w:kern w:val="0"/>
                      <w:sz w:val="18"/>
                      <w:szCs w:val="18"/>
                      <w:lang w:bidi="ar"/>
                    </w:rPr>
                  </w:pPr>
                  <w:r>
                    <w:rPr>
                      <w:kern w:val="0"/>
                      <w:sz w:val="18"/>
                      <w:szCs w:val="18"/>
                      <w:lang w:bidi="ar"/>
                    </w:rPr>
                    <w:t xml:space="preserve">+335.584 </w:t>
                  </w:r>
                </w:p>
              </w:tc>
              <w:tc>
                <w:tcPr>
                  <w:tcW w:w="627" w:type="pct"/>
                  <w:vMerge w:val="continue"/>
                  <w:tcBorders>
                    <w:tl2br w:val="nil"/>
                    <w:tr2bl w:val="nil"/>
                  </w:tcBorders>
                  <w:vAlign w:val="center"/>
                </w:tcPr>
                <w:p w14:paraId="1CB214AD">
                  <w:pPr>
                    <w:widowControl/>
                    <w:jc w:val="center"/>
                    <w:rPr>
                      <w:rFonts w:eastAsia="等线"/>
                      <w:sz w:val="18"/>
                      <w:szCs w:val="18"/>
                    </w:rPr>
                  </w:pPr>
                </w:p>
              </w:tc>
            </w:tr>
            <w:tr w14:paraId="26BF87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28A36482">
                  <w:pPr>
                    <w:widowControl/>
                    <w:jc w:val="center"/>
                    <w:rPr>
                      <w:sz w:val="18"/>
                      <w:szCs w:val="18"/>
                    </w:rPr>
                  </w:pPr>
                </w:p>
              </w:tc>
              <w:tc>
                <w:tcPr>
                  <w:tcW w:w="365" w:type="pct"/>
                  <w:vMerge w:val="restart"/>
                  <w:tcBorders>
                    <w:tl2br w:val="nil"/>
                    <w:tr2bl w:val="nil"/>
                  </w:tcBorders>
                  <w:vAlign w:val="center"/>
                </w:tcPr>
                <w:p w14:paraId="50CF9452">
                  <w:pPr>
                    <w:widowControl/>
                    <w:jc w:val="center"/>
                    <w:textAlignment w:val="center"/>
                    <w:rPr>
                      <w:rFonts w:eastAsia="等线"/>
                      <w:sz w:val="18"/>
                      <w:szCs w:val="18"/>
                    </w:rPr>
                  </w:pPr>
                  <w:r>
                    <w:rPr>
                      <w:rFonts w:eastAsia="等线"/>
                      <w:kern w:val="0"/>
                      <w:sz w:val="18"/>
                      <w:szCs w:val="18"/>
                      <w:lang w:bidi="ar"/>
                    </w:rPr>
                    <w:t>NH</w:t>
                  </w:r>
                  <w:r>
                    <w:rPr>
                      <w:rFonts w:eastAsia="等线"/>
                      <w:kern w:val="0"/>
                      <w:sz w:val="18"/>
                      <w:szCs w:val="18"/>
                      <w:vertAlign w:val="subscript"/>
                      <w:lang w:bidi="ar"/>
                    </w:rPr>
                    <w:t>3</w:t>
                  </w:r>
                  <w:r>
                    <w:rPr>
                      <w:rFonts w:eastAsia="等线"/>
                      <w:kern w:val="0"/>
                      <w:sz w:val="18"/>
                      <w:szCs w:val="18"/>
                      <w:lang w:bidi="ar"/>
                    </w:rPr>
                    <w:t>-N</w:t>
                  </w:r>
                </w:p>
              </w:tc>
              <w:tc>
                <w:tcPr>
                  <w:tcW w:w="511" w:type="pct"/>
                  <w:tcBorders>
                    <w:tl2br w:val="nil"/>
                    <w:tr2bl w:val="nil"/>
                  </w:tcBorders>
                  <w:vAlign w:val="center"/>
                </w:tcPr>
                <w:p w14:paraId="61217187">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2EAA4C7B">
                  <w:pPr>
                    <w:widowControl/>
                    <w:jc w:val="center"/>
                    <w:textAlignment w:val="center"/>
                    <w:rPr>
                      <w:kern w:val="0"/>
                      <w:sz w:val="18"/>
                      <w:szCs w:val="18"/>
                      <w:lang w:bidi="ar"/>
                    </w:rPr>
                  </w:pPr>
                  <w:r>
                    <w:rPr>
                      <w:kern w:val="0"/>
                      <w:sz w:val="18"/>
                      <w:szCs w:val="18"/>
                      <w:lang w:bidi="ar"/>
                    </w:rPr>
                    <w:t xml:space="preserve">5.850 </w:t>
                  </w:r>
                </w:p>
              </w:tc>
              <w:tc>
                <w:tcPr>
                  <w:tcW w:w="423" w:type="pct"/>
                  <w:tcBorders>
                    <w:tl2br w:val="nil"/>
                    <w:tr2bl w:val="nil"/>
                  </w:tcBorders>
                  <w:vAlign w:val="center"/>
                </w:tcPr>
                <w:p w14:paraId="4BE84709">
                  <w:pPr>
                    <w:widowControl/>
                    <w:jc w:val="center"/>
                    <w:textAlignment w:val="center"/>
                    <w:rPr>
                      <w:kern w:val="0"/>
                      <w:sz w:val="18"/>
                      <w:szCs w:val="18"/>
                      <w:lang w:bidi="ar"/>
                    </w:rPr>
                  </w:pPr>
                  <w:r>
                    <w:rPr>
                      <w:kern w:val="0"/>
                      <w:sz w:val="18"/>
                      <w:szCs w:val="18"/>
                      <w:lang w:bidi="ar"/>
                    </w:rPr>
                    <w:t xml:space="preserve">26.155 </w:t>
                  </w:r>
                </w:p>
              </w:tc>
              <w:tc>
                <w:tcPr>
                  <w:tcW w:w="423" w:type="pct"/>
                  <w:tcBorders>
                    <w:tl2br w:val="nil"/>
                    <w:tr2bl w:val="nil"/>
                  </w:tcBorders>
                  <w:vAlign w:val="center"/>
                </w:tcPr>
                <w:p w14:paraId="438C1392">
                  <w:pPr>
                    <w:widowControl/>
                    <w:jc w:val="center"/>
                    <w:textAlignment w:val="center"/>
                    <w:rPr>
                      <w:kern w:val="0"/>
                      <w:sz w:val="18"/>
                      <w:szCs w:val="18"/>
                      <w:lang w:bidi="ar"/>
                    </w:rPr>
                  </w:pPr>
                  <w:r>
                    <w:rPr>
                      <w:kern w:val="0"/>
                      <w:sz w:val="18"/>
                      <w:szCs w:val="18"/>
                      <w:lang w:bidi="ar"/>
                    </w:rPr>
                    <w:t xml:space="preserve">32.004 </w:t>
                  </w:r>
                </w:p>
              </w:tc>
              <w:tc>
                <w:tcPr>
                  <w:tcW w:w="641" w:type="pct"/>
                  <w:vMerge w:val="continue"/>
                  <w:tcBorders>
                    <w:tl2br w:val="nil"/>
                    <w:tr2bl w:val="nil"/>
                  </w:tcBorders>
                  <w:vAlign w:val="center"/>
                </w:tcPr>
                <w:p w14:paraId="38F6DDCF">
                  <w:pPr>
                    <w:widowControl/>
                    <w:jc w:val="center"/>
                    <w:textAlignment w:val="center"/>
                    <w:rPr>
                      <w:kern w:val="0"/>
                      <w:sz w:val="18"/>
                      <w:szCs w:val="18"/>
                      <w:lang w:bidi="ar"/>
                    </w:rPr>
                  </w:pPr>
                </w:p>
              </w:tc>
              <w:tc>
                <w:tcPr>
                  <w:tcW w:w="463" w:type="pct"/>
                  <w:tcBorders>
                    <w:tl2br w:val="nil"/>
                    <w:tr2bl w:val="nil"/>
                  </w:tcBorders>
                  <w:vAlign w:val="center"/>
                </w:tcPr>
                <w:p w14:paraId="12504761">
                  <w:pPr>
                    <w:widowControl/>
                    <w:jc w:val="center"/>
                    <w:textAlignment w:val="center"/>
                    <w:rPr>
                      <w:kern w:val="0"/>
                      <w:sz w:val="18"/>
                      <w:szCs w:val="18"/>
                      <w:lang w:bidi="ar"/>
                    </w:rPr>
                  </w:pPr>
                  <w:r>
                    <w:rPr>
                      <w:kern w:val="0"/>
                      <w:sz w:val="18"/>
                      <w:szCs w:val="18"/>
                      <w:lang w:bidi="ar"/>
                    </w:rPr>
                    <w:t xml:space="preserve">5.850 </w:t>
                  </w:r>
                </w:p>
              </w:tc>
              <w:tc>
                <w:tcPr>
                  <w:tcW w:w="463" w:type="pct"/>
                  <w:tcBorders>
                    <w:tl2br w:val="nil"/>
                    <w:tr2bl w:val="nil"/>
                  </w:tcBorders>
                  <w:vAlign w:val="center"/>
                </w:tcPr>
                <w:p w14:paraId="141C592C">
                  <w:pPr>
                    <w:widowControl/>
                    <w:jc w:val="center"/>
                    <w:textAlignment w:val="center"/>
                    <w:rPr>
                      <w:kern w:val="0"/>
                      <w:sz w:val="18"/>
                      <w:szCs w:val="18"/>
                      <w:lang w:bidi="ar"/>
                    </w:rPr>
                  </w:pPr>
                  <w:r>
                    <w:rPr>
                      <w:kern w:val="0"/>
                      <w:sz w:val="18"/>
                      <w:szCs w:val="18"/>
                      <w:lang w:bidi="ar"/>
                    </w:rPr>
                    <w:t xml:space="preserve">26.155 </w:t>
                  </w:r>
                </w:p>
              </w:tc>
              <w:tc>
                <w:tcPr>
                  <w:tcW w:w="463" w:type="pct"/>
                  <w:tcBorders>
                    <w:tl2br w:val="nil"/>
                    <w:tr2bl w:val="nil"/>
                  </w:tcBorders>
                  <w:vAlign w:val="center"/>
                </w:tcPr>
                <w:p w14:paraId="23E15644">
                  <w:pPr>
                    <w:widowControl/>
                    <w:jc w:val="center"/>
                    <w:textAlignment w:val="center"/>
                    <w:rPr>
                      <w:kern w:val="0"/>
                      <w:sz w:val="18"/>
                      <w:szCs w:val="18"/>
                      <w:lang w:bidi="ar"/>
                    </w:rPr>
                  </w:pPr>
                  <w:r>
                    <w:rPr>
                      <w:kern w:val="0"/>
                      <w:sz w:val="18"/>
                      <w:szCs w:val="18"/>
                      <w:lang w:bidi="ar"/>
                    </w:rPr>
                    <w:t xml:space="preserve">32.004 </w:t>
                  </w:r>
                </w:p>
              </w:tc>
              <w:tc>
                <w:tcPr>
                  <w:tcW w:w="627" w:type="pct"/>
                  <w:vMerge w:val="continue"/>
                  <w:tcBorders>
                    <w:tl2br w:val="nil"/>
                    <w:tr2bl w:val="nil"/>
                  </w:tcBorders>
                  <w:vAlign w:val="center"/>
                </w:tcPr>
                <w:p w14:paraId="4C4315D6">
                  <w:pPr>
                    <w:widowControl/>
                    <w:jc w:val="center"/>
                    <w:rPr>
                      <w:rFonts w:eastAsia="等线"/>
                      <w:sz w:val="18"/>
                      <w:szCs w:val="18"/>
                    </w:rPr>
                  </w:pPr>
                </w:p>
              </w:tc>
            </w:tr>
            <w:tr w14:paraId="74CC9A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797FBD05">
                  <w:pPr>
                    <w:widowControl/>
                    <w:jc w:val="center"/>
                    <w:rPr>
                      <w:sz w:val="18"/>
                      <w:szCs w:val="18"/>
                    </w:rPr>
                  </w:pPr>
                </w:p>
              </w:tc>
              <w:tc>
                <w:tcPr>
                  <w:tcW w:w="365" w:type="pct"/>
                  <w:vMerge w:val="continue"/>
                  <w:tcBorders>
                    <w:tl2br w:val="nil"/>
                    <w:tr2bl w:val="nil"/>
                  </w:tcBorders>
                  <w:vAlign w:val="center"/>
                </w:tcPr>
                <w:p w14:paraId="40FB0A9A">
                  <w:pPr>
                    <w:widowControl/>
                    <w:jc w:val="center"/>
                    <w:rPr>
                      <w:rFonts w:eastAsia="等线"/>
                      <w:sz w:val="18"/>
                      <w:szCs w:val="18"/>
                    </w:rPr>
                  </w:pPr>
                </w:p>
              </w:tc>
              <w:tc>
                <w:tcPr>
                  <w:tcW w:w="511" w:type="pct"/>
                  <w:tcBorders>
                    <w:tl2br w:val="nil"/>
                    <w:tr2bl w:val="nil"/>
                  </w:tcBorders>
                  <w:vAlign w:val="center"/>
                </w:tcPr>
                <w:p w14:paraId="0067867A">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4EA9C8F2">
                  <w:pPr>
                    <w:widowControl/>
                    <w:jc w:val="center"/>
                    <w:textAlignment w:val="center"/>
                    <w:rPr>
                      <w:kern w:val="0"/>
                      <w:sz w:val="18"/>
                      <w:szCs w:val="18"/>
                      <w:lang w:bidi="ar"/>
                    </w:rPr>
                  </w:pPr>
                  <w:r>
                    <w:rPr>
                      <w:kern w:val="0"/>
                      <w:sz w:val="18"/>
                      <w:szCs w:val="18"/>
                      <w:lang w:bidi="ar"/>
                    </w:rPr>
                    <w:t xml:space="preserve">6.546 </w:t>
                  </w:r>
                </w:p>
              </w:tc>
              <w:tc>
                <w:tcPr>
                  <w:tcW w:w="423" w:type="pct"/>
                  <w:tcBorders>
                    <w:tl2br w:val="nil"/>
                    <w:tr2bl w:val="nil"/>
                  </w:tcBorders>
                  <w:vAlign w:val="center"/>
                </w:tcPr>
                <w:p w14:paraId="0C3644FF">
                  <w:pPr>
                    <w:widowControl/>
                    <w:jc w:val="center"/>
                    <w:textAlignment w:val="center"/>
                    <w:rPr>
                      <w:kern w:val="0"/>
                      <w:sz w:val="18"/>
                      <w:szCs w:val="18"/>
                      <w:lang w:bidi="ar"/>
                    </w:rPr>
                  </w:pPr>
                  <w:r>
                    <w:rPr>
                      <w:kern w:val="0"/>
                      <w:sz w:val="18"/>
                      <w:szCs w:val="18"/>
                      <w:lang w:bidi="ar"/>
                    </w:rPr>
                    <w:t xml:space="preserve">30.159 </w:t>
                  </w:r>
                </w:p>
              </w:tc>
              <w:tc>
                <w:tcPr>
                  <w:tcW w:w="423" w:type="pct"/>
                  <w:tcBorders>
                    <w:tl2br w:val="nil"/>
                    <w:tr2bl w:val="nil"/>
                  </w:tcBorders>
                  <w:vAlign w:val="center"/>
                </w:tcPr>
                <w:p w14:paraId="61AD0EB6">
                  <w:pPr>
                    <w:widowControl/>
                    <w:jc w:val="center"/>
                    <w:textAlignment w:val="center"/>
                    <w:rPr>
                      <w:kern w:val="0"/>
                      <w:sz w:val="18"/>
                      <w:szCs w:val="18"/>
                      <w:lang w:bidi="ar"/>
                    </w:rPr>
                  </w:pPr>
                  <w:r>
                    <w:rPr>
                      <w:kern w:val="0"/>
                      <w:sz w:val="18"/>
                      <w:szCs w:val="18"/>
                      <w:lang w:bidi="ar"/>
                    </w:rPr>
                    <w:t xml:space="preserve">36.704 </w:t>
                  </w:r>
                </w:p>
              </w:tc>
              <w:tc>
                <w:tcPr>
                  <w:tcW w:w="641" w:type="pct"/>
                  <w:vMerge w:val="continue"/>
                  <w:tcBorders>
                    <w:tl2br w:val="nil"/>
                    <w:tr2bl w:val="nil"/>
                  </w:tcBorders>
                  <w:vAlign w:val="center"/>
                </w:tcPr>
                <w:p w14:paraId="32C00DBE">
                  <w:pPr>
                    <w:widowControl/>
                    <w:jc w:val="center"/>
                    <w:textAlignment w:val="center"/>
                    <w:rPr>
                      <w:kern w:val="0"/>
                      <w:sz w:val="18"/>
                      <w:szCs w:val="18"/>
                      <w:lang w:bidi="ar"/>
                    </w:rPr>
                  </w:pPr>
                </w:p>
              </w:tc>
              <w:tc>
                <w:tcPr>
                  <w:tcW w:w="463" w:type="pct"/>
                  <w:tcBorders>
                    <w:tl2br w:val="nil"/>
                    <w:tr2bl w:val="nil"/>
                  </w:tcBorders>
                  <w:vAlign w:val="center"/>
                </w:tcPr>
                <w:p w14:paraId="5E4CC26E">
                  <w:pPr>
                    <w:widowControl/>
                    <w:jc w:val="center"/>
                    <w:textAlignment w:val="center"/>
                    <w:rPr>
                      <w:kern w:val="0"/>
                      <w:sz w:val="18"/>
                      <w:szCs w:val="18"/>
                      <w:lang w:bidi="ar"/>
                    </w:rPr>
                  </w:pPr>
                  <w:r>
                    <w:rPr>
                      <w:kern w:val="0"/>
                      <w:sz w:val="18"/>
                      <w:szCs w:val="18"/>
                      <w:lang w:bidi="ar"/>
                    </w:rPr>
                    <w:t xml:space="preserve">5.454 </w:t>
                  </w:r>
                </w:p>
              </w:tc>
              <w:tc>
                <w:tcPr>
                  <w:tcW w:w="463" w:type="pct"/>
                  <w:tcBorders>
                    <w:tl2br w:val="nil"/>
                    <w:tr2bl w:val="nil"/>
                  </w:tcBorders>
                  <w:vAlign w:val="center"/>
                </w:tcPr>
                <w:p w14:paraId="2D0D22A7">
                  <w:pPr>
                    <w:widowControl/>
                    <w:jc w:val="center"/>
                    <w:textAlignment w:val="center"/>
                    <w:rPr>
                      <w:kern w:val="0"/>
                      <w:sz w:val="18"/>
                      <w:szCs w:val="18"/>
                      <w:lang w:bidi="ar"/>
                    </w:rPr>
                  </w:pPr>
                  <w:r>
                    <w:rPr>
                      <w:kern w:val="0"/>
                      <w:sz w:val="18"/>
                      <w:szCs w:val="18"/>
                      <w:lang w:bidi="ar"/>
                    </w:rPr>
                    <w:t xml:space="preserve">33.177 </w:t>
                  </w:r>
                </w:p>
              </w:tc>
              <w:tc>
                <w:tcPr>
                  <w:tcW w:w="463" w:type="pct"/>
                  <w:tcBorders>
                    <w:tl2br w:val="nil"/>
                    <w:tr2bl w:val="nil"/>
                  </w:tcBorders>
                  <w:vAlign w:val="center"/>
                </w:tcPr>
                <w:p w14:paraId="6CBE949F">
                  <w:pPr>
                    <w:widowControl/>
                    <w:jc w:val="center"/>
                    <w:textAlignment w:val="center"/>
                    <w:rPr>
                      <w:kern w:val="0"/>
                      <w:sz w:val="18"/>
                      <w:szCs w:val="18"/>
                      <w:lang w:bidi="ar"/>
                    </w:rPr>
                  </w:pPr>
                  <w:r>
                    <w:rPr>
                      <w:kern w:val="0"/>
                      <w:sz w:val="18"/>
                      <w:szCs w:val="18"/>
                      <w:lang w:bidi="ar"/>
                    </w:rPr>
                    <w:t xml:space="preserve">38.631 </w:t>
                  </w:r>
                </w:p>
              </w:tc>
              <w:tc>
                <w:tcPr>
                  <w:tcW w:w="627" w:type="pct"/>
                  <w:vMerge w:val="continue"/>
                  <w:tcBorders>
                    <w:tl2br w:val="nil"/>
                    <w:tr2bl w:val="nil"/>
                  </w:tcBorders>
                  <w:vAlign w:val="center"/>
                </w:tcPr>
                <w:p w14:paraId="75B8C7F4">
                  <w:pPr>
                    <w:widowControl/>
                    <w:jc w:val="center"/>
                    <w:rPr>
                      <w:rFonts w:eastAsia="等线"/>
                      <w:sz w:val="18"/>
                      <w:szCs w:val="18"/>
                    </w:rPr>
                  </w:pPr>
                </w:p>
              </w:tc>
            </w:tr>
            <w:tr w14:paraId="07579D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1766D708">
                  <w:pPr>
                    <w:widowControl/>
                    <w:jc w:val="center"/>
                    <w:rPr>
                      <w:sz w:val="18"/>
                      <w:szCs w:val="18"/>
                    </w:rPr>
                  </w:pPr>
                </w:p>
              </w:tc>
              <w:tc>
                <w:tcPr>
                  <w:tcW w:w="365" w:type="pct"/>
                  <w:vMerge w:val="continue"/>
                  <w:tcBorders>
                    <w:tl2br w:val="nil"/>
                    <w:tr2bl w:val="nil"/>
                  </w:tcBorders>
                  <w:vAlign w:val="center"/>
                </w:tcPr>
                <w:p w14:paraId="4AFDB58A">
                  <w:pPr>
                    <w:widowControl/>
                    <w:jc w:val="center"/>
                    <w:rPr>
                      <w:rFonts w:eastAsia="等线"/>
                      <w:sz w:val="18"/>
                      <w:szCs w:val="18"/>
                    </w:rPr>
                  </w:pPr>
                </w:p>
              </w:tc>
              <w:tc>
                <w:tcPr>
                  <w:tcW w:w="511" w:type="pct"/>
                  <w:tcBorders>
                    <w:tl2br w:val="nil"/>
                    <w:tr2bl w:val="nil"/>
                  </w:tcBorders>
                  <w:vAlign w:val="center"/>
                </w:tcPr>
                <w:p w14:paraId="7900AF9D">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2E90B3A6">
                  <w:pPr>
                    <w:widowControl/>
                    <w:jc w:val="center"/>
                    <w:textAlignment w:val="center"/>
                    <w:rPr>
                      <w:kern w:val="0"/>
                      <w:sz w:val="18"/>
                      <w:szCs w:val="18"/>
                      <w:lang w:bidi="ar"/>
                    </w:rPr>
                  </w:pPr>
                  <w:r>
                    <w:rPr>
                      <w:kern w:val="0"/>
                      <w:sz w:val="18"/>
                      <w:szCs w:val="18"/>
                      <w:lang w:bidi="ar"/>
                    </w:rPr>
                    <w:t xml:space="preserve">+0.696 </w:t>
                  </w:r>
                </w:p>
              </w:tc>
              <w:tc>
                <w:tcPr>
                  <w:tcW w:w="423" w:type="pct"/>
                  <w:tcBorders>
                    <w:tl2br w:val="nil"/>
                    <w:tr2bl w:val="nil"/>
                  </w:tcBorders>
                  <w:vAlign w:val="center"/>
                </w:tcPr>
                <w:p w14:paraId="101B98C0">
                  <w:pPr>
                    <w:widowControl/>
                    <w:jc w:val="center"/>
                    <w:textAlignment w:val="center"/>
                    <w:rPr>
                      <w:kern w:val="0"/>
                      <w:sz w:val="18"/>
                      <w:szCs w:val="18"/>
                      <w:lang w:bidi="ar"/>
                    </w:rPr>
                  </w:pPr>
                  <w:r>
                    <w:rPr>
                      <w:kern w:val="0"/>
                      <w:sz w:val="18"/>
                      <w:szCs w:val="18"/>
                      <w:lang w:bidi="ar"/>
                    </w:rPr>
                    <w:t xml:space="preserve">+4.004 </w:t>
                  </w:r>
                </w:p>
              </w:tc>
              <w:tc>
                <w:tcPr>
                  <w:tcW w:w="423" w:type="pct"/>
                  <w:tcBorders>
                    <w:tl2br w:val="nil"/>
                    <w:tr2bl w:val="nil"/>
                  </w:tcBorders>
                  <w:vAlign w:val="center"/>
                </w:tcPr>
                <w:p w14:paraId="146F7243">
                  <w:pPr>
                    <w:widowControl/>
                    <w:jc w:val="center"/>
                    <w:textAlignment w:val="center"/>
                    <w:rPr>
                      <w:kern w:val="0"/>
                      <w:sz w:val="18"/>
                      <w:szCs w:val="18"/>
                      <w:lang w:bidi="ar"/>
                    </w:rPr>
                  </w:pPr>
                  <w:r>
                    <w:rPr>
                      <w:kern w:val="0"/>
                      <w:sz w:val="18"/>
                      <w:szCs w:val="18"/>
                      <w:lang w:bidi="ar"/>
                    </w:rPr>
                    <w:t xml:space="preserve">+4.700 </w:t>
                  </w:r>
                </w:p>
              </w:tc>
              <w:tc>
                <w:tcPr>
                  <w:tcW w:w="641" w:type="pct"/>
                  <w:vMerge w:val="continue"/>
                  <w:tcBorders>
                    <w:tl2br w:val="nil"/>
                    <w:tr2bl w:val="nil"/>
                  </w:tcBorders>
                  <w:vAlign w:val="center"/>
                </w:tcPr>
                <w:p w14:paraId="1220C1C9">
                  <w:pPr>
                    <w:widowControl/>
                    <w:jc w:val="center"/>
                    <w:textAlignment w:val="center"/>
                    <w:rPr>
                      <w:kern w:val="0"/>
                      <w:sz w:val="18"/>
                      <w:szCs w:val="18"/>
                      <w:lang w:bidi="ar"/>
                    </w:rPr>
                  </w:pPr>
                </w:p>
              </w:tc>
              <w:tc>
                <w:tcPr>
                  <w:tcW w:w="463" w:type="pct"/>
                  <w:tcBorders>
                    <w:tl2br w:val="nil"/>
                    <w:tr2bl w:val="nil"/>
                  </w:tcBorders>
                  <w:vAlign w:val="center"/>
                </w:tcPr>
                <w:p w14:paraId="2E7A9433">
                  <w:pPr>
                    <w:widowControl/>
                    <w:jc w:val="center"/>
                    <w:textAlignment w:val="center"/>
                    <w:rPr>
                      <w:kern w:val="0"/>
                      <w:sz w:val="18"/>
                      <w:szCs w:val="18"/>
                      <w:lang w:bidi="ar"/>
                    </w:rPr>
                  </w:pPr>
                  <w:r>
                    <w:rPr>
                      <w:kern w:val="0"/>
                      <w:sz w:val="18"/>
                      <w:szCs w:val="18"/>
                      <w:lang w:bidi="ar"/>
                    </w:rPr>
                    <w:t xml:space="preserve">-0.395 </w:t>
                  </w:r>
                </w:p>
              </w:tc>
              <w:tc>
                <w:tcPr>
                  <w:tcW w:w="463" w:type="pct"/>
                  <w:tcBorders>
                    <w:tl2br w:val="nil"/>
                    <w:tr2bl w:val="nil"/>
                  </w:tcBorders>
                  <w:vAlign w:val="center"/>
                </w:tcPr>
                <w:p w14:paraId="75F7508C">
                  <w:pPr>
                    <w:widowControl/>
                    <w:jc w:val="center"/>
                    <w:textAlignment w:val="center"/>
                    <w:rPr>
                      <w:kern w:val="0"/>
                      <w:sz w:val="18"/>
                      <w:szCs w:val="18"/>
                      <w:lang w:bidi="ar"/>
                    </w:rPr>
                  </w:pPr>
                  <w:r>
                    <w:rPr>
                      <w:kern w:val="0"/>
                      <w:sz w:val="18"/>
                      <w:szCs w:val="18"/>
                      <w:lang w:bidi="ar"/>
                    </w:rPr>
                    <w:t xml:space="preserve">+7.022 </w:t>
                  </w:r>
                </w:p>
              </w:tc>
              <w:tc>
                <w:tcPr>
                  <w:tcW w:w="463" w:type="pct"/>
                  <w:tcBorders>
                    <w:tl2br w:val="nil"/>
                    <w:tr2bl w:val="nil"/>
                  </w:tcBorders>
                  <w:vAlign w:val="center"/>
                </w:tcPr>
                <w:p w14:paraId="685ECBD8">
                  <w:pPr>
                    <w:widowControl/>
                    <w:jc w:val="center"/>
                    <w:textAlignment w:val="center"/>
                    <w:rPr>
                      <w:kern w:val="0"/>
                      <w:sz w:val="18"/>
                      <w:szCs w:val="18"/>
                      <w:lang w:bidi="ar"/>
                    </w:rPr>
                  </w:pPr>
                  <w:r>
                    <w:rPr>
                      <w:kern w:val="0"/>
                      <w:sz w:val="18"/>
                      <w:szCs w:val="18"/>
                      <w:lang w:bidi="ar"/>
                    </w:rPr>
                    <w:t xml:space="preserve">+6.626 </w:t>
                  </w:r>
                </w:p>
              </w:tc>
              <w:tc>
                <w:tcPr>
                  <w:tcW w:w="627" w:type="pct"/>
                  <w:vMerge w:val="continue"/>
                  <w:tcBorders>
                    <w:tl2br w:val="nil"/>
                    <w:tr2bl w:val="nil"/>
                  </w:tcBorders>
                  <w:vAlign w:val="center"/>
                </w:tcPr>
                <w:p w14:paraId="11A72DEE">
                  <w:pPr>
                    <w:widowControl/>
                    <w:jc w:val="center"/>
                    <w:rPr>
                      <w:rFonts w:eastAsia="等线"/>
                      <w:sz w:val="18"/>
                      <w:szCs w:val="18"/>
                    </w:rPr>
                  </w:pPr>
                </w:p>
              </w:tc>
            </w:tr>
            <w:tr w14:paraId="309C28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2E23B0FC">
                  <w:pPr>
                    <w:widowControl/>
                    <w:jc w:val="center"/>
                    <w:rPr>
                      <w:sz w:val="18"/>
                      <w:szCs w:val="18"/>
                    </w:rPr>
                  </w:pPr>
                </w:p>
              </w:tc>
              <w:tc>
                <w:tcPr>
                  <w:tcW w:w="365" w:type="pct"/>
                  <w:vMerge w:val="restart"/>
                  <w:tcBorders>
                    <w:tl2br w:val="nil"/>
                    <w:tr2bl w:val="nil"/>
                  </w:tcBorders>
                  <w:vAlign w:val="center"/>
                </w:tcPr>
                <w:p w14:paraId="34FBFE3C">
                  <w:pPr>
                    <w:widowControl/>
                    <w:jc w:val="center"/>
                    <w:textAlignment w:val="center"/>
                    <w:rPr>
                      <w:rFonts w:eastAsia="等线"/>
                      <w:sz w:val="18"/>
                      <w:szCs w:val="18"/>
                    </w:rPr>
                  </w:pPr>
                  <w:r>
                    <w:rPr>
                      <w:rFonts w:eastAsia="等线"/>
                      <w:kern w:val="0"/>
                      <w:sz w:val="18"/>
                      <w:szCs w:val="18"/>
                      <w:lang w:bidi="ar"/>
                    </w:rPr>
                    <w:t>TP</w:t>
                  </w:r>
                </w:p>
              </w:tc>
              <w:tc>
                <w:tcPr>
                  <w:tcW w:w="511" w:type="pct"/>
                  <w:tcBorders>
                    <w:tl2br w:val="nil"/>
                    <w:tr2bl w:val="nil"/>
                  </w:tcBorders>
                  <w:vAlign w:val="center"/>
                </w:tcPr>
                <w:p w14:paraId="7D882DA4">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0FE7273A">
                  <w:pPr>
                    <w:widowControl/>
                    <w:jc w:val="center"/>
                    <w:textAlignment w:val="center"/>
                    <w:rPr>
                      <w:kern w:val="0"/>
                      <w:sz w:val="18"/>
                      <w:szCs w:val="18"/>
                      <w:lang w:bidi="ar"/>
                    </w:rPr>
                  </w:pPr>
                  <w:r>
                    <w:rPr>
                      <w:kern w:val="0"/>
                      <w:sz w:val="18"/>
                      <w:szCs w:val="18"/>
                      <w:lang w:bidi="ar"/>
                    </w:rPr>
                    <w:t xml:space="preserve">0.938 </w:t>
                  </w:r>
                </w:p>
              </w:tc>
              <w:tc>
                <w:tcPr>
                  <w:tcW w:w="423" w:type="pct"/>
                  <w:tcBorders>
                    <w:tl2br w:val="nil"/>
                    <w:tr2bl w:val="nil"/>
                  </w:tcBorders>
                  <w:vAlign w:val="center"/>
                </w:tcPr>
                <w:p w14:paraId="7C1911D8">
                  <w:pPr>
                    <w:widowControl/>
                    <w:jc w:val="center"/>
                    <w:textAlignment w:val="center"/>
                    <w:rPr>
                      <w:kern w:val="0"/>
                      <w:sz w:val="18"/>
                      <w:szCs w:val="18"/>
                      <w:lang w:bidi="ar"/>
                    </w:rPr>
                  </w:pPr>
                  <w:r>
                    <w:rPr>
                      <w:kern w:val="0"/>
                      <w:sz w:val="18"/>
                      <w:szCs w:val="18"/>
                      <w:lang w:bidi="ar"/>
                    </w:rPr>
                    <w:t xml:space="preserve">4.179 </w:t>
                  </w:r>
                </w:p>
              </w:tc>
              <w:tc>
                <w:tcPr>
                  <w:tcW w:w="423" w:type="pct"/>
                  <w:tcBorders>
                    <w:tl2br w:val="nil"/>
                    <w:tr2bl w:val="nil"/>
                  </w:tcBorders>
                  <w:vAlign w:val="center"/>
                </w:tcPr>
                <w:p w14:paraId="3D46CE42">
                  <w:pPr>
                    <w:widowControl/>
                    <w:jc w:val="center"/>
                    <w:textAlignment w:val="center"/>
                    <w:rPr>
                      <w:kern w:val="0"/>
                      <w:sz w:val="18"/>
                      <w:szCs w:val="18"/>
                      <w:lang w:bidi="ar"/>
                    </w:rPr>
                  </w:pPr>
                  <w:r>
                    <w:rPr>
                      <w:kern w:val="0"/>
                      <w:sz w:val="18"/>
                      <w:szCs w:val="18"/>
                      <w:lang w:bidi="ar"/>
                    </w:rPr>
                    <w:t xml:space="preserve">5.117 </w:t>
                  </w:r>
                </w:p>
              </w:tc>
              <w:tc>
                <w:tcPr>
                  <w:tcW w:w="641" w:type="pct"/>
                  <w:vMerge w:val="continue"/>
                  <w:tcBorders>
                    <w:tl2br w:val="nil"/>
                    <w:tr2bl w:val="nil"/>
                  </w:tcBorders>
                  <w:vAlign w:val="center"/>
                </w:tcPr>
                <w:p w14:paraId="248F1F8B">
                  <w:pPr>
                    <w:widowControl/>
                    <w:jc w:val="center"/>
                    <w:textAlignment w:val="center"/>
                    <w:rPr>
                      <w:kern w:val="0"/>
                      <w:sz w:val="18"/>
                      <w:szCs w:val="18"/>
                      <w:lang w:bidi="ar"/>
                    </w:rPr>
                  </w:pPr>
                </w:p>
              </w:tc>
              <w:tc>
                <w:tcPr>
                  <w:tcW w:w="463" w:type="pct"/>
                  <w:tcBorders>
                    <w:tl2br w:val="nil"/>
                    <w:tr2bl w:val="nil"/>
                  </w:tcBorders>
                  <w:vAlign w:val="center"/>
                </w:tcPr>
                <w:p w14:paraId="68B5C388">
                  <w:pPr>
                    <w:widowControl/>
                    <w:jc w:val="center"/>
                    <w:textAlignment w:val="center"/>
                    <w:rPr>
                      <w:kern w:val="0"/>
                      <w:sz w:val="18"/>
                      <w:szCs w:val="18"/>
                      <w:lang w:bidi="ar"/>
                    </w:rPr>
                  </w:pPr>
                  <w:r>
                    <w:rPr>
                      <w:kern w:val="0"/>
                      <w:sz w:val="18"/>
                      <w:szCs w:val="18"/>
                      <w:lang w:bidi="ar"/>
                    </w:rPr>
                    <w:t xml:space="preserve">0.938 </w:t>
                  </w:r>
                </w:p>
              </w:tc>
              <w:tc>
                <w:tcPr>
                  <w:tcW w:w="463" w:type="pct"/>
                  <w:tcBorders>
                    <w:tl2br w:val="nil"/>
                    <w:tr2bl w:val="nil"/>
                  </w:tcBorders>
                  <w:vAlign w:val="center"/>
                </w:tcPr>
                <w:p w14:paraId="036C695F">
                  <w:pPr>
                    <w:widowControl/>
                    <w:jc w:val="center"/>
                    <w:textAlignment w:val="center"/>
                    <w:rPr>
                      <w:kern w:val="0"/>
                      <w:sz w:val="18"/>
                      <w:szCs w:val="18"/>
                      <w:lang w:bidi="ar"/>
                    </w:rPr>
                  </w:pPr>
                  <w:r>
                    <w:rPr>
                      <w:kern w:val="0"/>
                      <w:sz w:val="18"/>
                      <w:szCs w:val="18"/>
                      <w:lang w:bidi="ar"/>
                    </w:rPr>
                    <w:t xml:space="preserve">4.179 </w:t>
                  </w:r>
                </w:p>
              </w:tc>
              <w:tc>
                <w:tcPr>
                  <w:tcW w:w="463" w:type="pct"/>
                  <w:tcBorders>
                    <w:tl2br w:val="nil"/>
                    <w:tr2bl w:val="nil"/>
                  </w:tcBorders>
                  <w:vAlign w:val="center"/>
                </w:tcPr>
                <w:p w14:paraId="6D88955B">
                  <w:pPr>
                    <w:widowControl/>
                    <w:jc w:val="center"/>
                    <w:textAlignment w:val="center"/>
                    <w:rPr>
                      <w:kern w:val="0"/>
                      <w:sz w:val="18"/>
                      <w:szCs w:val="18"/>
                      <w:lang w:bidi="ar"/>
                    </w:rPr>
                  </w:pPr>
                  <w:r>
                    <w:rPr>
                      <w:kern w:val="0"/>
                      <w:sz w:val="18"/>
                      <w:szCs w:val="18"/>
                      <w:lang w:bidi="ar"/>
                    </w:rPr>
                    <w:t xml:space="preserve">5.117 </w:t>
                  </w:r>
                </w:p>
              </w:tc>
              <w:tc>
                <w:tcPr>
                  <w:tcW w:w="627" w:type="pct"/>
                  <w:vMerge w:val="continue"/>
                  <w:tcBorders>
                    <w:tl2br w:val="nil"/>
                    <w:tr2bl w:val="nil"/>
                  </w:tcBorders>
                  <w:vAlign w:val="center"/>
                </w:tcPr>
                <w:p w14:paraId="6F2628E9">
                  <w:pPr>
                    <w:widowControl/>
                    <w:jc w:val="center"/>
                    <w:rPr>
                      <w:rFonts w:eastAsia="等线"/>
                      <w:sz w:val="18"/>
                      <w:szCs w:val="18"/>
                    </w:rPr>
                  </w:pPr>
                </w:p>
              </w:tc>
            </w:tr>
            <w:tr w14:paraId="7C4DFD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052BBDBA">
                  <w:pPr>
                    <w:widowControl/>
                    <w:jc w:val="center"/>
                    <w:rPr>
                      <w:sz w:val="18"/>
                      <w:szCs w:val="18"/>
                    </w:rPr>
                  </w:pPr>
                </w:p>
              </w:tc>
              <w:tc>
                <w:tcPr>
                  <w:tcW w:w="365" w:type="pct"/>
                  <w:vMerge w:val="continue"/>
                  <w:tcBorders>
                    <w:tl2br w:val="nil"/>
                    <w:tr2bl w:val="nil"/>
                  </w:tcBorders>
                  <w:vAlign w:val="center"/>
                </w:tcPr>
                <w:p w14:paraId="135DDDB0">
                  <w:pPr>
                    <w:widowControl/>
                    <w:jc w:val="center"/>
                    <w:rPr>
                      <w:rFonts w:eastAsia="等线"/>
                      <w:sz w:val="18"/>
                      <w:szCs w:val="18"/>
                    </w:rPr>
                  </w:pPr>
                </w:p>
              </w:tc>
              <w:tc>
                <w:tcPr>
                  <w:tcW w:w="511" w:type="pct"/>
                  <w:tcBorders>
                    <w:tl2br w:val="nil"/>
                    <w:tr2bl w:val="nil"/>
                  </w:tcBorders>
                  <w:vAlign w:val="center"/>
                </w:tcPr>
                <w:p w14:paraId="709E330E">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3AFAD9A3">
                  <w:pPr>
                    <w:widowControl/>
                    <w:jc w:val="center"/>
                    <w:textAlignment w:val="center"/>
                    <w:rPr>
                      <w:kern w:val="0"/>
                      <w:sz w:val="18"/>
                      <w:szCs w:val="18"/>
                      <w:lang w:bidi="ar"/>
                    </w:rPr>
                  </w:pPr>
                  <w:r>
                    <w:rPr>
                      <w:kern w:val="0"/>
                      <w:sz w:val="18"/>
                      <w:szCs w:val="18"/>
                      <w:lang w:bidi="ar"/>
                    </w:rPr>
                    <w:t xml:space="preserve">1.051 </w:t>
                  </w:r>
                </w:p>
              </w:tc>
              <w:tc>
                <w:tcPr>
                  <w:tcW w:w="423" w:type="pct"/>
                  <w:tcBorders>
                    <w:tl2br w:val="nil"/>
                    <w:tr2bl w:val="nil"/>
                  </w:tcBorders>
                  <w:vAlign w:val="center"/>
                </w:tcPr>
                <w:p w14:paraId="216E0D07">
                  <w:pPr>
                    <w:widowControl/>
                    <w:jc w:val="center"/>
                    <w:textAlignment w:val="center"/>
                    <w:rPr>
                      <w:kern w:val="0"/>
                      <w:sz w:val="18"/>
                      <w:szCs w:val="18"/>
                      <w:lang w:bidi="ar"/>
                    </w:rPr>
                  </w:pPr>
                  <w:r>
                    <w:rPr>
                      <w:kern w:val="0"/>
                      <w:sz w:val="18"/>
                      <w:szCs w:val="18"/>
                      <w:lang w:bidi="ar"/>
                    </w:rPr>
                    <w:t xml:space="preserve">5.170 </w:t>
                  </w:r>
                </w:p>
              </w:tc>
              <w:tc>
                <w:tcPr>
                  <w:tcW w:w="423" w:type="pct"/>
                  <w:tcBorders>
                    <w:tl2br w:val="nil"/>
                    <w:tr2bl w:val="nil"/>
                  </w:tcBorders>
                  <w:vAlign w:val="center"/>
                </w:tcPr>
                <w:p w14:paraId="3CDEADBF">
                  <w:pPr>
                    <w:widowControl/>
                    <w:jc w:val="center"/>
                    <w:textAlignment w:val="center"/>
                    <w:rPr>
                      <w:kern w:val="0"/>
                      <w:sz w:val="18"/>
                      <w:szCs w:val="18"/>
                      <w:lang w:bidi="ar"/>
                    </w:rPr>
                  </w:pPr>
                  <w:r>
                    <w:rPr>
                      <w:kern w:val="0"/>
                      <w:sz w:val="18"/>
                      <w:szCs w:val="18"/>
                      <w:lang w:bidi="ar"/>
                    </w:rPr>
                    <w:t xml:space="preserve">6.221 </w:t>
                  </w:r>
                </w:p>
              </w:tc>
              <w:tc>
                <w:tcPr>
                  <w:tcW w:w="641" w:type="pct"/>
                  <w:vMerge w:val="continue"/>
                  <w:tcBorders>
                    <w:tl2br w:val="nil"/>
                    <w:tr2bl w:val="nil"/>
                  </w:tcBorders>
                  <w:vAlign w:val="center"/>
                </w:tcPr>
                <w:p w14:paraId="63C03228">
                  <w:pPr>
                    <w:widowControl/>
                    <w:jc w:val="center"/>
                    <w:textAlignment w:val="center"/>
                    <w:rPr>
                      <w:kern w:val="0"/>
                      <w:sz w:val="18"/>
                      <w:szCs w:val="18"/>
                      <w:lang w:bidi="ar"/>
                    </w:rPr>
                  </w:pPr>
                </w:p>
              </w:tc>
              <w:tc>
                <w:tcPr>
                  <w:tcW w:w="463" w:type="pct"/>
                  <w:tcBorders>
                    <w:tl2br w:val="nil"/>
                    <w:tr2bl w:val="nil"/>
                  </w:tcBorders>
                  <w:vAlign w:val="center"/>
                </w:tcPr>
                <w:p w14:paraId="473A1787">
                  <w:pPr>
                    <w:widowControl/>
                    <w:jc w:val="center"/>
                    <w:textAlignment w:val="center"/>
                    <w:rPr>
                      <w:kern w:val="0"/>
                      <w:sz w:val="18"/>
                      <w:szCs w:val="18"/>
                      <w:lang w:bidi="ar"/>
                    </w:rPr>
                  </w:pPr>
                  <w:r>
                    <w:rPr>
                      <w:kern w:val="0"/>
                      <w:sz w:val="18"/>
                      <w:szCs w:val="18"/>
                      <w:lang w:bidi="ar"/>
                    </w:rPr>
                    <w:t xml:space="preserve">0.878 </w:t>
                  </w:r>
                </w:p>
              </w:tc>
              <w:tc>
                <w:tcPr>
                  <w:tcW w:w="463" w:type="pct"/>
                  <w:tcBorders>
                    <w:tl2br w:val="nil"/>
                    <w:tr2bl w:val="nil"/>
                  </w:tcBorders>
                  <w:vAlign w:val="center"/>
                </w:tcPr>
                <w:p w14:paraId="0C007281">
                  <w:pPr>
                    <w:widowControl/>
                    <w:jc w:val="center"/>
                    <w:textAlignment w:val="center"/>
                    <w:rPr>
                      <w:kern w:val="0"/>
                      <w:sz w:val="18"/>
                      <w:szCs w:val="18"/>
                      <w:lang w:bidi="ar"/>
                    </w:rPr>
                  </w:pPr>
                  <w:r>
                    <w:rPr>
                      <w:kern w:val="0"/>
                      <w:sz w:val="18"/>
                      <w:szCs w:val="18"/>
                      <w:lang w:bidi="ar"/>
                    </w:rPr>
                    <w:t xml:space="preserve">5.687 </w:t>
                  </w:r>
                </w:p>
              </w:tc>
              <w:tc>
                <w:tcPr>
                  <w:tcW w:w="463" w:type="pct"/>
                  <w:tcBorders>
                    <w:tl2br w:val="nil"/>
                    <w:tr2bl w:val="nil"/>
                  </w:tcBorders>
                  <w:vAlign w:val="center"/>
                </w:tcPr>
                <w:p w14:paraId="106E3140">
                  <w:pPr>
                    <w:widowControl/>
                    <w:jc w:val="center"/>
                    <w:textAlignment w:val="center"/>
                    <w:rPr>
                      <w:kern w:val="0"/>
                      <w:sz w:val="18"/>
                      <w:szCs w:val="18"/>
                      <w:lang w:bidi="ar"/>
                    </w:rPr>
                  </w:pPr>
                  <w:r>
                    <w:rPr>
                      <w:kern w:val="0"/>
                      <w:sz w:val="18"/>
                      <w:szCs w:val="18"/>
                      <w:lang w:bidi="ar"/>
                    </w:rPr>
                    <w:t xml:space="preserve">6.565 </w:t>
                  </w:r>
                </w:p>
              </w:tc>
              <w:tc>
                <w:tcPr>
                  <w:tcW w:w="627" w:type="pct"/>
                  <w:vMerge w:val="continue"/>
                  <w:tcBorders>
                    <w:tl2br w:val="nil"/>
                    <w:tr2bl w:val="nil"/>
                  </w:tcBorders>
                  <w:vAlign w:val="center"/>
                </w:tcPr>
                <w:p w14:paraId="4F9C2BA0">
                  <w:pPr>
                    <w:widowControl/>
                    <w:jc w:val="center"/>
                    <w:rPr>
                      <w:rFonts w:eastAsia="等线"/>
                      <w:sz w:val="18"/>
                      <w:szCs w:val="18"/>
                    </w:rPr>
                  </w:pPr>
                </w:p>
              </w:tc>
            </w:tr>
            <w:tr w14:paraId="5DEC3B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2C751AD9">
                  <w:pPr>
                    <w:widowControl/>
                    <w:jc w:val="center"/>
                    <w:rPr>
                      <w:sz w:val="18"/>
                      <w:szCs w:val="18"/>
                    </w:rPr>
                  </w:pPr>
                </w:p>
              </w:tc>
              <w:tc>
                <w:tcPr>
                  <w:tcW w:w="365" w:type="pct"/>
                  <w:vMerge w:val="continue"/>
                  <w:tcBorders>
                    <w:tl2br w:val="nil"/>
                    <w:tr2bl w:val="nil"/>
                  </w:tcBorders>
                  <w:vAlign w:val="center"/>
                </w:tcPr>
                <w:p w14:paraId="5EE36CC5">
                  <w:pPr>
                    <w:widowControl/>
                    <w:jc w:val="center"/>
                    <w:rPr>
                      <w:rFonts w:eastAsia="等线"/>
                      <w:sz w:val="18"/>
                      <w:szCs w:val="18"/>
                    </w:rPr>
                  </w:pPr>
                </w:p>
              </w:tc>
              <w:tc>
                <w:tcPr>
                  <w:tcW w:w="511" w:type="pct"/>
                  <w:tcBorders>
                    <w:tl2br w:val="nil"/>
                    <w:tr2bl w:val="nil"/>
                  </w:tcBorders>
                  <w:vAlign w:val="center"/>
                </w:tcPr>
                <w:p w14:paraId="2E19EE2E">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5DF6326C">
                  <w:pPr>
                    <w:widowControl/>
                    <w:jc w:val="center"/>
                    <w:textAlignment w:val="center"/>
                    <w:rPr>
                      <w:kern w:val="0"/>
                      <w:sz w:val="18"/>
                      <w:szCs w:val="18"/>
                      <w:lang w:bidi="ar"/>
                    </w:rPr>
                  </w:pPr>
                  <w:r>
                    <w:rPr>
                      <w:kern w:val="0"/>
                      <w:sz w:val="18"/>
                      <w:szCs w:val="18"/>
                      <w:lang w:bidi="ar"/>
                    </w:rPr>
                    <w:t xml:space="preserve">+0.113 </w:t>
                  </w:r>
                </w:p>
              </w:tc>
              <w:tc>
                <w:tcPr>
                  <w:tcW w:w="423" w:type="pct"/>
                  <w:tcBorders>
                    <w:tl2br w:val="nil"/>
                    <w:tr2bl w:val="nil"/>
                  </w:tcBorders>
                  <w:vAlign w:val="center"/>
                </w:tcPr>
                <w:p w14:paraId="6BC3A926">
                  <w:pPr>
                    <w:widowControl/>
                    <w:jc w:val="center"/>
                    <w:textAlignment w:val="center"/>
                    <w:rPr>
                      <w:kern w:val="0"/>
                      <w:sz w:val="18"/>
                      <w:szCs w:val="18"/>
                      <w:lang w:bidi="ar"/>
                    </w:rPr>
                  </w:pPr>
                  <w:r>
                    <w:rPr>
                      <w:kern w:val="0"/>
                      <w:sz w:val="18"/>
                      <w:szCs w:val="18"/>
                      <w:lang w:bidi="ar"/>
                    </w:rPr>
                    <w:t xml:space="preserve">+0.991 </w:t>
                  </w:r>
                </w:p>
              </w:tc>
              <w:tc>
                <w:tcPr>
                  <w:tcW w:w="423" w:type="pct"/>
                  <w:tcBorders>
                    <w:tl2br w:val="nil"/>
                    <w:tr2bl w:val="nil"/>
                  </w:tcBorders>
                  <w:vAlign w:val="center"/>
                </w:tcPr>
                <w:p w14:paraId="6FA416FF">
                  <w:pPr>
                    <w:widowControl/>
                    <w:jc w:val="center"/>
                    <w:textAlignment w:val="center"/>
                    <w:rPr>
                      <w:kern w:val="0"/>
                      <w:sz w:val="18"/>
                      <w:szCs w:val="18"/>
                      <w:lang w:bidi="ar"/>
                    </w:rPr>
                  </w:pPr>
                  <w:r>
                    <w:rPr>
                      <w:kern w:val="0"/>
                      <w:sz w:val="18"/>
                      <w:szCs w:val="18"/>
                      <w:lang w:bidi="ar"/>
                    </w:rPr>
                    <w:t xml:space="preserve">+1.104 </w:t>
                  </w:r>
                </w:p>
              </w:tc>
              <w:tc>
                <w:tcPr>
                  <w:tcW w:w="641" w:type="pct"/>
                  <w:vMerge w:val="continue"/>
                  <w:tcBorders>
                    <w:tl2br w:val="nil"/>
                    <w:tr2bl w:val="nil"/>
                  </w:tcBorders>
                  <w:vAlign w:val="center"/>
                </w:tcPr>
                <w:p w14:paraId="54F8F461">
                  <w:pPr>
                    <w:widowControl/>
                    <w:jc w:val="center"/>
                    <w:textAlignment w:val="center"/>
                    <w:rPr>
                      <w:kern w:val="0"/>
                      <w:sz w:val="18"/>
                      <w:szCs w:val="18"/>
                      <w:lang w:bidi="ar"/>
                    </w:rPr>
                  </w:pPr>
                </w:p>
              </w:tc>
              <w:tc>
                <w:tcPr>
                  <w:tcW w:w="463" w:type="pct"/>
                  <w:tcBorders>
                    <w:tl2br w:val="nil"/>
                    <w:tr2bl w:val="nil"/>
                  </w:tcBorders>
                  <w:vAlign w:val="center"/>
                </w:tcPr>
                <w:p w14:paraId="10CAAE70">
                  <w:pPr>
                    <w:widowControl/>
                    <w:jc w:val="center"/>
                    <w:textAlignment w:val="center"/>
                    <w:rPr>
                      <w:kern w:val="0"/>
                      <w:sz w:val="18"/>
                      <w:szCs w:val="18"/>
                      <w:lang w:bidi="ar"/>
                    </w:rPr>
                  </w:pPr>
                  <w:r>
                    <w:rPr>
                      <w:kern w:val="0"/>
                      <w:sz w:val="18"/>
                      <w:szCs w:val="18"/>
                      <w:lang w:bidi="ar"/>
                    </w:rPr>
                    <w:t xml:space="preserve">-0.060 </w:t>
                  </w:r>
                </w:p>
              </w:tc>
              <w:tc>
                <w:tcPr>
                  <w:tcW w:w="463" w:type="pct"/>
                  <w:tcBorders>
                    <w:tl2br w:val="nil"/>
                    <w:tr2bl w:val="nil"/>
                  </w:tcBorders>
                  <w:vAlign w:val="center"/>
                </w:tcPr>
                <w:p w14:paraId="51215D69">
                  <w:pPr>
                    <w:widowControl/>
                    <w:jc w:val="center"/>
                    <w:textAlignment w:val="center"/>
                    <w:rPr>
                      <w:kern w:val="0"/>
                      <w:sz w:val="18"/>
                      <w:szCs w:val="18"/>
                      <w:lang w:bidi="ar"/>
                    </w:rPr>
                  </w:pPr>
                  <w:r>
                    <w:rPr>
                      <w:kern w:val="0"/>
                      <w:sz w:val="18"/>
                      <w:szCs w:val="18"/>
                      <w:lang w:bidi="ar"/>
                    </w:rPr>
                    <w:t xml:space="preserve">+1.508 </w:t>
                  </w:r>
                </w:p>
              </w:tc>
              <w:tc>
                <w:tcPr>
                  <w:tcW w:w="463" w:type="pct"/>
                  <w:tcBorders>
                    <w:tl2br w:val="nil"/>
                    <w:tr2bl w:val="nil"/>
                  </w:tcBorders>
                  <w:vAlign w:val="center"/>
                </w:tcPr>
                <w:p w14:paraId="41E462A1">
                  <w:pPr>
                    <w:widowControl/>
                    <w:jc w:val="center"/>
                    <w:textAlignment w:val="center"/>
                    <w:rPr>
                      <w:kern w:val="0"/>
                      <w:sz w:val="18"/>
                      <w:szCs w:val="18"/>
                      <w:lang w:bidi="ar"/>
                    </w:rPr>
                  </w:pPr>
                  <w:r>
                    <w:rPr>
                      <w:kern w:val="0"/>
                      <w:sz w:val="18"/>
                      <w:szCs w:val="18"/>
                      <w:lang w:bidi="ar"/>
                    </w:rPr>
                    <w:t xml:space="preserve">+1.448 </w:t>
                  </w:r>
                </w:p>
              </w:tc>
              <w:tc>
                <w:tcPr>
                  <w:tcW w:w="627" w:type="pct"/>
                  <w:vMerge w:val="continue"/>
                  <w:tcBorders>
                    <w:tl2br w:val="nil"/>
                    <w:tr2bl w:val="nil"/>
                  </w:tcBorders>
                  <w:vAlign w:val="center"/>
                </w:tcPr>
                <w:p w14:paraId="520FA14C">
                  <w:pPr>
                    <w:widowControl/>
                    <w:jc w:val="center"/>
                    <w:rPr>
                      <w:rFonts w:eastAsia="等线"/>
                      <w:sz w:val="18"/>
                      <w:szCs w:val="18"/>
                    </w:rPr>
                  </w:pPr>
                </w:p>
              </w:tc>
            </w:tr>
            <w:tr w14:paraId="431593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restart"/>
                  <w:tcBorders>
                    <w:tl2br w:val="nil"/>
                    <w:tr2bl w:val="nil"/>
                  </w:tcBorders>
                  <w:vAlign w:val="center"/>
                </w:tcPr>
                <w:p w14:paraId="04A96C18">
                  <w:pPr>
                    <w:widowControl/>
                    <w:jc w:val="center"/>
                    <w:textAlignment w:val="center"/>
                    <w:rPr>
                      <w:sz w:val="18"/>
                      <w:szCs w:val="18"/>
                    </w:rPr>
                  </w:pPr>
                  <w:r>
                    <w:rPr>
                      <w:rFonts w:hint="eastAsia"/>
                      <w:kern w:val="0"/>
                      <w:sz w:val="18"/>
                      <w:szCs w:val="18"/>
                      <w:lang w:bidi="ar"/>
                    </w:rPr>
                    <w:t>大气污染物总量管控限值(t/a)</w:t>
                  </w:r>
                </w:p>
              </w:tc>
              <w:tc>
                <w:tcPr>
                  <w:tcW w:w="365" w:type="pct"/>
                  <w:vMerge w:val="restart"/>
                  <w:tcBorders>
                    <w:tl2br w:val="nil"/>
                    <w:tr2bl w:val="nil"/>
                  </w:tcBorders>
                  <w:vAlign w:val="center"/>
                </w:tcPr>
                <w:p w14:paraId="59157150">
                  <w:pPr>
                    <w:widowControl/>
                    <w:jc w:val="center"/>
                    <w:textAlignment w:val="center"/>
                    <w:rPr>
                      <w:rFonts w:eastAsia="等线"/>
                      <w:sz w:val="18"/>
                      <w:szCs w:val="18"/>
                    </w:rPr>
                  </w:pPr>
                  <w:r>
                    <w:rPr>
                      <w:rFonts w:eastAsia="等线"/>
                      <w:kern w:val="0"/>
                      <w:sz w:val="18"/>
                      <w:szCs w:val="18"/>
                      <w:lang w:bidi="ar"/>
                    </w:rPr>
                    <w:t>SO</w:t>
                  </w:r>
                  <w:r>
                    <w:rPr>
                      <w:rFonts w:eastAsia="等线"/>
                      <w:kern w:val="0"/>
                      <w:sz w:val="18"/>
                      <w:szCs w:val="18"/>
                      <w:vertAlign w:val="subscript"/>
                      <w:lang w:bidi="ar"/>
                    </w:rPr>
                    <w:t>2</w:t>
                  </w:r>
                </w:p>
              </w:tc>
              <w:tc>
                <w:tcPr>
                  <w:tcW w:w="511" w:type="pct"/>
                  <w:tcBorders>
                    <w:tl2br w:val="nil"/>
                    <w:tr2bl w:val="nil"/>
                  </w:tcBorders>
                  <w:vAlign w:val="center"/>
                </w:tcPr>
                <w:p w14:paraId="5DA4C2DD">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1F1186EB">
                  <w:pPr>
                    <w:widowControl/>
                    <w:jc w:val="center"/>
                    <w:textAlignment w:val="center"/>
                    <w:rPr>
                      <w:kern w:val="0"/>
                      <w:sz w:val="18"/>
                      <w:szCs w:val="18"/>
                      <w:lang w:bidi="ar"/>
                    </w:rPr>
                  </w:pPr>
                  <w:r>
                    <w:rPr>
                      <w:kern w:val="0"/>
                      <w:sz w:val="18"/>
                      <w:szCs w:val="18"/>
                      <w:lang w:bidi="ar"/>
                    </w:rPr>
                    <w:t xml:space="preserve">14.835 </w:t>
                  </w:r>
                </w:p>
              </w:tc>
              <w:tc>
                <w:tcPr>
                  <w:tcW w:w="423" w:type="pct"/>
                  <w:tcBorders>
                    <w:tl2br w:val="nil"/>
                    <w:tr2bl w:val="nil"/>
                  </w:tcBorders>
                  <w:vAlign w:val="center"/>
                </w:tcPr>
                <w:p w14:paraId="7CB2F82A">
                  <w:pPr>
                    <w:widowControl/>
                    <w:jc w:val="center"/>
                    <w:textAlignment w:val="center"/>
                    <w:rPr>
                      <w:kern w:val="0"/>
                      <w:sz w:val="18"/>
                      <w:szCs w:val="18"/>
                      <w:lang w:bidi="ar"/>
                    </w:rPr>
                  </w:pPr>
                  <w:r>
                    <w:rPr>
                      <w:kern w:val="0"/>
                      <w:sz w:val="18"/>
                      <w:szCs w:val="18"/>
                      <w:lang w:bidi="ar"/>
                    </w:rPr>
                    <w:t xml:space="preserve">0.002 </w:t>
                  </w:r>
                </w:p>
              </w:tc>
              <w:tc>
                <w:tcPr>
                  <w:tcW w:w="423" w:type="pct"/>
                  <w:tcBorders>
                    <w:tl2br w:val="nil"/>
                    <w:tr2bl w:val="nil"/>
                  </w:tcBorders>
                  <w:vAlign w:val="center"/>
                </w:tcPr>
                <w:p w14:paraId="70C379B0">
                  <w:pPr>
                    <w:widowControl/>
                    <w:jc w:val="center"/>
                    <w:textAlignment w:val="center"/>
                    <w:rPr>
                      <w:kern w:val="0"/>
                      <w:sz w:val="18"/>
                      <w:szCs w:val="18"/>
                      <w:lang w:bidi="ar"/>
                    </w:rPr>
                  </w:pPr>
                  <w:r>
                    <w:rPr>
                      <w:kern w:val="0"/>
                      <w:sz w:val="18"/>
                      <w:szCs w:val="18"/>
                      <w:lang w:bidi="ar"/>
                    </w:rPr>
                    <w:t xml:space="preserve">14.836 </w:t>
                  </w:r>
                </w:p>
              </w:tc>
              <w:tc>
                <w:tcPr>
                  <w:tcW w:w="641" w:type="pct"/>
                  <w:vMerge w:val="restart"/>
                  <w:tcBorders>
                    <w:tl2br w:val="nil"/>
                    <w:tr2bl w:val="nil"/>
                  </w:tcBorders>
                  <w:vAlign w:val="center"/>
                </w:tcPr>
                <w:p w14:paraId="61D1711C">
                  <w:pPr>
                    <w:widowControl/>
                    <w:jc w:val="center"/>
                    <w:textAlignment w:val="center"/>
                    <w:rPr>
                      <w:kern w:val="0"/>
                      <w:sz w:val="18"/>
                      <w:szCs w:val="18"/>
                      <w:lang w:bidi="ar"/>
                    </w:rPr>
                  </w:pPr>
                  <w:r>
                    <w:rPr>
                      <w:rFonts w:hint="eastAsia"/>
                      <w:kern w:val="0"/>
                      <w:sz w:val="18"/>
                      <w:szCs w:val="18"/>
                      <w:lang w:bidi="ar"/>
                    </w:rPr>
                    <w:t>随着高新区产业转型升级与布局优化调整，以及空气质量持续改善行动的深入推进，区域环境空气质量总体趋于改善，环境质量底线可达</w:t>
                  </w:r>
                </w:p>
              </w:tc>
              <w:tc>
                <w:tcPr>
                  <w:tcW w:w="463" w:type="pct"/>
                  <w:tcBorders>
                    <w:tl2br w:val="nil"/>
                    <w:tr2bl w:val="nil"/>
                  </w:tcBorders>
                  <w:vAlign w:val="center"/>
                </w:tcPr>
                <w:p w14:paraId="0B16CD3D">
                  <w:pPr>
                    <w:widowControl/>
                    <w:jc w:val="center"/>
                    <w:textAlignment w:val="center"/>
                    <w:rPr>
                      <w:kern w:val="0"/>
                      <w:sz w:val="18"/>
                      <w:szCs w:val="18"/>
                      <w:lang w:bidi="ar"/>
                    </w:rPr>
                  </w:pPr>
                  <w:r>
                    <w:rPr>
                      <w:kern w:val="0"/>
                      <w:sz w:val="18"/>
                      <w:szCs w:val="18"/>
                      <w:lang w:bidi="ar"/>
                    </w:rPr>
                    <w:t xml:space="preserve">14.835 </w:t>
                  </w:r>
                </w:p>
              </w:tc>
              <w:tc>
                <w:tcPr>
                  <w:tcW w:w="463" w:type="pct"/>
                  <w:tcBorders>
                    <w:tl2br w:val="nil"/>
                    <w:tr2bl w:val="nil"/>
                  </w:tcBorders>
                  <w:vAlign w:val="center"/>
                </w:tcPr>
                <w:p w14:paraId="11D5F41D">
                  <w:pPr>
                    <w:widowControl/>
                    <w:jc w:val="center"/>
                    <w:textAlignment w:val="center"/>
                    <w:rPr>
                      <w:kern w:val="0"/>
                      <w:sz w:val="18"/>
                      <w:szCs w:val="18"/>
                      <w:lang w:bidi="ar"/>
                    </w:rPr>
                  </w:pPr>
                  <w:r>
                    <w:rPr>
                      <w:kern w:val="0"/>
                      <w:sz w:val="18"/>
                      <w:szCs w:val="18"/>
                      <w:lang w:bidi="ar"/>
                    </w:rPr>
                    <w:t xml:space="preserve">0.002 </w:t>
                  </w:r>
                </w:p>
              </w:tc>
              <w:tc>
                <w:tcPr>
                  <w:tcW w:w="463" w:type="pct"/>
                  <w:tcBorders>
                    <w:tl2br w:val="nil"/>
                    <w:tr2bl w:val="nil"/>
                  </w:tcBorders>
                  <w:vAlign w:val="center"/>
                </w:tcPr>
                <w:p w14:paraId="20C0AA3D">
                  <w:pPr>
                    <w:widowControl/>
                    <w:jc w:val="center"/>
                    <w:textAlignment w:val="center"/>
                    <w:rPr>
                      <w:kern w:val="0"/>
                      <w:sz w:val="18"/>
                      <w:szCs w:val="18"/>
                      <w:lang w:bidi="ar"/>
                    </w:rPr>
                  </w:pPr>
                  <w:r>
                    <w:rPr>
                      <w:kern w:val="0"/>
                      <w:sz w:val="18"/>
                      <w:szCs w:val="18"/>
                      <w:lang w:bidi="ar"/>
                    </w:rPr>
                    <w:t xml:space="preserve">14.836 </w:t>
                  </w:r>
                </w:p>
              </w:tc>
              <w:tc>
                <w:tcPr>
                  <w:tcW w:w="627" w:type="pct"/>
                  <w:vMerge w:val="restart"/>
                  <w:tcBorders>
                    <w:tl2br w:val="nil"/>
                    <w:tr2bl w:val="nil"/>
                  </w:tcBorders>
                  <w:vAlign w:val="center"/>
                </w:tcPr>
                <w:p w14:paraId="1788FE69">
                  <w:pPr>
                    <w:widowControl/>
                    <w:jc w:val="center"/>
                    <w:textAlignment w:val="center"/>
                    <w:rPr>
                      <w:sz w:val="18"/>
                      <w:szCs w:val="18"/>
                    </w:rPr>
                  </w:pPr>
                  <w:r>
                    <w:rPr>
                      <w:rFonts w:hint="eastAsia"/>
                      <w:kern w:val="0"/>
                      <w:sz w:val="18"/>
                      <w:szCs w:val="18"/>
                      <w:lang w:bidi="ar"/>
                    </w:rPr>
                    <w:t>随着高新区产业转型升级与布局优化调整，以及空气质量持续改善行动的深入推进，区域环境空气质量总体趋于改善，环境质量底线可达</w:t>
                  </w:r>
                </w:p>
              </w:tc>
            </w:tr>
            <w:tr w14:paraId="5A2F6E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10C56FE9">
                  <w:pPr>
                    <w:widowControl/>
                    <w:jc w:val="center"/>
                    <w:rPr>
                      <w:sz w:val="18"/>
                      <w:szCs w:val="18"/>
                    </w:rPr>
                  </w:pPr>
                </w:p>
              </w:tc>
              <w:tc>
                <w:tcPr>
                  <w:tcW w:w="365" w:type="pct"/>
                  <w:vMerge w:val="continue"/>
                  <w:tcBorders>
                    <w:tl2br w:val="nil"/>
                    <w:tr2bl w:val="nil"/>
                  </w:tcBorders>
                  <w:vAlign w:val="center"/>
                </w:tcPr>
                <w:p w14:paraId="3E64B6E7">
                  <w:pPr>
                    <w:widowControl/>
                    <w:jc w:val="center"/>
                    <w:rPr>
                      <w:rFonts w:eastAsia="等线"/>
                      <w:sz w:val="18"/>
                      <w:szCs w:val="18"/>
                    </w:rPr>
                  </w:pPr>
                </w:p>
              </w:tc>
              <w:tc>
                <w:tcPr>
                  <w:tcW w:w="511" w:type="pct"/>
                  <w:tcBorders>
                    <w:tl2br w:val="nil"/>
                    <w:tr2bl w:val="nil"/>
                  </w:tcBorders>
                  <w:vAlign w:val="center"/>
                </w:tcPr>
                <w:p w14:paraId="13D8CEC0">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5FE824A3">
                  <w:pPr>
                    <w:widowControl/>
                    <w:jc w:val="center"/>
                    <w:textAlignment w:val="center"/>
                    <w:rPr>
                      <w:kern w:val="0"/>
                      <w:sz w:val="18"/>
                      <w:szCs w:val="18"/>
                      <w:lang w:bidi="ar"/>
                    </w:rPr>
                  </w:pPr>
                  <w:r>
                    <w:rPr>
                      <w:kern w:val="0"/>
                      <w:sz w:val="18"/>
                      <w:szCs w:val="18"/>
                      <w:lang w:bidi="ar"/>
                    </w:rPr>
                    <w:t xml:space="preserve">16.860 </w:t>
                  </w:r>
                </w:p>
              </w:tc>
              <w:tc>
                <w:tcPr>
                  <w:tcW w:w="423" w:type="pct"/>
                  <w:tcBorders>
                    <w:tl2br w:val="nil"/>
                    <w:tr2bl w:val="nil"/>
                  </w:tcBorders>
                  <w:vAlign w:val="center"/>
                </w:tcPr>
                <w:p w14:paraId="2F6FC896">
                  <w:pPr>
                    <w:widowControl/>
                    <w:jc w:val="center"/>
                    <w:textAlignment w:val="center"/>
                    <w:rPr>
                      <w:kern w:val="0"/>
                      <w:sz w:val="18"/>
                      <w:szCs w:val="18"/>
                      <w:lang w:bidi="ar"/>
                    </w:rPr>
                  </w:pPr>
                  <w:r>
                    <w:rPr>
                      <w:kern w:val="0"/>
                      <w:sz w:val="18"/>
                      <w:szCs w:val="18"/>
                      <w:lang w:bidi="ar"/>
                    </w:rPr>
                    <w:t xml:space="preserve">0.010 </w:t>
                  </w:r>
                </w:p>
              </w:tc>
              <w:tc>
                <w:tcPr>
                  <w:tcW w:w="423" w:type="pct"/>
                  <w:tcBorders>
                    <w:tl2br w:val="nil"/>
                    <w:tr2bl w:val="nil"/>
                  </w:tcBorders>
                  <w:vAlign w:val="center"/>
                </w:tcPr>
                <w:p w14:paraId="0700FD62">
                  <w:pPr>
                    <w:widowControl/>
                    <w:jc w:val="center"/>
                    <w:textAlignment w:val="center"/>
                    <w:rPr>
                      <w:kern w:val="0"/>
                      <w:sz w:val="18"/>
                      <w:szCs w:val="18"/>
                      <w:lang w:bidi="ar"/>
                    </w:rPr>
                  </w:pPr>
                  <w:r>
                    <w:rPr>
                      <w:kern w:val="0"/>
                      <w:sz w:val="18"/>
                      <w:szCs w:val="18"/>
                      <w:lang w:bidi="ar"/>
                    </w:rPr>
                    <w:t xml:space="preserve">16.870 </w:t>
                  </w:r>
                </w:p>
              </w:tc>
              <w:tc>
                <w:tcPr>
                  <w:tcW w:w="641" w:type="pct"/>
                  <w:vMerge w:val="continue"/>
                  <w:tcBorders>
                    <w:tl2br w:val="nil"/>
                    <w:tr2bl w:val="nil"/>
                  </w:tcBorders>
                  <w:vAlign w:val="center"/>
                </w:tcPr>
                <w:p w14:paraId="1226613A">
                  <w:pPr>
                    <w:widowControl/>
                    <w:jc w:val="center"/>
                    <w:textAlignment w:val="center"/>
                    <w:rPr>
                      <w:kern w:val="0"/>
                      <w:sz w:val="18"/>
                      <w:szCs w:val="18"/>
                      <w:lang w:bidi="ar"/>
                    </w:rPr>
                  </w:pPr>
                </w:p>
              </w:tc>
              <w:tc>
                <w:tcPr>
                  <w:tcW w:w="463" w:type="pct"/>
                  <w:tcBorders>
                    <w:tl2br w:val="nil"/>
                    <w:tr2bl w:val="nil"/>
                  </w:tcBorders>
                  <w:vAlign w:val="center"/>
                </w:tcPr>
                <w:p w14:paraId="6D51797C">
                  <w:pPr>
                    <w:widowControl/>
                    <w:jc w:val="center"/>
                    <w:textAlignment w:val="center"/>
                    <w:rPr>
                      <w:kern w:val="0"/>
                      <w:sz w:val="18"/>
                      <w:szCs w:val="18"/>
                      <w:lang w:bidi="ar"/>
                    </w:rPr>
                  </w:pPr>
                  <w:r>
                    <w:rPr>
                      <w:kern w:val="0"/>
                      <w:sz w:val="18"/>
                      <w:szCs w:val="18"/>
                      <w:lang w:bidi="ar"/>
                    </w:rPr>
                    <w:t xml:space="preserve">14.378 </w:t>
                  </w:r>
                </w:p>
              </w:tc>
              <w:tc>
                <w:tcPr>
                  <w:tcW w:w="463" w:type="pct"/>
                  <w:tcBorders>
                    <w:tl2br w:val="nil"/>
                    <w:tr2bl w:val="nil"/>
                  </w:tcBorders>
                  <w:vAlign w:val="center"/>
                </w:tcPr>
                <w:p w14:paraId="697A02D8">
                  <w:pPr>
                    <w:widowControl/>
                    <w:jc w:val="center"/>
                    <w:textAlignment w:val="center"/>
                    <w:rPr>
                      <w:kern w:val="0"/>
                      <w:sz w:val="18"/>
                      <w:szCs w:val="18"/>
                      <w:lang w:bidi="ar"/>
                    </w:rPr>
                  </w:pPr>
                  <w:r>
                    <w:rPr>
                      <w:kern w:val="0"/>
                      <w:sz w:val="18"/>
                      <w:szCs w:val="18"/>
                      <w:lang w:bidi="ar"/>
                    </w:rPr>
                    <w:t xml:space="preserve">0.011 </w:t>
                  </w:r>
                </w:p>
              </w:tc>
              <w:tc>
                <w:tcPr>
                  <w:tcW w:w="463" w:type="pct"/>
                  <w:tcBorders>
                    <w:tl2br w:val="nil"/>
                    <w:tr2bl w:val="nil"/>
                  </w:tcBorders>
                  <w:vAlign w:val="center"/>
                </w:tcPr>
                <w:p w14:paraId="39FBB107">
                  <w:pPr>
                    <w:widowControl/>
                    <w:jc w:val="center"/>
                    <w:textAlignment w:val="center"/>
                    <w:rPr>
                      <w:kern w:val="0"/>
                      <w:sz w:val="18"/>
                      <w:szCs w:val="18"/>
                      <w:lang w:bidi="ar"/>
                    </w:rPr>
                  </w:pPr>
                  <w:r>
                    <w:rPr>
                      <w:kern w:val="0"/>
                      <w:sz w:val="18"/>
                      <w:szCs w:val="18"/>
                      <w:lang w:bidi="ar"/>
                    </w:rPr>
                    <w:t xml:space="preserve">14.389 </w:t>
                  </w:r>
                </w:p>
              </w:tc>
              <w:tc>
                <w:tcPr>
                  <w:tcW w:w="627" w:type="pct"/>
                  <w:vMerge w:val="continue"/>
                  <w:tcBorders>
                    <w:tl2br w:val="nil"/>
                    <w:tr2bl w:val="nil"/>
                  </w:tcBorders>
                  <w:vAlign w:val="center"/>
                </w:tcPr>
                <w:p w14:paraId="03EEAFD3">
                  <w:pPr>
                    <w:widowControl/>
                    <w:jc w:val="center"/>
                    <w:rPr>
                      <w:sz w:val="18"/>
                      <w:szCs w:val="18"/>
                    </w:rPr>
                  </w:pPr>
                </w:p>
              </w:tc>
            </w:tr>
            <w:tr w14:paraId="231AE9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0115116B">
                  <w:pPr>
                    <w:widowControl/>
                    <w:jc w:val="center"/>
                    <w:rPr>
                      <w:sz w:val="18"/>
                      <w:szCs w:val="18"/>
                    </w:rPr>
                  </w:pPr>
                </w:p>
              </w:tc>
              <w:tc>
                <w:tcPr>
                  <w:tcW w:w="365" w:type="pct"/>
                  <w:vMerge w:val="continue"/>
                  <w:tcBorders>
                    <w:tl2br w:val="nil"/>
                    <w:tr2bl w:val="nil"/>
                  </w:tcBorders>
                  <w:vAlign w:val="center"/>
                </w:tcPr>
                <w:p w14:paraId="062365B7">
                  <w:pPr>
                    <w:widowControl/>
                    <w:jc w:val="center"/>
                    <w:rPr>
                      <w:rFonts w:eastAsia="等线"/>
                      <w:sz w:val="18"/>
                      <w:szCs w:val="18"/>
                    </w:rPr>
                  </w:pPr>
                </w:p>
              </w:tc>
              <w:tc>
                <w:tcPr>
                  <w:tcW w:w="511" w:type="pct"/>
                  <w:tcBorders>
                    <w:tl2br w:val="nil"/>
                    <w:tr2bl w:val="nil"/>
                  </w:tcBorders>
                  <w:vAlign w:val="center"/>
                </w:tcPr>
                <w:p w14:paraId="36FA9647">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34C47A98">
                  <w:pPr>
                    <w:widowControl/>
                    <w:jc w:val="center"/>
                    <w:textAlignment w:val="center"/>
                    <w:rPr>
                      <w:kern w:val="0"/>
                      <w:sz w:val="18"/>
                      <w:szCs w:val="18"/>
                      <w:lang w:bidi="ar"/>
                    </w:rPr>
                  </w:pPr>
                  <w:r>
                    <w:rPr>
                      <w:kern w:val="0"/>
                      <w:sz w:val="18"/>
                      <w:szCs w:val="18"/>
                      <w:lang w:bidi="ar"/>
                    </w:rPr>
                    <w:t xml:space="preserve">+2.026 </w:t>
                  </w:r>
                </w:p>
              </w:tc>
              <w:tc>
                <w:tcPr>
                  <w:tcW w:w="423" w:type="pct"/>
                  <w:tcBorders>
                    <w:tl2br w:val="nil"/>
                    <w:tr2bl w:val="nil"/>
                  </w:tcBorders>
                  <w:vAlign w:val="center"/>
                </w:tcPr>
                <w:p w14:paraId="46585871">
                  <w:pPr>
                    <w:widowControl/>
                    <w:jc w:val="center"/>
                    <w:textAlignment w:val="center"/>
                    <w:rPr>
                      <w:kern w:val="0"/>
                      <w:sz w:val="18"/>
                      <w:szCs w:val="18"/>
                      <w:lang w:bidi="ar"/>
                    </w:rPr>
                  </w:pPr>
                  <w:r>
                    <w:rPr>
                      <w:kern w:val="0"/>
                      <w:sz w:val="18"/>
                      <w:szCs w:val="18"/>
                      <w:lang w:bidi="ar"/>
                    </w:rPr>
                    <w:t xml:space="preserve">+0.008 </w:t>
                  </w:r>
                </w:p>
              </w:tc>
              <w:tc>
                <w:tcPr>
                  <w:tcW w:w="423" w:type="pct"/>
                  <w:tcBorders>
                    <w:tl2br w:val="nil"/>
                    <w:tr2bl w:val="nil"/>
                  </w:tcBorders>
                  <w:vAlign w:val="center"/>
                </w:tcPr>
                <w:p w14:paraId="7DC49569">
                  <w:pPr>
                    <w:widowControl/>
                    <w:jc w:val="center"/>
                    <w:textAlignment w:val="center"/>
                    <w:rPr>
                      <w:kern w:val="0"/>
                      <w:sz w:val="18"/>
                      <w:szCs w:val="18"/>
                      <w:lang w:bidi="ar"/>
                    </w:rPr>
                  </w:pPr>
                  <w:r>
                    <w:rPr>
                      <w:kern w:val="0"/>
                      <w:sz w:val="18"/>
                      <w:szCs w:val="18"/>
                      <w:lang w:bidi="ar"/>
                    </w:rPr>
                    <w:t xml:space="preserve">+2.034 </w:t>
                  </w:r>
                </w:p>
              </w:tc>
              <w:tc>
                <w:tcPr>
                  <w:tcW w:w="641" w:type="pct"/>
                  <w:vMerge w:val="continue"/>
                  <w:tcBorders>
                    <w:tl2br w:val="nil"/>
                    <w:tr2bl w:val="nil"/>
                  </w:tcBorders>
                  <w:vAlign w:val="center"/>
                </w:tcPr>
                <w:p w14:paraId="310AAF6C">
                  <w:pPr>
                    <w:widowControl/>
                    <w:jc w:val="center"/>
                    <w:textAlignment w:val="center"/>
                    <w:rPr>
                      <w:kern w:val="0"/>
                      <w:sz w:val="18"/>
                      <w:szCs w:val="18"/>
                      <w:lang w:bidi="ar"/>
                    </w:rPr>
                  </w:pPr>
                </w:p>
              </w:tc>
              <w:tc>
                <w:tcPr>
                  <w:tcW w:w="463" w:type="pct"/>
                  <w:tcBorders>
                    <w:tl2br w:val="nil"/>
                    <w:tr2bl w:val="nil"/>
                  </w:tcBorders>
                  <w:vAlign w:val="center"/>
                </w:tcPr>
                <w:p w14:paraId="04F2B9DD">
                  <w:pPr>
                    <w:widowControl/>
                    <w:jc w:val="center"/>
                    <w:textAlignment w:val="center"/>
                    <w:rPr>
                      <w:kern w:val="0"/>
                      <w:sz w:val="18"/>
                      <w:szCs w:val="18"/>
                      <w:lang w:bidi="ar"/>
                    </w:rPr>
                  </w:pPr>
                  <w:r>
                    <w:rPr>
                      <w:kern w:val="0"/>
                      <w:sz w:val="18"/>
                      <w:szCs w:val="18"/>
                      <w:lang w:bidi="ar"/>
                    </w:rPr>
                    <w:t xml:space="preserve">-0.457 </w:t>
                  </w:r>
                </w:p>
              </w:tc>
              <w:tc>
                <w:tcPr>
                  <w:tcW w:w="463" w:type="pct"/>
                  <w:tcBorders>
                    <w:tl2br w:val="nil"/>
                    <w:tr2bl w:val="nil"/>
                  </w:tcBorders>
                  <w:vAlign w:val="center"/>
                </w:tcPr>
                <w:p w14:paraId="742C8A3E">
                  <w:pPr>
                    <w:widowControl/>
                    <w:jc w:val="center"/>
                    <w:textAlignment w:val="center"/>
                    <w:rPr>
                      <w:kern w:val="0"/>
                      <w:sz w:val="18"/>
                      <w:szCs w:val="18"/>
                      <w:lang w:bidi="ar"/>
                    </w:rPr>
                  </w:pPr>
                  <w:r>
                    <w:rPr>
                      <w:kern w:val="0"/>
                      <w:sz w:val="18"/>
                      <w:szCs w:val="18"/>
                      <w:lang w:bidi="ar"/>
                    </w:rPr>
                    <w:t xml:space="preserve">+0.009 </w:t>
                  </w:r>
                </w:p>
              </w:tc>
              <w:tc>
                <w:tcPr>
                  <w:tcW w:w="463" w:type="pct"/>
                  <w:tcBorders>
                    <w:tl2br w:val="nil"/>
                    <w:tr2bl w:val="nil"/>
                  </w:tcBorders>
                  <w:vAlign w:val="center"/>
                </w:tcPr>
                <w:p w14:paraId="297A18BE">
                  <w:pPr>
                    <w:widowControl/>
                    <w:jc w:val="center"/>
                    <w:textAlignment w:val="center"/>
                    <w:rPr>
                      <w:kern w:val="0"/>
                      <w:sz w:val="18"/>
                      <w:szCs w:val="18"/>
                      <w:lang w:bidi="ar"/>
                    </w:rPr>
                  </w:pPr>
                  <w:r>
                    <w:rPr>
                      <w:kern w:val="0"/>
                      <w:sz w:val="18"/>
                      <w:szCs w:val="18"/>
                      <w:lang w:bidi="ar"/>
                    </w:rPr>
                    <w:t xml:space="preserve">-0.448 </w:t>
                  </w:r>
                </w:p>
              </w:tc>
              <w:tc>
                <w:tcPr>
                  <w:tcW w:w="627" w:type="pct"/>
                  <w:vMerge w:val="continue"/>
                  <w:tcBorders>
                    <w:tl2br w:val="nil"/>
                    <w:tr2bl w:val="nil"/>
                  </w:tcBorders>
                  <w:vAlign w:val="center"/>
                </w:tcPr>
                <w:p w14:paraId="7887B2BB">
                  <w:pPr>
                    <w:widowControl/>
                    <w:jc w:val="center"/>
                    <w:rPr>
                      <w:sz w:val="18"/>
                      <w:szCs w:val="18"/>
                    </w:rPr>
                  </w:pPr>
                </w:p>
              </w:tc>
            </w:tr>
            <w:tr w14:paraId="0B71AC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43D1995F">
                  <w:pPr>
                    <w:widowControl/>
                    <w:jc w:val="center"/>
                    <w:rPr>
                      <w:sz w:val="18"/>
                      <w:szCs w:val="18"/>
                    </w:rPr>
                  </w:pPr>
                </w:p>
              </w:tc>
              <w:tc>
                <w:tcPr>
                  <w:tcW w:w="365" w:type="pct"/>
                  <w:vMerge w:val="restart"/>
                  <w:tcBorders>
                    <w:tl2br w:val="nil"/>
                    <w:tr2bl w:val="nil"/>
                  </w:tcBorders>
                  <w:vAlign w:val="center"/>
                </w:tcPr>
                <w:p w14:paraId="4F40EFAD">
                  <w:pPr>
                    <w:widowControl/>
                    <w:jc w:val="center"/>
                    <w:textAlignment w:val="center"/>
                    <w:rPr>
                      <w:rFonts w:eastAsia="等线"/>
                      <w:sz w:val="18"/>
                      <w:szCs w:val="18"/>
                    </w:rPr>
                  </w:pPr>
                  <w:r>
                    <w:rPr>
                      <w:rFonts w:eastAsia="等线"/>
                      <w:kern w:val="0"/>
                      <w:sz w:val="18"/>
                      <w:szCs w:val="18"/>
                      <w:lang w:bidi="ar"/>
                    </w:rPr>
                    <w:t>NO</w:t>
                  </w:r>
                  <w:r>
                    <w:rPr>
                      <w:rFonts w:eastAsia="等线"/>
                      <w:kern w:val="0"/>
                      <w:sz w:val="18"/>
                      <w:szCs w:val="18"/>
                      <w:vertAlign w:val="subscript"/>
                      <w:lang w:bidi="ar"/>
                    </w:rPr>
                    <w:t>x</w:t>
                  </w:r>
                </w:p>
              </w:tc>
              <w:tc>
                <w:tcPr>
                  <w:tcW w:w="511" w:type="pct"/>
                  <w:tcBorders>
                    <w:tl2br w:val="nil"/>
                    <w:tr2bl w:val="nil"/>
                  </w:tcBorders>
                  <w:vAlign w:val="center"/>
                </w:tcPr>
                <w:p w14:paraId="113511C2">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3DD67578">
                  <w:pPr>
                    <w:widowControl/>
                    <w:jc w:val="center"/>
                    <w:textAlignment w:val="center"/>
                    <w:rPr>
                      <w:kern w:val="0"/>
                      <w:sz w:val="18"/>
                      <w:szCs w:val="18"/>
                      <w:lang w:bidi="ar"/>
                    </w:rPr>
                  </w:pPr>
                  <w:r>
                    <w:rPr>
                      <w:kern w:val="0"/>
                      <w:sz w:val="18"/>
                      <w:szCs w:val="18"/>
                      <w:lang w:bidi="ar"/>
                    </w:rPr>
                    <w:t xml:space="preserve">62.388 </w:t>
                  </w:r>
                </w:p>
              </w:tc>
              <w:tc>
                <w:tcPr>
                  <w:tcW w:w="423" w:type="pct"/>
                  <w:tcBorders>
                    <w:tl2br w:val="nil"/>
                    <w:tr2bl w:val="nil"/>
                  </w:tcBorders>
                  <w:vAlign w:val="center"/>
                </w:tcPr>
                <w:p w14:paraId="073B3E82">
                  <w:pPr>
                    <w:widowControl/>
                    <w:jc w:val="center"/>
                    <w:textAlignment w:val="center"/>
                    <w:rPr>
                      <w:kern w:val="0"/>
                      <w:sz w:val="18"/>
                      <w:szCs w:val="18"/>
                      <w:lang w:bidi="ar"/>
                    </w:rPr>
                  </w:pPr>
                  <w:r>
                    <w:rPr>
                      <w:kern w:val="0"/>
                      <w:sz w:val="18"/>
                      <w:szCs w:val="18"/>
                      <w:lang w:bidi="ar"/>
                    </w:rPr>
                    <w:t xml:space="preserve">3.705 </w:t>
                  </w:r>
                </w:p>
              </w:tc>
              <w:tc>
                <w:tcPr>
                  <w:tcW w:w="423" w:type="pct"/>
                  <w:tcBorders>
                    <w:tl2br w:val="nil"/>
                    <w:tr2bl w:val="nil"/>
                  </w:tcBorders>
                  <w:vAlign w:val="center"/>
                </w:tcPr>
                <w:p w14:paraId="5EB7BB8F">
                  <w:pPr>
                    <w:widowControl/>
                    <w:jc w:val="center"/>
                    <w:textAlignment w:val="center"/>
                    <w:rPr>
                      <w:kern w:val="0"/>
                      <w:sz w:val="18"/>
                      <w:szCs w:val="18"/>
                      <w:lang w:bidi="ar"/>
                    </w:rPr>
                  </w:pPr>
                  <w:r>
                    <w:rPr>
                      <w:kern w:val="0"/>
                      <w:sz w:val="18"/>
                      <w:szCs w:val="18"/>
                      <w:lang w:bidi="ar"/>
                    </w:rPr>
                    <w:t xml:space="preserve">66.093 </w:t>
                  </w:r>
                </w:p>
              </w:tc>
              <w:tc>
                <w:tcPr>
                  <w:tcW w:w="641" w:type="pct"/>
                  <w:vMerge w:val="continue"/>
                  <w:tcBorders>
                    <w:tl2br w:val="nil"/>
                    <w:tr2bl w:val="nil"/>
                  </w:tcBorders>
                  <w:vAlign w:val="center"/>
                </w:tcPr>
                <w:p w14:paraId="0250D84F">
                  <w:pPr>
                    <w:widowControl/>
                    <w:jc w:val="center"/>
                    <w:textAlignment w:val="center"/>
                    <w:rPr>
                      <w:kern w:val="0"/>
                      <w:sz w:val="18"/>
                      <w:szCs w:val="18"/>
                      <w:lang w:bidi="ar"/>
                    </w:rPr>
                  </w:pPr>
                </w:p>
              </w:tc>
              <w:tc>
                <w:tcPr>
                  <w:tcW w:w="463" w:type="pct"/>
                  <w:tcBorders>
                    <w:tl2br w:val="nil"/>
                    <w:tr2bl w:val="nil"/>
                  </w:tcBorders>
                  <w:vAlign w:val="center"/>
                </w:tcPr>
                <w:p w14:paraId="30461F2E">
                  <w:pPr>
                    <w:widowControl/>
                    <w:jc w:val="center"/>
                    <w:textAlignment w:val="center"/>
                    <w:rPr>
                      <w:kern w:val="0"/>
                      <w:sz w:val="18"/>
                      <w:szCs w:val="18"/>
                      <w:lang w:bidi="ar"/>
                    </w:rPr>
                  </w:pPr>
                  <w:r>
                    <w:rPr>
                      <w:kern w:val="0"/>
                      <w:sz w:val="18"/>
                      <w:szCs w:val="18"/>
                      <w:lang w:bidi="ar"/>
                    </w:rPr>
                    <w:t xml:space="preserve">62.388 </w:t>
                  </w:r>
                </w:p>
              </w:tc>
              <w:tc>
                <w:tcPr>
                  <w:tcW w:w="463" w:type="pct"/>
                  <w:tcBorders>
                    <w:tl2br w:val="nil"/>
                    <w:tr2bl w:val="nil"/>
                  </w:tcBorders>
                  <w:vAlign w:val="center"/>
                </w:tcPr>
                <w:p w14:paraId="3C2EA97F">
                  <w:pPr>
                    <w:widowControl/>
                    <w:jc w:val="center"/>
                    <w:textAlignment w:val="center"/>
                    <w:rPr>
                      <w:kern w:val="0"/>
                      <w:sz w:val="18"/>
                      <w:szCs w:val="18"/>
                      <w:lang w:bidi="ar"/>
                    </w:rPr>
                  </w:pPr>
                  <w:r>
                    <w:rPr>
                      <w:kern w:val="0"/>
                      <w:sz w:val="18"/>
                      <w:szCs w:val="18"/>
                      <w:lang w:bidi="ar"/>
                    </w:rPr>
                    <w:t xml:space="preserve">3.705 </w:t>
                  </w:r>
                </w:p>
              </w:tc>
              <w:tc>
                <w:tcPr>
                  <w:tcW w:w="463" w:type="pct"/>
                  <w:tcBorders>
                    <w:tl2br w:val="nil"/>
                    <w:tr2bl w:val="nil"/>
                  </w:tcBorders>
                  <w:vAlign w:val="center"/>
                </w:tcPr>
                <w:p w14:paraId="3E169704">
                  <w:pPr>
                    <w:widowControl/>
                    <w:jc w:val="center"/>
                    <w:textAlignment w:val="center"/>
                    <w:rPr>
                      <w:kern w:val="0"/>
                      <w:sz w:val="18"/>
                      <w:szCs w:val="18"/>
                      <w:lang w:bidi="ar"/>
                    </w:rPr>
                  </w:pPr>
                  <w:r>
                    <w:rPr>
                      <w:kern w:val="0"/>
                      <w:sz w:val="18"/>
                      <w:szCs w:val="18"/>
                      <w:lang w:bidi="ar"/>
                    </w:rPr>
                    <w:t xml:space="preserve">66.093 </w:t>
                  </w:r>
                </w:p>
              </w:tc>
              <w:tc>
                <w:tcPr>
                  <w:tcW w:w="627" w:type="pct"/>
                  <w:vMerge w:val="continue"/>
                  <w:tcBorders>
                    <w:tl2br w:val="nil"/>
                    <w:tr2bl w:val="nil"/>
                  </w:tcBorders>
                  <w:vAlign w:val="center"/>
                </w:tcPr>
                <w:p w14:paraId="55EA2CC5">
                  <w:pPr>
                    <w:widowControl/>
                    <w:jc w:val="center"/>
                    <w:rPr>
                      <w:sz w:val="18"/>
                      <w:szCs w:val="18"/>
                    </w:rPr>
                  </w:pPr>
                </w:p>
              </w:tc>
            </w:tr>
            <w:tr w14:paraId="0CB5D4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64418A71">
                  <w:pPr>
                    <w:widowControl/>
                    <w:jc w:val="center"/>
                    <w:rPr>
                      <w:sz w:val="18"/>
                      <w:szCs w:val="18"/>
                    </w:rPr>
                  </w:pPr>
                </w:p>
              </w:tc>
              <w:tc>
                <w:tcPr>
                  <w:tcW w:w="365" w:type="pct"/>
                  <w:vMerge w:val="continue"/>
                  <w:tcBorders>
                    <w:tl2br w:val="nil"/>
                    <w:tr2bl w:val="nil"/>
                  </w:tcBorders>
                  <w:vAlign w:val="center"/>
                </w:tcPr>
                <w:p w14:paraId="438A1EBF">
                  <w:pPr>
                    <w:widowControl/>
                    <w:jc w:val="center"/>
                    <w:rPr>
                      <w:rFonts w:eastAsia="等线"/>
                      <w:sz w:val="18"/>
                      <w:szCs w:val="18"/>
                    </w:rPr>
                  </w:pPr>
                </w:p>
              </w:tc>
              <w:tc>
                <w:tcPr>
                  <w:tcW w:w="511" w:type="pct"/>
                  <w:tcBorders>
                    <w:tl2br w:val="nil"/>
                    <w:tr2bl w:val="nil"/>
                  </w:tcBorders>
                  <w:vAlign w:val="center"/>
                </w:tcPr>
                <w:p w14:paraId="02F281A6">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675B0F22">
                  <w:pPr>
                    <w:widowControl/>
                    <w:jc w:val="center"/>
                    <w:textAlignment w:val="center"/>
                    <w:rPr>
                      <w:kern w:val="0"/>
                      <w:sz w:val="18"/>
                      <w:szCs w:val="18"/>
                      <w:lang w:bidi="ar"/>
                    </w:rPr>
                  </w:pPr>
                  <w:r>
                    <w:rPr>
                      <w:kern w:val="0"/>
                      <w:sz w:val="18"/>
                      <w:szCs w:val="18"/>
                      <w:lang w:bidi="ar"/>
                    </w:rPr>
                    <w:t xml:space="preserve">70.908 </w:t>
                  </w:r>
                </w:p>
              </w:tc>
              <w:tc>
                <w:tcPr>
                  <w:tcW w:w="423" w:type="pct"/>
                  <w:tcBorders>
                    <w:tl2br w:val="nil"/>
                    <w:tr2bl w:val="nil"/>
                  </w:tcBorders>
                  <w:vAlign w:val="center"/>
                </w:tcPr>
                <w:p w14:paraId="7C782275">
                  <w:pPr>
                    <w:widowControl/>
                    <w:jc w:val="center"/>
                    <w:textAlignment w:val="center"/>
                    <w:rPr>
                      <w:kern w:val="0"/>
                      <w:sz w:val="18"/>
                      <w:szCs w:val="18"/>
                      <w:lang w:bidi="ar"/>
                    </w:rPr>
                  </w:pPr>
                  <w:r>
                    <w:rPr>
                      <w:kern w:val="0"/>
                      <w:sz w:val="18"/>
                      <w:szCs w:val="18"/>
                      <w:lang w:bidi="ar"/>
                    </w:rPr>
                    <w:t xml:space="preserve">22.127 </w:t>
                  </w:r>
                </w:p>
              </w:tc>
              <w:tc>
                <w:tcPr>
                  <w:tcW w:w="423" w:type="pct"/>
                  <w:tcBorders>
                    <w:tl2br w:val="nil"/>
                    <w:tr2bl w:val="nil"/>
                  </w:tcBorders>
                  <w:vAlign w:val="center"/>
                </w:tcPr>
                <w:p w14:paraId="12AADDCA">
                  <w:pPr>
                    <w:widowControl/>
                    <w:jc w:val="center"/>
                    <w:textAlignment w:val="center"/>
                    <w:rPr>
                      <w:kern w:val="0"/>
                      <w:sz w:val="18"/>
                      <w:szCs w:val="18"/>
                      <w:lang w:bidi="ar"/>
                    </w:rPr>
                  </w:pPr>
                  <w:r>
                    <w:rPr>
                      <w:kern w:val="0"/>
                      <w:sz w:val="18"/>
                      <w:szCs w:val="18"/>
                      <w:lang w:bidi="ar"/>
                    </w:rPr>
                    <w:t xml:space="preserve">93.035 </w:t>
                  </w:r>
                </w:p>
              </w:tc>
              <w:tc>
                <w:tcPr>
                  <w:tcW w:w="641" w:type="pct"/>
                  <w:vMerge w:val="continue"/>
                  <w:tcBorders>
                    <w:tl2br w:val="nil"/>
                    <w:tr2bl w:val="nil"/>
                  </w:tcBorders>
                  <w:vAlign w:val="center"/>
                </w:tcPr>
                <w:p w14:paraId="1B75F114">
                  <w:pPr>
                    <w:widowControl/>
                    <w:jc w:val="center"/>
                    <w:textAlignment w:val="center"/>
                    <w:rPr>
                      <w:kern w:val="0"/>
                      <w:sz w:val="18"/>
                      <w:szCs w:val="18"/>
                      <w:lang w:bidi="ar"/>
                    </w:rPr>
                  </w:pPr>
                </w:p>
              </w:tc>
              <w:tc>
                <w:tcPr>
                  <w:tcW w:w="463" w:type="pct"/>
                  <w:tcBorders>
                    <w:tl2br w:val="nil"/>
                    <w:tr2bl w:val="nil"/>
                  </w:tcBorders>
                  <w:vAlign w:val="center"/>
                </w:tcPr>
                <w:p w14:paraId="514B25DB">
                  <w:pPr>
                    <w:widowControl/>
                    <w:jc w:val="center"/>
                    <w:textAlignment w:val="center"/>
                    <w:rPr>
                      <w:kern w:val="0"/>
                      <w:sz w:val="18"/>
                      <w:szCs w:val="18"/>
                      <w:lang w:bidi="ar"/>
                    </w:rPr>
                  </w:pPr>
                  <w:r>
                    <w:rPr>
                      <w:kern w:val="0"/>
                      <w:sz w:val="18"/>
                      <w:szCs w:val="18"/>
                      <w:lang w:bidi="ar"/>
                    </w:rPr>
                    <w:t xml:space="preserve">60.466 </w:t>
                  </w:r>
                </w:p>
              </w:tc>
              <w:tc>
                <w:tcPr>
                  <w:tcW w:w="463" w:type="pct"/>
                  <w:tcBorders>
                    <w:tl2br w:val="nil"/>
                    <w:tr2bl w:val="nil"/>
                  </w:tcBorders>
                  <w:vAlign w:val="center"/>
                </w:tcPr>
                <w:p w14:paraId="0FD510D2">
                  <w:pPr>
                    <w:widowControl/>
                    <w:jc w:val="center"/>
                    <w:textAlignment w:val="center"/>
                    <w:rPr>
                      <w:kern w:val="0"/>
                      <w:sz w:val="18"/>
                      <w:szCs w:val="18"/>
                      <w:lang w:bidi="ar"/>
                    </w:rPr>
                  </w:pPr>
                  <w:r>
                    <w:rPr>
                      <w:kern w:val="0"/>
                      <w:sz w:val="18"/>
                      <w:szCs w:val="18"/>
                      <w:lang w:bidi="ar"/>
                    </w:rPr>
                    <w:t xml:space="preserve">24.342 </w:t>
                  </w:r>
                </w:p>
              </w:tc>
              <w:tc>
                <w:tcPr>
                  <w:tcW w:w="463" w:type="pct"/>
                  <w:tcBorders>
                    <w:tl2br w:val="nil"/>
                    <w:tr2bl w:val="nil"/>
                  </w:tcBorders>
                  <w:vAlign w:val="center"/>
                </w:tcPr>
                <w:p w14:paraId="018A62EA">
                  <w:pPr>
                    <w:widowControl/>
                    <w:jc w:val="center"/>
                    <w:textAlignment w:val="center"/>
                    <w:rPr>
                      <w:kern w:val="0"/>
                      <w:sz w:val="18"/>
                      <w:szCs w:val="18"/>
                      <w:lang w:bidi="ar"/>
                    </w:rPr>
                  </w:pPr>
                  <w:r>
                    <w:rPr>
                      <w:kern w:val="0"/>
                      <w:sz w:val="18"/>
                      <w:szCs w:val="18"/>
                      <w:lang w:bidi="ar"/>
                    </w:rPr>
                    <w:t xml:space="preserve">84.808 </w:t>
                  </w:r>
                </w:p>
              </w:tc>
              <w:tc>
                <w:tcPr>
                  <w:tcW w:w="627" w:type="pct"/>
                  <w:vMerge w:val="continue"/>
                  <w:tcBorders>
                    <w:tl2br w:val="nil"/>
                    <w:tr2bl w:val="nil"/>
                  </w:tcBorders>
                  <w:vAlign w:val="center"/>
                </w:tcPr>
                <w:p w14:paraId="2446B1E9">
                  <w:pPr>
                    <w:widowControl/>
                    <w:jc w:val="center"/>
                    <w:rPr>
                      <w:sz w:val="18"/>
                      <w:szCs w:val="18"/>
                    </w:rPr>
                  </w:pPr>
                </w:p>
              </w:tc>
            </w:tr>
            <w:tr w14:paraId="451517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234253F7">
                  <w:pPr>
                    <w:widowControl/>
                    <w:jc w:val="center"/>
                    <w:rPr>
                      <w:sz w:val="18"/>
                      <w:szCs w:val="18"/>
                    </w:rPr>
                  </w:pPr>
                </w:p>
              </w:tc>
              <w:tc>
                <w:tcPr>
                  <w:tcW w:w="365" w:type="pct"/>
                  <w:vMerge w:val="continue"/>
                  <w:tcBorders>
                    <w:tl2br w:val="nil"/>
                    <w:tr2bl w:val="nil"/>
                  </w:tcBorders>
                  <w:vAlign w:val="center"/>
                </w:tcPr>
                <w:p w14:paraId="0AB3C250">
                  <w:pPr>
                    <w:widowControl/>
                    <w:jc w:val="center"/>
                    <w:rPr>
                      <w:rFonts w:eastAsia="等线"/>
                      <w:sz w:val="18"/>
                      <w:szCs w:val="18"/>
                    </w:rPr>
                  </w:pPr>
                </w:p>
              </w:tc>
              <w:tc>
                <w:tcPr>
                  <w:tcW w:w="511" w:type="pct"/>
                  <w:tcBorders>
                    <w:tl2br w:val="nil"/>
                    <w:tr2bl w:val="nil"/>
                  </w:tcBorders>
                  <w:vAlign w:val="center"/>
                </w:tcPr>
                <w:p w14:paraId="19079133">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4B597FD9">
                  <w:pPr>
                    <w:widowControl/>
                    <w:jc w:val="center"/>
                    <w:textAlignment w:val="center"/>
                    <w:rPr>
                      <w:kern w:val="0"/>
                      <w:sz w:val="18"/>
                      <w:szCs w:val="18"/>
                      <w:lang w:bidi="ar"/>
                    </w:rPr>
                  </w:pPr>
                  <w:r>
                    <w:rPr>
                      <w:kern w:val="0"/>
                      <w:sz w:val="18"/>
                      <w:szCs w:val="18"/>
                      <w:lang w:bidi="ar"/>
                    </w:rPr>
                    <w:t xml:space="preserve">+8.520 </w:t>
                  </w:r>
                </w:p>
              </w:tc>
              <w:tc>
                <w:tcPr>
                  <w:tcW w:w="423" w:type="pct"/>
                  <w:tcBorders>
                    <w:tl2br w:val="nil"/>
                    <w:tr2bl w:val="nil"/>
                  </w:tcBorders>
                  <w:vAlign w:val="center"/>
                </w:tcPr>
                <w:p w14:paraId="4E34F856">
                  <w:pPr>
                    <w:widowControl/>
                    <w:jc w:val="center"/>
                    <w:textAlignment w:val="center"/>
                    <w:rPr>
                      <w:kern w:val="0"/>
                      <w:sz w:val="18"/>
                      <w:szCs w:val="18"/>
                      <w:lang w:bidi="ar"/>
                    </w:rPr>
                  </w:pPr>
                  <w:r>
                    <w:rPr>
                      <w:kern w:val="0"/>
                      <w:sz w:val="18"/>
                      <w:szCs w:val="18"/>
                      <w:lang w:bidi="ar"/>
                    </w:rPr>
                    <w:t xml:space="preserve">+18.423 </w:t>
                  </w:r>
                </w:p>
              </w:tc>
              <w:tc>
                <w:tcPr>
                  <w:tcW w:w="423" w:type="pct"/>
                  <w:tcBorders>
                    <w:tl2br w:val="nil"/>
                    <w:tr2bl w:val="nil"/>
                  </w:tcBorders>
                  <w:vAlign w:val="center"/>
                </w:tcPr>
                <w:p w14:paraId="79398D0C">
                  <w:pPr>
                    <w:widowControl/>
                    <w:jc w:val="center"/>
                    <w:textAlignment w:val="center"/>
                    <w:rPr>
                      <w:kern w:val="0"/>
                      <w:sz w:val="18"/>
                      <w:szCs w:val="18"/>
                      <w:lang w:bidi="ar"/>
                    </w:rPr>
                  </w:pPr>
                  <w:r>
                    <w:rPr>
                      <w:kern w:val="0"/>
                      <w:sz w:val="18"/>
                      <w:szCs w:val="18"/>
                      <w:lang w:bidi="ar"/>
                    </w:rPr>
                    <w:t xml:space="preserve">+26.942 </w:t>
                  </w:r>
                </w:p>
              </w:tc>
              <w:tc>
                <w:tcPr>
                  <w:tcW w:w="641" w:type="pct"/>
                  <w:vMerge w:val="continue"/>
                  <w:tcBorders>
                    <w:tl2br w:val="nil"/>
                    <w:tr2bl w:val="nil"/>
                  </w:tcBorders>
                  <w:vAlign w:val="center"/>
                </w:tcPr>
                <w:p w14:paraId="022082EF">
                  <w:pPr>
                    <w:widowControl/>
                    <w:jc w:val="center"/>
                    <w:textAlignment w:val="center"/>
                    <w:rPr>
                      <w:kern w:val="0"/>
                      <w:sz w:val="18"/>
                      <w:szCs w:val="18"/>
                      <w:lang w:bidi="ar"/>
                    </w:rPr>
                  </w:pPr>
                </w:p>
              </w:tc>
              <w:tc>
                <w:tcPr>
                  <w:tcW w:w="463" w:type="pct"/>
                  <w:tcBorders>
                    <w:tl2br w:val="nil"/>
                    <w:tr2bl w:val="nil"/>
                  </w:tcBorders>
                  <w:vAlign w:val="center"/>
                </w:tcPr>
                <w:p w14:paraId="2A4E9313">
                  <w:pPr>
                    <w:widowControl/>
                    <w:jc w:val="center"/>
                    <w:textAlignment w:val="center"/>
                    <w:rPr>
                      <w:kern w:val="0"/>
                      <w:sz w:val="18"/>
                      <w:szCs w:val="18"/>
                      <w:lang w:bidi="ar"/>
                    </w:rPr>
                  </w:pPr>
                  <w:r>
                    <w:rPr>
                      <w:kern w:val="0"/>
                      <w:sz w:val="18"/>
                      <w:szCs w:val="18"/>
                      <w:lang w:bidi="ar"/>
                    </w:rPr>
                    <w:t xml:space="preserve">-1.922 </w:t>
                  </w:r>
                </w:p>
              </w:tc>
              <w:tc>
                <w:tcPr>
                  <w:tcW w:w="463" w:type="pct"/>
                  <w:tcBorders>
                    <w:tl2br w:val="nil"/>
                    <w:tr2bl w:val="nil"/>
                  </w:tcBorders>
                  <w:vAlign w:val="center"/>
                </w:tcPr>
                <w:p w14:paraId="5AEC9A71">
                  <w:pPr>
                    <w:widowControl/>
                    <w:jc w:val="center"/>
                    <w:textAlignment w:val="center"/>
                    <w:rPr>
                      <w:kern w:val="0"/>
                      <w:sz w:val="18"/>
                      <w:szCs w:val="18"/>
                      <w:lang w:bidi="ar"/>
                    </w:rPr>
                  </w:pPr>
                  <w:r>
                    <w:rPr>
                      <w:kern w:val="0"/>
                      <w:sz w:val="18"/>
                      <w:szCs w:val="18"/>
                      <w:lang w:bidi="ar"/>
                    </w:rPr>
                    <w:t xml:space="preserve">+20.637 </w:t>
                  </w:r>
                </w:p>
              </w:tc>
              <w:tc>
                <w:tcPr>
                  <w:tcW w:w="463" w:type="pct"/>
                  <w:tcBorders>
                    <w:tl2br w:val="nil"/>
                    <w:tr2bl w:val="nil"/>
                  </w:tcBorders>
                  <w:vAlign w:val="center"/>
                </w:tcPr>
                <w:p w14:paraId="49E33EF0">
                  <w:pPr>
                    <w:widowControl/>
                    <w:jc w:val="center"/>
                    <w:textAlignment w:val="center"/>
                    <w:rPr>
                      <w:kern w:val="0"/>
                      <w:sz w:val="18"/>
                      <w:szCs w:val="18"/>
                      <w:lang w:bidi="ar"/>
                    </w:rPr>
                  </w:pPr>
                  <w:r>
                    <w:rPr>
                      <w:kern w:val="0"/>
                      <w:sz w:val="18"/>
                      <w:szCs w:val="18"/>
                      <w:lang w:bidi="ar"/>
                    </w:rPr>
                    <w:t xml:space="preserve">+18.715 </w:t>
                  </w:r>
                </w:p>
              </w:tc>
              <w:tc>
                <w:tcPr>
                  <w:tcW w:w="627" w:type="pct"/>
                  <w:vMerge w:val="continue"/>
                  <w:tcBorders>
                    <w:tl2br w:val="nil"/>
                    <w:tr2bl w:val="nil"/>
                  </w:tcBorders>
                  <w:vAlign w:val="center"/>
                </w:tcPr>
                <w:p w14:paraId="59B502F7">
                  <w:pPr>
                    <w:widowControl/>
                    <w:jc w:val="center"/>
                    <w:rPr>
                      <w:sz w:val="18"/>
                      <w:szCs w:val="18"/>
                    </w:rPr>
                  </w:pPr>
                </w:p>
              </w:tc>
            </w:tr>
            <w:tr w14:paraId="746520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0762DFF5">
                  <w:pPr>
                    <w:widowControl/>
                    <w:jc w:val="center"/>
                    <w:rPr>
                      <w:sz w:val="18"/>
                      <w:szCs w:val="18"/>
                    </w:rPr>
                  </w:pPr>
                </w:p>
              </w:tc>
              <w:tc>
                <w:tcPr>
                  <w:tcW w:w="365" w:type="pct"/>
                  <w:vMerge w:val="restart"/>
                  <w:tcBorders>
                    <w:tl2br w:val="nil"/>
                    <w:tr2bl w:val="nil"/>
                  </w:tcBorders>
                  <w:vAlign w:val="center"/>
                </w:tcPr>
                <w:p w14:paraId="30E0775D">
                  <w:pPr>
                    <w:widowControl/>
                    <w:jc w:val="center"/>
                    <w:textAlignment w:val="center"/>
                    <w:rPr>
                      <w:rFonts w:eastAsia="等线"/>
                      <w:sz w:val="18"/>
                      <w:szCs w:val="18"/>
                    </w:rPr>
                  </w:pPr>
                  <w:r>
                    <w:rPr>
                      <w:rFonts w:hint="eastAsia"/>
                      <w:kern w:val="0"/>
                      <w:sz w:val="18"/>
                      <w:szCs w:val="18"/>
                      <w:lang w:bidi="ar"/>
                    </w:rPr>
                    <w:t>烟粉尘</w:t>
                  </w:r>
                </w:p>
              </w:tc>
              <w:tc>
                <w:tcPr>
                  <w:tcW w:w="511" w:type="pct"/>
                  <w:tcBorders>
                    <w:tl2br w:val="nil"/>
                    <w:tr2bl w:val="nil"/>
                  </w:tcBorders>
                  <w:vAlign w:val="center"/>
                </w:tcPr>
                <w:p w14:paraId="2C762A38">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4FAB5112">
                  <w:pPr>
                    <w:widowControl/>
                    <w:jc w:val="center"/>
                    <w:textAlignment w:val="center"/>
                    <w:rPr>
                      <w:kern w:val="0"/>
                      <w:sz w:val="18"/>
                      <w:szCs w:val="18"/>
                      <w:lang w:bidi="ar"/>
                    </w:rPr>
                  </w:pPr>
                  <w:r>
                    <w:rPr>
                      <w:kern w:val="0"/>
                      <w:sz w:val="18"/>
                      <w:szCs w:val="18"/>
                      <w:lang w:bidi="ar"/>
                    </w:rPr>
                    <w:t xml:space="preserve">133.966 </w:t>
                  </w:r>
                </w:p>
              </w:tc>
              <w:tc>
                <w:tcPr>
                  <w:tcW w:w="423" w:type="pct"/>
                  <w:tcBorders>
                    <w:tl2br w:val="nil"/>
                    <w:tr2bl w:val="nil"/>
                  </w:tcBorders>
                  <w:vAlign w:val="center"/>
                </w:tcPr>
                <w:p w14:paraId="6E0FB830">
                  <w:pPr>
                    <w:widowControl/>
                    <w:jc w:val="center"/>
                    <w:textAlignment w:val="center"/>
                    <w:rPr>
                      <w:kern w:val="0"/>
                      <w:sz w:val="18"/>
                      <w:szCs w:val="18"/>
                      <w:lang w:bidi="ar"/>
                    </w:rPr>
                  </w:pPr>
                  <w:r>
                    <w:rPr>
                      <w:kern w:val="0"/>
                      <w:sz w:val="18"/>
                      <w:szCs w:val="18"/>
                      <w:lang w:bidi="ar"/>
                    </w:rPr>
                    <w:t xml:space="preserve">0.340 </w:t>
                  </w:r>
                </w:p>
              </w:tc>
              <w:tc>
                <w:tcPr>
                  <w:tcW w:w="423" w:type="pct"/>
                  <w:tcBorders>
                    <w:tl2br w:val="nil"/>
                    <w:tr2bl w:val="nil"/>
                  </w:tcBorders>
                  <w:vAlign w:val="center"/>
                </w:tcPr>
                <w:p w14:paraId="22649A82">
                  <w:pPr>
                    <w:widowControl/>
                    <w:jc w:val="center"/>
                    <w:textAlignment w:val="center"/>
                    <w:rPr>
                      <w:kern w:val="0"/>
                      <w:sz w:val="18"/>
                      <w:szCs w:val="18"/>
                      <w:lang w:bidi="ar"/>
                    </w:rPr>
                  </w:pPr>
                  <w:r>
                    <w:rPr>
                      <w:kern w:val="0"/>
                      <w:sz w:val="18"/>
                      <w:szCs w:val="18"/>
                      <w:lang w:bidi="ar"/>
                    </w:rPr>
                    <w:t xml:space="preserve">134.305 </w:t>
                  </w:r>
                </w:p>
              </w:tc>
              <w:tc>
                <w:tcPr>
                  <w:tcW w:w="641" w:type="pct"/>
                  <w:vMerge w:val="continue"/>
                  <w:tcBorders>
                    <w:tl2br w:val="nil"/>
                    <w:tr2bl w:val="nil"/>
                  </w:tcBorders>
                  <w:vAlign w:val="center"/>
                </w:tcPr>
                <w:p w14:paraId="40CC8AA4">
                  <w:pPr>
                    <w:widowControl/>
                    <w:jc w:val="center"/>
                    <w:textAlignment w:val="center"/>
                    <w:rPr>
                      <w:kern w:val="0"/>
                      <w:sz w:val="18"/>
                      <w:szCs w:val="18"/>
                      <w:lang w:bidi="ar"/>
                    </w:rPr>
                  </w:pPr>
                </w:p>
              </w:tc>
              <w:tc>
                <w:tcPr>
                  <w:tcW w:w="463" w:type="pct"/>
                  <w:tcBorders>
                    <w:tl2br w:val="nil"/>
                    <w:tr2bl w:val="nil"/>
                  </w:tcBorders>
                  <w:vAlign w:val="center"/>
                </w:tcPr>
                <w:p w14:paraId="3857611B">
                  <w:pPr>
                    <w:widowControl/>
                    <w:jc w:val="center"/>
                    <w:textAlignment w:val="center"/>
                    <w:rPr>
                      <w:kern w:val="0"/>
                      <w:sz w:val="18"/>
                      <w:szCs w:val="18"/>
                      <w:lang w:bidi="ar"/>
                    </w:rPr>
                  </w:pPr>
                  <w:r>
                    <w:rPr>
                      <w:kern w:val="0"/>
                      <w:sz w:val="18"/>
                      <w:szCs w:val="18"/>
                      <w:lang w:bidi="ar"/>
                    </w:rPr>
                    <w:t xml:space="preserve">133.966 </w:t>
                  </w:r>
                </w:p>
              </w:tc>
              <w:tc>
                <w:tcPr>
                  <w:tcW w:w="463" w:type="pct"/>
                  <w:tcBorders>
                    <w:tl2br w:val="nil"/>
                    <w:tr2bl w:val="nil"/>
                  </w:tcBorders>
                  <w:vAlign w:val="center"/>
                </w:tcPr>
                <w:p w14:paraId="04000162">
                  <w:pPr>
                    <w:widowControl/>
                    <w:jc w:val="center"/>
                    <w:textAlignment w:val="center"/>
                    <w:rPr>
                      <w:kern w:val="0"/>
                      <w:sz w:val="18"/>
                      <w:szCs w:val="18"/>
                      <w:lang w:bidi="ar"/>
                    </w:rPr>
                  </w:pPr>
                  <w:r>
                    <w:rPr>
                      <w:kern w:val="0"/>
                      <w:sz w:val="18"/>
                      <w:szCs w:val="18"/>
                      <w:lang w:bidi="ar"/>
                    </w:rPr>
                    <w:t xml:space="preserve">0.340 </w:t>
                  </w:r>
                </w:p>
              </w:tc>
              <w:tc>
                <w:tcPr>
                  <w:tcW w:w="463" w:type="pct"/>
                  <w:tcBorders>
                    <w:tl2br w:val="nil"/>
                    <w:tr2bl w:val="nil"/>
                  </w:tcBorders>
                  <w:vAlign w:val="center"/>
                </w:tcPr>
                <w:p w14:paraId="1BE16E61">
                  <w:pPr>
                    <w:widowControl/>
                    <w:jc w:val="center"/>
                    <w:textAlignment w:val="center"/>
                    <w:rPr>
                      <w:kern w:val="0"/>
                      <w:sz w:val="18"/>
                      <w:szCs w:val="18"/>
                      <w:lang w:bidi="ar"/>
                    </w:rPr>
                  </w:pPr>
                  <w:r>
                    <w:rPr>
                      <w:kern w:val="0"/>
                      <w:sz w:val="18"/>
                      <w:szCs w:val="18"/>
                      <w:lang w:bidi="ar"/>
                    </w:rPr>
                    <w:t xml:space="preserve">134.305 </w:t>
                  </w:r>
                </w:p>
              </w:tc>
              <w:tc>
                <w:tcPr>
                  <w:tcW w:w="627" w:type="pct"/>
                  <w:vMerge w:val="continue"/>
                  <w:tcBorders>
                    <w:tl2br w:val="nil"/>
                    <w:tr2bl w:val="nil"/>
                  </w:tcBorders>
                  <w:vAlign w:val="center"/>
                </w:tcPr>
                <w:p w14:paraId="3C522149">
                  <w:pPr>
                    <w:widowControl/>
                    <w:jc w:val="center"/>
                    <w:rPr>
                      <w:sz w:val="18"/>
                      <w:szCs w:val="18"/>
                    </w:rPr>
                  </w:pPr>
                </w:p>
              </w:tc>
            </w:tr>
            <w:tr w14:paraId="46A654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060676D8">
                  <w:pPr>
                    <w:widowControl/>
                    <w:jc w:val="center"/>
                    <w:rPr>
                      <w:sz w:val="18"/>
                      <w:szCs w:val="18"/>
                    </w:rPr>
                  </w:pPr>
                </w:p>
              </w:tc>
              <w:tc>
                <w:tcPr>
                  <w:tcW w:w="365" w:type="pct"/>
                  <w:vMerge w:val="continue"/>
                  <w:tcBorders>
                    <w:tl2br w:val="nil"/>
                    <w:tr2bl w:val="nil"/>
                  </w:tcBorders>
                  <w:vAlign w:val="center"/>
                </w:tcPr>
                <w:p w14:paraId="4C442AD5">
                  <w:pPr>
                    <w:widowControl/>
                    <w:jc w:val="center"/>
                    <w:rPr>
                      <w:rFonts w:eastAsia="等线"/>
                      <w:sz w:val="18"/>
                      <w:szCs w:val="18"/>
                    </w:rPr>
                  </w:pPr>
                </w:p>
              </w:tc>
              <w:tc>
                <w:tcPr>
                  <w:tcW w:w="511" w:type="pct"/>
                  <w:tcBorders>
                    <w:tl2br w:val="nil"/>
                    <w:tr2bl w:val="nil"/>
                  </w:tcBorders>
                  <w:vAlign w:val="center"/>
                </w:tcPr>
                <w:p w14:paraId="7647C811">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49BF6280">
                  <w:pPr>
                    <w:widowControl/>
                    <w:jc w:val="center"/>
                    <w:textAlignment w:val="center"/>
                    <w:rPr>
                      <w:kern w:val="0"/>
                      <w:sz w:val="18"/>
                      <w:szCs w:val="18"/>
                      <w:lang w:bidi="ar"/>
                    </w:rPr>
                  </w:pPr>
                  <w:r>
                    <w:rPr>
                      <w:kern w:val="0"/>
                      <w:sz w:val="18"/>
                      <w:szCs w:val="18"/>
                      <w:lang w:bidi="ar"/>
                    </w:rPr>
                    <w:t xml:space="preserve">150.127 </w:t>
                  </w:r>
                </w:p>
              </w:tc>
              <w:tc>
                <w:tcPr>
                  <w:tcW w:w="423" w:type="pct"/>
                  <w:tcBorders>
                    <w:tl2br w:val="nil"/>
                    <w:tr2bl w:val="nil"/>
                  </w:tcBorders>
                  <w:vAlign w:val="center"/>
                </w:tcPr>
                <w:p w14:paraId="5DF52C10">
                  <w:pPr>
                    <w:widowControl/>
                    <w:jc w:val="center"/>
                    <w:textAlignment w:val="center"/>
                    <w:rPr>
                      <w:kern w:val="0"/>
                      <w:sz w:val="18"/>
                      <w:szCs w:val="18"/>
                      <w:lang w:bidi="ar"/>
                    </w:rPr>
                  </w:pPr>
                  <w:r>
                    <w:rPr>
                      <w:kern w:val="0"/>
                      <w:sz w:val="18"/>
                      <w:szCs w:val="18"/>
                      <w:lang w:bidi="ar"/>
                    </w:rPr>
                    <w:t xml:space="preserve">2.028 </w:t>
                  </w:r>
                </w:p>
              </w:tc>
              <w:tc>
                <w:tcPr>
                  <w:tcW w:w="423" w:type="pct"/>
                  <w:tcBorders>
                    <w:tl2br w:val="nil"/>
                    <w:tr2bl w:val="nil"/>
                  </w:tcBorders>
                  <w:vAlign w:val="center"/>
                </w:tcPr>
                <w:p w14:paraId="50172646">
                  <w:pPr>
                    <w:widowControl/>
                    <w:jc w:val="center"/>
                    <w:textAlignment w:val="center"/>
                    <w:rPr>
                      <w:kern w:val="0"/>
                      <w:sz w:val="18"/>
                      <w:szCs w:val="18"/>
                      <w:lang w:bidi="ar"/>
                    </w:rPr>
                  </w:pPr>
                  <w:r>
                    <w:rPr>
                      <w:kern w:val="0"/>
                      <w:sz w:val="18"/>
                      <w:szCs w:val="18"/>
                      <w:lang w:bidi="ar"/>
                    </w:rPr>
                    <w:t xml:space="preserve">152.156 </w:t>
                  </w:r>
                </w:p>
              </w:tc>
              <w:tc>
                <w:tcPr>
                  <w:tcW w:w="641" w:type="pct"/>
                  <w:vMerge w:val="continue"/>
                  <w:tcBorders>
                    <w:tl2br w:val="nil"/>
                    <w:tr2bl w:val="nil"/>
                  </w:tcBorders>
                  <w:vAlign w:val="center"/>
                </w:tcPr>
                <w:p w14:paraId="3F349CBA">
                  <w:pPr>
                    <w:widowControl/>
                    <w:jc w:val="center"/>
                    <w:textAlignment w:val="center"/>
                    <w:rPr>
                      <w:kern w:val="0"/>
                      <w:sz w:val="18"/>
                      <w:szCs w:val="18"/>
                      <w:lang w:bidi="ar"/>
                    </w:rPr>
                  </w:pPr>
                </w:p>
              </w:tc>
              <w:tc>
                <w:tcPr>
                  <w:tcW w:w="463" w:type="pct"/>
                  <w:tcBorders>
                    <w:tl2br w:val="nil"/>
                    <w:tr2bl w:val="nil"/>
                  </w:tcBorders>
                  <w:vAlign w:val="center"/>
                </w:tcPr>
                <w:p w14:paraId="02728664">
                  <w:pPr>
                    <w:widowControl/>
                    <w:jc w:val="center"/>
                    <w:textAlignment w:val="center"/>
                    <w:rPr>
                      <w:kern w:val="0"/>
                      <w:sz w:val="18"/>
                      <w:szCs w:val="18"/>
                      <w:lang w:bidi="ar"/>
                    </w:rPr>
                  </w:pPr>
                  <w:r>
                    <w:rPr>
                      <w:kern w:val="0"/>
                      <w:sz w:val="18"/>
                      <w:szCs w:val="18"/>
                      <w:lang w:bidi="ar"/>
                    </w:rPr>
                    <w:t xml:space="preserve">125.331 </w:t>
                  </w:r>
                </w:p>
              </w:tc>
              <w:tc>
                <w:tcPr>
                  <w:tcW w:w="463" w:type="pct"/>
                  <w:tcBorders>
                    <w:tl2br w:val="nil"/>
                    <w:tr2bl w:val="nil"/>
                  </w:tcBorders>
                  <w:vAlign w:val="center"/>
                </w:tcPr>
                <w:p w14:paraId="7083B5CC">
                  <w:pPr>
                    <w:widowControl/>
                    <w:jc w:val="center"/>
                    <w:textAlignment w:val="center"/>
                    <w:rPr>
                      <w:kern w:val="0"/>
                      <w:sz w:val="18"/>
                      <w:szCs w:val="18"/>
                      <w:lang w:bidi="ar"/>
                    </w:rPr>
                  </w:pPr>
                  <w:r>
                    <w:rPr>
                      <w:kern w:val="0"/>
                      <w:sz w:val="18"/>
                      <w:szCs w:val="18"/>
                      <w:lang w:bidi="ar"/>
                    </w:rPr>
                    <w:t xml:space="preserve">2.231 </w:t>
                  </w:r>
                </w:p>
              </w:tc>
              <w:tc>
                <w:tcPr>
                  <w:tcW w:w="463" w:type="pct"/>
                  <w:tcBorders>
                    <w:tl2br w:val="nil"/>
                    <w:tr2bl w:val="nil"/>
                  </w:tcBorders>
                  <w:vAlign w:val="center"/>
                </w:tcPr>
                <w:p w14:paraId="75A2A9AB">
                  <w:pPr>
                    <w:widowControl/>
                    <w:jc w:val="center"/>
                    <w:textAlignment w:val="center"/>
                    <w:rPr>
                      <w:kern w:val="0"/>
                      <w:sz w:val="18"/>
                      <w:szCs w:val="18"/>
                      <w:lang w:bidi="ar"/>
                    </w:rPr>
                  </w:pPr>
                  <w:r>
                    <w:rPr>
                      <w:kern w:val="0"/>
                      <w:sz w:val="18"/>
                      <w:szCs w:val="18"/>
                      <w:lang w:bidi="ar"/>
                    </w:rPr>
                    <w:t xml:space="preserve">127.562 </w:t>
                  </w:r>
                </w:p>
              </w:tc>
              <w:tc>
                <w:tcPr>
                  <w:tcW w:w="627" w:type="pct"/>
                  <w:vMerge w:val="continue"/>
                  <w:tcBorders>
                    <w:tl2br w:val="nil"/>
                    <w:tr2bl w:val="nil"/>
                  </w:tcBorders>
                  <w:vAlign w:val="center"/>
                </w:tcPr>
                <w:p w14:paraId="17C0AE59">
                  <w:pPr>
                    <w:widowControl/>
                    <w:jc w:val="center"/>
                    <w:rPr>
                      <w:sz w:val="18"/>
                      <w:szCs w:val="18"/>
                    </w:rPr>
                  </w:pPr>
                </w:p>
              </w:tc>
            </w:tr>
            <w:tr w14:paraId="5E488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5690195E">
                  <w:pPr>
                    <w:widowControl/>
                    <w:jc w:val="center"/>
                    <w:rPr>
                      <w:sz w:val="18"/>
                      <w:szCs w:val="18"/>
                    </w:rPr>
                  </w:pPr>
                </w:p>
              </w:tc>
              <w:tc>
                <w:tcPr>
                  <w:tcW w:w="365" w:type="pct"/>
                  <w:vMerge w:val="continue"/>
                  <w:tcBorders>
                    <w:tl2br w:val="nil"/>
                    <w:tr2bl w:val="nil"/>
                  </w:tcBorders>
                  <w:vAlign w:val="center"/>
                </w:tcPr>
                <w:p w14:paraId="518E1BA5">
                  <w:pPr>
                    <w:widowControl/>
                    <w:jc w:val="center"/>
                    <w:rPr>
                      <w:rFonts w:eastAsia="等线"/>
                      <w:sz w:val="18"/>
                      <w:szCs w:val="18"/>
                    </w:rPr>
                  </w:pPr>
                </w:p>
              </w:tc>
              <w:tc>
                <w:tcPr>
                  <w:tcW w:w="511" w:type="pct"/>
                  <w:tcBorders>
                    <w:tl2br w:val="nil"/>
                    <w:tr2bl w:val="nil"/>
                  </w:tcBorders>
                  <w:vAlign w:val="center"/>
                </w:tcPr>
                <w:p w14:paraId="15496266">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5A8B0B39">
                  <w:pPr>
                    <w:widowControl/>
                    <w:jc w:val="center"/>
                    <w:textAlignment w:val="center"/>
                    <w:rPr>
                      <w:kern w:val="0"/>
                      <w:sz w:val="18"/>
                      <w:szCs w:val="18"/>
                      <w:lang w:bidi="ar"/>
                    </w:rPr>
                  </w:pPr>
                  <w:r>
                    <w:rPr>
                      <w:kern w:val="0"/>
                      <w:sz w:val="18"/>
                      <w:szCs w:val="18"/>
                      <w:lang w:bidi="ar"/>
                    </w:rPr>
                    <w:t xml:space="preserve">+16.161 </w:t>
                  </w:r>
                </w:p>
              </w:tc>
              <w:tc>
                <w:tcPr>
                  <w:tcW w:w="423" w:type="pct"/>
                  <w:tcBorders>
                    <w:tl2br w:val="nil"/>
                    <w:tr2bl w:val="nil"/>
                  </w:tcBorders>
                  <w:vAlign w:val="center"/>
                </w:tcPr>
                <w:p w14:paraId="7F5EC124">
                  <w:pPr>
                    <w:widowControl/>
                    <w:jc w:val="center"/>
                    <w:textAlignment w:val="center"/>
                    <w:rPr>
                      <w:kern w:val="0"/>
                      <w:sz w:val="18"/>
                      <w:szCs w:val="18"/>
                      <w:lang w:bidi="ar"/>
                    </w:rPr>
                  </w:pPr>
                  <w:r>
                    <w:rPr>
                      <w:kern w:val="0"/>
                      <w:sz w:val="18"/>
                      <w:szCs w:val="18"/>
                      <w:lang w:bidi="ar"/>
                    </w:rPr>
                    <w:t xml:space="preserve">+1.689 </w:t>
                  </w:r>
                </w:p>
              </w:tc>
              <w:tc>
                <w:tcPr>
                  <w:tcW w:w="423" w:type="pct"/>
                  <w:tcBorders>
                    <w:tl2br w:val="nil"/>
                    <w:tr2bl w:val="nil"/>
                  </w:tcBorders>
                  <w:vAlign w:val="center"/>
                </w:tcPr>
                <w:p w14:paraId="76DAA4EC">
                  <w:pPr>
                    <w:widowControl/>
                    <w:jc w:val="center"/>
                    <w:textAlignment w:val="center"/>
                    <w:rPr>
                      <w:kern w:val="0"/>
                      <w:sz w:val="18"/>
                      <w:szCs w:val="18"/>
                      <w:lang w:bidi="ar"/>
                    </w:rPr>
                  </w:pPr>
                  <w:r>
                    <w:rPr>
                      <w:kern w:val="0"/>
                      <w:sz w:val="18"/>
                      <w:szCs w:val="18"/>
                      <w:lang w:bidi="ar"/>
                    </w:rPr>
                    <w:t xml:space="preserve">+17.850 </w:t>
                  </w:r>
                </w:p>
              </w:tc>
              <w:tc>
                <w:tcPr>
                  <w:tcW w:w="641" w:type="pct"/>
                  <w:vMerge w:val="continue"/>
                  <w:tcBorders>
                    <w:tl2br w:val="nil"/>
                    <w:tr2bl w:val="nil"/>
                  </w:tcBorders>
                  <w:vAlign w:val="center"/>
                </w:tcPr>
                <w:p w14:paraId="53CE8A82">
                  <w:pPr>
                    <w:widowControl/>
                    <w:jc w:val="center"/>
                    <w:textAlignment w:val="center"/>
                    <w:rPr>
                      <w:kern w:val="0"/>
                      <w:sz w:val="18"/>
                      <w:szCs w:val="18"/>
                      <w:lang w:bidi="ar"/>
                    </w:rPr>
                  </w:pPr>
                </w:p>
              </w:tc>
              <w:tc>
                <w:tcPr>
                  <w:tcW w:w="463" w:type="pct"/>
                  <w:tcBorders>
                    <w:tl2br w:val="nil"/>
                    <w:tr2bl w:val="nil"/>
                  </w:tcBorders>
                  <w:vAlign w:val="center"/>
                </w:tcPr>
                <w:p w14:paraId="61FA3506">
                  <w:pPr>
                    <w:widowControl/>
                    <w:jc w:val="center"/>
                    <w:textAlignment w:val="center"/>
                    <w:rPr>
                      <w:kern w:val="0"/>
                      <w:sz w:val="18"/>
                      <w:szCs w:val="18"/>
                      <w:lang w:bidi="ar"/>
                    </w:rPr>
                  </w:pPr>
                  <w:r>
                    <w:rPr>
                      <w:kern w:val="0"/>
                      <w:sz w:val="18"/>
                      <w:szCs w:val="18"/>
                      <w:lang w:bidi="ar"/>
                    </w:rPr>
                    <w:t xml:space="preserve">-8.635 </w:t>
                  </w:r>
                </w:p>
              </w:tc>
              <w:tc>
                <w:tcPr>
                  <w:tcW w:w="463" w:type="pct"/>
                  <w:tcBorders>
                    <w:tl2br w:val="nil"/>
                    <w:tr2bl w:val="nil"/>
                  </w:tcBorders>
                  <w:vAlign w:val="center"/>
                </w:tcPr>
                <w:p w14:paraId="3ADDE3D8">
                  <w:pPr>
                    <w:widowControl/>
                    <w:jc w:val="center"/>
                    <w:textAlignment w:val="center"/>
                    <w:rPr>
                      <w:kern w:val="0"/>
                      <w:sz w:val="18"/>
                      <w:szCs w:val="18"/>
                      <w:lang w:bidi="ar"/>
                    </w:rPr>
                  </w:pPr>
                  <w:r>
                    <w:rPr>
                      <w:kern w:val="0"/>
                      <w:sz w:val="18"/>
                      <w:szCs w:val="18"/>
                      <w:lang w:bidi="ar"/>
                    </w:rPr>
                    <w:t xml:space="preserve">+1.892 </w:t>
                  </w:r>
                </w:p>
              </w:tc>
              <w:tc>
                <w:tcPr>
                  <w:tcW w:w="463" w:type="pct"/>
                  <w:tcBorders>
                    <w:tl2br w:val="nil"/>
                    <w:tr2bl w:val="nil"/>
                  </w:tcBorders>
                  <w:vAlign w:val="center"/>
                </w:tcPr>
                <w:p w14:paraId="2D781EC7">
                  <w:pPr>
                    <w:widowControl/>
                    <w:jc w:val="center"/>
                    <w:textAlignment w:val="center"/>
                    <w:rPr>
                      <w:kern w:val="0"/>
                      <w:sz w:val="18"/>
                      <w:szCs w:val="18"/>
                      <w:lang w:bidi="ar"/>
                    </w:rPr>
                  </w:pPr>
                  <w:r>
                    <w:rPr>
                      <w:kern w:val="0"/>
                      <w:sz w:val="18"/>
                      <w:szCs w:val="18"/>
                      <w:lang w:bidi="ar"/>
                    </w:rPr>
                    <w:t xml:space="preserve">-6.743 </w:t>
                  </w:r>
                </w:p>
              </w:tc>
              <w:tc>
                <w:tcPr>
                  <w:tcW w:w="627" w:type="pct"/>
                  <w:vMerge w:val="continue"/>
                  <w:tcBorders>
                    <w:tl2br w:val="nil"/>
                    <w:tr2bl w:val="nil"/>
                  </w:tcBorders>
                  <w:vAlign w:val="center"/>
                </w:tcPr>
                <w:p w14:paraId="26620BFC">
                  <w:pPr>
                    <w:widowControl/>
                    <w:jc w:val="center"/>
                    <w:rPr>
                      <w:sz w:val="18"/>
                      <w:szCs w:val="18"/>
                    </w:rPr>
                  </w:pPr>
                </w:p>
              </w:tc>
            </w:tr>
            <w:tr w14:paraId="769E95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4F2408DD">
                  <w:pPr>
                    <w:widowControl/>
                    <w:jc w:val="center"/>
                    <w:rPr>
                      <w:sz w:val="18"/>
                      <w:szCs w:val="18"/>
                    </w:rPr>
                  </w:pPr>
                </w:p>
              </w:tc>
              <w:tc>
                <w:tcPr>
                  <w:tcW w:w="365" w:type="pct"/>
                  <w:vMerge w:val="restart"/>
                  <w:tcBorders>
                    <w:tl2br w:val="nil"/>
                    <w:tr2bl w:val="nil"/>
                  </w:tcBorders>
                  <w:vAlign w:val="center"/>
                </w:tcPr>
                <w:p w14:paraId="6842FE0F">
                  <w:pPr>
                    <w:widowControl/>
                    <w:jc w:val="center"/>
                    <w:textAlignment w:val="center"/>
                    <w:rPr>
                      <w:rFonts w:eastAsia="等线"/>
                      <w:sz w:val="18"/>
                      <w:szCs w:val="18"/>
                    </w:rPr>
                  </w:pPr>
                  <w:r>
                    <w:rPr>
                      <w:rFonts w:eastAsia="等线"/>
                      <w:kern w:val="0"/>
                      <w:sz w:val="18"/>
                      <w:szCs w:val="18"/>
                      <w:lang w:bidi="ar"/>
                    </w:rPr>
                    <w:t>VOCs</w:t>
                  </w:r>
                </w:p>
              </w:tc>
              <w:tc>
                <w:tcPr>
                  <w:tcW w:w="511" w:type="pct"/>
                  <w:tcBorders>
                    <w:tl2br w:val="nil"/>
                    <w:tr2bl w:val="nil"/>
                  </w:tcBorders>
                  <w:vAlign w:val="center"/>
                </w:tcPr>
                <w:p w14:paraId="5894E305">
                  <w:pPr>
                    <w:widowControl/>
                    <w:jc w:val="center"/>
                    <w:textAlignment w:val="center"/>
                    <w:rPr>
                      <w:rFonts w:eastAsia="等线"/>
                      <w:sz w:val="18"/>
                      <w:szCs w:val="18"/>
                    </w:rPr>
                  </w:pPr>
                  <w:r>
                    <w:rPr>
                      <w:rFonts w:hint="eastAsia"/>
                      <w:kern w:val="0"/>
                      <w:sz w:val="18"/>
                      <w:szCs w:val="18"/>
                      <w:lang w:bidi="ar"/>
                    </w:rPr>
                    <w:t>现状排放量</w:t>
                  </w:r>
                </w:p>
              </w:tc>
              <w:tc>
                <w:tcPr>
                  <w:tcW w:w="423" w:type="pct"/>
                  <w:tcBorders>
                    <w:tl2br w:val="nil"/>
                    <w:tr2bl w:val="nil"/>
                  </w:tcBorders>
                  <w:vAlign w:val="center"/>
                </w:tcPr>
                <w:p w14:paraId="07D9E520">
                  <w:pPr>
                    <w:widowControl/>
                    <w:jc w:val="center"/>
                    <w:textAlignment w:val="center"/>
                    <w:rPr>
                      <w:kern w:val="0"/>
                      <w:sz w:val="18"/>
                      <w:szCs w:val="18"/>
                      <w:lang w:bidi="ar"/>
                    </w:rPr>
                  </w:pPr>
                  <w:r>
                    <w:rPr>
                      <w:kern w:val="0"/>
                      <w:sz w:val="18"/>
                      <w:szCs w:val="18"/>
                      <w:lang w:bidi="ar"/>
                    </w:rPr>
                    <w:t xml:space="preserve">251.835 </w:t>
                  </w:r>
                </w:p>
              </w:tc>
              <w:tc>
                <w:tcPr>
                  <w:tcW w:w="423" w:type="pct"/>
                  <w:tcBorders>
                    <w:tl2br w:val="nil"/>
                    <w:tr2bl w:val="nil"/>
                  </w:tcBorders>
                  <w:vAlign w:val="center"/>
                </w:tcPr>
                <w:p w14:paraId="402E4CA9">
                  <w:pPr>
                    <w:widowControl/>
                    <w:jc w:val="center"/>
                    <w:textAlignment w:val="center"/>
                    <w:rPr>
                      <w:kern w:val="0"/>
                      <w:sz w:val="18"/>
                      <w:szCs w:val="18"/>
                      <w:lang w:bidi="ar"/>
                    </w:rPr>
                  </w:pPr>
                </w:p>
              </w:tc>
              <w:tc>
                <w:tcPr>
                  <w:tcW w:w="423" w:type="pct"/>
                  <w:tcBorders>
                    <w:tl2br w:val="nil"/>
                    <w:tr2bl w:val="nil"/>
                  </w:tcBorders>
                  <w:vAlign w:val="center"/>
                </w:tcPr>
                <w:p w14:paraId="4907AC70">
                  <w:pPr>
                    <w:widowControl/>
                    <w:jc w:val="center"/>
                    <w:textAlignment w:val="center"/>
                    <w:rPr>
                      <w:kern w:val="0"/>
                      <w:sz w:val="18"/>
                      <w:szCs w:val="18"/>
                      <w:lang w:bidi="ar"/>
                    </w:rPr>
                  </w:pPr>
                  <w:r>
                    <w:rPr>
                      <w:kern w:val="0"/>
                      <w:sz w:val="18"/>
                      <w:szCs w:val="18"/>
                      <w:lang w:bidi="ar"/>
                    </w:rPr>
                    <w:t xml:space="preserve">251.835 </w:t>
                  </w:r>
                </w:p>
              </w:tc>
              <w:tc>
                <w:tcPr>
                  <w:tcW w:w="641" w:type="pct"/>
                  <w:vMerge w:val="continue"/>
                  <w:tcBorders>
                    <w:tl2br w:val="nil"/>
                    <w:tr2bl w:val="nil"/>
                  </w:tcBorders>
                  <w:vAlign w:val="center"/>
                </w:tcPr>
                <w:p w14:paraId="4C4D757C">
                  <w:pPr>
                    <w:widowControl/>
                    <w:jc w:val="center"/>
                    <w:textAlignment w:val="center"/>
                    <w:rPr>
                      <w:kern w:val="0"/>
                      <w:sz w:val="18"/>
                      <w:szCs w:val="18"/>
                      <w:lang w:bidi="ar"/>
                    </w:rPr>
                  </w:pPr>
                </w:p>
              </w:tc>
              <w:tc>
                <w:tcPr>
                  <w:tcW w:w="463" w:type="pct"/>
                  <w:tcBorders>
                    <w:tl2br w:val="nil"/>
                    <w:tr2bl w:val="nil"/>
                  </w:tcBorders>
                  <w:vAlign w:val="center"/>
                </w:tcPr>
                <w:p w14:paraId="3F1CE091">
                  <w:pPr>
                    <w:widowControl/>
                    <w:jc w:val="center"/>
                    <w:textAlignment w:val="center"/>
                    <w:rPr>
                      <w:kern w:val="0"/>
                      <w:sz w:val="18"/>
                      <w:szCs w:val="18"/>
                      <w:lang w:bidi="ar"/>
                    </w:rPr>
                  </w:pPr>
                  <w:r>
                    <w:rPr>
                      <w:kern w:val="0"/>
                      <w:sz w:val="18"/>
                      <w:szCs w:val="18"/>
                      <w:lang w:bidi="ar"/>
                    </w:rPr>
                    <w:t xml:space="preserve">251.835 </w:t>
                  </w:r>
                </w:p>
              </w:tc>
              <w:tc>
                <w:tcPr>
                  <w:tcW w:w="463" w:type="pct"/>
                  <w:tcBorders>
                    <w:tl2br w:val="nil"/>
                    <w:tr2bl w:val="nil"/>
                  </w:tcBorders>
                  <w:vAlign w:val="center"/>
                </w:tcPr>
                <w:p w14:paraId="53FB20C8">
                  <w:pPr>
                    <w:widowControl/>
                    <w:jc w:val="center"/>
                    <w:textAlignment w:val="center"/>
                    <w:rPr>
                      <w:kern w:val="0"/>
                      <w:sz w:val="18"/>
                      <w:szCs w:val="18"/>
                      <w:lang w:bidi="ar"/>
                    </w:rPr>
                  </w:pPr>
                </w:p>
              </w:tc>
              <w:tc>
                <w:tcPr>
                  <w:tcW w:w="463" w:type="pct"/>
                  <w:tcBorders>
                    <w:tl2br w:val="nil"/>
                    <w:tr2bl w:val="nil"/>
                  </w:tcBorders>
                  <w:vAlign w:val="center"/>
                </w:tcPr>
                <w:p w14:paraId="2253D256">
                  <w:pPr>
                    <w:widowControl/>
                    <w:jc w:val="center"/>
                    <w:textAlignment w:val="center"/>
                    <w:rPr>
                      <w:kern w:val="0"/>
                      <w:sz w:val="18"/>
                      <w:szCs w:val="18"/>
                      <w:lang w:bidi="ar"/>
                    </w:rPr>
                  </w:pPr>
                  <w:r>
                    <w:rPr>
                      <w:kern w:val="0"/>
                      <w:sz w:val="18"/>
                      <w:szCs w:val="18"/>
                      <w:lang w:bidi="ar"/>
                    </w:rPr>
                    <w:t xml:space="preserve">251.835 </w:t>
                  </w:r>
                </w:p>
              </w:tc>
              <w:tc>
                <w:tcPr>
                  <w:tcW w:w="627" w:type="pct"/>
                  <w:vMerge w:val="continue"/>
                  <w:tcBorders>
                    <w:tl2br w:val="nil"/>
                    <w:tr2bl w:val="nil"/>
                  </w:tcBorders>
                  <w:vAlign w:val="center"/>
                </w:tcPr>
                <w:p w14:paraId="771DCC5A">
                  <w:pPr>
                    <w:widowControl/>
                    <w:jc w:val="center"/>
                    <w:rPr>
                      <w:sz w:val="18"/>
                      <w:szCs w:val="18"/>
                    </w:rPr>
                  </w:pPr>
                </w:p>
              </w:tc>
            </w:tr>
            <w:tr w14:paraId="7C748C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315309AF">
                  <w:pPr>
                    <w:widowControl/>
                    <w:jc w:val="center"/>
                    <w:rPr>
                      <w:sz w:val="18"/>
                      <w:szCs w:val="18"/>
                    </w:rPr>
                  </w:pPr>
                </w:p>
              </w:tc>
              <w:tc>
                <w:tcPr>
                  <w:tcW w:w="365" w:type="pct"/>
                  <w:vMerge w:val="continue"/>
                  <w:tcBorders>
                    <w:tl2br w:val="nil"/>
                    <w:tr2bl w:val="nil"/>
                  </w:tcBorders>
                  <w:vAlign w:val="center"/>
                </w:tcPr>
                <w:p w14:paraId="6B76823D">
                  <w:pPr>
                    <w:widowControl/>
                    <w:jc w:val="center"/>
                    <w:rPr>
                      <w:rFonts w:eastAsia="等线"/>
                      <w:sz w:val="18"/>
                      <w:szCs w:val="18"/>
                    </w:rPr>
                  </w:pPr>
                </w:p>
              </w:tc>
              <w:tc>
                <w:tcPr>
                  <w:tcW w:w="511" w:type="pct"/>
                  <w:tcBorders>
                    <w:tl2br w:val="nil"/>
                    <w:tr2bl w:val="nil"/>
                  </w:tcBorders>
                  <w:vAlign w:val="center"/>
                </w:tcPr>
                <w:p w14:paraId="5A13F87A">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27E17EEE">
                  <w:pPr>
                    <w:widowControl/>
                    <w:jc w:val="center"/>
                    <w:textAlignment w:val="center"/>
                    <w:rPr>
                      <w:kern w:val="0"/>
                      <w:sz w:val="18"/>
                      <w:szCs w:val="18"/>
                      <w:lang w:bidi="ar"/>
                    </w:rPr>
                  </w:pPr>
                  <w:r>
                    <w:rPr>
                      <w:kern w:val="0"/>
                      <w:sz w:val="18"/>
                      <w:szCs w:val="18"/>
                      <w:lang w:bidi="ar"/>
                    </w:rPr>
                    <w:t xml:space="preserve">282.216 </w:t>
                  </w:r>
                </w:p>
              </w:tc>
              <w:tc>
                <w:tcPr>
                  <w:tcW w:w="423" w:type="pct"/>
                  <w:tcBorders>
                    <w:tl2br w:val="nil"/>
                    <w:tr2bl w:val="nil"/>
                  </w:tcBorders>
                  <w:vAlign w:val="center"/>
                </w:tcPr>
                <w:p w14:paraId="46482D5D">
                  <w:pPr>
                    <w:widowControl/>
                    <w:jc w:val="center"/>
                    <w:textAlignment w:val="center"/>
                    <w:rPr>
                      <w:kern w:val="0"/>
                      <w:sz w:val="18"/>
                      <w:szCs w:val="18"/>
                      <w:lang w:bidi="ar"/>
                    </w:rPr>
                  </w:pPr>
                </w:p>
              </w:tc>
              <w:tc>
                <w:tcPr>
                  <w:tcW w:w="423" w:type="pct"/>
                  <w:tcBorders>
                    <w:tl2br w:val="nil"/>
                    <w:tr2bl w:val="nil"/>
                  </w:tcBorders>
                  <w:vAlign w:val="center"/>
                </w:tcPr>
                <w:p w14:paraId="2344788B">
                  <w:pPr>
                    <w:widowControl/>
                    <w:jc w:val="center"/>
                    <w:textAlignment w:val="center"/>
                    <w:rPr>
                      <w:kern w:val="0"/>
                      <w:sz w:val="18"/>
                      <w:szCs w:val="18"/>
                      <w:lang w:bidi="ar"/>
                    </w:rPr>
                  </w:pPr>
                  <w:r>
                    <w:rPr>
                      <w:kern w:val="0"/>
                      <w:sz w:val="18"/>
                      <w:szCs w:val="18"/>
                      <w:lang w:bidi="ar"/>
                    </w:rPr>
                    <w:t xml:space="preserve">282.216 </w:t>
                  </w:r>
                </w:p>
              </w:tc>
              <w:tc>
                <w:tcPr>
                  <w:tcW w:w="641" w:type="pct"/>
                  <w:vMerge w:val="continue"/>
                  <w:tcBorders>
                    <w:tl2br w:val="nil"/>
                    <w:tr2bl w:val="nil"/>
                  </w:tcBorders>
                  <w:vAlign w:val="center"/>
                </w:tcPr>
                <w:p w14:paraId="1390A418">
                  <w:pPr>
                    <w:widowControl/>
                    <w:jc w:val="center"/>
                    <w:textAlignment w:val="center"/>
                    <w:rPr>
                      <w:kern w:val="0"/>
                      <w:sz w:val="18"/>
                      <w:szCs w:val="18"/>
                      <w:lang w:bidi="ar"/>
                    </w:rPr>
                  </w:pPr>
                </w:p>
              </w:tc>
              <w:tc>
                <w:tcPr>
                  <w:tcW w:w="463" w:type="pct"/>
                  <w:tcBorders>
                    <w:tl2br w:val="nil"/>
                    <w:tr2bl w:val="nil"/>
                  </w:tcBorders>
                  <w:vAlign w:val="center"/>
                </w:tcPr>
                <w:p w14:paraId="2615F581">
                  <w:pPr>
                    <w:widowControl/>
                    <w:jc w:val="center"/>
                    <w:textAlignment w:val="center"/>
                    <w:rPr>
                      <w:kern w:val="0"/>
                      <w:sz w:val="18"/>
                      <w:szCs w:val="18"/>
                      <w:lang w:bidi="ar"/>
                    </w:rPr>
                  </w:pPr>
                  <w:r>
                    <w:rPr>
                      <w:kern w:val="0"/>
                      <w:sz w:val="18"/>
                      <w:szCs w:val="18"/>
                      <w:lang w:bidi="ar"/>
                    </w:rPr>
                    <w:t xml:space="preserve">235.603 </w:t>
                  </w:r>
                </w:p>
              </w:tc>
              <w:tc>
                <w:tcPr>
                  <w:tcW w:w="463" w:type="pct"/>
                  <w:tcBorders>
                    <w:tl2br w:val="nil"/>
                    <w:tr2bl w:val="nil"/>
                  </w:tcBorders>
                  <w:vAlign w:val="center"/>
                </w:tcPr>
                <w:p w14:paraId="07B773EE">
                  <w:pPr>
                    <w:widowControl/>
                    <w:jc w:val="center"/>
                    <w:textAlignment w:val="center"/>
                    <w:rPr>
                      <w:kern w:val="0"/>
                      <w:sz w:val="18"/>
                      <w:szCs w:val="18"/>
                      <w:lang w:bidi="ar"/>
                    </w:rPr>
                  </w:pPr>
                </w:p>
              </w:tc>
              <w:tc>
                <w:tcPr>
                  <w:tcW w:w="463" w:type="pct"/>
                  <w:tcBorders>
                    <w:tl2br w:val="nil"/>
                    <w:tr2bl w:val="nil"/>
                  </w:tcBorders>
                  <w:vAlign w:val="center"/>
                </w:tcPr>
                <w:p w14:paraId="5AB9D52A">
                  <w:pPr>
                    <w:widowControl/>
                    <w:jc w:val="center"/>
                    <w:textAlignment w:val="center"/>
                    <w:rPr>
                      <w:kern w:val="0"/>
                      <w:sz w:val="18"/>
                      <w:szCs w:val="18"/>
                      <w:lang w:bidi="ar"/>
                    </w:rPr>
                  </w:pPr>
                  <w:r>
                    <w:rPr>
                      <w:kern w:val="0"/>
                      <w:sz w:val="18"/>
                      <w:szCs w:val="18"/>
                      <w:lang w:bidi="ar"/>
                    </w:rPr>
                    <w:t xml:space="preserve">235.603 </w:t>
                  </w:r>
                </w:p>
              </w:tc>
              <w:tc>
                <w:tcPr>
                  <w:tcW w:w="627" w:type="pct"/>
                  <w:vMerge w:val="continue"/>
                  <w:tcBorders>
                    <w:tl2br w:val="nil"/>
                    <w:tr2bl w:val="nil"/>
                  </w:tcBorders>
                  <w:vAlign w:val="center"/>
                </w:tcPr>
                <w:p w14:paraId="7AADA697">
                  <w:pPr>
                    <w:widowControl/>
                    <w:jc w:val="center"/>
                    <w:rPr>
                      <w:sz w:val="18"/>
                      <w:szCs w:val="18"/>
                    </w:rPr>
                  </w:pPr>
                </w:p>
              </w:tc>
            </w:tr>
            <w:tr w14:paraId="7CF204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4" w:type="pct"/>
                  <w:vMerge w:val="continue"/>
                  <w:tcBorders>
                    <w:tl2br w:val="nil"/>
                    <w:tr2bl w:val="nil"/>
                  </w:tcBorders>
                  <w:vAlign w:val="center"/>
                </w:tcPr>
                <w:p w14:paraId="2DEFD977">
                  <w:pPr>
                    <w:widowControl/>
                    <w:jc w:val="center"/>
                    <w:rPr>
                      <w:sz w:val="18"/>
                      <w:szCs w:val="18"/>
                    </w:rPr>
                  </w:pPr>
                </w:p>
              </w:tc>
              <w:tc>
                <w:tcPr>
                  <w:tcW w:w="365" w:type="pct"/>
                  <w:vMerge w:val="continue"/>
                  <w:tcBorders>
                    <w:tl2br w:val="nil"/>
                    <w:tr2bl w:val="nil"/>
                  </w:tcBorders>
                  <w:vAlign w:val="center"/>
                </w:tcPr>
                <w:p w14:paraId="2067941C">
                  <w:pPr>
                    <w:widowControl/>
                    <w:jc w:val="center"/>
                    <w:rPr>
                      <w:rFonts w:eastAsia="等线"/>
                      <w:sz w:val="18"/>
                      <w:szCs w:val="18"/>
                    </w:rPr>
                  </w:pPr>
                </w:p>
              </w:tc>
              <w:tc>
                <w:tcPr>
                  <w:tcW w:w="511" w:type="pct"/>
                  <w:tcBorders>
                    <w:tl2br w:val="nil"/>
                    <w:tr2bl w:val="nil"/>
                  </w:tcBorders>
                  <w:vAlign w:val="center"/>
                </w:tcPr>
                <w:p w14:paraId="3EB44A9E">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060E386F">
                  <w:pPr>
                    <w:widowControl/>
                    <w:jc w:val="center"/>
                    <w:textAlignment w:val="center"/>
                    <w:rPr>
                      <w:kern w:val="0"/>
                      <w:sz w:val="18"/>
                      <w:szCs w:val="18"/>
                      <w:lang w:bidi="ar"/>
                    </w:rPr>
                  </w:pPr>
                  <w:r>
                    <w:rPr>
                      <w:kern w:val="0"/>
                      <w:sz w:val="18"/>
                      <w:szCs w:val="18"/>
                      <w:lang w:bidi="ar"/>
                    </w:rPr>
                    <w:t xml:space="preserve">+30.381 </w:t>
                  </w:r>
                </w:p>
              </w:tc>
              <w:tc>
                <w:tcPr>
                  <w:tcW w:w="423" w:type="pct"/>
                  <w:tcBorders>
                    <w:tl2br w:val="nil"/>
                    <w:tr2bl w:val="nil"/>
                  </w:tcBorders>
                  <w:vAlign w:val="center"/>
                </w:tcPr>
                <w:p w14:paraId="149190C5">
                  <w:pPr>
                    <w:widowControl/>
                    <w:jc w:val="center"/>
                    <w:textAlignment w:val="center"/>
                    <w:rPr>
                      <w:kern w:val="0"/>
                      <w:sz w:val="18"/>
                      <w:szCs w:val="18"/>
                      <w:lang w:bidi="ar"/>
                    </w:rPr>
                  </w:pPr>
                </w:p>
              </w:tc>
              <w:tc>
                <w:tcPr>
                  <w:tcW w:w="423" w:type="pct"/>
                  <w:tcBorders>
                    <w:tl2br w:val="nil"/>
                    <w:tr2bl w:val="nil"/>
                  </w:tcBorders>
                  <w:vAlign w:val="center"/>
                </w:tcPr>
                <w:p w14:paraId="584D61B8">
                  <w:pPr>
                    <w:widowControl/>
                    <w:jc w:val="center"/>
                    <w:textAlignment w:val="center"/>
                    <w:rPr>
                      <w:kern w:val="0"/>
                      <w:sz w:val="18"/>
                      <w:szCs w:val="18"/>
                      <w:lang w:bidi="ar"/>
                    </w:rPr>
                  </w:pPr>
                  <w:r>
                    <w:rPr>
                      <w:kern w:val="0"/>
                      <w:sz w:val="18"/>
                      <w:szCs w:val="18"/>
                      <w:lang w:bidi="ar"/>
                    </w:rPr>
                    <w:t xml:space="preserve">+30.381 </w:t>
                  </w:r>
                </w:p>
              </w:tc>
              <w:tc>
                <w:tcPr>
                  <w:tcW w:w="641" w:type="pct"/>
                  <w:vMerge w:val="continue"/>
                  <w:tcBorders>
                    <w:tl2br w:val="nil"/>
                    <w:tr2bl w:val="nil"/>
                  </w:tcBorders>
                  <w:vAlign w:val="center"/>
                </w:tcPr>
                <w:p w14:paraId="07E43612">
                  <w:pPr>
                    <w:widowControl/>
                    <w:jc w:val="center"/>
                    <w:textAlignment w:val="center"/>
                    <w:rPr>
                      <w:kern w:val="0"/>
                      <w:sz w:val="18"/>
                      <w:szCs w:val="18"/>
                      <w:lang w:bidi="ar"/>
                    </w:rPr>
                  </w:pPr>
                </w:p>
              </w:tc>
              <w:tc>
                <w:tcPr>
                  <w:tcW w:w="463" w:type="pct"/>
                  <w:tcBorders>
                    <w:tl2br w:val="nil"/>
                    <w:tr2bl w:val="nil"/>
                  </w:tcBorders>
                  <w:vAlign w:val="center"/>
                </w:tcPr>
                <w:p w14:paraId="1F1DBBE0">
                  <w:pPr>
                    <w:widowControl/>
                    <w:jc w:val="center"/>
                    <w:textAlignment w:val="center"/>
                    <w:rPr>
                      <w:kern w:val="0"/>
                      <w:sz w:val="18"/>
                      <w:szCs w:val="18"/>
                      <w:lang w:bidi="ar"/>
                    </w:rPr>
                  </w:pPr>
                  <w:r>
                    <w:rPr>
                      <w:kern w:val="0"/>
                      <w:sz w:val="18"/>
                      <w:szCs w:val="18"/>
                      <w:lang w:bidi="ar"/>
                    </w:rPr>
                    <w:t xml:space="preserve">-16.233 </w:t>
                  </w:r>
                </w:p>
              </w:tc>
              <w:tc>
                <w:tcPr>
                  <w:tcW w:w="463" w:type="pct"/>
                  <w:tcBorders>
                    <w:tl2br w:val="nil"/>
                    <w:tr2bl w:val="nil"/>
                  </w:tcBorders>
                  <w:vAlign w:val="center"/>
                </w:tcPr>
                <w:p w14:paraId="454D9371">
                  <w:pPr>
                    <w:widowControl/>
                    <w:jc w:val="center"/>
                    <w:textAlignment w:val="center"/>
                    <w:rPr>
                      <w:kern w:val="0"/>
                      <w:sz w:val="18"/>
                      <w:szCs w:val="18"/>
                      <w:lang w:bidi="ar"/>
                    </w:rPr>
                  </w:pPr>
                </w:p>
              </w:tc>
              <w:tc>
                <w:tcPr>
                  <w:tcW w:w="463" w:type="pct"/>
                  <w:tcBorders>
                    <w:tl2br w:val="nil"/>
                    <w:tr2bl w:val="nil"/>
                  </w:tcBorders>
                  <w:vAlign w:val="center"/>
                </w:tcPr>
                <w:p w14:paraId="4560A156">
                  <w:pPr>
                    <w:widowControl/>
                    <w:jc w:val="center"/>
                    <w:textAlignment w:val="center"/>
                    <w:rPr>
                      <w:kern w:val="0"/>
                      <w:sz w:val="18"/>
                      <w:szCs w:val="18"/>
                      <w:lang w:bidi="ar"/>
                    </w:rPr>
                  </w:pPr>
                  <w:r>
                    <w:rPr>
                      <w:kern w:val="0"/>
                      <w:sz w:val="18"/>
                      <w:szCs w:val="18"/>
                      <w:lang w:bidi="ar"/>
                    </w:rPr>
                    <w:t xml:space="preserve">-16.233 </w:t>
                  </w:r>
                </w:p>
              </w:tc>
              <w:tc>
                <w:tcPr>
                  <w:tcW w:w="627" w:type="pct"/>
                  <w:vMerge w:val="continue"/>
                  <w:tcBorders>
                    <w:tl2br w:val="nil"/>
                    <w:tr2bl w:val="nil"/>
                  </w:tcBorders>
                  <w:vAlign w:val="center"/>
                </w:tcPr>
                <w:p w14:paraId="65F29FF4">
                  <w:pPr>
                    <w:widowControl/>
                    <w:jc w:val="center"/>
                    <w:rPr>
                      <w:sz w:val="18"/>
                      <w:szCs w:val="18"/>
                    </w:rPr>
                  </w:pPr>
                </w:p>
              </w:tc>
            </w:tr>
            <w:tr w14:paraId="0EEA4E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59" w:type="pct"/>
                  <w:gridSpan w:val="2"/>
                  <w:vMerge w:val="restart"/>
                  <w:tcBorders>
                    <w:tl2br w:val="nil"/>
                    <w:tr2bl w:val="nil"/>
                  </w:tcBorders>
                  <w:vAlign w:val="center"/>
                </w:tcPr>
                <w:p w14:paraId="75402D2E">
                  <w:pPr>
                    <w:widowControl/>
                    <w:jc w:val="center"/>
                    <w:textAlignment w:val="center"/>
                    <w:rPr>
                      <w:sz w:val="18"/>
                      <w:szCs w:val="18"/>
                    </w:rPr>
                  </w:pPr>
                  <w:r>
                    <w:rPr>
                      <w:rFonts w:hint="eastAsia"/>
                      <w:kern w:val="0"/>
                      <w:sz w:val="18"/>
                      <w:szCs w:val="18"/>
                      <w:lang w:bidi="ar"/>
                    </w:rPr>
                    <w:t>危险废物管控总量限值(万t/a)</w:t>
                  </w:r>
                </w:p>
              </w:tc>
              <w:tc>
                <w:tcPr>
                  <w:tcW w:w="511" w:type="pct"/>
                  <w:tcBorders>
                    <w:tl2br w:val="nil"/>
                    <w:tr2bl w:val="nil"/>
                  </w:tcBorders>
                  <w:vAlign w:val="center"/>
                </w:tcPr>
                <w:p w14:paraId="0BFC9CE4">
                  <w:pPr>
                    <w:widowControl/>
                    <w:jc w:val="center"/>
                    <w:textAlignment w:val="center"/>
                    <w:rPr>
                      <w:rFonts w:eastAsia="等线"/>
                      <w:sz w:val="18"/>
                      <w:szCs w:val="18"/>
                    </w:rPr>
                  </w:pPr>
                  <w:r>
                    <w:rPr>
                      <w:rFonts w:hint="eastAsia"/>
                      <w:kern w:val="0"/>
                      <w:sz w:val="18"/>
                      <w:szCs w:val="18"/>
                      <w:lang w:bidi="ar"/>
                    </w:rPr>
                    <w:t>现状产生量</w:t>
                  </w:r>
                </w:p>
              </w:tc>
              <w:tc>
                <w:tcPr>
                  <w:tcW w:w="423" w:type="pct"/>
                  <w:tcBorders>
                    <w:tl2br w:val="nil"/>
                    <w:tr2bl w:val="nil"/>
                  </w:tcBorders>
                  <w:vAlign w:val="center"/>
                </w:tcPr>
                <w:p w14:paraId="3D51A0AE">
                  <w:pPr>
                    <w:widowControl/>
                    <w:jc w:val="center"/>
                    <w:textAlignment w:val="center"/>
                    <w:rPr>
                      <w:kern w:val="0"/>
                      <w:sz w:val="18"/>
                      <w:szCs w:val="18"/>
                      <w:lang w:bidi="ar"/>
                    </w:rPr>
                  </w:pPr>
                  <w:r>
                    <w:rPr>
                      <w:kern w:val="0"/>
                      <w:sz w:val="18"/>
                      <w:szCs w:val="18"/>
                      <w:lang w:bidi="ar"/>
                    </w:rPr>
                    <w:t xml:space="preserve">1.61 </w:t>
                  </w:r>
                </w:p>
              </w:tc>
              <w:tc>
                <w:tcPr>
                  <w:tcW w:w="423" w:type="pct"/>
                  <w:tcBorders>
                    <w:tl2br w:val="nil"/>
                    <w:tr2bl w:val="nil"/>
                  </w:tcBorders>
                  <w:vAlign w:val="center"/>
                </w:tcPr>
                <w:p w14:paraId="0D1EB183">
                  <w:pPr>
                    <w:widowControl/>
                    <w:jc w:val="center"/>
                    <w:textAlignment w:val="center"/>
                    <w:rPr>
                      <w:kern w:val="0"/>
                      <w:sz w:val="18"/>
                      <w:szCs w:val="18"/>
                      <w:lang w:bidi="ar"/>
                    </w:rPr>
                  </w:pPr>
                </w:p>
              </w:tc>
              <w:tc>
                <w:tcPr>
                  <w:tcW w:w="423" w:type="pct"/>
                  <w:tcBorders>
                    <w:tl2br w:val="nil"/>
                    <w:tr2bl w:val="nil"/>
                  </w:tcBorders>
                  <w:vAlign w:val="center"/>
                </w:tcPr>
                <w:p w14:paraId="7CF03C5A">
                  <w:pPr>
                    <w:widowControl/>
                    <w:jc w:val="center"/>
                    <w:textAlignment w:val="center"/>
                    <w:rPr>
                      <w:kern w:val="0"/>
                      <w:sz w:val="18"/>
                      <w:szCs w:val="18"/>
                      <w:lang w:bidi="ar"/>
                    </w:rPr>
                  </w:pPr>
                  <w:r>
                    <w:rPr>
                      <w:kern w:val="0"/>
                      <w:sz w:val="18"/>
                      <w:szCs w:val="18"/>
                      <w:lang w:bidi="ar"/>
                    </w:rPr>
                    <w:t xml:space="preserve">1.61 </w:t>
                  </w:r>
                </w:p>
              </w:tc>
              <w:tc>
                <w:tcPr>
                  <w:tcW w:w="641" w:type="pct"/>
                  <w:vMerge w:val="restart"/>
                  <w:tcBorders>
                    <w:tl2br w:val="nil"/>
                    <w:tr2bl w:val="nil"/>
                  </w:tcBorders>
                  <w:vAlign w:val="center"/>
                </w:tcPr>
                <w:p w14:paraId="113C3BC4">
                  <w:pPr>
                    <w:widowControl/>
                    <w:jc w:val="center"/>
                    <w:textAlignment w:val="center"/>
                    <w:rPr>
                      <w:kern w:val="0"/>
                      <w:sz w:val="18"/>
                      <w:szCs w:val="18"/>
                      <w:lang w:bidi="ar"/>
                    </w:rPr>
                  </w:pPr>
                  <w:r>
                    <w:rPr>
                      <w:rFonts w:hint="eastAsia"/>
                      <w:kern w:val="0"/>
                      <w:sz w:val="18"/>
                      <w:szCs w:val="18"/>
                      <w:lang w:bidi="ar"/>
                    </w:rPr>
                    <w:t>区域危废处置能力可满足要求，环境质量底线可达</w:t>
                  </w:r>
                </w:p>
              </w:tc>
              <w:tc>
                <w:tcPr>
                  <w:tcW w:w="463" w:type="pct"/>
                  <w:tcBorders>
                    <w:tl2br w:val="nil"/>
                    <w:tr2bl w:val="nil"/>
                  </w:tcBorders>
                  <w:vAlign w:val="center"/>
                </w:tcPr>
                <w:p w14:paraId="5F043E67">
                  <w:pPr>
                    <w:widowControl/>
                    <w:jc w:val="center"/>
                    <w:textAlignment w:val="center"/>
                    <w:rPr>
                      <w:kern w:val="0"/>
                      <w:sz w:val="18"/>
                      <w:szCs w:val="18"/>
                      <w:lang w:bidi="ar"/>
                    </w:rPr>
                  </w:pPr>
                  <w:r>
                    <w:rPr>
                      <w:kern w:val="0"/>
                      <w:sz w:val="18"/>
                      <w:szCs w:val="18"/>
                      <w:lang w:bidi="ar"/>
                    </w:rPr>
                    <w:t xml:space="preserve">1.61 </w:t>
                  </w:r>
                </w:p>
              </w:tc>
              <w:tc>
                <w:tcPr>
                  <w:tcW w:w="463" w:type="pct"/>
                  <w:tcBorders>
                    <w:tl2br w:val="nil"/>
                    <w:tr2bl w:val="nil"/>
                  </w:tcBorders>
                  <w:vAlign w:val="center"/>
                </w:tcPr>
                <w:p w14:paraId="2C243DE9">
                  <w:pPr>
                    <w:widowControl/>
                    <w:jc w:val="center"/>
                    <w:textAlignment w:val="center"/>
                    <w:rPr>
                      <w:kern w:val="0"/>
                      <w:sz w:val="18"/>
                      <w:szCs w:val="18"/>
                      <w:lang w:bidi="ar"/>
                    </w:rPr>
                  </w:pPr>
                </w:p>
              </w:tc>
              <w:tc>
                <w:tcPr>
                  <w:tcW w:w="463" w:type="pct"/>
                  <w:tcBorders>
                    <w:tl2br w:val="nil"/>
                    <w:tr2bl w:val="nil"/>
                  </w:tcBorders>
                  <w:vAlign w:val="center"/>
                </w:tcPr>
                <w:p w14:paraId="23283AAC">
                  <w:pPr>
                    <w:widowControl/>
                    <w:jc w:val="center"/>
                    <w:textAlignment w:val="center"/>
                    <w:rPr>
                      <w:kern w:val="0"/>
                      <w:sz w:val="18"/>
                      <w:szCs w:val="18"/>
                      <w:lang w:bidi="ar"/>
                    </w:rPr>
                  </w:pPr>
                  <w:r>
                    <w:rPr>
                      <w:kern w:val="0"/>
                      <w:sz w:val="18"/>
                      <w:szCs w:val="18"/>
                      <w:lang w:bidi="ar"/>
                    </w:rPr>
                    <w:t xml:space="preserve">1.61 </w:t>
                  </w:r>
                </w:p>
              </w:tc>
              <w:tc>
                <w:tcPr>
                  <w:tcW w:w="627" w:type="pct"/>
                  <w:vMerge w:val="restart"/>
                  <w:tcBorders>
                    <w:tl2br w:val="nil"/>
                    <w:tr2bl w:val="nil"/>
                  </w:tcBorders>
                  <w:vAlign w:val="center"/>
                </w:tcPr>
                <w:p w14:paraId="431CB125">
                  <w:pPr>
                    <w:widowControl/>
                    <w:jc w:val="center"/>
                    <w:textAlignment w:val="center"/>
                    <w:rPr>
                      <w:rFonts w:eastAsia="等线"/>
                      <w:sz w:val="18"/>
                      <w:szCs w:val="18"/>
                    </w:rPr>
                  </w:pPr>
                  <w:r>
                    <w:rPr>
                      <w:rFonts w:hint="eastAsia"/>
                      <w:kern w:val="0"/>
                      <w:sz w:val="18"/>
                      <w:szCs w:val="18"/>
                      <w:lang w:bidi="ar"/>
                    </w:rPr>
                    <w:t>区域危废处置能力可满足要求，环境质量底线可达</w:t>
                  </w:r>
                </w:p>
              </w:tc>
            </w:tr>
            <w:tr w14:paraId="365F80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59" w:type="pct"/>
                  <w:gridSpan w:val="2"/>
                  <w:vMerge w:val="continue"/>
                  <w:tcBorders>
                    <w:tl2br w:val="nil"/>
                    <w:tr2bl w:val="nil"/>
                  </w:tcBorders>
                  <w:vAlign w:val="center"/>
                </w:tcPr>
                <w:p w14:paraId="6CD55F88">
                  <w:pPr>
                    <w:widowControl/>
                    <w:jc w:val="center"/>
                    <w:rPr>
                      <w:sz w:val="18"/>
                      <w:szCs w:val="18"/>
                    </w:rPr>
                  </w:pPr>
                </w:p>
              </w:tc>
              <w:tc>
                <w:tcPr>
                  <w:tcW w:w="511" w:type="pct"/>
                  <w:tcBorders>
                    <w:tl2br w:val="nil"/>
                    <w:tr2bl w:val="nil"/>
                  </w:tcBorders>
                  <w:vAlign w:val="center"/>
                </w:tcPr>
                <w:p w14:paraId="709DCD87">
                  <w:pPr>
                    <w:widowControl/>
                    <w:jc w:val="center"/>
                    <w:textAlignment w:val="center"/>
                    <w:rPr>
                      <w:rFonts w:eastAsia="等线"/>
                      <w:sz w:val="18"/>
                      <w:szCs w:val="18"/>
                    </w:rPr>
                  </w:pPr>
                  <w:r>
                    <w:rPr>
                      <w:rFonts w:hint="eastAsia"/>
                      <w:kern w:val="0"/>
                      <w:sz w:val="18"/>
                      <w:szCs w:val="18"/>
                      <w:lang w:bidi="ar"/>
                    </w:rPr>
                    <w:t>总量管控限值</w:t>
                  </w:r>
                </w:p>
              </w:tc>
              <w:tc>
                <w:tcPr>
                  <w:tcW w:w="423" w:type="pct"/>
                  <w:tcBorders>
                    <w:tl2br w:val="nil"/>
                    <w:tr2bl w:val="nil"/>
                  </w:tcBorders>
                  <w:vAlign w:val="center"/>
                </w:tcPr>
                <w:p w14:paraId="732D91E0">
                  <w:pPr>
                    <w:widowControl/>
                    <w:jc w:val="center"/>
                    <w:textAlignment w:val="center"/>
                    <w:rPr>
                      <w:kern w:val="0"/>
                      <w:sz w:val="18"/>
                      <w:szCs w:val="18"/>
                      <w:lang w:bidi="ar"/>
                    </w:rPr>
                  </w:pPr>
                  <w:r>
                    <w:rPr>
                      <w:kern w:val="0"/>
                      <w:sz w:val="18"/>
                      <w:szCs w:val="18"/>
                      <w:lang w:bidi="ar"/>
                    </w:rPr>
                    <w:t xml:space="preserve">1.81 </w:t>
                  </w:r>
                </w:p>
              </w:tc>
              <w:tc>
                <w:tcPr>
                  <w:tcW w:w="423" w:type="pct"/>
                  <w:tcBorders>
                    <w:tl2br w:val="nil"/>
                    <w:tr2bl w:val="nil"/>
                  </w:tcBorders>
                  <w:vAlign w:val="center"/>
                </w:tcPr>
                <w:p w14:paraId="52099C46">
                  <w:pPr>
                    <w:widowControl/>
                    <w:jc w:val="center"/>
                    <w:textAlignment w:val="center"/>
                    <w:rPr>
                      <w:kern w:val="0"/>
                      <w:sz w:val="18"/>
                      <w:szCs w:val="18"/>
                      <w:lang w:bidi="ar"/>
                    </w:rPr>
                  </w:pPr>
                </w:p>
              </w:tc>
              <w:tc>
                <w:tcPr>
                  <w:tcW w:w="423" w:type="pct"/>
                  <w:tcBorders>
                    <w:tl2br w:val="nil"/>
                    <w:tr2bl w:val="nil"/>
                  </w:tcBorders>
                  <w:vAlign w:val="center"/>
                </w:tcPr>
                <w:p w14:paraId="08AF4C48">
                  <w:pPr>
                    <w:widowControl/>
                    <w:jc w:val="center"/>
                    <w:textAlignment w:val="center"/>
                    <w:rPr>
                      <w:kern w:val="0"/>
                      <w:sz w:val="18"/>
                      <w:szCs w:val="18"/>
                      <w:lang w:bidi="ar"/>
                    </w:rPr>
                  </w:pPr>
                  <w:r>
                    <w:rPr>
                      <w:kern w:val="0"/>
                      <w:sz w:val="18"/>
                      <w:szCs w:val="18"/>
                      <w:lang w:bidi="ar"/>
                    </w:rPr>
                    <w:t xml:space="preserve">1.81 </w:t>
                  </w:r>
                </w:p>
              </w:tc>
              <w:tc>
                <w:tcPr>
                  <w:tcW w:w="641" w:type="pct"/>
                  <w:vMerge w:val="continue"/>
                  <w:tcBorders>
                    <w:tl2br w:val="nil"/>
                    <w:tr2bl w:val="nil"/>
                  </w:tcBorders>
                  <w:vAlign w:val="center"/>
                </w:tcPr>
                <w:p w14:paraId="7FB1E931">
                  <w:pPr>
                    <w:widowControl/>
                    <w:jc w:val="center"/>
                    <w:textAlignment w:val="center"/>
                    <w:rPr>
                      <w:kern w:val="0"/>
                      <w:sz w:val="18"/>
                      <w:szCs w:val="18"/>
                      <w:lang w:bidi="ar"/>
                    </w:rPr>
                  </w:pPr>
                </w:p>
              </w:tc>
              <w:tc>
                <w:tcPr>
                  <w:tcW w:w="463" w:type="pct"/>
                  <w:tcBorders>
                    <w:tl2br w:val="nil"/>
                    <w:tr2bl w:val="nil"/>
                  </w:tcBorders>
                  <w:vAlign w:val="center"/>
                </w:tcPr>
                <w:p w14:paraId="75FA6C70">
                  <w:pPr>
                    <w:widowControl/>
                    <w:jc w:val="center"/>
                    <w:textAlignment w:val="center"/>
                    <w:rPr>
                      <w:kern w:val="0"/>
                      <w:sz w:val="18"/>
                      <w:szCs w:val="18"/>
                      <w:lang w:bidi="ar"/>
                    </w:rPr>
                  </w:pPr>
                  <w:r>
                    <w:rPr>
                      <w:kern w:val="0"/>
                      <w:sz w:val="18"/>
                      <w:szCs w:val="18"/>
                      <w:lang w:bidi="ar"/>
                    </w:rPr>
                    <w:t xml:space="preserve">1.51 </w:t>
                  </w:r>
                </w:p>
              </w:tc>
              <w:tc>
                <w:tcPr>
                  <w:tcW w:w="463" w:type="pct"/>
                  <w:tcBorders>
                    <w:tl2br w:val="nil"/>
                    <w:tr2bl w:val="nil"/>
                  </w:tcBorders>
                  <w:vAlign w:val="center"/>
                </w:tcPr>
                <w:p w14:paraId="14A48C27">
                  <w:pPr>
                    <w:widowControl/>
                    <w:jc w:val="center"/>
                    <w:textAlignment w:val="center"/>
                    <w:rPr>
                      <w:kern w:val="0"/>
                      <w:sz w:val="18"/>
                      <w:szCs w:val="18"/>
                      <w:lang w:bidi="ar"/>
                    </w:rPr>
                  </w:pPr>
                </w:p>
              </w:tc>
              <w:tc>
                <w:tcPr>
                  <w:tcW w:w="463" w:type="pct"/>
                  <w:tcBorders>
                    <w:tl2br w:val="nil"/>
                    <w:tr2bl w:val="nil"/>
                  </w:tcBorders>
                  <w:vAlign w:val="center"/>
                </w:tcPr>
                <w:p w14:paraId="232C185F">
                  <w:pPr>
                    <w:widowControl/>
                    <w:jc w:val="center"/>
                    <w:textAlignment w:val="center"/>
                    <w:rPr>
                      <w:kern w:val="0"/>
                      <w:sz w:val="18"/>
                      <w:szCs w:val="18"/>
                      <w:lang w:bidi="ar"/>
                    </w:rPr>
                  </w:pPr>
                  <w:r>
                    <w:rPr>
                      <w:kern w:val="0"/>
                      <w:sz w:val="18"/>
                      <w:szCs w:val="18"/>
                      <w:lang w:bidi="ar"/>
                    </w:rPr>
                    <w:t xml:space="preserve">1.51 </w:t>
                  </w:r>
                </w:p>
              </w:tc>
              <w:tc>
                <w:tcPr>
                  <w:tcW w:w="627" w:type="pct"/>
                  <w:vMerge w:val="continue"/>
                  <w:tcBorders>
                    <w:tl2br w:val="nil"/>
                    <w:tr2bl w:val="nil"/>
                  </w:tcBorders>
                  <w:vAlign w:val="center"/>
                </w:tcPr>
                <w:p w14:paraId="629BA03E">
                  <w:pPr>
                    <w:widowControl/>
                    <w:jc w:val="center"/>
                    <w:rPr>
                      <w:rFonts w:eastAsia="等线"/>
                      <w:sz w:val="18"/>
                      <w:szCs w:val="18"/>
                    </w:rPr>
                  </w:pPr>
                </w:p>
              </w:tc>
            </w:tr>
            <w:tr w14:paraId="47154D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59" w:type="pct"/>
                  <w:gridSpan w:val="2"/>
                  <w:vMerge w:val="continue"/>
                  <w:tcBorders>
                    <w:tl2br w:val="nil"/>
                    <w:tr2bl w:val="nil"/>
                  </w:tcBorders>
                  <w:vAlign w:val="center"/>
                </w:tcPr>
                <w:p w14:paraId="2C9303CB">
                  <w:pPr>
                    <w:widowControl/>
                    <w:jc w:val="center"/>
                    <w:rPr>
                      <w:sz w:val="18"/>
                      <w:szCs w:val="18"/>
                    </w:rPr>
                  </w:pPr>
                </w:p>
              </w:tc>
              <w:tc>
                <w:tcPr>
                  <w:tcW w:w="511" w:type="pct"/>
                  <w:tcBorders>
                    <w:tl2br w:val="nil"/>
                    <w:tr2bl w:val="nil"/>
                  </w:tcBorders>
                  <w:vAlign w:val="center"/>
                </w:tcPr>
                <w:p w14:paraId="3692C080">
                  <w:pPr>
                    <w:widowControl/>
                    <w:jc w:val="center"/>
                    <w:textAlignment w:val="center"/>
                    <w:rPr>
                      <w:rFonts w:eastAsia="等线"/>
                      <w:sz w:val="18"/>
                      <w:szCs w:val="18"/>
                    </w:rPr>
                  </w:pPr>
                  <w:r>
                    <w:rPr>
                      <w:rFonts w:hint="eastAsia"/>
                      <w:kern w:val="0"/>
                      <w:sz w:val="18"/>
                      <w:szCs w:val="18"/>
                      <w:lang w:bidi="ar"/>
                    </w:rPr>
                    <w:t>增减量</w:t>
                  </w:r>
                </w:p>
              </w:tc>
              <w:tc>
                <w:tcPr>
                  <w:tcW w:w="423" w:type="pct"/>
                  <w:tcBorders>
                    <w:tl2br w:val="nil"/>
                    <w:tr2bl w:val="nil"/>
                  </w:tcBorders>
                  <w:vAlign w:val="center"/>
                </w:tcPr>
                <w:p w14:paraId="17E9A2C7">
                  <w:pPr>
                    <w:widowControl/>
                    <w:jc w:val="center"/>
                    <w:textAlignment w:val="center"/>
                    <w:rPr>
                      <w:kern w:val="0"/>
                      <w:sz w:val="18"/>
                      <w:szCs w:val="18"/>
                      <w:lang w:bidi="ar"/>
                    </w:rPr>
                  </w:pPr>
                  <w:r>
                    <w:rPr>
                      <w:kern w:val="0"/>
                      <w:sz w:val="18"/>
                      <w:szCs w:val="18"/>
                      <w:lang w:bidi="ar"/>
                    </w:rPr>
                    <w:t xml:space="preserve">+0.19 </w:t>
                  </w:r>
                </w:p>
              </w:tc>
              <w:tc>
                <w:tcPr>
                  <w:tcW w:w="423" w:type="pct"/>
                  <w:tcBorders>
                    <w:tl2br w:val="nil"/>
                    <w:tr2bl w:val="nil"/>
                  </w:tcBorders>
                  <w:vAlign w:val="center"/>
                </w:tcPr>
                <w:p w14:paraId="4B27D745">
                  <w:pPr>
                    <w:widowControl/>
                    <w:jc w:val="center"/>
                    <w:textAlignment w:val="center"/>
                    <w:rPr>
                      <w:kern w:val="0"/>
                      <w:sz w:val="18"/>
                      <w:szCs w:val="18"/>
                      <w:lang w:bidi="ar"/>
                    </w:rPr>
                  </w:pPr>
                </w:p>
              </w:tc>
              <w:tc>
                <w:tcPr>
                  <w:tcW w:w="423" w:type="pct"/>
                  <w:tcBorders>
                    <w:tl2br w:val="nil"/>
                    <w:tr2bl w:val="nil"/>
                  </w:tcBorders>
                  <w:vAlign w:val="center"/>
                </w:tcPr>
                <w:p w14:paraId="2E1E3CB1">
                  <w:pPr>
                    <w:widowControl/>
                    <w:jc w:val="center"/>
                    <w:textAlignment w:val="center"/>
                    <w:rPr>
                      <w:kern w:val="0"/>
                      <w:sz w:val="18"/>
                      <w:szCs w:val="18"/>
                      <w:lang w:bidi="ar"/>
                    </w:rPr>
                  </w:pPr>
                  <w:r>
                    <w:rPr>
                      <w:kern w:val="0"/>
                      <w:sz w:val="18"/>
                      <w:szCs w:val="18"/>
                      <w:lang w:bidi="ar"/>
                    </w:rPr>
                    <w:t xml:space="preserve">+0.19 </w:t>
                  </w:r>
                </w:p>
              </w:tc>
              <w:tc>
                <w:tcPr>
                  <w:tcW w:w="641" w:type="pct"/>
                  <w:vMerge w:val="continue"/>
                  <w:tcBorders>
                    <w:tl2br w:val="nil"/>
                    <w:tr2bl w:val="nil"/>
                  </w:tcBorders>
                  <w:vAlign w:val="center"/>
                </w:tcPr>
                <w:p w14:paraId="1E47A8CA">
                  <w:pPr>
                    <w:widowControl/>
                    <w:jc w:val="center"/>
                    <w:textAlignment w:val="center"/>
                    <w:rPr>
                      <w:kern w:val="0"/>
                      <w:sz w:val="18"/>
                      <w:szCs w:val="18"/>
                      <w:lang w:bidi="ar"/>
                    </w:rPr>
                  </w:pPr>
                </w:p>
              </w:tc>
              <w:tc>
                <w:tcPr>
                  <w:tcW w:w="463" w:type="pct"/>
                  <w:tcBorders>
                    <w:tl2br w:val="nil"/>
                    <w:tr2bl w:val="nil"/>
                  </w:tcBorders>
                  <w:vAlign w:val="center"/>
                </w:tcPr>
                <w:p w14:paraId="45A05C63">
                  <w:pPr>
                    <w:widowControl/>
                    <w:jc w:val="center"/>
                    <w:textAlignment w:val="center"/>
                    <w:rPr>
                      <w:kern w:val="0"/>
                      <w:sz w:val="18"/>
                      <w:szCs w:val="18"/>
                      <w:lang w:bidi="ar"/>
                    </w:rPr>
                  </w:pPr>
                  <w:r>
                    <w:rPr>
                      <w:kern w:val="0"/>
                      <w:sz w:val="18"/>
                      <w:szCs w:val="18"/>
                      <w:lang w:bidi="ar"/>
                    </w:rPr>
                    <w:t xml:space="preserve">-0.10 </w:t>
                  </w:r>
                </w:p>
              </w:tc>
              <w:tc>
                <w:tcPr>
                  <w:tcW w:w="463" w:type="pct"/>
                  <w:tcBorders>
                    <w:tl2br w:val="nil"/>
                    <w:tr2bl w:val="nil"/>
                  </w:tcBorders>
                  <w:vAlign w:val="center"/>
                </w:tcPr>
                <w:p w14:paraId="5CCD3501">
                  <w:pPr>
                    <w:widowControl/>
                    <w:jc w:val="center"/>
                    <w:textAlignment w:val="center"/>
                    <w:rPr>
                      <w:kern w:val="0"/>
                      <w:sz w:val="18"/>
                      <w:szCs w:val="18"/>
                      <w:lang w:bidi="ar"/>
                    </w:rPr>
                  </w:pPr>
                </w:p>
              </w:tc>
              <w:tc>
                <w:tcPr>
                  <w:tcW w:w="463" w:type="pct"/>
                  <w:tcBorders>
                    <w:tl2br w:val="nil"/>
                    <w:tr2bl w:val="nil"/>
                  </w:tcBorders>
                  <w:vAlign w:val="center"/>
                </w:tcPr>
                <w:p w14:paraId="59938017">
                  <w:pPr>
                    <w:widowControl/>
                    <w:jc w:val="center"/>
                    <w:textAlignment w:val="center"/>
                    <w:rPr>
                      <w:kern w:val="0"/>
                      <w:sz w:val="18"/>
                      <w:szCs w:val="18"/>
                      <w:lang w:bidi="ar"/>
                    </w:rPr>
                  </w:pPr>
                  <w:r>
                    <w:rPr>
                      <w:kern w:val="0"/>
                      <w:sz w:val="18"/>
                      <w:szCs w:val="18"/>
                      <w:lang w:bidi="ar"/>
                    </w:rPr>
                    <w:t xml:space="preserve">-0.10 </w:t>
                  </w:r>
                </w:p>
              </w:tc>
              <w:tc>
                <w:tcPr>
                  <w:tcW w:w="627" w:type="pct"/>
                  <w:vMerge w:val="continue"/>
                  <w:tcBorders>
                    <w:tl2br w:val="nil"/>
                    <w:tr2bl w:val="nil"/>
                  </w:tcBorders>
                  <w:vAlign w:val="center"/>
                </w:tcPr>
                <w:p w14:paraId="4E1A53FB">
                  <w:pPr>
                    <w:widowControl/>
                    <w:jc w:val="center"/>
                    <w:rPr>
                      <w:rFonts w:eastAsia="等线"/>
                      <w:sz w:val="18"/>
                      <w:szCs w:val="18"/>
                    </w:rPr>
                  </w:pPr>
                </w:p>
              </w:tc>
            </w:tr>
          </w:tbl>
          <w:p w14:paraId="37765A3B">
            <w:pPr>
              <w:autoSpaceDE w:val="0"/>
              <w:autoSpaceDN w:val="0"/>
              <w:spacing w:line="360" w:lineRule="auto"/>
              <w:ind w:firstLine="420" w:firstLineChars="200"/>
              <w:rPr>
                <w:kern w:val="0"/>
                <w:highlight w:val="yellow"/>
              </w:rPr>
            </w:pPr>
            <w:r>
              <w:rPr>
                <w:rFonts w:hint="eastAsia"/>
                <w:kern w:val="0"/>
                <w:highlight w:val="none"/>
              </w:rPr>
              <w:t>本项目废水</w:t>
            </w:r>
            <w:r>
              <w:rPr>
                <w:rFonts w:hint="eastAsia"/>
                <w:kern w:val="0"/>
                <w:highlight w:val="none"/>
                <w:lang w:val="en-US" w:eastAsia="zh-CN"/>
              </w:rPr>
              <w:t>中COD</w:t>
            </w:r>
            <w:r>
              <w:rPr>
                <w:rFonts w:hint="eastAsia"/>
                <w:kern w:val="0"/>
                <w:highlight w:val="none"/>
                <w:vertAlign w:val="subscript"/>
                <w:lang w:val="en-US" w:eastAsia="zh-CN"/>
              </w:rPr>
              <w:t>Cr</w:t>
            </w:r>
            <w:r>
              <w:rPr>
                <w:rFonts w:hint="eastAsia"/>
                <w:kern w:val="0"/>
                <w:highlight w:val="none"/>
                <w:lang w:val="en-US" w:eastAsia="zh-CN"/>
              </w:rPr>
              <w:t>、NH</w:t>
            </w:r>
            <w:r>
              <w:rPr>
                <w:rFonts w:hint="eastAsia"/>
                <w:kern w:val="0"/>
                <w:highlight w:val="none"/>
                <w:vertAlign w:val="subscript"/>
                <w:lang w:val="en-US" w:eastAsia="zh-CN"/>
              </w:rPr>
              <w:t>3</w:t>
            </w:r>
            <w:r>
              <w:rPr>
                <w:rFonts w:hint="eastAsia"/>
                <w:kern w:val="0"/>
                <w:highlight w:val="none"/>
                <w:lang w:val="en-US" w:eastAsia="zh-CN"/>
              </w:rPr>
              <w:t>-N，</w:t>
            </w:r>
            <w:r>
              <w:rPr>
                <w:rFonts w:hint="eastAsia"/>
                <w:kern w:val="0"/>
                <w:highlight w:val="none"/>
              </w:rPr>
              <w:t>废气污染物</w:t>
            </w:r>
            <w:r>
              <w:rPr>
                <w:rFonts w:hint="eastAsia"/>
                <w:kern w:val="0"/>
                <w:highlight w:val="none"/>
                <w:lang w:val="en-US" w:eastAsia="zh-CN"/>
              </w:rPr>
              <w:t>中VOCs</w:t>
            </w:r>
            <w:r>
              <w:rPr>
                <w:rFonts w:hint="eastAsia"/>
                <w:kern w:val="0"/>
                <w:highlight w:val="none"/>
              </w:rPr>
              <w:t>排放量及危险废物产生量均不大</w:t>
            </w:r>
            <w:r>
              <w:rPr>
                <w:rFonts w:hint="eastAsia"/>
                <w:kern w:val="0"/>
              </w:rPr>
              <w:t>，不会突破区域污染物排放总量管控限值，项目建设符合污染物排放总量管控限值清单要求。</w:t>
            </w:r>
          </w:p>
          <w:p w14:paraId="1768CE63">
            <w:pPr>
              <w:widowControl/>
              <w:spacing w:line="360" w:lineRule="auto"/>
              <w:ind w:firstLine="422" w:firstLineChars="200"/>
              <w:rPr>
                <w:b/>
                <w:bCs/>
                <w:kern w:val="0"/>
                <w:szCs w:val="21"/>
              </w:rPr>
            </w:pPr>
            <w:r>
              <w:rPr>
                <w:rFonts w:hint="eastAsia" w:ascii="宋体" w:hAnsi="宋体" w:cs="宋体"/>
                <w:b/>
                <w:bCs/>
                <w:kern w:val="0"/>
                <w:szCs w:val="21"/>
              </w:rPr>
              <w:t>④</w:t>
            </w:r>
            <w:r>
              <w:rPr>
                <w:rFonts w:hint="eastAsia"/>
                <w:b/>
                <w:bCs/>
                <w:kern w:val="0"/>
                <w:szCs w:val="21"/>
              </w:rPr>
              <w:t>规划优化调整建议清单</w:t>
            </w:r>
          </w:p>
          <w:p w14:paraId="1E22A300">
            <w:pPr>
              <w:widowControl/>
              <w:spacing w:line="360" w:lineRule="auto"/>
              <w:ind w:firstLine="420" w:firstLineChars="200"/>
              <w:rPr>
                <w:kern w:val="0"/>
                <w:szCs w:val="21"/>
              </w:rPr>
            </w:pPr>
            <w:r>
              <w:rPr>
                <w:rFonts w:hint="eastAsia"/>
                <w:kern w:val="0"/>
                <w:szCs w:val="21"/>
              </w:rPr>
              <w:t>项目与规划优化调整建议清单符合性分析如</w:t>
            </w:r>
            <w:r>
              <w:rPr>
                <w:rFonts w:hint="eastAsia"/>
                <w:kern w:val="0"/>
                <w:szCs w:val="21"/>
                <w:lang w:val="en-US" w:eastAsia="zh-CN"/>
              </w:rPr>
              <w:t>下表</w:t>
            </w:r>
            <w:r>
              <w:rPr>
                <w:rFonts w:hint="eastAsia"/>
                <w:kern w:val="0"/>
                <w:szCs w:val="21"/>
              </w:rPr>
              <w:t>所示。</w:t>
            </w:r>
          </w:p>
          <w:p w14:paraId="7EE7381F">
            <w:pPr>
              <w:pStyle w:val="5"/>
              <w:widowControl/>
              <w:numPr>
                <w:ilvl w:val="0"/>
                <w:numId w:val="2"/>
              </w:numPr>
              <w:tabs>
                <w:tab w:val="left" w:pos="0"/>
              </w:tabs>
              <w:spacing w:before="0" w:after="0" w:line="360" w:lineRule="auto"/>
              <w:jc w:val="center"/>
              <w:rPr>
                <w:rFonts w:hint="eastAsia" w:ascii="黑体" w:hAnsi="黑体" w:cs="黑体"/>
                <w:b w:val="0"/>
                <w:bCs w:val="0"/>
                <w:sz w:val="21"/>
                <w:szCs w:val="21"/>
              </w:rPr>
            </w:pPr>
            <w:r>
              <w:rPr>
                <w:rFonts w:hint="eastAsia" w:ascii="黑体" w:hAnsi="黑体" w:cs="黑体"/>
                <w:b w:val="0"/>
                <w:bCs w:val="0"/>
                <w:sz w:val="21"/>
                <w:szCs w:val="21"/>
              </w:rPr>
              <w:t>项目与规划优化调整建议清单符合性分析</w:t>
            </w:r>
          </w:p>
          <w:tbl>
            <w:tblPr>
              <w:tblStyle w:val="26"/>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426"/>
              <w:gridCol w:w="2154"/>
              <w:gridCol w:w="3087"/>
              <w:gridCol w:w="675"/>
              <w:gridCol w:w="688"/>
              <w:gridCol w:w="1364"/>
            </w:tblGrid>
            <w:tr w14:paraId="4F8F5B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blHeader/>
              </w:trPr>
              <w:tc>
                <w:tcPr>
                  <w:tcW w:w="253" w:type="pct"/>
                  <w:tcBorders>
                    <w:tl2br w:val="nil"/>
                    <w:tr2bl w:val="nil"/>
                  </w:tcBorders>
                  <w:tcMar>
                    <w:top w:w="0" w:type="dxa"/>
                    <w:left w:w="57" w:type="dxa"/>
                    <w:bottom w:w="0" w:type="dxa"/>
                    <w:right w:w="57" w:type="dxa"/>
                  </w:tcMar>
                  <w:vAlign w:val="center"/>
                </w:tcPr>
                <w:p w14:paraId="1F37CA28">
                  <w:pPr>
                    <w:jc w:val="center"/>
                    <w:rPr>
                      <w:sz w:val="18"/>
                      <w:szCs w:val="18"/>
                    </w:rPr>
                  </w:pPr>
                  <w:r>
                    <w:rPr>
                      <w:rFonts w:hint="eastAsia"/>
                      <w:sz w:val="18"/>
                      <w:szCs w:val="18"/>
                    </w:rPr>
                    <w:t>优化调整类型</w:t>
                  </w:r>
                </w:p>
              </w:tc>
              <w:tc>
                <w:tcPr>
                  <w:tcW w:w="1282" w:type="pct"/>
                  <w:tcBorders>
                    <w:tl2br w:val="nil"/>
                    <w:tr2bl w:val="nil"/>
                  </w:tcBorders>
                  <w:vAlign w:val="center"/>
                </w:tcPr>
                <w:p w14:paraId="2B0CC16C">
                  <w:pPr>
                    <w:jc w:val="center"/>
                    <w:rPr>
                      <w:sz w:val="18"/>
                      <w:szCs w:val="18"/>
                    </w:rPr>
                  </w:pPr>
                  <w:r>
                    <w:rPr>
                      <w:rFonts w:hint="eastAsia"/>
                      <w:sz w:val="18"/>
                      <w:szCs w:val="18"/>
                    </w:rPr>
                    <w:t>规划内容</w:t>
                  </w:r>
                </w:p>
              </w:tc>
              <w:tc>
                <w:tcPr>
                  <w:tcW w:w="1838" w:type="pct"/>
                  <w:tcBorders>
                    <w:tl2br w:val="nil"/>
                    <w:tr2bl w:val="nil"/>
                  </w:tcBorders>
                  <w:tcMar>
                    <w:top w:w="0" w:type="dxa"/>
                    <w:left w:w="57" w:type="dxa"/>
                    <w:bottom w:w="0" w:type="dxa"/>
                    <w:right w:w="57" w:type="dxa"/>
                  </w:tcMar>
                  <w:vAlign w:val="center"/>
                </w:tcPr>
                <w:p w14:paraId="7D5AA1F6">
                  <w:pPr>
                    <w:jc w:val="center"/>
                    <w:rPr>
                      <w:sz w:val="18"/>
                      <w:szCs w:val="18"/>
                    </w:rPr>
                  </w:pPr>
                  <w:r>
                    <w:rPr>
                      <w:rFonts w:hint="eastAsia"/>
                      <w:sz w:val="18"/>
                      <w:szCs w:val="18"/>
                    </w:rPr>
                    <w:t>调整建议</w:t>
                  </w:r>
                </w:p>
              </w:tc>
              <w:tc>
                <w:tcPr>
                  <w:tcW w:w="402" w:type="pct"/>
                  <w:tcBorders>
                    <w:tl2br w:val="nil"/>
                    <w:tr2bl w:val="nil"/>
                  </w:tcBorders>
                  <w:tcMar>
                    <w:top w:w="0" w:type="dxa"/>
                    <w:left w:w="57" w:type="dxa"/>
                    <w:bottom w:w="0" w:type="dxa"/>
                    <w:right w:w="57" w:type="dxa"/>
                  </w:tcMar>
                  <w:vAlign w:val="center"/>
                </w:tcPr>
                <w:p w14:paraId="26143CB7">
                  <w:pPr>
                    <w:jc w:val="center"/>
                    <w:rPr>
                      <w:sz w:val="18"/>
                      <w:szCs w:val="18"/>
                    </w:rPr>
                  </w:pPr>
                  <w:r>
                    <w:rPr>
                      <w:rFonts w:hint="eastAsia"/>
                      <w:sz w:val="18"/>
                      <w:szCs w:val="18"/>
                    </w:rPr>
                    <w:t>调整依据</w:t>
                  </w:r>
                </w:p>
              </w:tc>
              <w:tc>
                <w:tcPr>
                  <w:tcW w:w="410" w:type="pct"/>
                  <w:tcBorders>
                    <w:tl2br w:val="nil"/>
                    <w:tr2bl w:val="nil"/>
                  </w:tcBorders>
                  <w:tcMar>
                    <w:top w:w="0" w:type="dxa"/>
                    <w:left w:w="57" w:type="dxa"/>
                    <w:bottom w:w="0" w:type="dxa"/>
                    <w:right w:w="57" w:type="dxa"/>
                  </w:tcMar>
                  <w:vAlign w:val="center"/>
                </w:tcPr>
                <w:p w14:paraId="487B8CD8">
                  <w:pPr>
                    <w:jc w:val="center"/>
                    <w:rPr>
                      <w:sz w:val="18"/>
                      <w:szCs w:val="18"/>
                    </w:rPr>
                  </w:pPr>
                  <w:r>
                    <w:rPr>
                      <w:rFonts w:hint="eastAsia"/>
                      <w:sz w:val="18"/>
                      <w:szCs w:val="18"/>
                    </w:rPr>
                    <w:t>预期环境效益</w:t>
                  </w:r>
                </w:p>
              </w:tc>
              <w:tc>
                <w:tcPr>
                  <w:tcW w:w="812" w:type="pct"/>
                  <w:tcBorders>
                    <w:tl2br w:val="nil"/>
                    <w:tr2bl w:val="nil"/>
                  </w:tcBorders>
                  <w:tcMar>
                    <w:top w:w="0" w:type="dxa"/>
                    <w:left w:w="57" w:type="dxa"/>
                    <w:bottom w:w="0" w:type="dxa"/>
                    <w:right w:w="57" w:type="dxa"/>
                  </w:tcMar>
                  <w:vAlign w:val="center"/>
                </w:tcPr>
                <w:p w14:paraId="474F4423">
                  <w:pPr>
                    <w:jc w:val="center"/>
                    <w:rPr>
                      <w:sz w:val="18"/>
                      <w:szCs w:val="18"/>
                    </w:rPr>
                  </w:pPr>
                  <w:r>
                    <w:rPr>
                      <w:rFonts w:hint="eastAsia"/>
                      <w:sz w:val="18"/>
                      <w:szCs w:val="18"/>
                    </w:rPr>
                    <w:t>符合性</w:t>
                  </w:r>
                </w:p>
              </w:tc>
            </w:tr>
            <w:tr w14:paraId="050418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3" w:type="pct"/>
                  <w:tcBorders>
                    <w:tl2br w:val="nil"/>
                    <w:tr2bl w:val="nil"/>
                  </w:tcBorders>
                  <w:tcMar>
                    <w:top w:w="0" w:type="dxa"/>
                    <w:left w:w="57" w:type="dxa"/>
                    <w:bottom w:w="0" w:type="dxa"/>
                    <w:right w:w="57" w:type="dxa"/>
                  </w:tcMar>
                  <w:vAlign w:val="center"/>
                </w:tcPr>
                <w:p w14:paraId="7A09C767">
                  <w:pPr>
                    <w:jc w:val="center"/>
                    <w:rPr>
                      <w:sz w:val="18"/>
                      <w:szCs w:val="18"/>
                    </w:rPr>
                  </w:pPr>
                  <w:r>
                    <w:rPr>
                      <w:rFonts w:hint="eastAsia"/>
                      <w:sz w:val="18"/>
                      <w:szCs w:val="18"/>
                    </w:rPr>
                    <w:t>规划产业定位</w:t>
                  </w:r>
                </w:p>
              </w:tc>
              <w:tc>
                <w:tcPr>
                  <w:tcW w:w="1282" w:type="pct"/>
                  <w:tcBorders>
                    <w:tl2br w:val="nil"/>
                    <w:tr2bl w:val="nil"/>
                  </w:tcBorders>
                  <w:vAlign w:val="center"/>
                </w:tcPr>
                <w:p w14:paraId="30B12BF4">
                  <w:pPr>
                    <w:jc w:val="left"/>
                    <w:rPr>
                      <w:sz w:val="18"/>
                      <w:szCs w:val="18"/>
                    </w:rPr>
                  </w:pPr>
                  <w:r>
                    <w:rPr>
                      <w:rFonts w:hint="eastAsia"/>
                      <w:sz w:val="18"/>
                      <w:szCs w:val="18"/>
                    </w:rPr>
                    <w:t>规划提出了高新区积极谋划布局数字经济、生命健康、智能制造及未来信息、未来空间、未来健康等产业，并列表给出了各片区规划产业导向门类。</w:t>
                  </w:r>
                </w:p>
              </w:tc>
              <w:tc>
                <w:tcPr>
                  <w:tcW w:w="1838" w:type="pct"/>
                  <w:tcBorders>
                    <w:tl2br w:val="nil"/>
                    <w:tr2bl w:val="nil"/>
                  </w:tcBorders>
                  <w:tcMar>
                    <w:top w:w="0" w:type="dxa"/>
                    <w:left w:w="57" w:type="dxa"/>
                    <w:bottom w:w="0" w:type="dxa"/>
                    <w:right w:w="57" w:type="dxa"/>
                  </w:tcMar>
                  <w:vAlign w:val="center"/>
                </w:tcPr>
                <w:p w14:paraId="7BFCB935">
                  <w:pPr>
                    <w:jc w:val="left"/>
                    <w:rPr>
                      <w:snapToGrid w:val="0"/>
                      <w:kern w:val="0"/>
                      <w:sz w:val="18"/>
                      <w:szCs w:val="18"/>
                    </w:rPr>
                  </w:pPr>
                  <w:r>
                    <w:rPr>
                      <w:rFonts w:hint="eastAsia"/>
                      <w:snapToGrid w:val="0"/>
                      <w:kern w:val="0"/>
                      <w:sz w:val="18"/>
                      <w:szCs w:val="18"/>
                    </w:rPr>
                    <w:t>按照《国民经济行业分类》(GB/T 4754-2017)(2019年修订版)，进一步明确各片区规划产业导向涉及的具体国民经济行业分类，以便于不同细分领域方向产业引进。</w:t>
                  </w:r>
                </w:p>
              </w:tc>
              <w:tc>
                <w:tcPr>
                  <w:tcW w:w="402" w:type="pct"/>
                  <w:tcBorders>
                    <w:tl2br w:val="nil"/>
                    <w:tr2bl w:val="nil"/>
                  </w:tcBorders>
                  <w:tcMar>
                    <w:top w:w="0" w:type="dxa"/>
                    <w:left w:w="57" w:type="dxa"/>
                    <w:bottom w:w="0" w:type="dxa"/>
                    <w:right w:w="57" w:type="dxa"/>
                  </w:tcMar>
                  <w:vAlign w:val="center"/>
                </w:tcPr>
                <w:p w14:paraId="29CF53AD">
                  <w:pPr>
                    <w:jc w:val="left"/>
                    <w:rPr>
                      <w:sz w:val="18"/>
                      <w:szCs w:val="18"/>
                      <w:lang w:bidi="ar"/>
                    </w:rPr>
                  </w:pPr>
                  <w:r>
                    <w:rPr>
                      <w:rFonts w:hint="eastAsia"/>
                      <w:sz w:val="18"/>
                      <w:szCs w:val="18"/>
                      <w:lang w:bidi="ar"/>
                    </w:rPr>
                    <w:t>高新区产业发展规划要求</w:t>
                  </w:r>
                </w:p>
              </w:tc>
              <w:tc>
                <w:tcPr>
                  <w:tcW w:w="410" w:type="pct"/>
                  <w:tcBorders>
                    <w:tl2br w:val="nil"/>
                    <w:tr2bl w:val="nil"/>
                  </w:tcBorders>
                  <w:tcMar>
                    <w:top w:w="0" w:type="dxa"/>
                    <w:left w:w="57" w:type="dxa"/>
                    <w:bottom w:w="0" w:type="dxa"/>
                    <w:right w:w="57" w:type="dxa"/>
                  </w:tcMar>
                  <w:vAlign w:val="center"/>
                </w:tcPr>
                <w:p w14:paraId="5A2465CB">
                  <w:pPr>
                    <w:widowControl/>
                    <w:jc w:val="left"/>
                    <w:rPr>
                      <w:kern w:val="0"/>
                      <w:sz w:val="18"/>
                      <w:szCs w:val="18"/>
                    </w:rPr>
                  </w:pPr>
                  <w:r>
                    <w:rPr>
                      <w:rFonts w:hint="eastAsia"/>
                      <w:kern w:val="0"/>
                      <w:sz w:val="18"/>
                      <w:szCs w:val="18"/>
                    </w:rPr>
                    <w:t>有效指导各片区产业准入</w:t>
                  </w:r>
                </w:p>
              </w:tc>
              <w:tc>
                <w:tcPr>
                  <w:tcW w:w="812" w:type="pct"/>
                  <w:tcBorders>
                    <w:tl2br w:val="nil"/>
                    <w:tr2bl w:val="nil"/>
                  </w:tcBorders>
                  <w:tcMar>
                    <w:top w:w="0" w:type="dxa"/>
                    <w:left w:w="57" w:type="dxa"/>
                    <w:bottom w:w="0" w:type="dxa"/>
                    <w:right w:w="57" w:type="dxa"/>
                  </w:tcMar>
                  <w:vAlign w:val="center"/>
                </w:tcPr>
                <w:p w14:paraId="53DF74F1">
                  <w:pPr>
                    <w:widowControl/>
                    <w:jc w:val="left"/>
                    <w:rPr>
                      <w:kern w:val="0"/>
                      <w:sz w:val="18"/>
                      <w:szCs w:val="18"/>
                    </w:rPr>
                  </w:pPr>
                  <w:r>
                    <w:rPr>
                      <w:rFonts w:hint="eastAsia"/>
                      <w:kern w:val="0"/>
                      <w:sz w:val="18"/>
                      <w:szCs w:val="18"/>
                    </w:rPr>
                    <w:t>符合。本项目进行医疗器械制造，符合产业导向。</w:t>
                  </w:r>
                </w:p>
              </w:tc>
            </w:tr>
            <w:tr w14:paraId="1A08B4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3" w:type="pct"/>
                  <w:tcBorders>
                    <w:tl2br w:val="nil"/>
                    <w:tr2bl w:val="nil"/>
                  </w:tcBorders>
                  <w:tcMar>
                    <w:top w:w="0" w:type="dxa"/>
                    <w:left w:w="57" w:type="dxa"/>
                    <w:bottom w:w="0" w:type="dxa"/>
                    <w:right w:w="57" w:type="dxa"/>
                  </w:tcMar>
                  <w:vAlign w:val="center"/>
                </w:tcPr>
                <w:p w14:paraId="6620BED7">
                  <w:pPr>
                    <w:jc w:val="center"/>
                    <w:rPr>
                      <w:sz w:val="18"/>
                      <w:szCs w:val="18"/>
                    </w:rPr>
                  </w:pPr>
                  <w:r>
                    <w:rPr>
                      <w:rFonts w:hint="eastAsia"/>
                      <w:sz w:val="18"/>
                      <w:szCs w:val="18"/>
                    </w:rPr>
                    <w:t>规划产业布局</w:t>
                  </w:r>
                </w:p>
              </w:tc>
              <w:tc>
                <w:tcPr>
                  <w:tcW w:w="1282" w:type="pct"/>
                  <w:tcBorders>
                    <w:tl2br w:val="nil"/>
                    <w:tr2bl w:val="nil"/>
                  </w:tcBorders>
                  <w:vAlign w:val="center"/>
                </w:tcPr>
                <w:p w14:paraId="16AD7603">
                  <w:pPr>
                    <w:jc w:val="left"/>
                    <w:rPr>
                      <w:sz w:val="18"/>
                      <w:szCs w:val="18"/>
                    </w:rPr>
                  </w:pPr>
                  <w:r>
                    <w:rPr>
                      <w:rFonts w:hint="eastAsia"/>
                      <w:sz w:val="18"/>
                      <w:szCs w:val="18"/>
                    </w:rPr>
                    <w:t>规划工业用地以一类工业用地为主，仅在瓶窑产业园设置少量二类工业用地，另在余杭义桥工业园和南湖科学中心布局部分一类工业用地兼容二类工业用地，不涉及三类工业用地。</w:t>
                  </w:r>
                </w:p>
              </w:tc>
              <w:tc>
                <w:tcPr>
                  <w:tcW w:w="1838" w:type="pct"/>
                  <w:tcBorders>
                    <w:tl2br w:val="nil"/>
                    <w:tr2bl w:val="nil"/>
                  </w:tcBorders>
                  <w:tcMar>
                    <w:top w:w="0" w:type="dxa"/>
                    <w:left w:w="57" w:type="dxa"/>
                    <w:bottom w:w="0" w:type="dxa"/>
                    <w:right w:w="57" w:type="dxa"/>
                  </w:tcMar>
                  <w:vAlign w:val="center"/>
                </w:tcPr>
                <w:p w14:paraId="2D8177E2">
                  <w:pPr>
                    <w:jc w:val="left"/>
                    <w:rPr>
                      <w:sz w:val="18"/>
                      <w:szCs w:val="18"/>
                    </w:rPr>
                  </w:pPr>
                  <w:r>
                    <w:rPr>
                      <w:rFonts w:hint="eastAsia"/>
                      <w:sz w:val="18"/>
                      <w:szCs w:val="18"/>
                    </w:rPr>
                    <w:t>目前，高新区内各区块已入驻企业均以二类工业项目为主，但大部分企业用地已规划为一类工业用地，建议对此类企业加强监管并鼓励进行腾笼换鸟，限期实施整厂或污染工艺退出。同时，建议高新区内新增一类工业用地在项目引进时，原则上应优先入驻基本无污染和环境风险的一类工业项目，同时在确保对周边居住和公共环境基本无干扰、污染和安全隐患的前提下可适当考虑引进二类工业项目，严禁三类工业项目建设。</w:t>
                  </w:r>
                </w:p>
              </w:tc>
              <w:tc>
                <w:tcPr>
                  <w:tcW w:w="402" w:type="pct"/>
                  <w:tcBorders>
                    <w:tl2br w:val="nil"/>
                    <w:tr2bl w:val="nil"/>
                  </w:tcBorders>
                  <w:tcMar>
                    <w:top w:w="0" w:type="dxa"/>
                    <w:left w:w="57" w:type="dxa"/>
                    <w:bottom w:w="0" w:type="dxa"/>
                    <w:right w:w="57" w:type="dxa"/>
                  </w:tcMar>
                  <w:vAlign w:val="center"/>
                </w:tcPr>
                <w:p w14:paraId="11533344">
                  <w:pPr>
                    <w:jc w:val="left"/>
                    <w:rPr>
                      <w:sz w:val="18"/>
                      <w:szCs w:val="18"/>
                      <w:lang w:bidi="ar"/>
                    </w:rPr>
                  </w:pPr>
                  <w:r>
                    <w:rPr>
                      <w:rFonts w:hint="eastAsia"/>
                      <w:sz w:val="18"/>
                      <w:szCs w:val="18"/>
                      <w:lang w:bidi="ar"/>
                    </w:rPr>
                    <w:t>高新区规划工业用地布局要求</w:t>
                  </w:r>
                </w:p>
              </w:tc>
              <w:tc>
                <w:tcPr>
                  <w:tcW w:w="410" w:type="pct"/>
                  <w:tcBorders>
                    <w:tl2br w:val="nil"/>
                    <w:tr2bl w:val="nil"/>
                  </w:tcBorders>
                  <w:tcMar>
                    <w:top w:w="0" w:type="dxa"/>
                    <w:left w:w="57" w:type="dxa"/>
                    <w:bottom w:w="0" w:type="dxa"/>
                    <w:right w:w="57" w:type="dxa"/>
                  </w:tcMar>
                  <w:vAlign w:val="center"/>
                </w:tcPr>
                <w:p w14:paraId="1AE3D510">
                  <w:pPr>
                    <w:widowControl/>
                    <w:jc w:val="left"/>
                    <w:rPr>
                      <w:kern w:val="0"/>
                      <w:sz w:val="18"/>
                      <w:szCs w:val="18"/>
                    </w:rPr>
                  </w:pPr>
                  <w:r>
                    <w:rPr>
                      <w:rFonts w:hint="eastAsia"/>
                      <w:kern w:val="0"/>
                      <w:sz w:val="18"/>
                      <w:szCs w:val="18"/>
                    </w:rPr>
                    <w:t>减少入园企业对环境的干扰和污染程度</w:t>
                  </w:r>
                </w:p>
              </w:tc>
              <w:tc>
                <w:tcPr>
                  <w:tcW w:w="812" w:type="pct"/>
                  <w:tcBorders>
                    <w:tl2br w:val="nil"/>
                    <w:tr2bl w:val="nil"/>
                  </w:tcBorders>
                  <w:tcMar>
                    <w:top w:w="0" w:type="dxa"/>
                    <w:left w:w="57" w:type="dxa"/>
                    <w:bottom w:w="0" w:type="dxa"/>
                    <w:right w:w="57" w:type="dxa"/>
                  </w:tcMar>
                  <w:vAlign w:val="center"/>
                </w:tcPr>
                <w:p w14:paraId="3413987D">
                  <w:pPr>
                    <w:widowControl/>
                    <w:jc w:val="left"/>
                    <w:rPr>
                      <w:kern w:val="0"/>
                      <w:sz w:val="18"/>
                      <w:szCs w:val="18"/>
                      <w:highlight w:val="none"/>
                    </w:rPr>
                  </w:pPr>
                  <w:r>
                    <w:rPr>
                      <w:rFonts w:hint="eastAsia"/>
                      <w:kern w:val="0"/>
                      <w:sz w:val="18"/>
                      <w:szCs w:val="18"/>
                      <w:highlight w:val="none"/>
                    </w:rPr>
                    <w:t>符合。项目为二类工业项目，</w:t>
                  </w:r>
                  <w:r>
                    <w:rPr>
                      <w:rFonts w:hint="eastAsia"/>
                      <w:kern w:val="0"/>
                      <w:sz w:val="18"/>
                      <w:szCs w:val="18"/>
                      <w:highlight w:val="none"/>
                      <w:lang w:val="en-US" w:eastAsia="zh-CN"/>
                    </w:rPr>
                    <w:t>根据相关文件</w:t>
                  </w:r>
                  <w:r>
                    <w:rPr>
                      <w:rFonts w:hint="eastAsia"/>
                      <w:kern w:val="0"/>
                      <w:sz w:val="18"/>
                      <w:szCs w:val="18"/>
                      <w:highlight w:val="none"/>
                    </w:rPr>
                    <w:t>要求可进驻一类工业用地项目。</w:t>
                  </w:r>
                </w:p>
              </w:tc>
            </w:tr>
            <w:tr w14:paraId="4BFAE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3" w:type="pct"/>
                  <w:tcBorders>
                    <w:tl2br w:val="nil"/>
                    <w:tr2bl w:val="nil"/>
                  </w:tcBorders>
                  <w:tcMar>
                    <w:top w:w="0" w:type="dxa"/>
                    <w:left w:w="57" w:type="dxa"/>
                    <w:bottom w:w="0" w:type="dxa"/>
                    <w:right w:w="57" w:type="dxa"/>
                  </w:tcMar>
                  <w:vAlign w:val="center"/>
                </w:tcPr>
                <w:p w14:paraId="2616AA01">
                  <w:pPr>
                    <w:jc w:val="center"/>
                    <w:rPr>
                      <w:sz w:val="18"/>
                      <w:szCs w:val="18"/>
                    </w:rPr>
                  </w:pPr>
                  <w:r>
                    <w:rPr>
                      <w:rFonts w:hint="eastAsia"/>
                      <w:sz w:val="18"/>
                      <w:szCs w:val="18"/>
                    </w:rPr>
                    <w:t>规划用地布局</w:t>
                  </w:r>
                </w:p>
              </w:tc>
              <w:tc>
                <w:tcPr>
                  <w:tcW w:w="1282" w:type="pct"/>
                  <w:tcBorders>
                    <w:tl2br w:val="nil"/>
                    <w:tr2bl w:val="nil"/>
                  </w:tcBorders>
                  <w:vAlign w:val="center"/>
                </w:tcPr>
                <w:p w14:paraId="7E37DF85">
                  <w:pPr>
                    <w:jc w:val="left"/>
                    <w:rPr>
                      <w:sz w:val="18"/>
                      <w:szCs w:val="18"/>
                    </w:rPr>
                  </w:pPr>
                  <w:r>
                    <w:rPr>
                      <w:rFonts w:hint="eastAsia"/>
                      <w:sz w:val="18"/>
                      <w:szCs w:val="18"/>
                    </w:rPr>
                    <w:t>规划衔接落实《杭州市余杭区瓶窑新城单元详细规划》用地布局要求，将高新区内瓶窑产业园与良渚遗址重点保护区(</w:t>
                  </w:r>
                  <w:r>
                    <w:rPr>
                      <w:bCs/>
                      <w:sz w:val="18"/>
                      <w:szCs w:val="18"/>
                    </w:rPr>
                    <w:t>ZBH-CZ</w:t>
                  </w:r>
                  <w:r>
                    <w:rPr>
                      <w:rFonts w:hint="eastAsia"/>
                      <w:sz w:val="18"/>
                      <w:szCs w:val="18"/>
                    </w:rPr>
                    <w:t>)和一般保护区(</w:t>
                  </w:r>
                  <w:r>
                    <w:rPr>
                      <w:bCs/>
                      <w:sz w:val="18"/>
                      <w:szCs w:val="18"/>
                    </w:rPr>
                    <w:t>YHB-CN1</w:t>
                  </w:r>
                  <w:r>
                    <w:rPr>
                      <w:rFonts w:hint="eastAsia"/>
                      <w:sz w:val="18"/>
                      <w:szCs w:val="18"/>
                    </w:rPr>
                    <w:t>)重叠区域全部规划为工业用地，与《良渚遗址和鲤鱼山-老虎岭水坝遗址保护总体规划(2021-2035)》中提出的重点保护区和一般保护区内的遗址安全范围内“应减少建设用地规模，应逐步削减与遗址保护管理研究、遗址展示服务无关的建设用地”、“本区内的居民和企业，以及与遗址保护管理研究、遗址展示服务无关的建、构筑物应分期、分批外迁和拆除”，以及一般保护区(除遗址安全范围外)内“应消减工矿用地、仓储用地”</w:t>
                  </w:r>
                  <w:r>
                    <w:rPr>
                      <w:bCs/>
                      <w:sz w:val="18"/>
                      <w:szCs w:val="18"/>
                    </w:rPr>
                    <w:t>”</w:t>
                  </w:r>
                  <w:r>
                    <w:rPr>
                      <w:rFonts w:hint="eastAsia"/>
                      <w:sz w:val="18"/>
                      <w:szCs w:val="18"/>
                    </w:rPr>
                    <w:t>的管理规定存在冲突。</w:t>
                  </w:r>
                </w:p>
              </w:tc>
              <w:tc>
                <w:tcPr>
                  <w:tcW w:w="1838" w:type="pct"/>
                  <w:tcBorders>
                    <w:tl2br w:val="nil"/>
                    <w:tr2bl w:val="nil"/>
                  </w:tcBorders>
                  <w:tcMar>
                    <w:top w:w="0" w:type="dxa"/>
                    <w:left w:w="57" w:type="dxa"/>
                    <w:bottom w:w="0" w:type="dxa"/>
                    <w:right w:w="57" w:type="dxa"/>
                  </w:tcMar>
                  <w:vAlign w:val="center"/>
                </w:tcPr>
                <w:p w14:paraId="14DE8769">
                  <w:pPr>
                    <w:jc w:val="left"/>
                    <w:rPr>
                      <w:bCs/>
                      <w:sz w:val="18"/>
                      <w:szCs w:val="18"/>
                    </w:rPr>
                  </w:pPr>
                  <w:r>
                    <w:rPr>
                      <w:rFonts w:hint="eastAsia"/>
                      <w:bCs/>
                      <w:sz w:val="18"/>
                      <w:szCs w:val="18"/>
                    </w:rPr>
                    <w:t>为加强与良渚遗址保护总体规划的衔接，建议本次高新区规划综合考虑文物安全、环境协调、功能协同等因素，对瓶窑产业园与良渚遗址重点保护区和一般保护区重叠区域的用地布局进行优化调整，合理确定土地用途。其中，对重点保护区和一般保护区内的遗址安全范围内的现状企业和居民，应分期、分批外迁和拆除，腾退用地应调整为与遗址保护管理研究、遗址展示服务相关的用地类型，有条件的应逐步征收为国有并变更为“文物古迹用地”；对除遗产安全范围外的一般保护区，应逐步消减现状工业用地，腾退用地应调整为与遗址保护展示、良渚遗址文化产业导向、民生服务需求相符的用地类型，同时该区内的建设项目应满足总体拆建比不大于0.8的管控要求。</w:t>
                  </w:r>
                </w:p>
              </w:tc>
              <w:tc>
                <w:tcPr>
                  <w:tcW w:w="402" w:type="pct"/>
                  <w:tcBorders>
                    <w:tl2br w:val="nil"/>
                    <w:tr2bl w:val="nil"/>
                  </w:tcBorders>
                  <w:tcMar>
                    <w:top w:w="0" w:type="dxa"/>
                    <w:left w:w="57" w:type="dxa"/>
                    <w:bottom w:w="0" w:type="dxa"/>
                    <w:right w:w="57" w:type="dxa"/>
                  </w:tcMar>
                  <w:vAlign w:val="center"/>
                </w:tcPr>
                <w:p w14:paraId="089718AB">
                  <w:pPr>
                    <w:jc w:val="left"/>
                    <w:rPr>
                      <w:sz w:val="18"/>
                      <w:szCs w:val="18"/>
                      <w:lang w:bidi="ar"/>
                    </w:rPr>
                  </w:pPr>
                  <w:r>
                    <w:rPr>
                      <w:rFonts w:hint="eastAsia"/>
                      <w:sz w:val="18"/>
                      <w:szCs w:val="18"/>
                      <w:lang w:bidi="ar"/>
                    </w:rPr>
                    <w:t>良渚遗址和鲤鱼山-老虎岭水坝遗址保护总体规划</w:t>
                  </w:r>
                </w:p>
              </w:tc>
              <w:tc>
                <w:tcPr>
                  <w:tcW w:w="410" w:type="pct"/>
                  <w:tcBorders>
                    <w:tl2br w:val="nil"/>
                    <w:tr2bl w:val="nil"/>
                  </w:tcBorders>
                  <w:tcMar>
                    <w:top w:w="0" w:type="dxa"/>
                    <w:left w:w="57" w:type="dxa"/>
                    <w:bottom w:w="0" w:type="dxa"/>
                    <w:right w:w="57" w:type="dxa"/>
                  </w:tcMar>
                  <w:vAlign w:val="center"/>
                </w:tcPr>
                <w:p w14:paraId="484A0719">
                  <w:pPr>
                    <w:widowControl/>
                    <w:jc w:val="left"/>
                    <w:rPr>
                      <w:kern w:val="0"/>
                      <w:sz w:val="18"/>
                      <w:szCs w:val="18"/>
                    </w:rPr>
                  </w:pPr>
                  <w:r>
                    <w:rPr>
                      <w:rFonts w:hint="eastAsia"/>
                      <w:kern w:val="0"/>
                      <w:sz w:val="18"/>
                      <w:szCs w:val="18"/>
                    </w:rPr>
                    <w:t>加强良渚遗址保护与遗产地可持续发展</w:t>
                  </w:r>
                </w:p>
              </w:tc>
              <w:tc>
                <w:tcPr>
                  <w:tcW w:w="812" w:type="pct"/>
                  <w:tcBorders>
                    <w:tl2br w:val="nil"/>
                    <w:tr2bl w:val="nil"/>
                  </w:tcBorders>
                  <w:tcMar>
                    <w:top w:w="0" w:type="dxa"/>
                    <w:left w:w="57" w:type="dxa"/>
                    <w:bottom w:w="0" w:type="dxa"/>
                    <w:right w:w="57" w:type="dxa"/>
                  </w:tcMar>
                  <w:vAlign w:val="center"/>
                </w:tcPr>
                <w:p w14:paraId="40C87998">
                  <w:pPr>
                    <w:widowControl/>
                    <w:jc w:val="left"/>
                    <w:rPr>
                      <w:kern w:val="0"/>
                      <w:sz w:val="18"/>
                      <w:szCs w:val="18"/>
                    </w:rPr>
                  </w:pPr>
                  <w:r>
                    <w:rPr>
                      <w:rFonts w:hint="eastAsia"/>
                      <w:kern w:val="0"/>
                      <w:sz w:val="18"/>
                      <w:szCs w:val="18"/>
                    </w:rPr>
                    <w:t>本项目不涉及。</w:t>
                  </w:r>
                </w:p>
              </w:tc>
            </w:tr>
            <w:tr w14:paraId="04297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3" w:type="pct"/>
                  <w:tcBorders>
                    <w:tl2br w:val="nil"/>
                    <w:tr2bl w:val="nil"/>
                  </w:tcBorders>
                  <w:tcMar>
                    <w:top w:w="0" w:type="dxa"/>
                    <w:left w:w="57" w:type="dxa"/>
                    <w:bottom w:w="0" w:type="dxa"/>
                    <w:right w:w="57" w:type="dxa"/>
                  </w:tcMar>
                  <w:vAlign w:val="center"/>
                </w:tcPr>
                <w:p w14:paraId="5D3576F8">
                  <w:pPr>
                    <w:jc w:val="center"/>
                    <w:rPr>
                      <w:sz w:val="18"/>
                      <w:szCs w:val="18"/>
                    </w:rPr>
                  </w:pPr>
                  <w:r>
                    <w:rPr>
                      <w:rFonts w:hint="eastAsia"/>
                      <w:sz w:val="18"/>
                      <w:szCs w:val="18"/>
                    </w:rPr>
                    <w:t>污水工程规划</w:t>
                  </w:r>
                </w:p>
              </w:tc>
              <w:tc>
                <w:tcPr>
                  <w:tcW w:w="1282" w:type="pct"/>
                  <w:tcBorders>
                    <w:tl2br w:val="nil"/>
                    <w:tr2bl w:val="nil"/>
                  </w:tcBorders>
                  <w:vAlign w:val="center"/>
                </w:tcPr>
                <w:p w14:paraId="1152A1F2">
                  <w:pPr>
                    <w:pStyle w:val="10"/>
                    <w:ind w:firstLine="0"/>
                    <w:jc w:val="left"/>
                    <w:rPr>
                      <w:rFonts w:ascii="Times New Roman" w:hAnsi="Times New Roman" w:cs="Times New Roman"/>
                      <w:sz w:val="18"/>
                      <w:szCs w:val="18"/>
                    </w:rPr>
                  </w:pPr>
                  <w:r>
                    <w:rPr>
                      <w:rFonts w:hint="eastAsia" w:ascii="Times New Roman" w:hAnsi="Times New Roman" w:cs="Times New Roman"/>
                      <w:sz w:val="18"/>
                      <w:szCs w:val="18"/>
                    </w:rPr>
                    <w:t>余杭净水厂远期拟扩建至35万t/d，尾水排入余杭塘河；城西污水处理厂近期拟扩建至30万吨/日(并规划10万t/d再生水利用量)，远期拟扩建至40万t/d(并规划15万t/d再生水利用量)，尾水排入余杭塘河。</w:t>
                  </w:r>
                </w:p>
              </w:tc>
              <w:tc>
                <w:tcPr>
                  <w:tcW w:w="1838" w:type="pct"/>
                  <w:tcBorders>
                    <w:tl2br w:val="nil"/>
                    <w:tr2bl w:val="nil"/>
                  </w:tcBorders>
                  <w:tcMar>
                    <w:top w:w="0" w:type="dxa"/>
                    <w:left w:w="57" w:type="dxa"/>
                    <w:bottom w:w="0" w:type="dxa"/>
                    <w:right w:w="57" w:type="dxa"/>
                  </w:tcMar>
                  <w:vAlign w:val="center"/>
                </w:tcPr>
                <w:p w14:paraId="0A524227">
                  <w:pPr>
                    <w:jc w:val="left"/>
                    <w:rPr>
                      <w:snapToGrid w:val="0"/>
                      <w:kern w:val="0"/>
                      <w:sz w:val="18"/>
                      <w:szCs w:val="18"/>
                    </w:rPr>
                  </w:pPr>
                  <w:r>
                    <w:rPr>
                      <w:rFonts w:hint="eastAsia"/>
                      <w:sz w:val="18"/>
                      <w:szCs w:val="18"/>
                      <w:lang w:bidi="ar"/>
                    </w:rPr>
                    <w:t>鉴于余杭塘河现状水质尚未稳定达标，环境容量存在短板，建议充分论证近期、远期城西污水处理厂及配套再生水利用工程建设进度和规模、排水去向、再生水利用方式，以及远期余杭净水厂建设进度和规模、排水去向，以确保实现区域水环境质量改善目标，提升水环境容量承载能力。</w:t>
                  </w:r>
                </w:p>
              </w:tc>
              <w:tc>
                <w:tcPr>
                  <w:tcW w:w="402" w:type="pct"/>
                  <w:tcBorders>
                    <w:tl2br w:val="nil"/>
                    <w:tr2bl w:val="nil"/>
                  </w:tcBorders>
                  <w:tcMar>
                    <w:top w:w="0" w:type="dxa"/>
                    <w:left w:w="57" w:type="dxa"/>
                    <w:bottom w:w="0" w:type="dxa"/>
                    <w:right w:w="57" w:type="dxa"/>
                  </w:tcMar>
                  <w:vAlign w:val="center"/>
                </w:tcPr>
                <w:p w14:paraId="5D7033A9">
                  <w:pPr>
                    <w:jc w:val="left"/>
                    <w:rPr>
                      <w:sz w:val="18"/>
                      <w:szCs w:val="18"/>
                      <w:lang w:bidi="ar"/>
                    </w:rPr>
                  </w:pPr>
                  <w:r>
                    <w:rPr>
                      <w:rFonts w:hint="eastAsia"/>
                      <w:snapToGrid w:val="0"/>
                      <w:kern w:val="0"/>
                      <w:sz w:val="18"/>
                      <w:szCs w:val="18"/>
                    </w:rPr>
                    <w:t>降低基础设施建设的环境负面影响</w:t>
                  </w:r>
                </w:p>
              </w:tc>
              <w:tc>
                <w:tcPr>
                  <w:tcW w:w="410" w:type="pct"/>
                  <w:tcBorders>
                    <w:tl2br w:val="nil"/>
                    <w:tr2bl w:val="nil"/>
                  </w:tcBorders>
                  <w:tcMar>
                    <w:top w:w="0" w:type="dxa"/>
                    <w:left w:w="57" w:type="dxa"/>
                    <w:bottom w:w="0" w:type="dxa"/>
                    <w:right w:w="57" w:type="dxa"/>
                  </w:tcMar>
                  <w:vAlign w:val="center"/>
                </w:tcPr>
                <w:p w14:paraId="7D53404A">
                  <w:pPr>
                    <w:widowControl/>
                    <w:jc w:val="left"/>
                    <w:rPr>
                      <w:kern w:val="0"/>
                      <w:sz w:val="18"/>
                      <w:szCs w:val="18"/>
                    </w:rPr>
                  </w:pPr>
                  <w:r>
                    <w:rPr>
                      <w:rFonts w:hint="eastAsia"/>
                      <w:kern w:val="0"/>
                      <w:sz w:val="18"/>
                      <w:szCs w:val="18"/>
                    </w:rPr>
                    <w:t>满足环境容量要求</w:t>
                  </w:r>
                </w:p>
              </w:tc>
              <w:tc>
                <w:tcPr>
                  <w:tcW w:w="812" w:type="pct"/>
                  <w:tcBorders>
                    <w:tl2br w:val="nil"/>
                    <w:tr2bl w:val="nil"/>
                  </w:tcBorders>
                  <w:tcMar>
                    <w:top w:w="0" w:type="dxa"/>
                    <w:left w:w="57" w:type="dxa"/>
                    <w:bottom w:w="0" w:type="dxa"/>
                    <w:right w:w="57" w:type="dxa"/>
                  </w:tcMar>
                  <w:vAlign w:val="center"/>
                </w:tcPr>
                <w:p w14:paraId="2D39E1DA">
                  <w:pPr>
                    <w:widowControl/>
                    <w:jc w:val="left"/>
                    <w:rPr>
                      <w:kern w:val="0"/>
                      <w:sz w:val="18"/>
                      <w:szCs w:val="18"/>
                    </w:rPr>
                  </w:pPr>
                  <w:r>
                    <w:rPr>
                      <w:rFonts w:hint="eastAsia"/>
                      <w:kern w:val="0"/>
                      <w:sz w:val="18"/>
                      <w:szCs w:val="18"/>
                    </w:rPr>
                    <w:t>本项目不涉及。</w:t>
                  </w:r>
                </w:p>
              </w:tc>
            </w:tr>
            <w:tr w14:paraId="2048D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253" w:type="pct"/>
                  <w:tcBorders>
                    <w:tl2br w:val="nil"/>
                    <w:tr2bl w:val="nil"/>
                  </w:tcBorders>
                  <w:tcMar>
                    <w:top w:w="0" w:type="dxa"/>
                    <w:left w:w="57" w:type="dxa"/>
                    <w:bottom w:w="0" w:type="dxa"/>
                    <w:right w:w="57" w:type="dxa"/>
                  </w:tcMar>
                  <w:vAlign w:val="center"/>
                </w:tcPr>
                <w:p w14:paraId="7BCC4051">
                  <w:pPr>
                    <w:jc w:val="center"/>
                    <w:rPr>
                      <w:sz w:val="18"/>
                      <w:szCs w:val="18"/>
                    </w:rPr>
                  </w:pPr>
                  <w:r>
                    <w:rPr>
                      <w:rFonts w:hint="eastAsia"/>
                      <w:sz w:val="18"/>
                      <w:szCs w:val="18"/>
                    </w:rPr>
                    <w:t>燃气工程规划</w:t>
                  </w:r>
                </w:p>
              </w:tc>
              <w:tc>
                <w:tcPr>
                  <w:tcW w:w="1282" w:type="pct"/>
                  <w:tcBorders>
                    <w:tl2br w:val="nil"/>
                    <w:tr2bl w:val="nil"/>
                  </w:tcBorders>
                  <w:vAlign w:val="center"/>
                </w:tcPr>
                <w:p w14:paraId="7C5C1C23">
                  <w:pPr>
                    <w:jc w:val="left"/>
                    <w:rPr>
                      <w:sz w:val="18"/>
                      <w:szCs w:val="18"/>
                    </w:rPr>
                  </w:pPr>
                  <w:r>
                    <w:rPr>
                      <w:rFonts w:hint="eastAsia"/>
                      <w:sz w:val="18"/>
                      <w:szCs w:val="18"/>
                    </w:rPr>
                    <w:t>规划用气量预测中，仅核算了近远期居民用户燃气需求量，未明确工业、商业用户等其他用户需求量。</w:t>
                  </w:r>
                </w:p>
              </w:tc>
              <w:tc>
                <w:tcPr>
                  <w:tcW w:w="1838" w:type="pct"/>
                  <w:tcBorders>
                    <w:tl2br w:val="nil"/>
                    <w:tr2bl w:val="nil"/>
                  </w:tcBorders>
                  <w:tcMar>
                    <w:top w:w="0" w:type="dxa"/>
                    <w:left w:w="57" w:type="dxa"/>
                    <w:bottom w:w="0" w:type="dxa"/>
                    <w:right w:w="57" w:type="dxa"/>
                  </w:tcMar>
                  <w:vAlign w:val="center"/>
                </w:tcPr>
                <w:p w14:paraId="59EEDEE9">
                  <w:pPr>
                    <w:jc w:val="left"/>
                    <w:rPr>
                      <w:sz w:val="18"/>
                      <w:szCs w:val="18"/>
                    </w:rPr>
                  </w:pPr>
                  <w:r>
                    <w:rPr>
                      <w:rFonts w:hint="eastAsia"/>
                      <w:sz w:val="18"/>
                      <w:szCs w:val="18"/>
                    </w:rPr>
                    <w:t>根据《杭州市燃气专项规划(2021-2035)》，结合高新区规划产业定位，补充预测近远期工业用户、商业用户等燃气需求量。</w:t>
                  </w:r>
                </w:p>
              </w:tc>
              <w:tc>
                <w:tcPr>
                  <w:tcW w:w="402" w:type="pct"/>
                  <w:tcBorders>
                    <w:tl2br w:val="nil"/>
                    <w:tr2bl w:val="nil"/>
                  </w:tcBorders>
                  <w:tcMar>
                    <w:top w:w="0" w:type="dxa"/>
                    <w:left w:w="57" w:type="dxa"/>
                    <w:bottom w:w="0" w:type="dxa"/>
                    <w:right w:w="57" w:type="dxa"/>
                  </w:tcMar>
                  <w:vAlign w:val="center"/>
                </w:tcPr>
                <w:p w14:paraId="3A16553D">
                  <w:pPr>
                    <w:jc w:val="left"/>
                    <w:rPr>
                      <w:sz w:val="18"/>
                      <w:szCs w:val="18"/>
                    </w:rPr>
                  </w:pPr>
                  <w:r>
                    <w:rPr>
                      <w:rFonts w:hint="eastAsia"/>
                      <w:sz w:val="18"/>
                      <w:szCs w:val="18"/>
                    </w:rPr>
                    <w:t>高新区规划产业定位、上位燃气工程专项规划</w:t>
                  </w:r>
                </w:p>
              </w:tc>
              <w:tc>
                <w:tcPr>
                  <w:tcW w:w="410" w:type="pct"/>
                  <w:tcBorders>
                    <w:tl2br w:val="nil"/>
                    <w:tr2bl w:val="nil"/>
                  </w:tcBorders>
                  <w:tcMar>
                    <w:top w:w="0" w:type="dxa"/>
                    <w:left w:w="57" w:type="dxa"/>
                    <w:bottom w:w="0" w:type="dxa"/>
                    <w:right w:w="57" w:type="dxa"/>
                  </w:tcMar>
                  <w:vAlign w:val="center"/>
                </w:tcPr>
                <w:p w14:paraId="2E40645C">
                  <w:pPr>
                    <w:jc w:val="left"/>
                    <w:rPr>
                      <w:sz w:val="18"/>
                      <w:szCs w:val="18"/>
                    </w:rPr>
                  </w:pPr>
                  <w:r>
                    <w:rPr>
                      <w:rFonts w:hint="eastAsia"/>
                      <w:sz w:val="18"/>
                      <w:szCs w:val="18"/>
                    </w:rPr>
                    <w:t>确保规划区域燃气供需平衡</w:t>
                  </w:r>
                </w:p>
              </w:tc>
              <w:tc>
                <w:tcPr>
                  <w:tcW w:w="812" w:type="pct"/>
                  <w:tcBorders>
                    <w:tl2br w:val="nil"/>
                    <w:tr2bl w:val="nil"/>
                  </w:tcBorders>
                  <w:tcMar>
                    <w:top w:w="0" w:type="dxa"/>
                    <w:left w:w="57" w:type="dxa"/>
                    <w:bottom w:w="0" w:type="dxa"/>
                    <w:right w:w="57" w:type="dxa"/>
                  </w:tcMar>
                  <w:vAlign w:val="center"/>
                </w:tcPr>
                <w:p w14:paraId="17029B43">
                  <w:pPr>
                    <w:jc w:val="left"/>
                    <w:rPr>
                      <w:sz w:val="18"/>
                      <w:szCs w:val="18"/>
                    </w:rPr>
                  </w:pPr>
                  <w:r>
                    <w:rPr>
                      <w:rFonts w:hint="eastAsia"/>
                      <w:sz w:val="18"/>
                      <w:szCs w:val="18"/>
                    </w:rPr>
                    <w:t>本项目不涉及。</w:t>
                  </w:r>
                </w:p>
              </w:tc>
            </w:tr>
          </w:tbl>
          <w:p w14:paraId="236E5E49">
            <w:pPr>
              <w:spacing w:line="360" w:lineRule="auto"/>
              <w:ind w:firstLine="420" w:firstLineChars="200"/>
              <w:rPr>
                <w:szCs w:val="21"/>
              </w:rPr>
            </w:pPr>
            <w:r>
              <w:rPr>
                <w:rFonts w:hint="eastAsia"/>
                <w:szCs w:val="21"/>
              </w:rPr>
              <w:t>由上表可知，本项目的建设符合规划优化调整建议清单中的相关要求。</w:t>
            </w:r>
          </w:p>
          <w:p w14:paraId="1ACEC70B">
            <w:pPr>
              <w:spacing w:line="360" w:lineRule="auto"/>
              <w:ind w:firstLine="422" w:firstLineChars="200"/>
              <w:rPr>
                <w:b/>
                <w:bCs/>
                <w:szCs w:val="21"/>
              </w:rPr>
            </w:pPr>
            <w:r>
              <w:rPr>
                <w:rFonts w:hint="eastAsia"/>
                <w:b/>
                <w:bCs/>
                <w:szCs w:val="21"/>
              </w:rPr>
              <w:t>⑤环境准入条件清单</w:t>
            </w:r>
          </w:p>
          <w:p w14:paraId="42C6DBF5">
            <w:pPr>
              <w:spacing w:line="360" w:lineRule="auto"/>
              <w:ind w:firstLine="420" w:firstLineChars="200"/>
              <w:rPr>
                <w:szCs w:val="21"/>
              </w:rPr>
            </w:pPr>
            <w:r>
              <w:rPr>
                <w:rFonts w:hint="eastAsia"/>
                <w:szCs w:val="21"/>
              </w:rPr>
              <w:t>项目与环境准入条件清单-南湖科学中心的符合性分析如</w:t>
            </w:r>
            <w:r>
              <w:rPr>
                <w:rFonts w:hint="eastAsia"/>
                <w:szCs w:val="21"/>
                <w:lang w:val="en-US" w:eastAsia="zh-CN"/>
              </w:rPr>
              <w:t>下表</w:t>
            </w:r>
            <w:r>
              <w:rPr>
                <w:rFonts w:hint="eastAsia"/>
                <w:szCs w:val="21"/>
              </w:rPr>
              <w:t>所示。</w:t>
            </w:r>
          </w:p>
          <w:p w14:paraId="6E35DE18">
            <w:pPr>
              <w:pStyle w:val="5"/>
              <w:widowControl/>
              <w:numPr>
                <w:ilvl w:val="0"/>
                <w:numId w:val="2"/>
              </w:numPr>
              <w:tabs>
                <w:tab w:val="left" w:pos="0"/>
              </w:tabs>
              <w:spacing w:before="0" w:after="0" w:line="360" w:lineRule="auto"/>
              <w:ind w:left="0" w:firstLine="0"/>
              <w:jc w:val="center"/>
              <w:rPr>
                <w:rFonts w:hint="eastAsia" w:ascii="黑体" w:hAnsi="黑体" w:cs="黑体"/>
                <w:b w:val="0"/>
                <w:bCs w:val="0"/>
                <w:sz w:val="21"/>
                <w:szCs w:val="21"/>
              </w:rPr>
            </w:pPr>
            <w:r>
              <w:rPr>
                <w:rFonts w:hint="eastAsia" w:ascii="黑体" w:hAnsi="黑体" w:cs="黑体"/>
                <w:b w:val="0"/>
                <w:bCs w:val="0"/>
                <w:sz w:val="21"/>
                <w:szCs w:val="21"/>
              </w:rPr>
              <w:t>项目与环境准入条件清单符合性分析</w:t>
            </w:r>
          </w:p>
          <w:tbl>
            <w:tblPr>
              <w:tblStyle w:val="26"/>
              <w:tblW w:w="819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
              <w:gridCol w:w="398"/>
              <w:gridCol w:w="849"/>
              <w:gridCol w:w="238"/>
              <w:gridCol w:w="1075"/>
              <w:gridCol w:w="869"/>
              <w:gridCol w:w="1890"/>
              <w:gridCol w:w="1538"/>
              <w:gridCol w:w="946"/>
            </w:tblGrid>
            <w:tr w14:paraId="38462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5000" w:type="pct"/>
                  <w:gridSpan w:val="9"/>
                  <w:tcBorders>
                    <w:tl2br w:val="nil"/>
                    <w:tr2bl w:val="nil"/>
                  </w:tcBorders>
                  <w:vAlign w:val="center"/>
                </w:tcPr>
                <w:p w14:paraId="6C04116E">
                  <w:pPr>
                    <w:widowControl/>
                    <w:adjustRightInd w:val="0"/>
                    <w:snapToGrid w:val="0"/>
                    <w:rPr>
                      <w:sz w:val="18"/>
                      <w:szCs w:val="18"/>
                    </w:rPr>
                  </w:pPr>
                  <w:r>
                    <w:rPr>
                      <w:rFonts w:hint="eastAsia"/>
                      <w:sz w:val="18"/>
                      <w:szCs w:val="18"/>
                    </w:rPr>
                    <w:t>本环评主要参考《杭州未来科技城南湖科学中心中泰工业园有机更新方案环境影响报告书》中确定的环境准入条件清单要求，并结合《杭州城西科创大走廊发展规划(2021-2035年)环境影响报告书》对规划区域发展提供的生态环境保护方向引导，制定本次高新区南湖科学中心(含南湖科创半岛)区块环境准入条件清单。</w:t>
                  </w:r>
                </w:p>
              </w:tc>
            </w:tr>
            <w:tr w14:paraId="57B4F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82" w:type="pct"/>
                  <w:gridSpan w:val="2"/>
                  <w:tcBorders>
                    <w:tl2br w:val="nil"/>
                    <w:tr2bl w:val="nil"/>
                  </w:tcBorders>
                  <w:vAlign w:val="center"/>
                </w:tcPr>
                <w:p w14:paraId="72D26D9A">
                  <w:pPr>
                    <w:widowControl/>
                    <w:jc w:val="center"/>
                    <w:rPr>
                      <w:kern w:val="0"/>
                      <w:sz w:val="18"/>
                      <w:szCs w:val="18"/>
                    </w:rPr>
                  </w:pPr>
                  <w:r>
                    <w:rPr>
                      <w:rFonts w:hint="eastAsia"/>
                      <w:kern w:val="0"/>
                      <w:sz w:val="18"/>
                      <w:szCs w:val="18"/>
                    </w:rPr>
                    <w:t>分类</w:t>
                  </w:r>
                </w:p>
              </w:tc>
              <w:tc>
                <w:tcPr>
                  <w:tcW w:w="1318" w:type="pct"/>
                  <w:gridSpan w:val="3"/>
                  <w:tcBorders>
                    <w:tl2br w:val="nil"/>
                    <w:tr2bl w:val="nil"/>
                  </w:tcBorders>
                  <w:vAlign w:val="center"/>
                </w:tcPr>
                <w:p w14:paraId="152ACCA2">
                  <w:pPr>
                    <w:widowControl/>
                    <w:jc w:val="center"/>
                    <w:rPr>
                      <w:kern w:val="0"/>
                      <w:sz w:val="18"/>
                      <w:szCs w:val="18"/>
                    </w:rPr>
                  </w:pPr>
                  <w:r>
                    <w:rPr>
                      <w:rFonts w:hint="eastAsia"/>
                      <w:kern w:val="0"/>
                      <w:sz w:val="18"/>
                      <w:szCs w:val="18"/>
                    </w:rPr>
                    <w:t>项目类别</w:t>
                  </w:r>
                </w:p>
              </w:tc>
              <w:tc>
                <w:tcPr>
                  <w:tcW w:w="530" w:type="pct"/>
                  <w:tcBorders>
                    <w:tl2br w:val="nil"/>
                    <w:tr2bl w:val="nil"/>
                  </w:tcBorders>
                  <w:vAlign w:val="center"/>
                </w:tcPr>
                <w:p w14:paraId="19B5CE3D">
                  <w:pPr>
                    <w:widowControl/>
                    <w:jc w:val="center"/>
                    <w:rPr>
                      <w:kern w:val="0"/>
                      <w:sz w:val="18"/>
                      <w:szCs w:val="18"/>
                    </w:rPr>
                  </w:pPr>
                  <w:r>
                    <w:rPr>
                      <w:rFonts w:hint="eastAsia"/>
                      <w:kern w:val="0"/>
                      <w:sz w:val="18"/>
                      <w:szCs w:val="18"/>
                    </w:rPr>
                    <w:t>行业清单</w:t>
                  </w:r>
                </w:p>
              </w:tc>
              <w:tc>
                <w:tcPr>
                  <w:tcW w:w="1153" w:type="pct"/>
                  <w:tcBorders>
                    <w:tl2br w:val="nil"/>
                    <w:tr2bl w:val="nil"/>
                  </w:tcBorders>
                  <w:vAlign w:val="center"/>
                </w:tcPr>
                <w:p w14:paraId="06735180">
                  <w:pPr>
                    <w:widowControl/>
                    <w:jc w:val="center"/>
                    <w:rPr>
                      <w:kern w:val="0"/>
                      <w:sz w:val="18"/>
                      <w:szCs w:val="18"/>
                    </w:rPr>
                  </w:pPr>
                  <w:r>
                    <w:rPr>
                      <w:rFonts w:hint="eastAsia"/>
                      <w:kern w:val="0"/>
                      <w:sz w:val="18"/>
                      <w:szCs w:val="18"/>
                    </w:rPr>
                    <w:t>工艺清单</w:t>
                  </w:r>
                </w:p>
              </w:tc>
              <w:tc>
                <w:tcPr>
                  <w:tcW w:w="938" w:type="pct"/>
                  <w:tcBorders>
                    <w:tl2br w:val="nil"/>
                    <w:tr2bl w:val="nil"/>
                  </w:tcBorders>
                  <w:vAlign w:val="center"/>
                </w:tcPr>
                <w:p w14:paraId="68403518">
                  <w:pPr>
                    <w:widowControl/>
                    <w:jc w:val="center"/>
                    <w:rPr>
                      <w:kern w:val="0"/>
                      <w:sz w:val="18"/>
                      <w:szCs w:val="18"/>
                    </w:rPr>
                  </w:pPr>
                  <w:r>
                    <w:rPr>
                      <w:rFonts w:hint="eastAsia"/>
                      <w:kern w:val="0"/>
                      <w:sz w:val="18"/>
                      <w:szCs w:val="18"/>
                    </w:rPr>
                    <w:t>产品清单</w:t>
                  </w:r>
                </w:p>
              </w:tc>
              <w:tc>
                <w:tcPr>
                  <w:tcW w:w="577" w:type="pct"/>
                  <w:tcBorders>
                    <w:tl2br w:val="nil"/>
                    <w:tr2bl w:val="nil"/>
                  </w:tcBorders>
                  <w:vAlign w:val="center"/>
                </w:tcPr>
                <w:p w14:paraId="178EA787">
                  <w:pPr>
                    <w:widowControl/>
                    <w:jc w:val="center"/>
                    <w:rPr>
                      <w:kern w:val="0"/>
                      <w:sz w:val="18"/>
                      <w:szCs w:val="18"/>
                    </w:rPr>
                  </w:pPr>
                  <w:r>
                    <w:rPr>
                      <w:rFonts w:hint="eastAsia"/>
                      <w:kern w:val="0"/>
                      <w:sz w:val="18"/>
                      <w:szCs w:val="18"/>
                    </w:rPr>
                    <w:t>制订依据</w:t>
                  </w:r>
                </w:p>
              </w:tc>
            </w:tr>
            <w:tr w14:paraId="7D13A4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restart"/>
                  <w:tcBorders>
                    <w:tl2br w:val="nil"/>
                    <w:tr2bl w:val="nil"/>
                  </w:tcBorders>
                  <w:vAlign w:val="center"/>
                </w:tcPr>
                <w:p w14:paraId="026733D1">
                  <w:pPr>
                    <w:widowControl/>
                    <w:jc w:val="center"/>
                    <w:rPr>
                      <w:bCs/>
                      <w:kern w:val="0"/>
                      <w:sz w:val="18"/>
                      <w:szCs w:val="18"/>
                    </w:rPr>
                  </w:pPr>
                  <w:r>
                    <w:rPr>
                      <w:rFonts w:hint="eastAsia"/>
                      <w:sz w:val="18"/>
                      <w:szCs w:val="18"/>
                    </w:rPr>
                    <w:t>重点发展产业</w:t>
                  </w:r>
                </w:p>
              </w:tc>
              <w:tc>
                <w:tcPr>
                  <w:tcW w:w="242" w:type="pct"/>
                  <w:vMerge w:val="restart"/>
                  <w:tcBorders>
                    <w:tl2br w:val="nil"/>
                    <w:tr2bl w:val="nil"/>
                  </w:tcBorders>
                  <w:vAlign w:val="center"/>
                </w:tcPr>
                <w:p w14:paraId="01509806">
                  <w:pPr>
                    <w:widowControl/>
                    <w:jc w:val="center"/>
                    <w:rPr>
                      <w:bCs/>
                      <w:kern w:val="0"/>
                      <w:sz w:val="18"/>
                      <w:szCs w:val="18"/>
                    </w:rPr>
                  </w:pPr>
                  <w:r>
                    <w:rPr>
                      <w:rFonts w:hint="eastAsia"/>
                      <w:bCs/>
                      <w:kern w:val="0"/>
                      <w:sz w:val="18"/>
                      <w:szCs w:val="18"/>
                    </w:rPr>
                    <w:t>禁止准入类</w:t>
                  </w:r>
                </w:p>
              </w:tc>
              <w:tc>
                <w:tcPr>
                  <w:tcW w:w="517" w:type="pct"/>
                  <w:tcBorders>
                    <w:tl2br w:val="nil"/>
                    <w:tr2bl w:val="nil"/>
                  </w:tcBorders>
                  <w:vAlign w:val="center"/>
                </w:tcPr>
                <w:p w14:paraId="11A57E91">
                  <w:pPr>
                    <w:widowControl/>
                    <w:jc w:val="center"/>
                    <w:rPr>
                      <w:bCs/>
                      <w:kern w:val="0"/>
                      <w:sz w:val="18"/>
                      <w:szCs w:val="18"/>
                    </w:rPr>
                  </w:pPr>
                  <w:r>
                    <w:rPr>
                      <w:rFonts w:hint="eastAsia"/>
                      <w:bCs/>
                      <w:kern w:val="0"/>
                      <w:sz w:val="18"/>
                      <w:szCs w:val="18"/>
                    </w:rPr>
                    <w:t>三十</w:t>
                  </w:r>
                </w:p>
              </w:tc>
              <w:tc>
                <w:tcPr>
                  <w:tcW w:w="801" w:type="pct"/>
                  <w:gridSpan w:val="2"/>
                  <w:tcBorders>
                    <w:tl2br w:val="nil"/>
                    <w:tr2bl w:val="nil"/>
                  </w:tcBorders>
                  <w:vAlign w:val="center"/>
                </w:tcPr>
                <w:p w14:paraId="11C59509">
                  <w:pPr>
                    <w:widowControl/>
                    <w:jc w:val="center"/>
                    <w:rPr>
                      <w:bCs/>
                      <w:kern w:val="0"/>
                      <w:sz w:val="18"/>
                      <w:szCs w:val="18"/>
                    </w:rPr>
                  </w:pPr>
                  <w:r>
                    <w:rPr>
                      <w:rFonts w:hint="eastAsia"/>
                      <w:bCs/>
                      <w:kern w:val="0"/>
                      <w:sz w:val="18"/>
                      <w:szCs w:val="18"/>
                    </w:rPr>
                    <w:t>金属制品业33</w:t>
                  </w:r>
                </w:p>
              </w:tc>
              <w:tc>
                <w:tcPr>
                  <w:tcW w:w="530" w:type="pct"/>
                  <w:tcBorders>
                    <w:tl2br w:val="nil"/>
                    <w:tr2bl w:val="nil"/>
                  </w:tcBorders>
                  <w:vAlign w:val="center"/>
                </w:tcPr>
                <w:p w14:paraId="6E48EABE">
                  <w:pPr>
                    <w:widowControl/>
                    <w:jc w:val="center"/>
                    <w:rPr>
                      <w:bCs/>
                      <w:kern w:val="0"/>
                      <w:sz w:val="18"/>
                      <w:szCs w:val="18"/>
                    </w:rPr>
                  </w:pPr>
                  <w:r>
                    <w:rPr>
                      <w:bCs/>
                      <w:kern w:val="0"/>
                      <w:sz w:val="18"/>
                      <w:szCs w:val="18"/>
                    </w:rPr>
                    <w:t>/</w:t>
                  </w:r>
                </w:p>
              </w:tc>
              <w:tc>
                <w:tcPr>
                  <w:tcW w:w="1153" w:type="pct"/>
                  <w:vMerge w:val="restart"/>
                  <w:tcBorders>
                    <w:tl2br w:val="nil"/>
                    <w:tr2bl w:val="nil"/>
                  </w:tcBorders>
                  <w:vAlign w:val="center"/>
                </w:tcPr>
                <w:p w14:paraId="18D5FC21">
                  <w:pPr>
                    <w:widowControl/>
                    <w:rPr>
                      <w:bCs/>
                      <w:kern w:val="0"/>
                      <w:sz w:val="18"/>
                      <w:szCs w:val="18"/>
                    </w:rPr>
                  </w:pPr>
                  <w:r>
                    <w:rPr>
                      <w:rFonts w:hint="eastAsia"/>
                      <w:bCs/>
                      <w:kern w:val="0"/>
                      <w:sz w:val="18"/>
                      <w:szCs w:val="18"/>
                    </w:rPr>
                    <w:t>1、有电镀工艺的</w:t>
                  </w:r>
                  <w:r>
                    <w:rPr>
                      <w:rFonts w:hint="eastAsia"/>
                      <w:sz w:val="18"/>
                      <w:szCs w:val="18"/>
                    </w:rPr>
                    <w:t>(为省、市、区重点项目配套的必需工艺环节除外)</w:t>
                  </w:r>
                  <w:r>
                    <w:rPr>
                      <w:rFonts w:hint="eastAsia"/>
                      <w:bCs/>
                      <w:kern w:val="0"/>
                      <w:sz w:val="18"/>
                      <w:szCs w:val="18"/>
                    </w:rPr>
                    <w:t>；</w:t>
                  </w:r>
                </w:p>
                <w:p w14:paraId="29EBA3D1">
                  <w:pPr>
                    <w:widowControl/>
                    <w:rPr>
                      <w:bCs/>
                      <w:kern w:val="0"/>
                      <w:sz w:val="18"/>
                      <w:szCs w:val="18"/>
                    </w:rPr>
                  </w:pPr>
                  <w:r>
                    <w:rPr>
                      <w:rFonts w:hint="eastAsia"/>
                      <w:bCs/>
                      <w:kern w:val="0"/>
                      <w:sz w:val="18"/>
                      <w:szCs w:val="18"/>
                    </w:rPr>
                    <w:t>2、有钝化工艺的热镀锌</w:t>
                  </w:r>
                  <w:r>
                    <w:rPr>
                      <w:rFonts w:hint="eastAsia"/>
                      <w:sz w:val="18"/>
                      <w:szCs w:val="18"/>
                    </w:rPr>
                    <w:t>(为省、市、区重点项目配套的必需工艺环节除外)</w:t>
                  </w:r>
                </w:p>
              </w:tc>
              <w:tc>
                <w:tcPr>
                  <w:tcW w:w="938" w:type="pct"/>
                  <w:tcBorders>
                    <w:tl2br w:val="nil"/>
                    <w:tr2bl w:val="nil"/>
                  </w:tcBorders>
                  <w:vAlign w:val="center"/>
                </w:tcPr>
                <w:p w14:paraId="5000EA4E">
                  <w:pPr>
                    <w:widowControl/>
                    <w:rPr>
                      <w:bCs/>
                      <w:kern w:val="0"/>
                      <w:sz w:val="18"/>
                      <w:szCs w:val="18"/>
                    </w:rPr>
                  </w:pPr>
                  <w:r>
                    <w:rPr>
                      <w:rFonts w:hint="eastAsia"/>
                      <w:kern w:val="0"/>
                      <w:sz w:val="18"/>
                      <w:szCs w:val="18"/>
                    </w:rPr>
                    <w:t>单纯表面处理及涂装加工项目</w:t>
                  </w:r>
                </w:p>
              </w:tc>
              <w:tc>
                <w:tcPr>
                  <w:tcW w:w="577" w:type="pct"/>
                  <w:vMerge w:val="restart"/>
                  <w:tcBorders>
                    <w:tl2br w:val="nil"/>
                    <w:tr2bl w:val="nil"/>
                  </w:tcBorders>
                  <w:vAlign w:val="center"/>
                </w:tcPr>
                <w:p w14:paraId="551BC558">
                  <w:pPr>
                    <w:widowControl/>
                    <w:jc w:val="center"/>
                    <w:rPr>
                      <w:bCs/>
                      <w:kern w:val="0"/>
                      <w:sz w:val="18"/>
                      <w:szCs w:val="18"/>
                    </w:rPr>
                  </w:pPr>
                  <w:r>
                    <w:rPr>
                      <w:rFonts w:hint="eastAsia"/>
                      <w:bCs/>
                      <w:kern w:val="0"/>
                      <w:sz w:val="18"/>
                      <w:szCs w:val="18"/>
                    </w:rPr>
                    <w:t>《产业结构调整指导目录(2024年本)》；《建设项目环境影响评价分类管理名录(2021年版)》；《浙江省化工园区评价认定管理办法》；</w:t>
                  </w:r>
                  <w:r>
                    <w:rPr>
                      <w:rFonts w:hint="eastAsia"/>
                      <w:sz w:val="18"/>
                      <w:szCs w:val="18"/>
                    </w:rPr>
                    <w:t>《杭州市生态环境分区管控动态更新方案》；《杭州市产业发展导向目录(2024年本)》；</w:t>
                  </w:r>
                  <w:r>
                    <w:rPr>
                      <w:rFonts w:hint="eastAsia"/>
                      <w:bCs/>
                      <w:kern w:val="0"/>
                      <w:sz w:val="18"/>
                      <w:szCs w:val="18"/>
                    </w:rPr>
                    <w:t>控制涉重废水排放，防止土壤、地下水污染；控制VOC废气、酸雾及恶臭污染隐患；以及本次高新区规划产业定位等</w:t>
                  </w:r>
                </w:p>
              </w:tc>
            </w:tr>
            <w:tr w14:paraId="5F811F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3A92F07">
                  <w:pPr>
                    <w:widowControl/>
                    <w:jc w:val="center"/>
                    <w:rPr>
                      <w:bCs/>
                      <w:kern w:val="0"/>
                      <w:sz w:val="18"/>
                      <w:szCs w:val="18"/>
                    </w:rPr>
                  </w:pPr>
                </w:p>
              </w:tc>
              <w:tc>
                <w:tcPr>
                  <w:tcW w:w="242" w:type="pct"/>
                  <w:vMerge w:val="continue"/>
                  <w:tcBorders>
                    <w:tl2br w:val="nil"/>
                    <w:tr2bl w:val="nil"/>
                  </w:tcBorders>
                  <w:vAlign w:val="center"/>
                </w:tcPr>
                <w:p w14:paraId="089BB2D1">
                  <w:pPr>
                    <w:widowControl/>
                    <w:jc w:val="center"/>
                    <w:rPr>
                      <w:bCs/>
                      <w:kern w:val="0"/>
                      <w:sz w:val="18"/>
                      <w:szCs w:val="18"/>
                    </w:rPr>
                  </w:pPr>
                </w:p>
              </w:tc>
              <w:tc>
                <w:tcPr>
                  <w:tcW w:w="517" w:type="pct"/>
                  <w:tcBorders>
                    <w:tl2br w:val="nil"/>
                    <w:tr2bl w:val="nil"/>
                  </w:tcBorders>
                  <w:vAlign w:val="center"/>
                </w:tcPr>
                <w:p w14:paraId="61F331D3">
                  <w:pPr>
                    <w:widowControl/>
                    <w:jc w:val="center"/>
                    <w:rPr>
                      <w:bCs/>
                      <w:kern w:val="0"/>
                      <w:sz w:val="18"/>
                      <w:szCs w:val="18"/>
                    </w:rPr>
                  </w:pPr>
                  <w:r>
                    <w:rPr>
                      <w:rFonts w:hint="eastAsia"/>
                      <w:bCs/>
                      <w:kern w:val="0"/>
                      <w:sz w:val="18"/>
                      <w:szCs w:val="18"/>
                    </w:rPr>
                    <w:t>三十一</w:t>
                  </w:r>
                </w:p>
              </w:tc>
              <w:tc>
                <w:tcPr>
                  <w:tcW w:w="801" w:type="pct"/>
                  <w:gridSpan w:val="2"/>
                  <w:tcBorders>
                    <w:tl2br w:val="nil"/>
                    <w:tr2bl w:val="nil"/>
                  </w:tcBorders>
                  <w:vAlign w:val="center"/>
                </w:tcPr>
                <w:p w14:paraId="5F7FD313">
                  <w:pPr>
                    <w:widowControl/>
                    <w:jc w:val="center"/>
                    <w:rPr>
                      <w:bCs/>
                      <w:kern w:val="0"/>
                      <w:sz w:val="18"/>
                      <w:szCs w:val="18"/>
                    </w:rPr>
                  </w:pPr>
                  <w:r>
                    <w:rPr>
                      <w:rFonts w:hint="eastAsia"/>
                      <w:bCs/>
                      <w:kern w:val="0"/>
                      <w:sz w:val="18"/>
                      <w:szCs w:val="18"/>
                    </w:rPr>
                    <w:t>通用设备制造业34</w:t>
                  </w:r>
                </w:p>
              </w:tc>
              <w:tc>
                <w:tcPr>
                  <w:tcW w:w="530" w:type="pct"/>
                  <w:tcBorders>
                    <w:tl2br w:val="nil"/>
                    <w:tr2bl w:val="nil"/>
                  </w:tcBorders>
                  <w:vAlign w:val="center"/>
                </w:tcPr>
                <w:p w14:paraId="75ADFC87">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0B26256E">
                  <w:pPr>
                    <w:widowControl/>
                    <w:rPr>
                      <w:bCs/>
                      <w:kern w:val="0"/>
                      <w:sz w:val="18"/>
                      <w:szCs w:val="18"/>
                    </w:rPr>
                  </w:pPr>
                </w:p>
              </w:tc>
              <w:tc>
                <w:tcPr>
                  <w:tcW w:w="938" w:type="pct"/>
                  <w:tcBorders>
                    <w:tl2br w:val="nil"/>
                    <w:tr2bl w:val="nil"/>
                  </w:tcBorders>
                  <w:vAlign w:val="center"/>
                </w:tcPr>
                <w:p w14:paraId="2D662C45">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2CF1472E">
                  <w:pPr>
                    <w:widowControl/>
                    <w:rPr>
                      <w:bCs/>
                      <w:kern w:val="0"/>
                      <w:sz w:val="18"/>
                      <w:szCs w:val="18"/>
                    </w:rPr>
                  </w:pPr>
                </w:p>
              </w:tc>
            </w:tr>
            <w:tr w14:paraId="2E0696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39" w:type="pct"/>
                  <w:vMerge w:val="continue"/>
                  <w:tcBorders>
                    <w:tl2br w:val="nil"/>
                    <w:tr2bl w:val="nil"/>
                  </w:tcBorders>
                  <w:vAlign w:val="center"/>
                </w:tcPr>
                <w:p w14:paraId="147EA24D">
                  <w:pPr>
                    <w:widowControl/>
                    <w:jc w:val="center"/>
                    <w:rPr>
                      <w:bCs/>
                      <w:kern w:val="0"/>
                      <w:sz w:val="18"/>
                      <w:szCs w:val="18"/>
                    </w:rPr>
                  </w:pPr>
                </w:p>
              </w:tc>
              <w:tc>
                <w:tcPr>
                  <w:tcW w:w="242" w:type="pct"/>
                  <w:vMerge w:val="continue"/>
                  <w:tcBorders>
                    <w:tl2br w:val="nil"/>
                    <w:tr2bl w:val="nil"/>
                  </w:tcBorders>
                  <w:vAlign w:val="center"/>
                </w:tcPr>
                <w:p w14:paraId="04EA7920">
                  <w:pPr>
                    <w:widowControl/>
                    <w:jc w:val="center"/>
                    <w:rPr>
                      <w:bCs/>
                      <w:kern w:val="0"/>
                      <w:sz w:val="18"/>
                      <w:szCs w:val="18"/>
                    </w:rPr>
                  </w:pPr>
                </w:p>
              </w:tc>
              <w:tc>
                <w:tcPr>
                  <w:tcW w:w="517" w:type="pct"/>
                  <w:tcBorders>
                    <w:tl2br w:val="nil"/>
                    <w:tr2bl w:val="nil"/>
                  </w:tcBorders>
                  <w:vAlign w:val="center"/>
                </w:tcPr>
                <w:p w14:paraId="0A2E6790">
                  <w:pPr>
                    <w:widowControl/>
                    <w:jc w:val="center"/>
                    <w:rPr>
                      <w:bCs/>
                      <w:kern w:val="0"/>
                      <w:sz w:val="18"/>
                      <w:szCs w:val="18"/>
                    </w:rPr>
                  </w:pPr>
                  <w:r>
                    <w:rPr>
                      <w:rFonts w:hint="eastAsia"/>
                      <w:bCs/>
                      <w:kern w:val="0"/>
                      <w:sz w:val="18"/>
                      <w:szCs w:val="18"/>
                    </w:rPr>
                    <w:t>三十二</w:t>
                  </w:r>
                </w:p>
              </w:tc>
              <w:tc>
                <w:tcPr>
                  <w:tcW w:w="801" w:type="pct"/>
                  <w:gridSpan w:val="2"/>
                  <w:tcBorders>
                    <w:tl2br w:val="nil"/>
                    <w:tr2bl w:val="nil"/>
                  </w:tcBorders>
                  <w:vAlign w:val="center"/>
                </w:tcPr>
                <w:p w14:paraId="0940A015">
                  <w:pPr>
                    <w:widowControl/>
                    <w:jc w:val="center"/>
                    <w:rPr>
                      <w:bCs/>
                      <w:kern w:val="0"/>
                      <w:sz w:val="18"/>
                      <w:szCs w:val="18"/>
                    </w:rPr>
                  </w:pPr>
                  <w:r>
                    <w:rPr>
                      <w:rFonts w:hint="eastAsia"/>
                      <w:bCs/>
                      <w:kern w:val="0"/>
                      <w:sz w:val="18"/>
                      <w:szCs w:val="18"/>
                    </w:rPr>
                    <w:t>专用设备制造业35</w:t>
                  </w:r>
                </w:p>
              </w:tc>
              <w:tc>
                <w:tcPr>
                  <w:tcW w:w="530" w:type="pct"/>
                  <w:tcBorders>
                    <w:tl2br w:val="nil"/>
                    <w:tr2bl w:val="nil"/>
                  </w:tcBorders>
                  <w:vAlign w:val="center"/>
                </w:tcPr>
                <w:p w14:paraId="5EFF12E3">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5F5DC59C">
                  <w:pPr>
                    <w:widowControl/>
                    <w:rPr>
                      <w:bCs/>
                      <w:kern w:val="0"/>
                      <w:sz w:val="18"/>
                      <w:szCs w:val="18"/>
                    </w:rPr>
                  </w:pPr>
                </w:p>
              </w:tc>
              <w:tc>
                <w:tcPr>
                  <w:tcW w:w="938" w:type="pct"/>
                  <w:tcBorders>
                    <w:tl2br w:val="nil"/>
                    <w:tr2bl w:val="nil"/>
                  </w:tcBorders>
                  <w:vAlign w:val="center"/>
                </w:tcPr>
                <w:p w14:paraId="66E9F96D">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4E3B7E50">
                  <w:pPr>
                    <w:widowControl/>
                    <w:jc w:val="center"/>
                    <w:rPr>
                      <w:bCs/>
                      <w:kern w:val="0"/>
                      <w:sz w:val="18"/>
                      <w:szCs w:val="18"/>
                    </w:rPr>
                  </w:pPr>
                </w:p>
              </w:tc>
            </w:tr>
            <w:tr w14:paraId="0916A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3F834FBA">
                  <w:pPr>
                    <w:widowControl/>
                    <w:jc w:val="center"/>
                    <w:rPr>
                      <w:bCs/>
                      <w:kern w:val="0"/>
                      <w:sz w:val="18"/>
                      <w:szCs w:val="18"/>
                    </w:rPr>
                  </w:pPr>
                </w:p>
              </w:tc>
              <w:tc>
                <w:tcPr>
                  <w:tcW w:w="242" w:type="pct"/>
                  <w:vMerge w:val="continue"/>
                  <w:tcBorders>
                    <w:tl2br w:val="nil"/>
                    <w:tr2bl w:val="nil"/>
                  </w:tcBorders>
                  <w:vAlign w:val="center"/>
                </w:tcPr>
                <w:p w14:paraId="2AC66F4E">
                  <w:pPr>
                    <w:widowControl/>
                    <w:jc w:val="center"/>
                    <w:rPr>
                      <w:bCs/>
                      <w:kern w:val="0"/>
                      <w:sz w:val="18"/>
                      <w:szCs w:val="18"/>
                    </w:rPr>
                  </w:pPr>
                </w:p>
              </w:tc>
              <w:tc>
                <w:tcPr>
                  <w:tcW w:w="517" w:type="pct"/>
                  <w:tcBorders>
                    <w:tl2br w:val="nil"/>
                    <w:tr2bl w:val="nil"/>
                  </w:tcBorders>
                  <w:vAlign w:val="center"/>
                </w:tcPr>
                <w:p w14:paraId="11827402">
                  <w:pPr>
                    <w:jc w:val="center"/>
                    <w:rPr>
                      <w:bCs/>
                      <w:kern w:val="0"/>
                      <w:sz w:val="18"/>
                      <w:szCs w:val="18"/>
                    </w:rPr>
                  </w:pPr>
                  <w:r>
                    <w:rPr>
                      <w:rFonts w:hint="eastAsia"/>
                      <w:sz w:val="18"/>
                      <w:szCs w:val="18"/>
                    </w:rPr>
                    <w:t>三十五</w:t>
                  </w:r>
                </w:p>
              </w:tc>
              <w:tc>
                <w:tcPr>
                  <w:tcW w:w="801" w:type="pct"/>
                  <w:gridSpan w:val="2"/>
                  <w:tcBorders>
                    <w:tl2br w:val="nil"/>
                    <w:tr2bl w:val="nil"/>
                  </w:tcBorders>
                  <w:vAlign w:val="center"/>
                </w:tcPr>
                <w:p w14:paraId="1E2BA4CE">
                  <w:pPr>
                    <w:jc w:val="center"/>
                    <w:rPr>
                      <w:bCs/>
                      <w:kern w:val="0"/>
                      <w:sz w:val="18"/>
                      <w:szCs w:val="18"/>
                    </w:rPr>
                  </w:pPr>
                  <w:r>
                    <w:rPr>
                      <w:rFonts w:hint="eastAsia"/>
                      <w:kern w:val="0"/>
                      <w:sz w:val="18"/>
                      <w:szCs w:val="18"/>
                    </w:rPr>
                    <w:t>电气机械和器材制造业38</w:t>
                  </w:r>
                </w:p>
              </w:tc>
              <w:tc>
                <w:tcPr>
                  <w:tcW w:w="530" w:type="pct"/>
                  <w:tcBorders>
                    <w:tl2br w:val="nil"/>
                    <w:tr2bl w:val="nil"/>
                  </w:tcBorders>
                  <w:vAlign w:val="center"/>
                </w:tcPr>
                <w:p w14:paraId="5211EECC">
                  <w:pPr>
                    <w:jc w:val="center"/>
                    <w:rPr>
                      <w:bCs/>
                      <w:kern w:val="0"/>
                      <w:sz w:val="18"/>
                      <w:szCs w:val="18"/>
                    </w:rPr>
                  </w:pPr>
                  <w:r>
                    <w:rPr>
                      <w:sz w:val="18"/>
                      <w:szCs w:val="18"/>
                    </w:rPr>
                    <w:t>/</w:t>
                  </w:r>
                </w:p>
              </w:tc>
              <w:tc>
                <w:tcPr>
                  <w:tcW w:w="1153" w:type="pct"/>
                  <w:vMerge w:val="continue"/>
                  <w:tcBorders>
                    <w:tl2br w:val="nil"/>
                    <w:tr2bl w:val="nil"/>
                  </w:tcBorders>
                  <w:vAlign w:val="center"/>
                </w:tcPr>
                <w:p w14:paraId="0AADDD42">
                  <w:pPr>
                    <w:widowControl/>
                    <w:rPr>
                      <w:bCs/>
                      <w:kern w:val="0"/>
                      <w:sz w:val="18"/>
                      <w:szCs w:val="18"/>
                    </w:rPr>
                  </w:pPr>
                </w:p>
              </w:tc>
              <w:tc>
                <w:tcPr>
                  <w:tcW w:w="938" w:type="pct"/>
                  <w:tcBorders>
                    <w:tl2br w:val="nil"/>
                    <w:tr2bl w:val="nil"/>
                  </w:tcBorders>
                  <w:vAlign w:val="center"/>
                </w:tcPr>
                <w:p w14:paraId="7998D5A2">
                  <w:pPr>
                    <w:widowControl/>
                    <w:rPr>
                      <w:bCs/>
                      <w:kern w:val="0"/>
                      <w:sz w:val="18"/>
                      <w:szCs w:val="18"/>
                    </w:rPr>
                  </w:pPr>
                  <w:r>
                    <w:rPr>
                      <w:rFonts w:hint="eastAsia"/>
                      <w:bCs/>
                      <w:kern w:val="0"/>
                      <w:sz w:val="18"/>
                      <w:szCs w:val="18"/>
                    </w:rPr>
                    <w:t>铅蓄电池制造</w:t>
                  </w:r>
                </w:p>
              </w:tc>
              <w:tc>
                <w:tcPr>
                  <w:tcW w:w="577" w:type="pct"/>
                  <w:vMerge w:val="continue"/>
                  <w:tcBorders>
                    <w:tl2br w:val="nil"/>
                    <w:tr2bl w:val="nil"/>
                  </w:tcBorders>
                  <w:vAlign w:val="center"/>
                </w:tcPr>
                <w:p w14:paraId="778F23A8">
                  <w:pPr>
                    <w:widowControl/>
                    <w:jc w:val="center"/>
                    <w:rPr>
                      <w:bCs/>
                      <w:kern w:val="0"/>
                      <w:sz w:val="18"/>
                      <w:szCs w:val="18"/>
                    </w:rPr>
                  </w:pPr>
                </w:p>
              </w:tc>
            </w:tr>
            <w:tr w14:paraId="65A62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61A1C258">
                  <w:pPr>
                    <w:widowControl/>
                    <w:jc w:val="center"/>
                    <w:rPr>
                      <w:bCs/>
                      <w:kern w:val="0"/>
                      <w:sz w:val="18"/>
                      <w:szCs w:val="18"/>
                    </w:rPr>
                  </w:pPr>
                </w:p>
              </w:tc>
              <w:tc>
                <w:tcPr>
                  <w:tcW w:w="242" w:type="pct"/>
                  <w:vMerge w:val="continue"/>
                  <w:tcBorders>
                    <w:tl2br w:val="nil"/>
                    <w:tr2bl w:val="nil"/>
                  </w:tcBorders>
                  <w:vAlign w:val="center"/>
                </w:tcPr>
                <w:p w14:paraId="73764BE9">
                  <w:pPr>
                    <w:widowControl/>
                    <w:jc w:val="center"/>
                    <w:rPr>
                      <w:bCs/>
                      <w:kern w:val="0"/>
                      <w:sz w:val="18"/>
                      <w:szCs w:val="18"/>
                    </w:rPr>
                  </w:pPr>
                </w:p>
              </w:tc>
              <w:tc>
                <w:tcPr>
                  <w:tcW w:w="517" w:type="pct"/>
                  <w:tcBorders>
                    <w:tl2br w:val="nil"/>
                    <w:tr2bl w:val="nil"/>
                  </w:tcBorders>
                  <w:vAlign w:val="center"/>
                </w:tcPr>
                <w:p w14:paraId="49A9D23A">
                  <w:pPr>
                    <w:widowControl/>
                    <w:jc w:val="center"/>
                    <w:rPr>
                      <w:bCs/>
                      <w:kern w:val="0"/>
                      <w:sz w:val="18"/>
                      <w:szCs w:val="18"/>
                    </w:rPr>
                  </w:pPr>
                  <w:r>
                    <w:rPr>
                      <w:rFonts w:hint="eastAsia"/>
                      <w:bCs/>
                      <w:kern w:val="0"/>
                      <w:sz w:val="18"/>
                      <w:szCs w:val="18"/>
                    </w:rPr>
                    <w:t>三十六</w:t>
                  </w:r>
                </w:p>
              </w:tc>
              <w:tc>
                <w:tcPr>
                  <w:tcW w:w="801" w:type="pct"/>
                  <w:gridSpan w:val="2"/>
                  <w:tcBorders>
                    <w:tl2br w:val="nil"/>
                    <w:tr2bl w:val="nil"/>
                  </w:tcBorders>
                  <w:vAlign w:val="center"/>
                </w:tcPr>
                <w:p w14:paraId="252D5EAC">
                  <w:pPr>
                    <w:widowControl/>
                    <w:jc w:val="center"/>
                    <w:rPr>
                      <w:bCs/>
                      <w:kern w:val="0"/>
                      <w:sz w:val="18"/>
                      <w:szCs w:val="18"/>
                    </w:rPr>
                  </w:pPr>
                  <w:r>
                    <w:rPr>
                      <w:rFonts w:hint="eastAsia"/>
                      <w:bCs/>
                      <w:kern w:val="0"/>
                      <w:sz w:val="18"/>
                      <w:szCs w:val="18"/>
                    </w:rPr>
                    <w:t>计算机、通信和其他电子设备制造业39</w:t>
                  </w:r>
                </w:p>
              </w:tc>
              <w:tc>
                <w:tcPr>
                  <w:tcW w:w="530" w:type="pct"/>
                  <w:tcBorders>
                    <w:tl2br w:val="nil"/>
                    <w:tr2bl w:val="nil"/>
                  </w:tcBorders>
                  <w:vAlign w:val="center"/>
                </w:tcPr>
                <w:p w14:paraId="1EA11FD3">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79D3A2BF">
                  <w:pPr>
                    <w:widowControl/>
                    <w:rPr>
                      <w:bCs/>
                      <w:kern w:val="0"/>
                      <w:sz w:val="18"/>
                      <w:szCs w:val="18"/>
                    </w:rPr>
                  </w:pPr>
                </w:p>
              </w:tc>
              <w:tc>
                <w:tcPr>
                  <w:tcW w:w="938" w:type="pct"/>
                  <w:tcBorders>
                    <w:tl2br w:val="nil"/>
                    <w:tr2bl w:val="nil"/>
                  </w:tcBorders>
                  <w:vAlign w:val="center"/>
                </w:tcPr>
                <w:p w14:paraId="2DA80DD4">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41503912">
                  <w:pPr>
                    <w:widowControl/>
                    <w:jc w:val="center"/>
                    <w:rPr>
                      <w:bCs/>
                      <w:kern w:val="0"/>
                      <w:sz w:val="18"/>
                      <w:szCs w:val="18"/>
                    </w:rPr>
                  </w:pPr>
                </w:p>
              </w:tc>
            </w:tr>
            <w:tr w14:paraId="2F03A4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70E84CFF">
                  <w:pPr>
                    <w:widowControl/>
                    <w:jc w:val="center"/>
                    <w:rPr>
                      <w:bCs/>
                      <w:kern w:val="0"/>
                      <w:sz w:val="18"/>
                      <w:szCs w:val="18"/>
                    </w:rPr>
                  </w:pPr>
                </w:p>
              </w:tc>
              <w:tc>
                <w:tcPr>
                  <w:tcW w:w="242" w:type="pct"/>
                  <w:vMerge w:val="continue"/>
                  <w:tcBorders>
                    <w:tl2br w:val="nil"/>
                    <w:tr2bl w:val="nil"/>
                  </w:tcBorders>
                  <w:vAlign w:val="center"/>
                </w:tcPr>
                <w:p w14:paraId="69B99CC5">
                  <w:pPr>
                    <w:widowControl/>
                    <w:jc w:val="center"/>
                    <w:rPr>
                      <w:bCs/>
                      <w:kern w:val="0"/>
                      <w:sz w:val="18"/>
                      <w:szCs w:val="18"/>
                    </w:rPr>
                  </w:pPr>
                </w:p>
              </w:tc>
              <w:tc>
                <w:tcPr>
                  <w:tcW w:w="517" w:type="pct"/>
                  <w:tcBorders>
                    <w:tl2br w:val="nil"/>
                    <w:tr2bl w:val="nil"/>
                  </w:tcBorders>
                  <w:vAlign w:val="center"/>
                </w:tcPr>
                <w:p w14:paraId="6751C861">
                  <w:pPr>
                    <w:widowControl/>
                    <w:jc w:val="center"/>
                    <w:rPr>
                      <w:bCs/>
                      <w:kern w:val="0"/>
                      <w:sz w:val="18"/>
                      <w:szCs w:val="18"/>
                    </w:rPr>
                  </w:pPr>
                  <w:r>
                    <w:rPr>
                      <w:rFonts w:hint="eastAsia"/>
                      <w:bCs/>
                      <w:kern w:val="0"/>
                      <w:sz w:val="18"/>
                      <w:szCs w:val="18"/>
                    </w:rPr>
                    <w:t>三十七</w:t>
                  </w:r>
                </w:p>
              </w:tc>
              <w:tc>
                <w:tcPr>
                  <w:tcW w:w="801" w:type="pct"/>
                  <w:gridSpan w:val="2"/>
                  <w:tcBorders>
                    <w:tl2br w:val="nil"/>
                    <w:tr2bl w:val="nil"/>
                  </w:tcBorders>
                  <w:vAlign w:val="center"/>
                </w:tcPr>
                <w:p w14:paraId="3A9BE687">
                  <w:pPr>
                    <w:widowControl/>
                    <w:jc w:val="center"/>
                    <w:rPr>
                      <w:bCs/>
                      <w:kern w:val="0"/>
                      <w:sz w:val="18"/>
                      <w:szCs w:val="18"/>
                    </w:rPr>
                  </w:pPr>
                  <w:r>
                    <w:rPr>
                      <w:rFonts w:hint="eastAsia"/>
                      <w:bCs/>
                      <w:kern w:val="0"/>
                      <w:sz w:val="18"/>
                      <w:szCs w:val="18"/>
                    </w:rPr>
                    <w:t>仪器仪表制造业40</w:t>
                  </w:r>
                </w:p>
              </w:tc>
              <w:tc>
                <w:tcPr>
                  <w:tcW w:w="530" w:type="pct"/>
                  <w:tcBorders>
                    <w:tl2br w:val="nil"/>
                    <w:tr2bl w:val="nil"/>
                  </w:tcBorders>
                  <w:vAlign w:val="center"/>
                </w:tcPr>
                <w:p w14:paraId="04AEF093">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3EE06EB5">
                  <w:pPr>
                    <w:widowControl/>
                    <w:rPr>
                      <w:bCs/>
                      <w:kern w:val="0"/>
                      <w:sz w:val="18"/>
                      <w:szCs w:val="18"/>
                    </w:rPr>
                  </w:pPr>
                </w:p>
              </w:tc>
              <w:tc>
                <w:tcPr>
                  <w:tcW w:w="938" w:type="pct"/>
                  <w:tcBorders>
                    <w:tl2br w:val="nil"/>
                    <w:tr2bl w:val="nil"/>
                  </w:tcBorders>
                  <w:vAlign w:val="center"/>
                </w:tcPr>
                <w:p w14:paraId="3229592C">
                  <w:pPr>
                    <w:widowControl/>
                    <w:rPr>
                      <w:bCs/>
                      <w:kern w:val="0"/>
                      <w:sz w:val="18"/>
                      <w:szCs w:val="18"/>
                    </w:rPr>
                  </w:pPr>
                </w:p>
              </w:tc>
              <w:tc>
                <w:tcPr>
                  <w:tcW w:w="577" w:type="pct"/>
                  <w:vMerge w:val="continue"/>
                  <w:tcBorders>
                    <w:tl2br w:val="nil"/>
                    <w:tr2bl w:val="nil"/>
                  </w:tcBorders>
                  <w:vAlign w:val="center"/>
                </w:tcPr>
                <w:p w14:paraId="15F3BE23">
                  <w:pPr>
                    <w:widowControl/>
                    <w:jc w:val="center"/>
                    <w:rPr>
                      <w:bCs/>
                      <w:kern w:val="0"/>
                      <w:sz w:val="18"/>
                      <w:szCs w:val="18"/>
                    </w:rPr>
                  </w:pPr>
                </w:p>
              </w:tc>
            </w:tr>
            <w:tr w14:paraId="48F07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0C80760D">
                  <w:pPr>
                    <w:widowControl/>
                    <w:jc w:val="center"/>
                    <w:rPr>
                      <w:bCs/>
                      <w:kern w:val="0"/>
                      <w:sz w:val="18"/>
                      <w:szCs w:val="18"/>
                    </w:rPr>
                  </w:pPr>
                </w:p>
              </w:tc>
              <w:tc>
                <w:tcPr>
                  <w:tcW w:w="242" w:type="pct"/>
                  <w:vMerge w:val="restart"/>
                  <w:tcBorders>
                    <w:tl2br w:val="nil"/>
                    <w:tr2bl w:val="nil"/>
                  </w:tcBorders>
                  <w:vAlign w:val="center"/>
                </w:tcPr>
                <w:p w14:paraId="2C783FAB">
                  <w:pPr>
                    <w:widowControl/>
                    <w:jc w:val="center"/>
                    <w:rPr>
                      <w:bCs/>
                      <w:kern w:val="0"/>
                      <w:sz w:val="18"/>
                      <w:szCs w:val="18"/>
                    </w:rPr>
                  </w:pPr>
                  <w:r>
                    <w:rPr>
                      <w:rFonts w:hint="eastAsia"/>
                      <w:bCs/>
                      <w:kern w:val="0"/>
                      <w:sz w:val="18"/>
                      <w:szCs w:val="18"/>
                    </w:rPr>
                    <w:t>限制准入类</w:t>
                  </w:r>
                </w:p>
              </w:tc>
              <w:tc>
                <w:tcPr>
                  <w:tcW w:w="517" w:type="pct"/>
                  <w:tcBorders>
                    <w:tl2br w:val="nil"/>
                    <w:tr2bl w:val="nil"/>
                  </w:tcBorders>
                  <w:vAlign w:val="center"/>
                </w:tcPr>
                <w:p w14:paraId="26FE11D6">
                  <w:pPr>
                    <w:widowControl/>
                    <w:jc w:val="center"/>
                    <w:rPr>
                      <w:bCs/>
                      <w:kern w:val="0"/>
                      <w:sz w:val="18"/>
                      <w:szCs w:val="18"/>
                    </w:rPr>
                  </w:pPr>
                  <w:r>
                    <w:rPr>
                      <w:rFonts w:hint="eastAsia"/>
                      <w:bCs/>
                      <w:kern w:val="0"/>
                      <w:sz w:val="18"/>
                      <w:szCs w:val="18"/>
                    </w:rPr>
                    <w:t>三十</w:t>
                  </w:r>
                </w:p>
              </w:tc>
              <w:tc>
                <w:tcPr>
                  <w:tcW w:w="801" w:type="pct"/>
                  <w:gridSpan w:val="2"/>
                  <w:tcBorders>
                    <w:tl2br w:val="nil"/>
                    <w:tr2bl w:val="nil"/>
                  </w:tcBorders>
                  <w:vAlign w:val="center"/>
                </w:tcPr>
                <w:p w14:paraId="515D4032">
                  <w:pPr>
                    <w:widowControl/>
                    <w:jc w:val="center"/>
                    <w:rPr>
                      <w:bCs/>
                      <w:kern w:val="0"/>
                      <w:sz w:val="18"/>
                      <w:szCs w:val="18"/>
                    </w:rPr>
                  </w:pPr>
                  <w:r>
                    <w:rPr>
                      <w:rFonts w:hint="eastAsia"/>
                      <w:bCs/>
                      <w:kern w:val="0"/>
                      <w:sz w:val="18"/>
                      <w:szCs w:val="18"/>
                    </w:rPr>
                    <w:t>金属制品业33</w:t>
                  </w:r>
                </w:p>
              </w:tc>
              <w:tc>
                <w:tcPr>
                  <w:tcW w:w="530" w:type="pct"/>
                  <w:tcBorders>
                    <w:tl2br w:val="nil"/>
                    <w:tr2bl w:val="nil"/>
                  </w:tcBorders>
                  <w:vAlign w:val="center"/>
                </w:tcPr>
                <w:p w14:paraId="6E4EB0CD">
                  <w:pPr>
                    <w:widowControl/>
                    <w:jc w:val="center"/>
                    <w:rPr>
                      <w:bCs/>
                      <w:kern w:val="0"/>
                      <w:sz w:val="18"/>
                      <w:szCs w:val="18"/>
                    </w:rPr>
                  </w:pPr>
                  <w:r>
                    <w:rPr>
                      <w:bCs/>
                      <w:kern w:val="0"/>
                      <w:sz w:val="18"/>
                      <w:szCs w:val="18"/>
                    </w:rPr>
                    <w:t>/</w:t>
                  </w:r>
                </w:p>
              </w:tc>
              <w:tc>
                <w:tcPr>
                  <w:tcW w:w="1153" w:type="pct"/>
                  <w:vMerge w:val="restart"/>
                  <w:tcBorders>
                    <w:tl2br w:val="nil"/>
                    <w:tr2bl w:val="nil"/>
                  </w:tcBorders>
                  <w:vAlign w:val="center"/>
                </w:tcPr>
                <w:p w14:paraId="2AA8E0C8">
                  <w:pPr>
                    <w:widowControl/>
                    <w:rPr>
                      <w:bCs/>
                      <w:kern w:val="0"/>
                      <w:sz w:val="18"/>
                      <w:szCs w:val="18"/>
                    </w:rPr>
                  </w:pPr>
                  <w:r>
                    <w:rPr>
                      <w:rFonts w:hint="eastAsia"/>
                      <w:bCs/>
                      <w:kern w:val="0"/>
                      <w:sz w:val="18"/>
                      <w:szCs w:val="18"/>
                    </w:rPr>
                    <w:t>1、涉及铸造工艺的；</w:t>
                  </w:r>
                </w:p>
                <w:p w14:paraId="47886C41">
                  <w:pPr>
                    <w:widowControl/>
                    <w:rPr>
                      <w:bCs/>
                      <w:kern w:val="0"/>
                      <w:sz w:val="18"/>
                      <w:szCs w:val="18"/>
                    </w:rPr>
                  </w:pPr>
                  <w:r>
                    <w:rPr>
                      <w:rFonts w:hint="eastAsia"/>
                      <w:bCs/>
                      <w:kern w:val="0"/>
                      <w:sz w:val="18"/>
                      <w:szCs w:val="18"/>
                    </w:rPr>
                    <w:t>2、涉及酸洗、磷化工艺的；</w:t>
                  </w:r>
                </w:p>
                <w:p w14:paraId="221B19E3">
                  <w:pPr>
                    <w:widowControl/>
                    <w:rPr>
                      <w:bCs/>
                      <w:kern w:val="0"/>
                      <w:sz w:val="18"/>
                      <w:szCs w:val="18"/>
                    </w:rPr>
                  </w:pPr>
                  <w:r>
                    <w:rPr>
                      <w:rFonts w:hint="eastAsia"/>
                      <w:bCs/>
                      <w:kern w:val="0"/>
                      <w:sz w:val="18"/>
                      <w:szCs w:val="18"/>
                    </w:rPr>
                    <w:t>3、涉及属GB8978中规定的第一类污染物的重金属排放的；</w:t>
                  </w:r>
                </w:p>
                <w:p w14:paraId="54A5E063">
                  <w:pPr>
                    <w:widowControl/>
                    <w:rPr>
                      <w:bCs/>
                      <w:kern w:val="0"/>
                      <w:sz w:val="18"/>
                      <w:szCs w:val="18"/>
                    </w:rPr>
                  </w:pPr>
                  <w:r>
                    <w:rPr>
                      <w:rFonts w:hint="eastAsia"/>
                      <w:bCs/>
                      <w:kern w:val="0"/>
                      <w:sz w:val="18"/>
                      <w:szCs w:val="18"/>
                    </w:rPr>
                    <w:t>4、年用溶剂型涂料(含稀释剂)10吨及以上的</w:t>
                  </w:r>
                </w:p>
              </w:tc>
              <w:tc>
                <w:tcPr>
                  <w:tcW w:w="938" w:type="pct"/>
                  <w:tcBorders>
                    <w:tl2br w:val="nil"/>
                    <w:tr2bl w:val="nil"/>
                  </w:tcBorders>
                  <w:vAlign w:val="center"/>
                </w:tcPr>
                <w:p w14:paraId="53B94C41">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5BA64764">
                  <w:pPr>
                    <w:widowControl/>
                    <w:jc w:val="center"/>
                    <w:rPr>
                      <w:bCs/>
                      <w:kern w:val="0"/>
                      <w:sz w:val="18"/>
                      <w:szCs w:val="18"/>
                    </w:rPr>
                  </w:pPr>
                </w:p>
              </w:tc>
            </w:tr>
            <w:tr w14:paraId="4D067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300E662D">
                  <w:pPr>
                    <w:widowControl/>
                    <w:jc w:val="center"/>
                    <w:rPr>
                      <w:bCs/>
                      <w:kern w:val="0"/>
                      <w:sz w:val="18"/>
                      <w:szCs w:val="18"/>
                    </w:rPr>
                  </w:pPr>
                </w:p>
              </w:tc>
              <w:tc>
                <w:tcPr>
                  <w:tcW w:w="242" w:type="pct"/>
                  <w:vMerge w:val="continue"/>
                  <w:tcBorders>
                    <w:tl2br w:val="nil"/>
                    <w:tr2bl w:val="nil"/>
                  </w:tcBorders>
                  <w:vAlign w:val="center"/>
                </w:tcPr>
                <w:p w14:paraId="629B1F1F">
                  <w:pPr>
                    <w:widowControl/>
                    <w:jc w:val="center"/>
                    <w:rPr>
                      <w:bCs/>
                      <w:kern w:val="0"/>
                      <w:sz w:val="18"/>
                      <w:szCs w:val="18"/>
                    </w:rPr>
                  </w:pPr>
                </w:p>
              </w:tc>
              <w:tc>
                <w:tcPr>
                  <w:tcW w:w="517" w:type="pct"/>
                  <w:tcBorders>
                    <w:tl2br w:val="nil"/>
                    <w:tr2bl w:val="nil"/>
                  </w:tcBorders>
                  <w:vAlign w:val="center"/>
                </w:tcPr>
                <w:p w14:paraId="0AD99A91">
                  <w:pPr>
                    <w:widowControl/>
                    <w:jc w:val="center"/>
                    <w:rPr>
                      <w:bCs/>
                      <w:kern w:val="0"/>
                      <w:sz w:val="18"/>
                      <w:szCs w:val="18"/>
                    </w:rPr>
                  </w:pPr>
                  <w:r>
                    <w:rPr>
                      <w:rFonts w:hint="eastAsia"/>
                      <w:bCs/>
                      <w:kern w:val="0"/>
                      <w:sz w:val="18"/>
                      <w:szCs w:val="18"/>
                    </w:rPr>
                    <w:t>三十一</w:t>
                  </w:r>
                </w:p>
              </w:tc>
              <w:tc>
                <w:tcPr>
                  <w:tcW w:w="801" w:type="pct"/>
                  <w:gridSpan w:val="2"/>
                  <w:tcBorders>
                    <w:tl2br w:val="nil"/>
                    <w:tr2bl w:val="nil"/>
                  </w:tcBorders>
                  <w:vAlign w:val="center"/>
                </w:tcPr>
                <w:p w14:paraId="018D54E1">
                  <w:pPr>
                    <w:widowControl/>
                    <w:jc w:val="center"/>
                    <w:rPr>
                      <w:bCs/>
                      <w:kern w:val="0"/>
                      <w:sz w:val="18"/>
                      <w:szCs w:val="18"/>
                    </w:rPr>
                  </w:pPr>
                  <w:r>
                    <w:rPr>
                      <w:rFonts w:hint="eastAsia"/>
                      <w:bCs/>
                      <w:kern w:val="0"/>
                      <w:sz w:val="18"/>
                      <w:szCs w:val="18"/>
                    </w:rPr>
                    <w:t>通用设备制造业34</w:t>
                  </w:r>
                </w:p>
              </w:tc>
              <w:tc>
                <w:tcPr>
                  <w:tcW w:w="530" w:type="pct"/>
                  <w:tcBorders>
                    <w:tl2br w:val="nil"/>
                    <w:tr2bl w:val="nil"/>
                  </w:tcBorders>
                  <w:vAlign w:val="center"/>
                </w:tcPr>
                <w:p w14:paraId="03B3DC49">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7C5DA6D0">
                  <w:pPr>
                    <w:widowControl/>
                    <w:rPr>
                      <w:bCs/>
                      <w:kern w:val="0"/>
                      <w:sz w:val="18"/>
                      <w:szCs w:val="18"/>
                    </w:rPr>
                  </w:pPr>
                </w:p>
              </w:tc>
              <w:tc>
                <w:tcPr>
                  <w:tcW w:w="938" w:type="pct"/>
                  <w:tcBorders>
                    <w:tl2br w:val="nil"/>
                    <w:tr2bl w:val="nil"/>
                  </w:tcBorders>
                  <w:vAlign w:val="center"/>
                </w:tcPr>
                <w:p w14:paraId="0AC8AD27">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47D1A540">
                  <w:pPr>
                    <w:widowControl/>
                    <w:jc w:val="center"/>
                    <w:rPr>
                      <w:bCs/>
                      <w:kern w:val="0"/>
                      <w:sz w:val="18"/>
                      <w:szCs w:val="18"/>
                    </w:rPr>
                  </w:pPr>
                </w:p>
              </w:tc>
            </w:tr>
            <w:tr w14:paraId="4715CF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08D22EE">
                  <w:pPr>
                    <w:widowControl/>
                    <w:jc w:val="center"/>
                    <w:rPr>
                      <w:bCs/>
                      <w:kern w:val="0"/>
                      <w:sz w:val="18"/>
                      <w:szCs w:val="18"/>
                    </w:rPr>
                  </w:pPr>
                </w:p>
              </w:tc>
              <w:tc>
                <w:tcPr>
                  <w:tcW w:w="242" w:type="pct"/>
                  <w:vMerge w:val="continue"/>
                  <w:tcBorders>
                    <w:tl2br w:val="nil"/>
                    <w:tr2bl w:val="nil"/>
                  </w:tcBorders>
                  <w:vAlign w:val="center"/>
                </w:tcPr>
                <w:p w14:paraId="7A305AAA">
                  <w:pPr>
                    <w:widowControl/>
                    <w:jc w:val="center"/>
                    <w:rPr>
                      <w:bCs/>
                      <w:kern w:val="0"/>
                      <w:sz w:val="18"/>
                      <w:szCs w:val="18"/>
                    </w:rPr>
                  </w:pPr>
                </w:p>
              </w:tc>
              <w:tc>
                <w:tcPr>
                  <w:tcW w:w="517" w:type="pct"/>
                  <w:tcBorders>
                    <w:tl2br w:val="nil"/>
                    <w:tr2bl w:val="nil"/>
                  </w:tcBorders>
                  <w:vAlign w:val="center"/>
                </w:tcPr>
                <w:p w14:paraId="1FBF0CD7">
                  <w:pPr>
                    <w:widowControl/>
                    <w:jc w:val="center"/>
                    <w:rPr>
                      <w:bCs/>
                      <w:kern w:val="0"/>
                      <w:sz w:val="18"/>
                      <w:szCs w:val="18"/>
                    </w:rPr>
                  </w:pPr>
                  <w:r>
                    <w:rPr>
                      <w:rFonts w:hint="eastAsia"/>
                      <w:bCs/>
                      <w:kern w:val="0"/>
                      <w:sz w:val="18"/>
                      <w:szCs w:val="18"/>
                    </w:rPr>
                    <w:t>三十二</w:t>
                  </w:r>
                </w:p>
              </w:tc>
              <w:tc>
                <w:tcPr>
                  <w:tcW w:w="801" w:type="pct"/>
                  <w:gridSpan w:val="2"/>
                  <w:tcBorders>
                    <w:tl2br w:val="nil"/>
                    <w:tr2bl w:val="nil"/>
                  </w:tcBorders>
                  <w:vAlign w:val="center"/>
                </w:tcPr>
                <w:p w14:paraId="5D7376AD">
                  <w:pPr>
                    <w:widowControl/>
                    <w:jc w:val="center"/>
                    <w:rPr>
                      <w:bCs/>
                      <w:kern w:val="0"/>
                      <w:sz w:val="18"/>
                      <w:szCs w:val="18"/>
                    </w:rPr>
                  </w:pPr>
                  <w:r>
                    <w:rPr>
                      <w:rFonts w:hint="eastAsia"/>
                      <w:bCs/>
                      <w:kern w:val="0"/>
                      <w:sz w:val="18"/>
                      <w:szCs w:val="18"/>
                    </w:rPr>
                    <w:t>专用设备制造业35</w:t>
                  </w:r>
                </w:p>
              </w:tc>
              <w:tc>
                <w:tcPr>
                  <w:tcW w:w="530" w:type="pct"/>
                  <w:tcBorders>
                    <w:tl2br w:val="nil"/>
                    <w:tr2bl w:val="nil"/>
                  </w:tcBorders>
                  <w:vAlign w:val="center"/>
                </w:tcPr>
                <w:p w14:paraId="4AFC3734">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672EBE3E">
                  <w:pPr>
                    <w:widowControl/>
                    <w:jc w:val="center"/>
                    <w:rPr>
                      <w:bCs/>
                      <w:kern w:val="0"/>
                      <w:sz w:val="18"/>
                      <w:szCs w:val="18"/>
                    </w:rPr>
                  </w:pPr>
                </w:p>
              </w:tc>
              <w:tc>
                <w:tcPr>
                  <w:tcW w:w="938" w:type="pct"/>
                  <w:tcBorders>
                    <w:tl2br w:val="nil"/>
                    <w:tr2bl w:val="nil"/>
                  </w:tcBorders>
                  <w:vAlign w:val="center"/>
                </w:tcPr>
                <w:p w14:paraId="1B29BA0F">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30DE6376">
                  <w:pPr>
                    <w:widowControl/>
                    <w:jc w:val="center"/>
                    <w:rPr>
                      <w:bCs/>
                      <w:kern w:val="0"/>
                      <w:sz w:val="18"/>
                      <w:szCs w:val="18"/>
                    </w:rPr>
                  </w:pPr>
                </w:p>
              </w:tc>
            </w:tr>
            <w:tr w14:paraId="4E7B5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01165E25">
                  <w:pPr>
                    <w:widowControl/>
                    <w:jc w:val="center"/>
                    <w:rPr>
                      <w:bCs/>
                      <w:kern w:val="0"/>
                      <w:sz w:val="18"/>
                      <w:szCs w:val="18"/>
                    </w:rPr>
                  </w:pPr>
                </w:p>
              </w:tc>
              <w:tc>
                <w:tcPr>
                  <w:tcW w:w="242" w:type="pct"/>
                  <w:vMerge w:val="continue"/>
                  <w:tcBorders>
                    <w:tl2br w:val="nil"/>
                    <w:tr2bl w:val="nil"/>
                  </w:tcBorders>
                  <w:vAlign w:val="center"/>
                </w:tcPr>
                <w:p w14:paraId="3068EB6F">
                  <w:pPr>
                    <w:widowControl/>
                    <w:jc w:val="center"/>
                    <w:rPr>
                      <w:bCs/>
                      <w:kern w:val="0"/>
                      <w:sz w:val="18"/>
                      <w:szCs w:val="18"/>
                    </w:rPr>
                  </w:pPr>
                </w:p>
              </w:tc>
              <w:tc>
                <w:tcPr>
                  <w:tcW w:w="517" w:type="pct"/>
                  <w:tcBorders>
                    <w:tl2br w:val="nil"/>
                    <w:tr2bl w:val="nil"/>
                  </w:tcBorders>
                  <w:vAlign w:val="center"/>
                </w:tcPr>
                <w:p w14:paraId="3A4C29B8">
                  <w:pPr>
                    <w:widowControl/>
                    <w:jc w:val="center"/>
                    <w:rPr>
                      <w:bCs/>
                      <w:kern w:val="0"/>
                      <w:sz w:val="18"/>
                      <w:szCs w:val="18"/>
                    </w:rPr>
                  </w:pPr>
                  <w:r>
                    <w:rPr>
                      <w:rFonts w:hint="eastAsia"/>
                      <w:bCs/>
                      <w:kern w:val="0"/>
                      <w:sz w:val="18"/>
                      <w:szCs w:val="18"/>
                    </w:rPr>
                    <w:t>三十五</w:t>
                  </w:r>
                </w:p>
              </w:tc>
              <w:tc>
                <w:tcPr>
                  <w:tcW w:w="801" w:type="pct"/>
                  <w:gridSpan w:val="2"/>
                  <w:tcBorders>
                    <w:tl2br w:val="nil"/>
                    <w:tr2bl w:val="nil"/>
                  </w:tcBorders>
                  <w:vAlign w:val="center"/>
                </w:tcPr>
                <w:p w14:paraId="20CF45EF">
                  <w:pPr>
                    <w:widowControl/>
                    <w:jc w:val="center"/>
                    <w:rPr>
                      <w:bCs/>
                      <w:kern w:val="0"/>
                      <w:sz w:val="18"/>
                      <w:szCs w:val="18"/>
                    </w:rPr>
                  </w:pPr>
                  <w:r>
                    <w:rPr>
                      <w:rFonts w:hint="eastAsia"/>
                      <w:bCs/>
                      <w:kern w:val="0"/>
                      <w:sz w:val="18"/>
                      <w:szCs w:val="18"/>
                    </w:rPr>
                    <w:t>电气机械和器材制造业38</w:t>
                  </w:r>
                </w:p>
              </w:tc>
              <w:tc>
                <w:tcPr>
                  <w:tcW w:w="530" w:type="pct"/>
                  <w:tcBorders>
                    <w:tl2br w:val="nil"/>
                    <w:tr2bl w:val="nil"/>
                  </w:tcBorders>
                  <w:vAlign w:val="center"/>
                </w:tcPr>
                <w:p w14:paraId="13920044">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75BBA5DC">
                  <w:pPr>
                    <w:widowControl/>
                    <w:rPr>
                      <w:bCs/>
                      <w:kern w:val="0"/>
                      <w:sz w:val="18"/>
                      <w:szCs w:val="18"/>
                    </w:rPr>
                  </w:pPr>
                </w:p>
              </w:tc>
              <w:tc>
                <w:tcPr>
                  <w:tcW w:w="938" w:type="pct"/>
                  <w:tcBorders>
                    <w:tl2br w:val="nil"/>
                    <w:tr2bl w:val="nil"/>
                  </w:tcBorders>
                  <w:vAlign w:val="center"/>
                </w:tcPr>
                <w:p w14:paraId="02ABDEFC">
                  <w:pPr>
                    <w:widowControl/>
                    <w:jc w:val="center"/>
                    <w:rPr>
                      <w:sz w:val="18"/>
                      <w:szCs w:val="18"/>
                    </w:rPr>
                  </w:pPr>
                  <w:r>
                    <w:rPr>
                      <w:sz w:val="18"/>
                      <w:szCs w:val="18"/>
                    </w:rPr>
                    <w:t>/</w:t>
                  </w:r>
                </w:p>
              </w:tc>
              <w:tc>
                <w:tcPr>
                  <w:tcW w:w="577" w:type="pct"/>
                  <w:vMerge w:val="continue"/>
                  <w:tcBorders>
                    <w:tl2br w:val="nil"/>
                    <w:tr2bl w:val="nil"/>
                  </w:tcBorders>
                  <w:vAlign w:val="center"/>
                </w:tcPr>
                <w:p w14:paraId="081CD30F">
                  <w:pPr>
                    <w:widowControl/>
                    <w:jc w:val="center"/>
                    <w:rPr>
                      <w:bCs/>
                      <w:kern w:val="0"/>
                      <w:sz w:val="18"/>
                      <w:szCs w:val="18"/>
                    </w:rPr>
                  </w:pPr>
                </w:p>
              </w:tc>
            </w:tr>
            <w:tr w14:paraId="1DA92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695BAB5E">
                  <w:pPr>
                    <w:widowControl/>
                    <w:jc w:val="center"/>
                    <w:rPr>
                      <w:bCs/>
                      <w:kern w:val="0"/>
                      <w:sz w:val="18"/>
                      <w:szCs w:val="18"/>
                    </w:rPr>
                  </w:pPr>
                </w:p>
              </w:tc>
              <w:tc>
                <w:tcPr>
                  <w:tcW w:w="242" w:type="pct"/>
                  <w:vMerge w:val="continue"/>
                  <w:tcBorders>
                    <w:tl2br w:val="nil"/>
                    <w:tr2bl w:val="nil"/>
                  </w:tcBorders>
                  <w:vAlign w:val="center"/>
                </w:tcPr>
                <w:p w14:paraId="22A4AB3C">
                  <w:pPr>
                    <w:widowControl/>
                    <w:jc w:val="center"/>
                    <w:rPr>
                      <w:bCs/>
                      <w:kern w:val="0"/>
                      <w:sz w:val="18"/>
                      <w:szCs w:val="18"/>
                    </w:rPr>
                  </w:pPr>
                </w:p>
              </w:tc>
              <w:tc>
                <w:tcPr>
                  <w:tcW w:w="517" w:type="pct"/>
                  <w:tcBorders>
                    <w:tl2br w:val="nil"/>
                    <w:tr2bl w:val="nil"/>
                  </w:tcBorders>
                  <w:vAlign w:val="center"/>
                </w:tcPr>
                <w:p w14:paraId="472FFB4A">
                  <w:pPr>
                    <w:widowControl/>
                    <w:jc w:val="center"/>
                    <w:rPr>
                      <w:bCs/>
                      <w:kern w:val="0"/>
                      <w:sz w:val="18"/>
                      <w:szCs w:val="18"/>
                    </w:rPr>
                  </w:pPr>
                  <w:r>
                    <w:rPr>
                      <w:rFonts w:hint="eastAsia"/>
                      <w:bCs/>
                      <w:kern w:val="0"/>
                      <w:sz w:val="18"/>
                      <w:szCs w:val="18"/>
                    </w:rPr>
                    <w:t>三十六</w:t>
                  </w:r>
                </w:p>
              </w:tc>
              <w:tc>
                <w:tcPr>
                  <w:tcW w:w="801" w:type="pct"/>
                  <w:gridSpan w:val="2"/>
                  <w:tcBorders>
                    <w:tl2br w:val="nil"/>
                    <w:tr2bl w:val="nil"/>
                  </w:tcBorders>
                  <w:vAlign w:val="center"/>
                </w:tcPr>
                <w:p w14:paraId="69DB6FD3">
                  <w:pPr>
                    <w:widowControl/>
                    <w:jc w:val="center"/>
                    <w:rPr>
                      <w:bCs/>
                      <w:kern w:val="0"/>
                      <w:sz w:val="18"/>
                      <w:szCs w:val="18"/>
                    </w:rPr>
                  </w:pPr>
                  <w:r>
                    <w:rPr>
                      <w:rFonts w:hint="eastAsia"/>
                      <w:bCs/>
                      <w:kern w:val="0"/>
                      <w:sz w:val="18"/>
                      <w:szCs w:val="18"/>
                    </w:rPr>
                    <w:t>计算机、通信和其他电子设备制造业39</w:t>
                  </w:r>
                </w:p>
              </w:tc>
              <w:tc>
                <w:tcPr>
                  <w:tcW w:w="530" w:type="pct"/>
                  <w:tcBorders>
                    <w:tl2br w:val="nil"/>
                    <w:tr2bl w:val="nil"/>
                  </w:tcBorders>
                  <w:vAlign w:val="center"/>
                </w:tcPr>
                <w:p w14:paraId="0D2BBF16">
                  <w:pPr>
                    <w:rPr>
                      <w:bCs/>
                      <w:kern w:val="0"/>
                      <w:sz w:val="18"/>
                      <w:szCs w:val="18"/>
                    </w:rPr>
                  </w:pPr>
                  <w:r>
                    <w:rPr>
                      <w:rFonts w:hint="eastAsia"/>
                      <w:sz w:val="18"/>
                      <w:szCs w:val="18"/>
                    </w:rPr>
                    <w:t>电子元件及电子专用材料制造398(半导体材料制造；电子化工材料制造)</w:t>
                  </w:r>
                </w:p>
              </w:tc>
              <w:tc>
                <w:tcPr>
                  <w:tcW w:w="1153" w:type="pct"/>
                  <w:vMerge w:val="continue"/>
                  <w:tcBorders>
                    <w:tl2br w:val="nil"/>
                    <w:tr2bl w:val="nil"/>
                  </w:tcBorders>
                  <w:vAlign w:val="center"/>
                </w:tcPr>
                <w:p w14:paraId="59CD2AAF">
                  <w:pPr>
                    <w:widowControl/>
                    <w:rPr>
                      <w:bCs/>
                      <w:kern w:val="0"/>
                      <w:sz w:val="18"/>
                      <w:szCs w:val="18"/>
                    </w:rPr>
                  </w:pPr>
                </w:p>
              </w:tc>
              <w:tc>
                <w:tcPr>
                  <w:tcW w:w="938" w:type="pct"/>
                  <w:tcBorders>
                    <w:tl2br w:val="nil"/>
                    <w:tr2bl w:val="nil"/>
                  </w:tcBorders>
                  <w:vAlign w:val="center"/>
                </w:tcPr>
                <w:p w14:paraId="3791BC8A">
                  <w:pPr>
                    <w:widowControl/>
                    <w:rPr>
                      <w:bCs/>
                      <w:kern w:val="0"/>
                      <w:sz w:val="18"/>
                      <w:szCs w:val="18"/>
                    </w:rPr>
                  </w:pPr>
                  <w:r>
                    <w:rPr>
                      <w:rFonts w:hint="eastAsia"/>
                      <w:sz w:val="18"/>
                      <w:szCs w:val="18"/>
                    </w:rPr>
                    <w:t>激光视盘机生产线(VCD系列整机产品)</w:t>
                  </w:r>
                </w:p>
              </w:tc>
              <w:tc>
                <w:tcPr>
                  <w:tcW w:w="577" w:type="pct"/>
                  <w:vMerge w:val="continue"/>
                  <w:tcBorders>
                    <w:tl2br w:val="nil"/>
                    <w:tr2bl w:val="nil"/>
                  </w:tcBorders>
                  <w:vAlign w:val="center"/>
                </w:tcPr>
                <w:p w14:paraId="2E2E16F4">
                  <w:pPr>
                    <w:widowControl/>
                    <w:jc w:val="center"/>
                    <w:rPr>
                      <w:bCs/>
                      <w:kern w:val="0"/>
                      <w:sz w:val="18"/>
                      <w:szCs w:val="18"/>
                    </w:rPr>
                  </w:pPr>
                </w:p>
              </w:tc>
            </w:tr>
            <w:tr w14:paraId="20442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F0CCF3D">
                  <w:pPr>
                    <w:widowControl/>
                    <w:jc w:val="center"/>
                    <w:rPr>
                      <w:bCs/>
                      <w:kern w:val="0"/>
                      <w:sz w:val="18"/>
                      <w:szCs w:val="18"/>
                    </w:rPr>
                  </w:pPr>
                </w:p>
              </w:tc>
              <w:tc>
                <w:tcPr>
                  <w:tcW w:w="242" w:type="pct"/>
                  <w:vMerge w:val="continue"/>
                  <w:tcBorders>
                    <w:tl2br w:val="nil"/>
                    <w:tr2bl w:val="nil"/>
                  </w:tcBorders>
                  <w:vAlign w:val="center"/>
                </w:tcPr>
                <w:p w14:paraId="35852D89">
                  <w:pPr>
                    <w:widowControl/>
                    <w:jc w:val="center"/>
                    <w:rPr>
                      <w:bCs/>
                      <w:kern w:val="0"/>
                      <w:sz w:val="18"/>
                      <w:szCs w:val="18"/>
                    </w:rPr>
                  </w:pPr>
                </w:p>
              </w:tc>
              <w:tc>
                <w:tcPr>
                  <w:tcW w:w="517" w:type="pct"/>
                  <w:tcBorders>
                    <w:tl2br w:val="nil"/>
                    <w:tr2bl w:val="nil"/>
                  </w:tcBorders>
                  <w:vAlign w:val="center"/>
                </w:tcPr>
                <w:p w14:paraId="36276354">
                  <w:pPr>
                    <w:widowControl/>
                    <w:jc w:val="center"/>
                    <w:rPr>
                      <w:bCs/>
                      <w:kern w:val="0"/>
                      <w:sz w:val="18"/>
                      <w:szCs w:val="18"/>
                    </w:rPr>
                  </w:pPr>
                  <w:r>
                    <w:rPr>
                      <w:rFonts w:hint="eastAsia"/>
                      <w:bCs/>
                      <w:kern w:val="0"/>
                      <w:sz w:val="18"/>
                      <w:szCs w:val="18"/>
                    </w:rPr>
                    <w:t>三十七</w:t>
                  </w:r>
                </w:p>
              </w:tc>
              <w:tc>
                <w:tcPr>
                  <w:tcW w:w="801" w:type="pct"/>
                  <w:gridSpan w:val="2"/>
                  <w:tcBorders>
                    <w:tl2br w:val="nil"/>
                    <w:tr2bl w:val="nil"/>
                  </w:tcBorders>
                  <w:vAlign w:val="center"/>
                </w:tcPr>
                <w:p w14:paraId="39620A89">
                  <w:pPr>
                    <w:widowControl/>
                    <w:jc w:val="center"/>
                    <w:rPr>
                      <w:bCs/>
                      <w:kern w:val="0"/>
                      <w:sz w:val="18"/>
                      <w:szCs w:val="18"/>
                    </w:rPr>
                  </w:pPr>
                  <w:r>
                    <w:rPr>
                      <w:rFonts w:hint="eastAsia"/>
                      <w:bCs/>
                      <w:kern w:val="0"/>
                      <w:sz w:val="18"/>
                      <w:szCs w:val="18"/>
                    </w:rPr>
                    <w:t>仪器仪表制造业40</w:t>
                  </w:r>
                </w:p>
              </w:tc>
              <w:tc>
                <w:tcPr>
                  <w:tcW w:w="530" w:type="pct"/>
                  <w:tcBorders>
                    <w:tl2br w:val="nil"/>
                    <w:tr2bl w:val="nil"/>
                  </w:tcBorders>
                  <w:vAlign w:val="center"/>
                </w:tcPr>
                <w:p w14:paraId="69892924">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6B5F93AD">
                  <w:pPr>
                    <w:widowControl/>
                    <w:rPr>
                      <w:bCs/>
                      <w:kern w:val="0"/>
                      <w:sz w:val="18"/>
                      <w:szCs w:val="18"/>
                    </w:rPr>
                  </w:pPr>
                </w:p>
              </w:tc>
              <w:tc>
                <w:tcPr>
                  <w:tcW w:w="938" w:type="pct"/>
                  <w:tcBorders>
                    <w:tl2br w:val="nil"/>
                    <w:tr2bl w:val="nil"/>
                  </w:tcBorders>
                  <w:vAlign w:val="center"/>
                </w:tcPr>
                <w:p w14:paraId="2A017E97">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2A7CF998">
                  <w:pPr>
                    <w:widowControl/>
                    <w:jc w:val="center"/>
                    <w:rPr>
                      <w:bCs/>
                      <w:kern w:val="0"/>
                      <w:sz w:val="18"/>
                      <w:szCs w:val="18"/>
                    </w:rPr>
                  </w:pPr>
                </w:p>
              </w:tc>
            </w:tr>
            <w:tr w14:paraId="537A9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restart"/>
                  <w:tcBorders>
                    <w:tl2br w:val="nil"/>
                    <w:tr2bl w:val="nil"/>
                  </w:tcBorders>
                  <w:vAlign w:val="center"/>
                </w:tcPr>
                <w:p w14:paraId="352CA3FB">
                  <w:pPr>
                    <w:widowControl/>
                    <w:jc w:val="center"/>
                    <w:rPr>
                      <w:bCs/>
                      <w:kern w:val="0"/>
                      <w:sz w:val="18"/>
                      <w:szCs w:val="18"/>
                    </w:rPr>
                  </w:pPr>
                  <w:r>
                    <w:rPr>
                      <w:rFonts w:hint="eastAsia"/>
                      <w:bCs/>
                      <w:kern w:val="0"/>
                      <w:sz w:val="18"/>
                      <w:szCs w:val="18"/>
                    </w:rPr>
                    <w:t>非主导产业</w:t>
                  </w:r>
                </w:p>
              </w:tc>
              <w:tc>
                <w:tcPr>
                  <w:tcW w:w="242" w:type="pct"/>
                  <w:vMerge w:val="restart"/>
                  <w:tcBorders>
                    <w:tl2br w:val="nil"/>
                    <w:tr2bl w:val="nil"/>
                  </w:tcBorders>
                  <w:vAlign w:val="center"/>
                </w:tcPr>
                <w:p w14:paraId="1DC353DD">
                  <w:pPr>
                    <w:widowControl/>
                    <w:jc w:val="center"/>
                    <w:rPr>
                      <w:bCs/>
                      <w:kern w:val="0"/>
                      <w:sz w:val="18"/>
                      <w:szCs w:val="18"/>
                    </w:rPr>
                  </w:pPr>
                  <w:r>
                    <w:rPr>
                      <w:rFonts w:hint="eastAsia"/>
                      <w:bCs/>
                      <w:kern w:val="0"/>
                      <w:sz w:val="18"/>
                      <w:szCs w:val="18"/>
                    </w:rPr>
                    <w:t>禁止准入类</w:t>
                  </w:r>
                </w:p>
              </w:tc>
              <w:tc>
                <w:tcPr>
                  <w:tcW w:w="517" w:type="pct"/>
                  <w:tcBorders>
                    <w:tl2br w:val="nil"/>
                    <w:tr2bl w:val="nil"/>
                  </w:tcBorders>
                  <w:vAlign w:val="center"/>
                </w:tcPr>
                <w:p w14:paraId="6A11DFEB">
                  <w:pPr>
                    <w:widowControl/>
                    <w:jc w:val="center"/>
                    <w:rPr>
                      <w:bCs/>
                      <w:kern w:val="0"/>
                      <w:sz w:val="18"/>
                      <w:szCs w:val="18"/>
                    </w:rPr>
                  </w:pPr>
                  <w:r>
                    <w:rPr>
                      <w:rFonts w:hint="eastAsia"/>
                      <w:bCs/>
                      <w:kern w:val="0"/>
                      <w:sz w:val="18"/>
                      <w:szCs w:val="18"/>
                    </w:rPr>
                    <w:t>十</w:t>
                  </w:r>
                </w:p>
              </w:tc>
              <w:tc>
                <w:tcPr>
                  <w:tcW w:w="801" w:type="pct"/>
                  <w:gridSpan w:val="2"/>
                  <w:tcBorders>
                    <w:tl2br w:val="nil"/>
                    <w:tr2bl w:val="nil"/>
                  </w:tcBorders>
                  <w:vAlign w:val="center"/>
                </w:tcPr>
                <w:p w14:paraId="651CA8D1">
                  <w:pPr>
                    <w:widowControl/>
                    <w:jc w:val="center"/>
                    <w:rPr>
                      <w:bCs/>
                      <w:kern w:val="0"/>
                      <w:sz w:val="18"/>
                      <w:szCs w:val="18"/>
                    </w:rPr>
                  </w:pPr>
                  <w:r>
                    <w:rPr>
                      <w:rFonts w:hint="eastAsia"/>
                      <w:bCs/>
                      <w:kern w:val="0"/>
                      <w:sz w:val="18"/>
                      <w:szCs w:val="18"/>
                    </w:rPr>
                    <w:t>农副食品加工业13</w:t>
                  </w:r>
                </w:p>
              </w:tc>
              <w:tc>
                <w:tcPr>
                  <w:tcW w:w="2621" w:type="pct"/>
                  <w:gridSpan w:val="3"/>
                  <w:tcBorders>
                    <w:tl2br w:val="nil"/>
                    <w:tr2bl w:val="nil"/>
                  </w:tcBorders>
                  <w:vAlign w:val="center"/>
                </w:tcPr>
                <w:p w14:paraId="12C0F840">
                  <w:pPr>
                    <w:widowControl/>
                    <w:jc w:val="center"/>
                    <w:rPr>
                      <w:bCs/>
                      <w:kern w:val="0"/>
                      <w:sz w:val="18"/>
                      <w:szCs w:val="18"/>
                    </w:rPr>
                  </w:pPr>
                  <w:r>
                    <w:rPr>
                      <w:rFonts w:hint="eastAsia"/>
                      <w:bCs/>
                      <w:kern w:val="0"/>
                      <w:sz w:val="18"/>
                      <w:szCs w:val="18"/>
                    </w:rPr>
                    <w:t>全部</w:t>
                  </w:r>
                </w:p>
              </w:tc>
              <w:tc>
                <w:tcPr>
                  <w:tcW w:w="577" w:type="pct"/>
                  <w:vMerge w:val="continue"/>
                  <w:tcBorders>
                    <w:tl2br w:val="nil"/>
                    <w:tr2bl w:val="nil"/>
                  </w:tcBorders>
                  <w:vAlign w:val="center"/>
                </w:tcPr>
                <w:p w14:paraId="35373C6E">
                  <w:pPr>
                    <w:widowControl/>
                    <w:rPr>
                      <w:bCs/>
                      <w:kern w:val="0"/>
                      <w:sz w:val="18"/>
                      <w:szCs w:val="18"/>
                    </w:rPr>
                  </w:pPr>
                </w:p>
              </w:tc>
            </w:tr>
            <w:tr w14:paraId="465C1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DA306A5">
                  <w:pPr>
                    <w:widowControl/>
                    <w:jc w:val="center"/>
                    <w:rPr>
                      <w:bCs/>
                      <w:kern w:val="0"/>
                      <w:sz w:val="18"/>
                      <w:szCs w:val="18"/>
                    </w:rPr>
                  </w:pPr>
                </w:p>
              </w:tc>
              <w:tc>
                <w:tcPr>
                  <w:tcW w:w="242" w:type="pct"/>
                  <w:vMerge w:val="continue"/>
                  <w:tcBorders>
                    <w:tl2br w:val="nil"/>
                    <w:tr2bl w:val="nil"/>
                  </w:tcBorders>
                  <w:vAlign w:val="center"/>
                </w:tcPr>
                <w:p w14:paraId="691939EE">
                  <w:pPr>
                    <w:widowControl/>
                    <w:jc w:val="center"/>
                    <w:rPr>
                      <w:bCs/>
                      <w:kern w:val="0"/>
                      <w:sz w:val="18"/>
                      <w:szCs w:val="18"/>
                    </w:rPr>
                  </w:pPr>
                </w:p>
              </w:tc>
              <w:tc>
                <w:tcPr>
                  <w:tcW w:w="517" w:type="pct"/>
                  <w:tcBorders>
                    <w:tl2br w:val="nil"/>
                    <w:tr2bl w:val="nil"/>
                  </w:tcBorders>
                  <w:vAlign w:val="center"/>
                </w:tcPr>
                <w:p w14:paraId="5ACB5B68">
                  <w:pPr>
                    <w:widowControl/>
                    <w:jc w:val="center"/>
                    <w:rPr>
                      <w:bCs/>
                      <w:kern w:val="0"/>
                      <w:sz w:val="18"/>
                      <w:szCs w:val="18"/>
                    </w:rPr>
                  </w:pPr>
                  <w:r>
                    <w:rPr>
                      <w:rFonts w:hint="eastAsia"/>
                      <w:bCs/>
                      <w:kern w:val="0"/>
                      <w:sz w:val="18"/>
                      <w:szCs w:val="18"/>
                    </w:rPr>
                    <w:t>十一</w:t>
                  </w:r>
                </w:p>
              </w:tc>
              <w:tc>
                <w:tcPr>
                  <w:tcW w:w="801" w:type="pct"/>
                  <w:gridSpan w:val="2"/>
                  <w:tcBorders>
                    <w:tl2br w:val="nil"/>
                    <w:tr2bl w:val="nil"/>
                  </w:tcBorders>
                  <w:vAlign w:val="center"/>
                </w:tcPr>
                <w:p w14:paraId="25F4028B">
                  <w:pPr>
                    <w:widowControl/>
                    <w:jc w:val="center"/>
                    <w:rPr>
                      <w:bCs/>
                      <w:kern w:val="0"/>
                      <w:sz w:val="18"/>
                      <w:szCs w:val="18"/>
                    </w:rPr>
                  </w:pPr>
                  <w:r>
                    <w:rPr>
                      <w:rFonts w:hint="eastAsia"/>
                      <w:bCs/>
                      <w:kern w:val="0"/>
                      <w:sz w:val="18"/>
                      <w:szCs w:val="18"/>
                    </w:rPr>
                    <w:t>食品制造业14</w:t>
                  </w:r>
                </w:p>
              </w:tc>
              <w:tc>
                <w:tcPr>
                  <w:tcW w:w="530" w:type="pct"/>
                  <w:tcBorders>
                    <w:tl2br w:val="nil"/>
                    <w:tr2bl w:val="nil"/>
                  </w:tcBorders>
                  <w:vAlign w:val="center"/>
                </w:tcPr>
                <w:p w14:paraId="66484E00">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45439985">
                  <w:pPr>
                    <w:widowControl/>
                    <w:rPr>
                      <w:bCs/>
                      <w:kern w:val="0"/>
                      <w:sz w:val="18"/>
                      <w:szCs w:val="18"/>
                    </w:rPr>
                  </w:pPr>
                  <w:r>
                    <w:rPr>
                      <w:rFonts w:hint="eastAsia"/>
                      <w:bCs/>
                      <w:kern w:val="0"/>
                      <w:sz w:val="18"/>
                      <w:szCs w:val="18"/>
                    </w:rPr>
                    <w:t>有发酵工艺的</w:t>
                  </w:r>
                </w:p>
              </w:tc>
              <w:tc>
                <w:tcPr>
                  <w:tcW w:w="938" w:type="pct"/>
                  <w:tcBorders>
                    <w:tl2br w:val="nil"/>
                    <w:tr2bl w:val="nil"/>
                  </w:tcBorders>
                  <w:vAlign w:val="center"/>
                </w:tcPr>
                <w:p w14:paraId="63962145">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5D4D91F8">
                  <w:pPr>
                    <w:widowControl/>
                    <w:rPr>
                      <w:bCs/>
                      <w:kern w:val="0"/>
                      <w:sz w:val="18"/>
                      <w:szCs w:val="18"/>
                    </w:rPr>
                  </w:pPr>
                </w:p>
              </w:tc>
            </w:tr>
            <w:tr w14:paraId="2E7CF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F626505">
                  <w:pPr>
                    <w:widowControl/>
                    <w:jc w:val="center"/>
                    <w:rPr>
                      <w:bCs/>
                      <w:kern w:val="0"/>
                      <w:sz w:val="18"/>
                      <w:szCs w:val="18"/>
                    </w:rPr>
                  </w:pPr>
                </w:p>
              </w:tc>
              <w:tc>
                <w:tcPr>
                  <w:tcW w:w="242" w:type="pct"/>
                  <w:vMerge w:val="continue"/>
                  <w:tcBorders>
                    <w:tl2br w:val="nil"/>
                    <w:tr2bl w:val="nil"/>
                  </w:tcBorders>
                  <w:vAlign w:val="center"/>
                </w:tcPr>
                <w:p w14:paraId="6B88DE16">
                  <w:pPr>
                    <w:widowControl/>
                    <w:jc w:val="center"/>
                    <w:rPr>
                      <w:bCs/>
                      <w:kern w:val="0"/>
                      <w:sz w:val="18"/>
                      <w:szCs w:val="18"/>
                    </w:rPr>
                  </w:pPr>
                </w:p>
              </w:tc>
              <w:tc>
                <w:tcPr>
                  <w:tcW w:w="517" w:type="pct"/>
                  <w:tcBorders>
                    <w:tl2br w:val="nil"/>
                    <w:tr2bl w:val="nil"/>
                  </w:tcBorders>
                  <w:vAlign w:val="center"/>
                </w:tcPr>
                <w:p w14:paraId="7CFBBACF">
                  <w:pPr>
                    <w:widowControl/>
                    <w:jc w:val="center"/>
                    <w:rPr>
                      <w:bCs/>
                      <w:kern w:val="0"/>
                      <w:sz w:val="18"/>
                      <w:szCs w:val="18"/>
                    </w:rPr>
                  </w:pPr>
                  <w:r>
                    <w:rPr>
                      <w:rFonts w:hint="eastAsia"/>
                      <w:bCs/>
                      <w:kern w:val="0"/>
                      <w:sz w:val="18"/>
                      <w:szCs w:val="18"/>
                    </w:rPr>
                    <w:t>十二</w:t>
                  </w:r>
                </w:p>
              </w:tc>
              <w:tc>
                <w:tcPr>
                  <w:tcW w:w="801" w:type="pct"/>
                  <w:gridSpan w:val="2"/>
                  <w:tcBorders>
                    <w:tl2br w:val="nil"/>
                    <w:tr2bl w:val="nil"/>
                  </w:tcBorders>
                  <w:vAlign w:val="center"/>
                </w:tcPr>
                <w:p w14:paraId="55CA9B68">
                  <w:pPr>
                    <w:widowControl/>
                    <w:jc w:val="center"/>
                    <w:rPr>
                      <w:bCs/>
                      <w:kern w:val="0"/>
                      <w:sz w:val="18"/>
                      <w:szCs w:val="18"/>
                    </w:rPr>
                  </w:pPr>
                  <w:r>
                    <w:rPr>
                      <w:rFonts w:hint="eastAsia"/>
                      <w:bCs/>
                      <w:kern w:val="0"/>
                      <w:sz w:val="18"/>
                      <w:szCs w:val="18"/>
                    </w:rPr>
                    <w:t>酒、饮料制造业15</w:t>
                  </w:r>
                </w:p>
              </w:tc>
              <w:tc>
                <w:tcPr>
                  <w:tcW w:w="530" w:type="pct"/>
                  <w:tcBorders>
                    <w:tl2br w:val="nil"/>
                    <w:tr2bl w:val="nil"/>
                  </w:tcBorders>
                  <w:vAlign w:val="center"/>
                </w:tcPr>
                <w:p w14:paraId="1A4D94F0">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0FC3675E">
                  <w:pPr>
                    <w:widowControl/>
                    <w:rPr>
                      <w:bCs/>
                      <w:kern w:val="0"/>
                      <w:sz w:val="18"/>
                      <w:szCs w:val="18"/>
                    </w:rPr>
                  </w:pPr>
                  <w:r>
                    <w:rPr>
                      <w:rFonts w:hint="eastAsia"/>
                      <w:bCs/>
                      <w:kern w:val="0"/>
                      <w:sz w:val="18"/>
                      <w:szCs w:val="18"/>
                    </w:rPr>
                    <w:t>有发酵工艺的</w:t>
                  </w:r>
                </w:p>
              </w:tc>
              <w:tc>
                <w:tcPr>
                  <w:tcW w:w="938" w:type="pct"/>
                  <w:tcBorders>
                    <w:tl2br w:val="nil"/>
                    <w:tr2bl w:val="nil"/>
                  </w:tcBorders>
                  <w:vAlign w:val="center"/>
                </w:tcPr>
                <w:p w14:paraId="4B9693F6">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5E47AA40">
                  <w:pPr>
                    <w:widowControl/>
                    <w:jc w:val="center"/>
                    <w:rPr>
                      <w:bCs/>
                      <w:kern w:val="0"/>
                      <w:sz w:val="18"/>
                      <w:szCs w:val="18"/>
                    </w:rPr>
                  </w:pPr>
                </w:p>
              </w:tc>
            </w:tr>
            <w:tr w14:paraId="45BAA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7E93225">
                  <w:pPr>
                    <w:widowControl/>
                    <w:jc w:val="center"/>
                    <w:rPr>
                      <w:bCs/>
                      <w:kern w:val="0"/>
                      <w:sz w:val="18"/>
                      <w:szCs w:val="18"/>
                    </w:rPr>
                  </w:pPr>
                </w:p>
              </w:tc>
              <w:tc>
                <w:tcPr>
                  <w:tcW w:w="242" w:type="pct"/>
                  <w:vMerge w:val="continue"/>
                  <w:tcBorders>
                    <w:tl2br w:val="nil"/>
                    <w:tr2bl w:val="nil"/>
                  </w:tcBorders>
                  <w:vAlign w:val="center"/>
                </w:tcPr>
                <w:p w14:paraId="046F49F9">
                  <w:pPr>
                    <w:widowControl/>
                    <w:jc w:val="center"/>
                    <w:rPr>
                      <w:bCs/>
                      <w:kern w:val="0"/>
                      <w:sz w:val="18"/>
                      <w:szCs w:val="18"/>
                    </w:rPr>
                  </w:pPr>
                </w:p>
              </w:tc>
              <w:tc>
                <w:tcPr>
                  <w:tcW w:w="517" w:type="pct"/>
                  <w:tcBorders>
                    <w:tl2br w:val="nil"/>
                    <w:tr2bl w:val="nil"/>
                  </w:tcBorders>
                  <w:vAlign w:val="center"/>
                </w:tcPr>
                <w:p w14:paraId="6BC8915E">
                  <w:pPr>
                    <w:widowControl/>
                    <w:jc w:val="center"/>
                    <w:rPr>
                      <w:bCs/>
                      <w:kern w:val="0"/>
                      <w:sz w:val="18"/>
                      <w:szCs w:val="18"/>
                    </w:rPr>
                  </w:pPr>
                  <w:r>
                    <w:rPr>
                      <w:rFonts w:hint="eastAsia"/>
                      <w:bCs/>
                      <w:kern w:val="0"/>
                      <w:sz w:val="18"/>
                      <w:szCs w:val="18"/>
                    </w:rPr>
                    <w:t>十三</w:t>
                  </w:r>
                </w:p>
              </w:tc>
              <w:tc>
                <w:tcPr>
                  <w:tcW w:w="801" w:type="pct"/>
                  <w:gridSpan w:val="2"/>
                  <w:tcBorders>
                    <w:tl2br w:val="nil"/>
                    <w:tr2bl w:val="nil"/>
                  </w:tcBorders>
                  <w:vAlign w:val="center"/>
                </w:tcPr>
                <w:p w14:paraId="47EDC44F">
                  <w:pPr>
                    <w:widowControl/>
                    <w:jc w:val="center"/>
                    <w:rPr>
                      <w:bCs/>
                      <w:kern w:val="0"/>
                      <w:sz w:val="18"/>
                      <w:szCs w:val="18"/>
                    </w:rPr>
                  </w:pPr>
                  <w:r>
                    <w:rPr>
                      <w:rFonts w:hint="eastAsia"/>
                      <w:bCs/>
                      <w:kern w:val="0"/>
                      <w:sz w:val="18"/>
                      <w:szCs w:val="18"/>
                    </w:rPr>
                    <w:t>烟草制造业16</w:t>
                  </w:r>
                </w:p>
              </w:tc>
              <w:tc>
                <w:tcPr>
                  <w:tcW w:w="2621" w:type="pct"/>
                  <w:gridSpan w:val="3"/>
                  <w:tcBorders>
                    <w:tl2br w:val="nil"/>
                    <w:tr2bl w:val="nil"/>
                  </w:tcBorders>
                  <w:vAlign w:val="center"/>
                </w:tcPr>
                <w:p w14:paraId="0053C38F">
                  <w:pPr>
                    <w:widowControl/>
                    <w:jc w:val="center"/>
                    <w:rPr>
                      <w:bCs/>
                      <w:kern w:val="0"/>
                      <w:sz w:val="18"/>
                      <w:szCs w:val="18"/>
                    </w:rPr>
                  </w:pPr>
                  <w:r>
                    <w:rPr>
                      <w:rFonts w:hint="eastAsia"/>
                      <w:bCs/>
                      <w:kern w:val="0"/>
                      <w:sz w:val="18"/>
                      <w:szCs w:val="18"/>
                    </w:rPr>
                    <w:t>全部</w:t>
                  </w:r>
                </w:p>
              </w:tc>
              <w:tc>
                <w:tcPr>
                  <w:tcW w:w="577" w:type="pct"/>
                  <w:vMerge w:val="continue"/>
                  <w:tcBorders>
                    <w:tl2br w:val="nil"/>
                    <w:tr2bl w:val="nil"/>
                  </w:tcBorders>
                  <w:vAlign w:val="center"/>
                </w:tcPr>
                <w:p w14:paraId="2C35636E">
                  <w:pPr>
                    <w:widowControl/>
                    <w:jc w:val="center"/>
                    <w:rPr>
                      <w:bCs/>
                      <w:kern w:val="0"/>
                      <w:sz w:val="18"/>
                      <w:szCs w:val="18"/>
                    </w:rPr>
                  </w:pPr>
                </w:p>
              </w:tc>
            </w:tr>
            <w:tr w14:paraId="1349D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FE75D37">
                  <w:pPr>
                    <w:widowControl/>
                    <w:jc w:val="center"/>
                    <w:rPr>
                      <w:bCs/>
                      <w:kern w:val="0"/>
                      <w:sz w:val="18"/>
                      <w:szCs w:val="18"/>
                    </w:rPr>
                  </w:pPr>
                </w:p>
              </w:tc>
              <w:tc>
                <w:tcPr>
                  <w:tcW w:w="242" w:type="pct"/>
                  <w:vMerge w:val="continue"/>
                  <w:tcBorders>
                    <w:tl2br w:val="nil"/>
                    <w:tr2bl w:val="nil"/>
                  </w:tcBorders>
                  <w:vAlign w:val="center"/>
                </w:tcPr>
                <w:p w14:paraId="053F719D">
                  <w:pPr>
                    <w:widowControl/>
                    <w:jc w:val="center"/>
                    <w:rPr>
                      <w:bCs/>
                      <w:kern w:val="0"/>
                      <w:sz w:val="18"/>
                      <w:szCs w:val="18"/>
                    </w:rPr>
                  </w:pPr>
                </w:p>
              </w:tc>
              <w:tc>
                <w:tcPr>
                  <w:tcW w:w="517" w:type="pct"/>
                  <w:tcBorders>
                    <w:tl2br w:val="nil"/>
                    <w:tr2bl w:val="nil"/>
                  </w:tcBorders>
                  <w:vAlign w:val="center"/>
                </w:tcPr>
                <w:p w14:paraId="7BCA3CE3">
                  <w:pPr>
                    <w:widowControl/>
                    <w:jc w:val="center"/>
                    <w:rPr>
                      <w:bCs/>
                      <w:kern w:val="0"/>
                      <w:sz w:val="18"/>
                      <w:szCs w:val="18"/>
                    </w:rPr>
                  </w:pPr>
                  <w:r>
                    <w:rPr>
                      <w:rFonts w:hint="eastAsia"/>
                      <w:bCs/>
                      <w:kern w:val="0"/>
                      <w:sz w:val="18"/>
                      <w:szCs w:val="18"/>
                    </w:rPr>
                    <w:t>十四</w:t>
                  </w:r>
                </w:p>
              </w:tc>
              <w:tc>
                <w:tcPr>
                  <w:tcW w:w="801" w:type="pct"/>
                  <w:gridSpan w:val="2"/>
                  <w:tcBorders>
                    <w:tl2br w:val="nil"/>
                    <w:tr2bl w:val="nil"/>
                  </w:tcBorders>
                  <w:vAlign w:val="center"/>
                </w:tcPr>
                <w:p w14:paraId="21E2FDBF">
                  <w:pPr>
                    <w:widowControl/>
                    <w:jc w:val="center"/>
                    <w:rPr>
                      <w:bCs/>
                      <w:kern w:val="0"/>
                      <w:sz w:val="18"/>
                      <w:szCs w:val="18"/>
                    </w:rPr>
                  </w:pPr>
                  <w:r>
                    <w:rPr>
                      <w:rFonts w:hint="eastAsia"/>
                      <w:bCs/>
                      <w:kern w:val="0"/>
                      <w:sz w:val="18"/>
                      <w:szCs w:val="18"/>
                    </w:rPr>
                    <w:t>纺织业17</w:t>
                  </w:r>
                </w:p>
              </w:tc>
              <w:tc>
                <w:tcPr>
                  <w:tcW w:w="530" w:type="pct"/>
                  <w:tcBorders>
                    <w:tl2br w:val="nil"/>
                    <w:tr2bl w:val="nil"/>
                  </w:tcBorders>
                  <w:vAlign w:val="center"/>
                </w:tcPr>
                <w:p w14:paraId="51BC3EBB">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3D33D4F9">
                  <w:pPr>
                    <w:widowControl/>
                    <w:rPr>
                      <w:bCs/>
                      <w:kern w:val="0"/>
                      <w:sz w:val="18"/>
                      <w:szCs w:val="18"/>
                    </w:rPr>
                  </w:pPr>
                  <w:r>
                    <w:rPr>
                      <w:rFonts w:hint="eastAsia"/>
                      <w:bCs/>
                      <w:kern w:val="0"/>
                      <w:sz w:val="18"/>
                      <w:szCs w:val="18"/>
                    </w:rPr>
                    <w:t>1、有洗毛、脱胶、缫丝工艺的；</w:t>
                  </w:r>
                </w:p>
                <w:p w14:paraId="0A41DAC8">
                  <w:pPr>
                    <w:widowControl/>
                    <w:rPr>
                      <w:bCs/>
                      <w:kern w:val="0"/>
                      <w:sz w:val="18"/>
                      <w:szCs w:val="18"/>
                    </w:rPr>
                  </w:pPr>
                  <w:r>
                    <w:rPr>
                      <w:rFonts w:hint="eastAsia"/>
                      <w:bCs/>
                      <w:kern w:val="0"/>
                      <w:sz w:val="18"/>
                      <w:szCs w:val="18"/>
                    </w:rPr>
                    <w:t>2、染整工艺有前处理、染色、印花(喷墨印花和数码印花的除外)工序的；</w:t>
                  </w:r>
                </w:p>
                <w:p w14:paraId="656BBBE5">
                  <w:pPr>
                    <w:widowControl/>
                    <w:rPr>
                      <w:bCs/>
                      <w:kern w:val="0"/>
                      <w:sz w:val="18"/>
                      <w:szCs w:val="18"/>
                    </w:rPr>
                  </w:pPr>
                  <w:r>
                    <w:rPr>
                      <w:rFonts w:hint="eastAsia"/>
                      <w:bCs/>
                      <w:kern w:val="0"/>
                      <w:sz w:val="18"/>
                      <w:szCs w:val="18"/>
                    </w:rPr>
                    <w:t>3、有使用有机溶剂的涂层工艺的</w:t>
                  </w:r>
                </w:p>
              </w:tc>
              <w:tc>
                <w:tcPr>
                  <w:tcW w:w="938" w:type="pct"/>
                  <w:tcBorders>
                    <w:tl2br w:val="nil"/>
                    <w:tr2bl w:val="nil"/>
                  </w:tcBorders>
                  <w:vAlign w:val="center"/>
                </w:tcPr>
                <w:p w14:paraId="2E14D31F">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6E4D4437">
                  <w:pPr>
                    <w:widowControl/>
                    <w:jc w:val="center"/>
                    <w:rPr>
                      <w:bCs/>
                      <w:kern w:val="0"/>
                      <w:sz w:val="18"/>
                      <w:szCs w:val="18"/>
                    </w:rPr>
                  </w:pPr>
                </w:p>
              </w:tc>
            </w:tr>
            <w:tr w14:paraId="79A658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239" w:type="pct"/>
                  <w:vMerge w:val="continue"/>
                  <w:tcBorders>
                    <w:tl2br w:val="nil"/>
                    <w:tr2bl w:val="nil"/>
                  </w:tcBorders>
                  <w:vAlign w:val="center"/>
                </w:tcPr>
                <w:p w14:paraId="5D39C773">
                  <w:pPr>
                    <w:widowControl/>
                    <w:jc w:val="center"/>
                    <w:rPr>
                      <w:bCs/>
                      <w:kern w:val="0"/>
                      <w:sz w:val="18"/>
                      <w:szCs w:val="18"/>
                    </w:rPr>
                  </w:pPr>
                </w:p>
              </w:tc>
              <w:tc>
                <w:tcPr>
                  <w:tcW w:w="242" w:type="pct"/>
                  <w:vMerge w:val="continue"/>
                  <w:tcBorders>
                    <w:tl2br w:val="nil"/>
                    <w:tr2bl w:val="nil"/>
                  </w:tcBorders>
                  <w:vAlign w:val="center"/>
                </w:tcPr>
                <w:p w14:paraId="370D889A">
                  <w:pPr>
                    <w:widowControl/>
                    <w:jc w:val="center"/>
                    <w:rPr>
                      <w:bCs/>
                      <w:kern w:val="0"/>
                      <w:sz w:val="18"/>
                      <w:szCs w:val="18"/>
                    </w:rPr>
                  </w:pPr>
                </w:p>
              </w:tc>
              <w:tc>
                <w:tcPr>
                  <w:tcW w:w="517" w:type="pct"/>
                  <w:tcBorders>
                    <w:tl2br w:val="nil"/>
                    <w:tr2bl w:val="nil"/>
                  </w:tcBorders>
                  <w:vAlign w:val="center"/>
                </w:tcPr>
                <w:p w14:paraId="56A835C1">
                  <w:pPr>
                    <w:widowControl/>
                    <w:jc w:val="center"/>
                    <w:rPr>
                      <w:bCs/>
                      <w:kern w:val="0"/>
                      <w:sz w:val="18"/>
                      <w:szCs w:val="18"/>
                    </w:rPr>
                  </w:pPr>
                  <w:r>
                    <w:rPr>
                      <w:rFonts w:hint="eastAsia"/>
                      <w:bCs/>
                      <w:kern w:val="0"/>
                      <w:sz w:val="18"/>
                      <w:szCs w:val="18"/>
                    </w:rPr>
                    <w:t>十五</w:t>
                  </w:r>
                </w:p>
              </w:tc>
              <w:tc>
                <w:tcPr>
                  <w:tcW w:w="801" w:type="pct"/>
                  <w:gridSpan w:val="2"/>
                  <w:tcBorders>
                    <w:tl2br w:val="nil"/>
                    <w:tr2bl w:val="nil"/>
                  </w:tcBorders>
                  <w:vAlign w:val="center"/>
                </w:tcPr>
                <w:p w14:paraId="4777D897">
                  <w:pPr>
                    <w:widowControl/>
                    <w:jc w:val="center"/>
                    <w:rPr>
                      <w:bCs/>
                      <w:kern w:val="0"/>
                      <w:sz w:val="18"/>
                      <w:szCs w:val="18"/>
                    </w:rPr>
                  </w:pPr>
                  <w:r>
                    <w:rPr>
                      <w:rFonts w:hint="eastAsia"/>
                      <w:bCs/>
                      <w:kern w:val="0"/>
                      <w:sz w:val="18"/>
                      <w:szCs w:val="18"/>
                    </w:rPr>
                    <w:t>纺织服装、服饰业18</w:t>
                  </w:r>
                </w:p>
              </w:tc>
              <w:tc>
                <w:tcPr>
                  <w:tcW w:w="530" w:type="pct"/>
                  <w:tcBorders>
                    <w:tl2br w:val="nil"/>
                    <w:tr2bl w:val="nil"/>
                  </w:tcBorders>
                  <w:vAlign w:val="center"/>
                </w:tcPr>
                <w:p w14:paraId="777375DE">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6711C233">
                  <w:pPr>
                    <w:widowControl/>
                    <w:rPr>
                      <w:bCs/>
                      <w:kern w:val="0"/>
                      <w:sz w:val="18"/>
                      <w:szCs w:val="18"/>
                    </w:rPr>
                  </w:pPr>
                  <w:r>
                    <w:rPr>
                      <w:rFonts w:hint="eastAsia"/>
                      <w:bCs/>
                      <w:kern w:val="0"/>
                      <w:sz w:val="18"/>
                      <w:szCs w:val="18"/>
                    </w:rPr>
                    <w:t>1、有染色、印花(喷墨印花和数码印花的除外)工序的；</w:t>
                  </w:r>
                </w:p>
                <w:p w14:paraId="120C4640">
                  <w:pPr>
                    <w:widowControl/>
                    <w:rPr>
                      <w:bCs/>
                      <w:kern w:val="0"/>
                      <w:sz w:val="18"/>
                      <w:szCs w:val="18"/>
                    </w:rPr>
                  </w:pPr>
                  <w:r>
                    <w:rPr>
                      <w:rFonts w:hint="eastAsia"/>
                      <w:bCs/>
                      <w:kern w:val="0"/>
                      <w:sz w:val="18"/>
                      <w:szCs w:val="18"/>
                    </w:rPr>
                    <w:t>2、有水洗、砂洗工艺的</w:t>
                  </w:r>
                </w:p>
              </w:tc>
              <w:tc>
                <w:tcPr>
                  <w:tcW w:w="938" w:type="pct"/>
                  <w:tcBorders>
                    <w:tl2br w:val="nil"/>
                    <w:tr2bl w:val="nil"/>
                  </w:tcBorders>
                  <w:vAlign w:val="center"/>
                </w:tcPr>
                <w:p w14:paraId="4A545AD2">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23589507">
                  <w:pPr>
                    <w:widowControl/>
                    <w:jc w:val="center"/>
                    <w:rPr>
                      <w:bCs/>
                      <w:kern w:val="0"/>
                      <w:sz w:val="18"/>
                      <w:szCs w:val="18"/>
                    </w:rPr>
                  </w:pPr>
                </w:p>
              </w:tc>
            </w:tr>
            <w:tr w14:paraId="1B8109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697B80F">
                  <w:pPr>
                    <w:widowControl/>
                    <w:jc w:val="center"/>
                    <w:rPr>
                      <w:bCs/>
                      <w:kern w:val="0"/>
                      <w:sz w:val="18"/>
                      <w:szCs w:val="18"/>
                    </w:rPr>
                  </w:pPr>
                </w:p>
              </w:tc>
              <w:tc>
                <w:tcPr>
                  <w:tcW w:w="242" w:type="pct"/>
                  <w:vMerge w:val="continue"/>
                  <w:tcBorders>
                    <w:tl2br w:val="nil"/>
                    <w:tr2bl w:val="nil"/>
                  </w:tcBorders>
                  <w:vAlign w:val="center"/>
                </w:tcPr>
                <w:p w14:paraId="6F6C305E">
                  <w:pPr>
                    <w:widowControl/>
                    <w:jc w:val="center"/>
                    <w:rPr>
                      <w:bCs/>
                      <w:kern w:val="0"/>
                      <w:sz w:val="18"/>
                      <w:szCs w:val="18"/>
                    </w:rPr>
                  </w:pPr>
                </w:p>
              </w:tc>
              <w:tc>
                <w:tcPr>
                  <w:tcW w:w="517" w:type="pct"/>
                  <w:tcBorders>
                    <w:tl2br w:val="nil"/>
                    <w:tr2bl w:val="nil"/>
                  </w:tcBorders>
                  <w:vAlign w:val="center"/>
                </w:tcPr>
                <w:p w14:paraId="06CCC6CC">
                  <w:pPr>
                    <w:widowControl/>
                    <w:jc w:val="center"/>
                    <w:rPr>
                      <w:bCs/>
                      <w:kern w:val="0"/>
                      <w:sz w:val="18"/>
                      <w:szCs w:val="18"/>
                    </w:rPr>
                  </w:pPr>
                  <w:r>
                    <w:rPr>
                      <w:rFonts w:hint="eastAsia"/>
                      <w:bCs/>
                      <w:kern w:val="0"/>
                      <w:sz w:val="18"/>
                      <w:szCs w:val="18"/>
                    </w:rPr>
                    <w:t>十六</w:t>
                  </w:r>
                </w:p>
              </w:tc>
              <w:tc>
                <w:tcPr>
                  <w:tcW w:w="801" w:type="pct"/>
                  <w:gridSpan w:val="2"/>
                  <w:tcBorders>
                    <w:tl2br w:val="nil"/>
                    <w:tr2bl w:val="nil"/>
                  </w:tcBorders>
                  <w:vAlign w:val="center"/>
                </w:tcPr>
                <w:p w14:paraId="266DC4A9">
                  <w:pPr>
                    <w:widowControl/>
                    <w:jc w:val="center"/>
                    <w:rPr>
                      <w:bCs/>
                      <w:kern w:val="0"/>
                      <w:sz w:val="18"/>
                      <w:szCs w:val="18"/>
                    </w:rPr>
                  </w:pPr>
                  <w:r>
                    <w:rPr>
                      <w:rFonts w:hint="eastAsia"/>
                      <w:bCs/>
                      <w:kern w:val="0"/>
                      <w:sz w:val="18"/>
                      <w:szCs w:val="18"/>
                    </w:rPr>
                    <w:t>皮革、毛皮、羽毛及其制品和制鞋业19</w:t>
                  </w:r>
                </w:p>
              </w:tc>
              <w:tc>
                <w:tcPr>
                  <w:tcW w:w="530" w:type="pct"/>
                  <w:tcBorders>
                    <w:tl2br w:val="nil"/>
                    <w:tr2bl w:val="nil"/>
                  </w:tcBorders>
                  <w:vAlign w:val="center"/>
                </w:tcPr>
                <w:p w14:paraId="317FAB5C">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1D603B65">
                  <w:pPr>
                    <w:widowControl/>
                    <w:rPr>
                      <w:bCs/>
                      <w:kern w:val="0"/>
                      <w:sz w:val="18"/>
                      <w:szCs w:val="18"/>
                    </w:rPr>
                  </w:pPr>
                  <w:r>
                    <w:rPr>
                      <w:rFonts w:hint="eastAsia"/>
                      <w:bCs/>
                      <w:kern w:val="0"/>
                      <w:sz w:val="18"/>
                      <w:szCs w:val="18"/>
                    </w:rPr>
                    <w:t>1、有鞣制、染色工艺的；</w:t>
                  </w:r>
                </w:p>
                <w:p w14:paraId="25EA0275">
                  <w:pPr>
                    <w:widowControl/>
                    <w:rPr>
                      <w:bCs/>
                      <w:kern w:val="0"/>
                      <w:sz w:val="18"/>
                      <w:szCs w:val="18"/>
                    </w:rPr>
                  </w:pPr>
                  <w:r>
                    <w:rPr>
                      <w:rFonts w:hint="eastAsia"/>
                      <w:bCs/>
                      <w:kern w:val="0"/>
                      <w:sz w:val="18"/>
                      <w:szCs w:val="18"/>
                    </w:rPr>
                    <w:t>2、有橡胶硫化工艺的；</w:t>
                  </w:r>
                </w:p>
                <w:p w14:paraId="2657E377">
                  <w:pPr>
                    <w:widowControl/>
                    <w:rPr>
                      <w:bCs/>
                      <w:kern w:val="0"/>
                      <w:sz w:val="18"/>
                      <w:szCs w:val="18"/>
                    </w:rPr>
                  </w:pPr>
                  <w:r>
                    <w:rPr>
                      <w:rFonts w:hint="eastAsia"/>
                      <w:bCs/>
                      <w:kern w:val="0"/>
                      <w:sz w:val="18"/>
                      <w:szCs w:val="18"/>
                    </w:rPr>
                    <w:t>3、使用溶剂型胶黏剂或处理剂的</w:t>
                  </w:r>
                </w:p>
              </w:tc>
              <w:tc>
                <w:tcPr>
                  <w:tcW w:w="938" w:type="pct"/>
                  <w:tcBorders>
                    <w:tl2br w:val="nil"/>
                    <w:tr2bl w:val="nil"/>
                  </w:tcBorders>
                  <w:vAlign w:val="center"/>
                </w:tcPr>
                <w:p w14:paraId="329860A6">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6AA52737">
                  <w:pPr>
                    <w:widowControl/>
                    <w:jc w:val="center"/>
                    <w:rPr>
                      <w:bCs/>
                      <w:kern w:val="0"/>
                      <w:sz w:val="18"/>
                      <w:szCs w:val="18"/>
                    </w:rPr>
                  </w:pPr>
                </w:p>
              </w:tc>
            </w:tr>
            <w:tr w14:paraId="0AF2C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558AFC2C">
                  <w:pPr>
                    <w:widowControl/>
                    <w:jc w:val="center"/>
                    <w:rPr>
                      <w:bCs/>
                      <w:kern w:val="0"/>
                      <w:sz w:val="18"/>
                      <w:szCs w:val="18"/>
                    </w:rPr>
                  </w:pPr>
                </w:p>
              </w:tc>
              <w:tc>
                <w:tcPr>
                  <w:tcW w:w="242" w:type="pct"/>
                  <w:vMerge w:val="continue"/>
                  <w:tcBorders>
                    <w:tl2br w:val="nil"/>
                    <w:tr2bl w:val="nil"/>
                  </w:tcBorders>
                  <w:vAlign w:val="center"/>
                </w:tcPr>
                <w:p w14:paraId="6F5C468A">
                  <w:pPr>
                    <w:widowControl/>
                    <w:jc w:val="center"/>
                    <w:rPr>
                      <w:bCs/>
                      <w:kern w:val="0"/>
                      <w:sz w:val="18"/>
                      <w:szCs w:val="18"/>
                    </w:rPr>
                  </w:pPr>
                </w:p>
              </w:tc>
              <w:tc>
                <w:tcPr>
                  <w:tcW w:w="517" w:type="pct"/>
                  <w:tcBorders>
                    <w:tl2br w:val="nil"/>
                    <w:tr2bl w:val="nil"/>
                  </w:tcBorders>
                  <w:vAlign w:val="center"/>
                </w:tcPr>
                <w:p w14:paraId="350785DA">
                  <w:pPr>
                    <w:widowControl/>
                    <w:jc w:val="center"/>
                    <w:rPr>
                      <w:bCs/>
                      <w:kern w:val="0"/>
                      <w:sz w:val="18"/>
                      <w:szCs w:val="18"/>
                    </w:rPr>
                  </w:pPr>
                  <w:r>
                    <w:rPr>
                      <w:rFonts w:hint="eastAsia"/>
                      <w:bCs/>
                      <w:kern w:val="0"/>
                      <w:sz w:val="18"/>
                      <w:szCs w:val="18"/>
                    </w:rPr>
                    <w:t>十七</w:t>
                  </w:r>
                </w:p>
              </w:tc>
              <w:tc>
                <w:tcPr>
                  <w:tcW w:w="801" w:type="pct"/>
                  <w:gridSpan w:val="2"/>
                  <w:tcBorders>
                    <w:tl2br w:val="nil"/>
                    <w:tr2bl w:val="nil"/>
                  </w:tcBorders>
                  <w:vAlign w:val="center"/>
                </w:tcPr>
                <w:p w14:paraId="47AEB2FD">
                  <w:pPr>
                    <w:widowControl/>
                    <w:jc w:val="center"/>
                    <w:rPr>
                      <w:bCs/>
                      <w:kern w:val="0"/>
                      <w:sz w:val="18"/>
                      <w:szCs w:val="18"/>
                    </w:rPr>
                  </w:pPr>
                  <w:r>
                    <w:rPr>
                      <w:rFonts w:hint="eastAsia"/>
                      <w:bCs/>
                      <w:kern w:val="0"/>
                      <w:sz w:val="18"/>
                      <w:szCs w:val="18"/>
                    </w:rPr>
                    <w:t>木材加工和木、竹、藤、棕、草制品业20</w:t>
                  </w:r>
                </w:p>
              </w:tc>
              <w:tc>
                <w:tcPr>
                  <w:tcW w:w="530" w:type="pct"/>
                  <w:tcBorders>
                    <w:tl2br w:val="nil"/>
                    <w:tr2bl w:val="nil"/>
                  </w:tcBorders>
                  <w:vAlign w:val="center"/>
                </w:tcPr>
                <w:p w14:paraId="2B9C45AA">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02FE2904">
                  <w:pPr>
                    <w:widowControl/>
                    <w:rPr>
                      <w:bCs/>
                      <w:kern w:val="0"/>
                      <w:sz w:val="18"/>
                      <w:szCs w:val="18"/>
                    </w:rPr>
                  </w:pPr>
                  <w:r>
                    <w:rPr>
                      <w:rFonts w:hint="eastAsia"/>
                      <w:bCs/>
                      <w:kern w:val="0"/>
                      <w:sz w:val="18"/>
                      <w:szCs w:val="18"/>
                    </w:rPr>
                    <w:t>1、有电镀工艺的；</w:t>
                  </w:r>
                </w:p>
                <w:p w14:paraId="587F62EB">
                  <w:pPr>
                    <w:widowControl/>
                    <w:rPr>
                      <w:bCs/>
                      <w:kern w:val="0"/>
                      <w:sz w:val="18"/>
                      <w:szCs w:val="18"/>
                    </w:rPr>
                  </w:pPr>
                  <w:r>
                    <w:rPr>
                      <w:rFonts w:hint="eastAsia"/>
                      <w:bCs/>
                      <w:kern w:val="0"/>
                      <w:sz w:val="18"/>
                      <w:szCs w:val="18"/>
                    </w:rPr>
                    <w:t>2、使用溶剂型涂料(含稀释剂)的</w:t>
                  </w:r>
                </w:p>
              </w:tc>
              <w:tc>
                <w:tcPr>
                  <w:tcW w:w="938" w:type="pct"/>
                  <w:tcBorders>
                    <w:tl2br w:val="nil"/>
                    <w:tr2bl w:val="nil"/>
                  </w:tcBorders>
                  <w:vAlign w:val="center"/>
                </w:tcPr>
                <w:p w14:paraId="04FA9F3D">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032D8ABA">
                  <w:pPr>
                    <w:widowControl/>
                    <w:jc w:val="center"/>
                    <w:rPr>
                      <w:bCs/>
                      <w:kern w:val="0"/>
                      <w:sz w:val="18"/>
                      <w:szCs w:val="18"/>
                    </w:rPr>
                  </w:pPr>
                </w:p>
              </w:tc>
            </w:tr>
            <w:tr w14:paraId="03E5A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7B416691">
                  <w:pPr>
                    <w:widowControl/>
                    <w:jc w:val="center"/>
                    <w:rPr>
                      <w:bCs/>
                      <w:kern w:val="0"/>
                      <w:sz w:val="18"/>
                      <w:szCs w:val="18"/>
                    </w:rPr>
                  </w:pPr>
                </w:p>
              </w:tc>
              <w:tc>
                <w:tcPr>
                  <w:tcW w:w="242" w:type="pct"/>
                  <w:vMerge w:val="continue"/>
                  <w:tcBorders>
                    <w:tl2br w:val="nil"/>
                    <w:tr2bl w:val="nil"/>
                  </w:tcBorders>
                  <w:vAlign w:val="center"/>
                </w:tcPr>
                <w:p w14:paraId="2A5EA976">
                  <w:pPr>
                    <w:widowControl/>
                    <w:jc w:val="center"/>
                    <w:rPr>
                      <w:bCs/>
                      <w:kern w:val="0"/>
                      <w:sz w:val="18"/>
                      <w:szCs w:val="18"/>
                    </w:rPr>
                  </w:pPr>
                </w:p>
              </w:tc>
              <w:tc>
                <w:tcPr>
                  <w:tcW w:w="517" w:type="pct"/>
                  <w:tcBorders>
                    <w:tl2br w:val="nil"/>
                    <w:tr2bl w:val="nil"/>
                  </w:tcBorders>
                  <w:vAlign w:val="center"/>
                </w:tcPr>
                <w:p w14:paraId="08D8EEB1">
                  <w:pPr>
                    <w:widowControl/>
                    <w:jc w:val="center"/>
                    <w:rPr>
                      <w:bCs/>
                      <w:kern w:val="0"/>
                      <w:sz w:val="18"/>
                      <w:szCs w:val="18"/>
                    </w:rPr>
                  </w:pPr>
                  <w:r>
                    <w:rPr>
                      <w:rFonts w:hint="eastAsia"/>
                      <w:bCs/>
                      <w:kern w:val="0"/>
                      <w:sz w:val="18"/>
                      <w:szCs w:val="18"/>
                    </w:rPr>
                    <w:t>十八</w:t>
                  </w:r>
                </w:p>
              </w:tc>
              <w:tc>
                <w:tcPr>
                  <w:tcW w:w="801" w:type="pct"/>
                  <w:gridSpan w:val="2"/>
                  <w:tcBorders>
                    <w:tl2br w:val="nil"/>
                    <w:tr2bl w:val="nil"/>
                  </w:tcBorders>
                  <w:vAlign w:val="center"/>
                </w:tcPr>
                <w:p w14:paraId="57738E5D">
                  <w:pPr>
                    <w:widowControl/>
                    <w:jc w:val="center"/>
                    <w:rPr>
                      <w:bCs/>
                      <w:kern w:val="0"/>
                      <w:sz w:val="18"/>
                      <w:szCs w:val="18"/>
                    </w:rPr>
                  </w:pPr>
                  <w:r>
                    <w:rPr>
                      <w:rFonts w:hint="eastAsia"/>
                      <w:bCs/>
                      <w:kern w:val="0"/>
                      <w:sz w:val="18"/>
                      <w:szCs w:val="18"/>
                    </w:rPr>
                    <w:t>家具制造业21</w:t>
                  </w:r>
                </w:p>
              </w:tc>
              <w:tc>
                <w:tcPr>
                  <w:tcW w:w="530" w:type="pct"/>
                  <w:tcBorders>
                    <w:tl2br w:val="nil"/>
                    <w:tr2bl w:val="nil"/>
                  </w:tcBorders>
                  <w:vAlign w:val="center"/>
                </w:tcPr>
                <w:p w14:paraId="6B154D1C">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64EFDF6A">
                  <w:pPr>
                    <w:widowControl/>
                    <w:rPr>
                      <w:bCs/>
                      <w:kern w:val="0"/>
                      <w:sz w:val="18"/>
                      <w:szCs w:val="18"/>
                    </w:rPr>
                  </w:pPr>
                  <w:r>
                    <w:rPr>
                      <w:rFonts w:hint="eastAsia"/>
                      <w:bCs/>
                      <w:kern w:val="0"/>
                      <w:sz w:val="18"/>
                      <w:szCs w:val="18"/>
                    </w:rPr>
                    <w:t>1、有电镀工艺的；</w:t>
                  </w:r>
                </w:p>
                <w:p w14:paraId="51D2E077">
                  <w:pPr>
                    <w:widowControl/>
                    <w:rPr>
                      <w:bCs/>
                      <w:kern w:val="0"/>
                      <w:sz w:val="18"/>
                      <w:szCs w:val="18"/>
                    </w:rPr>
                  </w:pPr>
                  <w:r>
                    <w:rPr>
                      <w:rFonts w:hint="eastAsia"/>
                      <w:bCs/>
                      <w:kern w:val="0"/>
                      <w:sz w:val="18"/>
                      <w:szCs w:val="18"/>
                    </w:rPr>
                    <w:t>2、使用溶剂型涂料(含稀释剂)的</w:t>
                  </w:r>
                </w:p>
              </w:tc>
              <w:tc>
                <w:tcPr>
                  <w:tcW w:w="938" w:type="pct"/>
                  <w:tcBorders>
                    <w:tl2br w:val="nil"/>
                    <w:tr2bl w:val="nil"/>
                  </w:tcBorders>
                  <w:vAlign w:val="center"/>
                </w:tcPr>
                <w:p w14:paraId="3F292E16">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155A1C24">
                  <w:pPr>
                    <w:widowControl/>
                    <w:jc w:val="center"/>
                    <w:rPr>
                      <w:bCs/>
                      <w:kern w:val="0"/>
                      <w:sz w:val="18"/>
                      <w:szCs w:val="18"/>
                    </w:rPr>
                  </w:pPr>
                </w:p>
              </w:tc>
            </w:tr>
            <w:tr w14:paraId="53918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4A894B55">
                  <w:pPr>
                    <w:widowControl/>
                    <w:jc w:val="center"/>
                    <w:rPr>
                      <w:bCs/>
                      <w:kern w:val="0"/>
                      <w:sz w:val="18"/>
                      <w:szCs w:val="18"/>
                    </w:rPr>
                  </w:pPr>
                </w:p>
              </w:tc>
              <w:tc>
                <w:tcPr>
                  <w:tcW w:w="242" w:type="pct"/>
                  <w:vMerge w:val="continue"/>
                  <w:tcBorders>
                    <w:tl2br w:val="nil"/>
                    <w:tr2bl w:val="nil"/>
                  </w:tcBorders>
                  <w:vAlign w:val="center"/>
                </w:tcPr>
                <w:p w14:paraId="34902695">
                  <w:pPr>
                    <w:widowControl/>
                    <w:jc w:val="center"/>
                    <w:rPr>
                      <w:bCs/>
                      <w:kern w:val="0"/>
                      <w:sz w:val="18"/>
                      <w:szCs w:val="18"/>
                    </w:rPr>
                  </w:pPr>
                </w:p>
              </w:tc>
              <w:tc>
                <w:tcPr>
                  <w:tcW w:w="517" w:type="pct"/>
                  <w:tcBorders>
                    <w:tl2br w:val="nil"/>
                    <w:tr2bl w:val="nil"/>
                  </w:tcBorders>
                  <w:vAlign w:val="center"/>
                </w:tcPr>
                <w:p w14:paraId="521719E0">
                  <w:pPr>
                    <w:widowControl/>
                    <w:jc w:val="center"/>
                    <w:rPr>
                      <w:bCs/>
                      <w:kern w:val="0"/>
                      <w:sz w:val="18"/>
                      <w:szCs w:val="18"/>
                    </w:rPr>
                  </w:pPr>
                  <w:r>
                    <w:rPr>
                      <w:rFonts w:hint="eastAsia"/>
                      <w:bCs/>
                      <w:kern w:val="0"/>
                      <w:sz w:val="18"/>
                      <w:szCs w:val="18"/>
                    </w:rPr>
                    <w:t>十九</w:t>
                  </w:r>
                </w:p>
              </w:tc>
              <w:tc>
                <w:tcPr>
                  <w:tcW w:w="801" w:type="pct"/>
                  <w:gridSpan w:val="2"/>
                  <w:tcBorders>
                    <w:tl2br w:val="nil"/>
                    <w:tr2bl w:val="nil"/>
                  </w:tcBorders>
                  <w:vAlign w:val="center"/>
                </w:tcPr>
                <w:p w14:paraId="5438E297">
                  <w:pPr>
                    <w:widowControl/>
                    <w:jc w:val="center"/>
                    <w:rPr>
                      <w:bCs/>
                      <w:kern w:val="0"/>
                      <w:sz w:val="18"/>
                      <w:szCs w:val="18"/>
                    </w:rPr>
                  </w:pPr>
                  <w:r>
                    <w:rPr>
                      <w:rFonts w:hint="eastAsia"/>
                      <w:bCs/>
                      <w:kern w:val="0"/>
                      <w:sz w:val="18"/>
                      <w:szCs w:val="18"/>
                    </w:rPr>
                    <w:t>造纸和纸制品业22</w:t>
                  </w:r>
                </w:p>
              </w:tc>
              <w:tc>
                <w:tcPr>
                  <w:tcW w:w="530" w:type="pct"/>
                  <w:tcBorders>
                    <w:tl2br w:val="nil"/>
                    <w:tr2bl w:val="nil"/>
                  </w:tcBorders>
                  <w:vAlign w:val="center"/>
                </w:tcPr>
                <w:p w14:paraId="520A1110">
                  <w:pPr>
                    <w:widowControl/>
                    <w:rPr>
                      <w:bCs/>
                      <w:kern w:val="0"/>
                      <w:sz w:val="18"/>
                      <w:szCs w:val="18"/>
                    </w:rPr>
                  </w:pPr>
                  <w:r>
                    <w:rPr>
                      <w:rFonts w:hint="eastAsia"/>
                      <w:sz w:val="18"/>
                      <w:szCs w:val="18"/>
                    </w:rPr>
                    <w:t>纸浆制造221、造纸222(含废纸造纸)</w:t>
                  </w:r>
                </w:p>
              </w:tc>
              <w:tc>
                <w:tcPr>
                  <w:tcW w:w="1153" w:type="pct"/>
                  <w:tcBorders>
                    <w:tl2br w:val="nil"/>
                    <w:tr2bl w:val="nil"/>
                  </w:tcBorders>
                  <w:vAlign w:val="center"/>
                </w:tcPr>
                <w:p w14:paraId="59FD437F">
                  <w:pPr>
                    <w:widowControl/>
                    <w:rPr>
                      <w:bCs/>
                      <w:kern w:val="0"/>
                      <w:sz w:val="18"/>
                      <w:szCs w:val="18"/>
                    </w:rPr>
                  </w:pPr>
                  <w:r>
                    <w:rPr>
                      <w:rFonts w:hint="eastAsia"/>
                      <w:sz w:val="18"/>
                      <w:szCs w:val="18"/>
                    </w:rPr>
                    <w:t>不含手工纸制造；不含有涂布、浸渍、印刷、粘胶工艺的加工纸制造</w:t>
                  </w:r>
                </w:p>
              </w:tc>
              <w:tc>
                <w:tcPr>
                  <w:tcW w:w="938" w:type="pct"/>
                  <w:tcBorders>
                    <w:tl2br w:val="nil"/>
                    <w:tr2bl w:val="nil"/>
                  </w:tcBorders>
                  <w:vAlign w:val="center"/>
                </w:tcPr>
                <w:p w14:paraId="6848A4D2">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0C2109A3">
                  <w:pPr>
                    <w:widowControl/>
                    <w:jc w:val="center"/>
                    <w:rPr>
                      <w:bCs/>
                      <w:kern w:val="0"/>
                      <w:sz w:val="18"/>
                      <w:szCs w:val="18"/>
                    </w:rPr>
                  </w:pPr>
                </w:p>
              </w:tc>
            </w:tr>
            <w:tr w14:paraId="525870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02E087FA">
                  <w:pPr>
                    <w:widowControl/>
                    <w:jc w:val="center"/>
                    <w:rPr>
                      <w:bCs/>
                      <w:kern w:val="0"/>
                      <w:sz w:val="18"/>
                      <w:szCs w:val="18"/>
                    </w:rPr>
                  </w:pPr>
                </w:p>
              </w:tc>
              <w:tc>
                <w:tcPr>
                  <w:tcW w:w="242" w:type="pct"/>
                  <w:vMerge w:val="continue"/>
                  <w:tcBorders>
                    <w:tl2br w:val="nil"/>
                    <w:tr2bl w:val="nil"/>
                  </w:tcBorders>
                  <w:vAlign w:val="center"/>
                </w:tcPr>
                <w:p w14:paraId="79D0066C">
                  <w:pPr>
                    <w:widowControl/>
                    <w:jc w:val="center"/>
                    <w:rPr>
                      <w:bCs/>
                      <w:kern w:val="0"/>
                      <w:sz w:val="18"/>
                      <w:szCs w:val="18"/>
                    </w:rPr>
                  </w:pPr>
                </w:p>
              </w:tc>
              <w:tc>
                <w:tcPr>
                  <w:tcW w:w="517" w:type="pct"/>
                  <w:tcBorders>
                    <w:tl2br w:val="nil"/>
                    <w:tr2bl w:val="nil"/>
                  </w:tcBorders>
                  <w:vAlign w:val="center"/>
                </w:tcPr>
                <w:p w14:paraId="6F33B698">
                  <w:pPr>
                    <w:widowControl/>
                    <w:jc w:val="center"/>
                    <w:rPr>
                      <w:bCs/>
                      <w:kern w:val="0"/>
                      <w:sz w:val="18"/>
                      <w:szCs w:val="18"/>
                    </w:rPr>
                  </w:pPr>
                  <w:r>
                    <w:rPr>
                      <w:rFonts w:hint="eastAsia"/>
                      <w:bCs/>
                      <w:kern w:val="0"/>
                      <w:sz w:val="18"/>
                      <w:szCs w:val="18"/>
                    </w:rPr>
                    <w:t>二十</w:t>
                  </w:r>
                </w:p>
              </w:tc>
              <w:tc>
                <w:tcPr>
                  <w:tcW w:w="801" w:type="pct"/>
                  <w:gridSpan w:val="2"/>
                  <w:tcBorders>
                    <w:tl2br w:val="nil"/>
                    <w:tr2bl w:val="nil"/>
                  </w:tcBorders>
                  <w:vAlign w:val="center"/>
                </w:tcPr>
                <w:p w14:paraId="7B2FCEFE">
                  <w:pPr>
                    <w:widowControl/>
                    <w:jc w:val="center"/>
                    <w:rPr>
                      <w:bCs/>
                      <w:kern w:val="0"/>
                      <w:sz w:val="18"/>
                      <w:szCs w:val="18"/>
                    </w:rPr>
                  </w:pPr>
                  <w:r>
                    <w:rPr>
                      <w:rFonts w:hint="eastAsia"/>
                      <w:bCs/>
                      <w:kern w:val="0"/>
                      <w:sz w:val="18"/>
                      <w:szCs w:val="18"/>
                    </w:rPr>
                    <w:t>印刷和记录媒介复制业23</w:t>
                  </w:r>
                </w:p>
              </w:tc>
              <w:tc>
                <w:tcPr>
                  <w:tcW w:w="530" w:type="pct"/>
                  <w:tcBorders>
                    <w:tl2br w:val="nil"/>
                    <w:tr2bl w:val="nil"/>
                  </w:tcBorders>
                  <w:vAlign w:val="center"/>
                </w:tcPr>
                <w:p w14:paraId="4784F5E3">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576F726E">
                  <w:pPr>
                    <w:widowControl/>
                    <w:rPr>
                      <w:bCs/>
                      <w:kern w:val="0"/>
                      <w:sz w:val="18"/>
                      <w:szCs w:val="18"/>
                    </w:rPr>
                  </w:pPr>
                  <w:r>
                    <w:rPr>
                      <w:rFonts w:hint="eastAsia"/>
                      <w:bCs/>
                      <w:kern w:val="0"/>
                      <w:sz w:val="18"/>
                      <w:szCs w:val="18"/>
                    </w:rPr>
                    <w:t>使用溶剂型油墨、胶粘剂或清洗剂的</w:t>
                  </w:r>
                </w:p>
              </w:tc>
              <w:tc>
                <w:tcPr>
                  <w:tcW w:w="938" w:type="pct"/>
                  <w:tcBorders>
                    <w:tl2br w:val="nil"/>
                    <w:tr2bl w:val="nil"/>
                  </w:tcBorders>
                  <w:vAlign w:val="center"/>
                </w:tcPr>
                <w:p w14:paraId="3419F872">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68FEAA9A">
                  <w:pPr>
                    <w:widowControl/>
                    <w:jc w:val="center"/>
                    <w:rPr>
                      <w:bCs/>
                      <w:kern w:val="0"/>
                      <w:sz w:val="18"/>
                      <w:szCs w:val="18"/>
                    </w:rPr>
                  </w:pPr>
                </w:p>
              </w:tc>
            </w:tr>
            <w:tr w14:paraId="2FC13F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CFDE6C5">
                  <w:pPr>
                    <w:widowControl/>
                    <w:jc w:val="center"/>
                    <w:rPr>
                      <w:bCs/>
                      <w:kern w:val="0"/>
                      <w:sz w:val="18"/>
                      <w:szCs w:val="18"/>
                    </w:rPr>
                  </w:pPr>
                </w:p>
              </w:tc>
              <w:tc>
                <w:tcPr>
                  <w:tcW w:w="242" w:type="pct"/>
                  <w:vMerge w:val="continue"/>
                  <w:tcBorders>
                    <w:tl2br w:val="nil"/>
                    <w:tr2bl w:val="nil"/>
                  </w:tcBorders>
                  <w:vAlign w:val="center"/>
                </w:tcPr>
                <w:p w14:paraId="135AE8F7">
                  <w:pPr>
                    <w:widowControl/>
                    <w:jc w:val="center"/>
                    <w:rPr>
                      <w:bCs/>
                      <w:kern w:val="0"/>
                      <w:sz w:val="18"/>
                      <w:szCs w:val="18"/>
                    </w:rPr>
                  </w:pPr>
                </w:p>
              </w:tc>
              <w:tc>
                <w:tcPr>
                  <w:tcW w:w="517" w:type="pct"/>
                  <w:tcBorders>
                    <w:tl2br w:val="nil"/>
                    <w:tr2bl w:val="nil"/>
                  </w:tcBorders>
                  <w:vAlign w:val="center"/>
                </w:tcPr>
                <w:p w14:paraId="314A232B">
                  <w:pPr>
                    <w:widowControl/>
                    <w:jc w:val="center"/>
                    <w:rPr>
                      <w:bCs/>
                      <w:kern w:val="0"/>
                      <w:sz w:val="18"/>
                      <w:szCs w:val="18"/>
                    </w:rPr>
                  </w:pPr>
                  <w:r>
                    <w:rPr>
                      <w:rFonts w:hint="eastAsia"/>
                      <w:bCs/>
                      <w:kern w:val="0"/>
                      <w:sz w:val="18"/>
                      <w:szCs w:val="18"/>
                    </w:rPr>
                    <w:t>二十一</w:t>
                  </w:r>
                </w:p>
              </w:tc>
              <w:tc>
                <w:tcPr>
                  <w:tcW w:w="801" w:type="pct"/>
                  <w:gridSpan w:val="2"/>
                  <w:tcBorders>
                    <w:tl2br w:val="nil"/>
                    <w:tr2bl w:val="nil"/>
                  </w:tcBorders>
                  <w:vAlign w:val="center"/>
                </w:tcPr>
                <w:p w14:paraId="5FB267BE">
                  <w:pPr>
                    <w:widowControl/>
                    <w:jc w:val="center"/>
                    <w:rPr>
                      <w:bCs/>
                      <w:kern w:val="0"/>
                      <w:sz w:val="18"/>
                      <w:szCs w:val="18"/>
                    </w:rPr>
                  </w:pPr>
                  <w:r>
                    <w:rPr>
                      <w:rFonts w:hint="eastAsia"/>
                      <w:bCs/>
                      <w:kern w:val="0"/>
                      <w:sz w:val="18"/>
                      <w:szCs w:val="18"/>
                    </w:rPr>
                    <w:t>文教、工美、体育和娱乐用品制造业24</w:t>
                  </w:r>
                </w:p>
              </w:tc>
              <w:tc>
                <w:tcPr>
                  <w:tcW w:w="530" w:type="pct"/>
                  <w:tcBorders>
                    <w:tl2br w:val="nil"/>
                    <w:tr2bl w:val="nil"/>
                  </w:tcBorders>
                  <w:vAlign w:val="center"/>
                </w:tcPr>
                <w:p w14:paraId="1CF2AAF3">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00E9C084">
                  <w:pPr>
                    <w:widowControl/>
                    <w:rPr>
                      <w:bCs/>
                      <w:kern w:val="0"/>
                      <w:sz w:val="18"/>
                      <w:szCs w:val="18"/>
                    </w:rPr>
                  </w:pPr>
                  <w:r>
                    <w:rPr>
                      <w:rFonts w:hint="eastAsia"/>
                      <w:bCs/>
                      <w:kern w:val="0"/>
                      <w:sz w:val="18"/>
                      <w:szCs w:val="18"/>
                    </w:rPr>
                    <w:t>1、有电镀工艺的；</w:t>
                  </w:r>
                </w:p>
                <w:p w14:paraId="315B8B28">
                  <w:pPr>
                    <w:widowControl/>
                    <w:rPr>
                      <w:bCs/>
                      <w:kern w:val="0"/>
                      <w:sz w:val="18"/>
                      <w:szCs w:val="18"/>
                    </w:rPr>
                  </w:pPr>
                  <w:r>
                    <w:rPr>
                      <w:rFonts w:hint="eastAsia"/>
                      <w:bCs/>
                      <w:kern w:val="0"/>
                      <w:sz w:val="18"/>
                      <w:szCs w:val="18"/>
                    </w:rPr>
                    <w:t>2、有橡胶硫化工艺的；</w:t>
                  </w:r>
                </w:p>
                <w:p w14:paraId="4C9A42AE">
                  <w:pPr>
                    <w:widowControl/>
                    <w:rPr>
                      <w:bCs/>
                      <w:kern w:val="0"/>
                      <w:sz w:val="18"/>
                      <w:szCs w:val="18"/>
                    </w:rPr>
                  </w:pPr>
                  <w:r>
                    <w:rPr>
                      <w:rFonts w:hint="eastAsia"/>
                      <w:bCs/>
                      <w:kern w:val="0"/>
                      <w:sz w:val="18"/>
                      <w:szCs w:val="18"/>
                    </w:rPr>
                    <w:t>3、使用溶剂型涂料(含稀释剂)的</w:t>
                  </w:r>
                </w:p>
              </w:tc>
              <w:tc>
                <w:tcPr>
                  <w:tcW w:w="938" w:type="pct"/>
                  <w:tcBorders>
                    <w:tl2br w:val="nil"/>
                    <w:tr2bl w:val="nil"/>
                  </w:tcBorders>
                  <w:vAlign w:val="center"/>
                </w:tcPr>
                <w:p w14:paraId="5404724D">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7B2E42AE">
                  <w:pPr>
                    <w:widowControl/>
                    <w:jc w:val="center"/>
                    <w:rPr>
                      <w:bCs/>
                      <w:kern w:val="0"/>
                      <w:sz w:val="18"/>
                      <w:szCs w:val="18"/>
                    </w:rPr>
                  </w:pPr>
                </w:p>
              </w:tc>
            </w:tr>
            <w:tr w14:paraId="5D139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51AFD11D">
                  <w:pPr>
                    <w:widowControl/>
                    <w:jc w:val="center"/>
                    <w:rPr>
                      <w:bCs/>
                      <w:kern w:val="0"/>
                      <w:sz w:val="18"/>
                      <w:szCs w:val="18"/>
                    </w:rPr>
                  </w:pPr>
                </w:p>
              </w:tc>
              <w:tc>
                <w:tcPr>
                  <w:tcW w:w="242" w:type="pct"/>
                  <w:vMerge w:val="continue"/>
                  <w:tcBorders>
                    <w:tl2br w:val="nil"/>
                    <w:tr2bl w:val="nil"/>
                  </w:tcBorders>
                  <w:vAlign w:val="center"/>
                </w:tcPr>
                <w:p w14:paraId="1F433936">
                  <w:pPr>
                    <w:widowControl/>
                    <w:jc w:val="center"/>
                    <w:rPr>
                      <w:bCs/>
                      <w:kern w:val="0"/>
                      <w:sz w:val="18"/>
                      <w:szCs w:val="18"/>
                    </w:rPr>
                  </w:pPr>
                </w:p>
              </w:tc>
              <w:tc>
                <w:tcPr>
                  <w:tcW w:w="517" w:type="pct"/>
                  <w:tcBorders>
                    <w:tl2br w:val="nil"/>
                    <w:tr2bl w:val="nil"/>
                  </w:tcBorders>
                  <w:vAlign w:val="center"/>
                </w:tcPr>
                <w:p w14:paraId="6556ED0C">
                  <w:pPr>
                    <w:widowControl/>
                    <w:jc w:val="center"/>
                    <w:rPr>
                      <w:bCs/>
                      <w:kern w:val="0"/>
                      <w:sz w:val="18"/>
                      <w:szCs w:val="18"/>
                    </w:rPr>
                  </w:pPr>
                  <w:r>
                    <w:rPr>
                      <w:rFonts w:hint="eastAsia"/>
                      <w:bCs/>
                      <w:kern w:val="0"/>
                      <w:sz w:val="18"/>
                      <w:szCs w:val="18"/>
                    </w:rPr>
                    <w:t>二十二</w:t>
                  </w:r>
                </w:p>
              </w:tc>
              <w:tc>
                <w:tcPr>
                  <w:tcW w:w="801" w:type="pct"/>
                  <w:gridSpan w:val="2"/>
                  <w:tcBorders>
                    <w:tl2br w:val="nil"/>
                    <w:tr2bl w:val="nil"/>
                  </w:tcBorders>
                  <w:vAlign w:val="center"/>
                </w:tcPr>
                <w:p w14:paraId="03039C1E">
                  <w:pPr>
                    <w:widowControl/>
                    <w:jc w:val="center"/>
                    <w:rPr>
                      <w:bCs/>
                      <w:kern w:val="0"/>
                      <w:sz w:val="18"/>
                      <w:szCs w:val="18"/>
                    </w:rPr>
                  </w:pPr>
                  <w:r>
                    <w:rPr>
                      <w:rFonts w:hint="eastAsia"/>
                      <w:bCs/>
                      <w:kern w:val="0"/>
                      <w:sz w:val="18"/>
                      <w:szCs w:val="18"/>
                    </w:rPr>
                    <w:t>石油、煤炭及其他燃料加工业25</w:t>
                  </w:r>
                </w:p>
              </w:tc>
              <w:tc>
                <w:tcPr>
                  <w:tcW w:w="2621" w:type="pct"/>
                  <w:gridSpan w:val="3"/>
                  <w:tcBorders>
                    <w:tl2br w:val="nil"/>
                    <w:tr2bl w:val="nil"/>
                  </w:tcBorders>
                  <w:vAlign w:val="center"/>
                </w:tcPr>
                <w:p w14:paraId="3F8C76AA">
                  <w:pPr>
                    <w:widowControl/>
                    <w:jc w:val="center"/>
                    <w:rPr>
                      <w:bCs/>
                      <w:kern w:val="0"/>
                      <w:sz w:val="18"/>
                      <w:szCs w:val="18"/>
                    </w:rPr>
                  </w:pPr>
                  <w:r>
                    <w:rPr>
                      <w:rFonts w:hint="eastAsia"/>
                      <w:bCs/>
                      <w:kern w:val="0"/>
                      <w:sz w:val="18"/>
                      <w:szCs w:val="18"/>
                    </w:rPr>
                    <w:t>全部</w:t>
                  </w:r>
                </w:p>
              </w:tc>
              <w:tc>
                <w:tcPr>
                  <w:tcW w:w="577" w:type="pct"/>
                  <w:vMerge w:val="continue"/>
                  <w:tcBorders>
                    <w:tl2br w:val="nil"/>
                    <w:tr2bl w:val="nil"/>
                  </w:tcBorders>
                  <w:vAlign w:val="center"/>
                </w:tcPr>
                <w:p w14:paraId="69DC3305">
                  <w:pPr>
                    <w:widowControl/>
                    <w:jc w:val="center"/>
                    <w:rPr>
                      <w:bCs/>
                      <w:kern w:val="0"/>
                      <w:sz w:val="18"/>
                      <w:szCs w:val="18"/>
                    </w:rPr>
                  </w:pPr>
                </w:p>
              </w:tc>
            </w:tr>
            <w:tr w14:paraId="564BBD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3DCEC447">
                  <w:pPr>
                    <w:widowControl/>
                    <w:jc w:val="center"/>
                    <w:rPr>
                      <w:bCs/>
                      <w:kern w:val="0"/>
                      <w:sz w:val="18"/>
                      <w:szCs w:val="18"/>
                    </w:rPr>
                  </w:pPr>
                </w:p>
              </w:tc>
              <w:tc>
                <w:tcPr>
                  <w:tcW w:w="242" w:type="pct"/>
                  <w:vMerge w:val="continue"/>
                  <w:tcBorders>
                    <w:tl2br w:val="nil"/>
                    <w:tr2bl w:val="nil"/>
                  </w:tcBorders>
                  <w:vAlign w:val="center"/>
                </w:tcPr>
                <w:p w14:paraId="553624A2">
                  <w:pPr>
                    <w:widowControl/>
                    <w:jc w:val="center"/>
                    <w:rPr>
                      <w:bCs/>
                      <w:kern w:val="0"/>
                      <w:sz w:val="18"/>
                      <w:szCs w:val="18"/>
                    </w:rPr>
                  </w:pPr>
                </w:p>
              </w:tc>
              <w:tc>
                <w:tcPr>
                  <w:tcW w:w="517" w:type="pct"/>
                  <w:tcBorders>
                    <w:tl2br w:val="nil"/>
                    <w:tr2bl w:val="nil"/>
                  </w:tcBorders>
                  <w:vAlign w:val="center"/>
                </w:tcPr>
                <w:p w14:paraId="001A8EB9">
                  <w:pPr>
                    <w:widowControl/>
                    <w:jc w:val="center"/>
                    <w:rPr>
                      <w:bCs/>
                      <w:kern w:val="0"/>
                      <w:sz w:val="18"/>
                      <w:szCs w:val="18"/>
                    </w:rPr>
                  </w:pPr>
                  <w:r>
                    <w:rPr>
                      <w:rFonts w:hint="eastAsia"/>
                      <w:bCs/>
                      <w:kern w:val="0"/>
                      <w:sz w:val="18"/>
                      <w:szCs w:val="18"/>
                    </w:rPr>
                    <w:t>二十三</w:t>
                  </w:r>
                </w:p>
              </w:tc>
              <w:tc>
                <w:tcPr>
                  <w:tcW w:w="801" w:type="pct"/>
                  <w:gridSpan w:val="2"/>
                  <w:tcBorders>
                    <w:tl2br w:val="nil"/>
                    <w:tr2bl w:val="nil"/>
                  </w:tcBorders>
                  <w:vAlign w:val="center"/>
                </w:tcPr>
                <w:p w14:paraId="6C6C26B7">
                  <w:pPr>
                    <w:widowControl/>
                    <w:jc w:val="center"/>
                    <w:rPr>
                      <w:bCs/>
                      <w:kern w:val="0"/>
                      <w:sz w:val="18"/>
                      <w:szCs w:val="18"/>
                    </w:rPr>
                  </w:pPr>
                  <w:r>
                    <w:rPr>
                      <w:rFonts w:hint="eastAsia"/>
                      <w:bCs/>
                      <w:kern w:val="0"/>
                      <w:sz w:val="18"/>
                      <w:szCs w:val="18"/>
                    </w:rPr>
                    <w:t>化学原料和化学制品制造业26</w:t>
                  </w:r>
                </w:p>
              </w:tc>
              <w:tc>
                <w:tcPr>
                  <w:tcW w:w="2621" w:type="pct"/>
                  <w:gridSpan w:val="3"/>
                  <w:tcBorders>
                    <w:tl2br w:val="nil"/>
                    <w:tr2bl w:val="nil"/>
                  </w:tcBorders>
                  <w:vAlign w:val="center"/>
                </w:tcPr>
                <w:p w14:paraId="0ABB85FA">
                  <w:pPr>
                    <w:widowControl/>
                    <w:jc w:val="center"/>
                    <w:rPr>
                      <w:bCs/>
                      <w:kern w:val="0"/>
                      <w:sz w:val="18"/>
                      <w:szCs w:val="18"/>
                    </w:rPr>
                  </w:pPr>
                  <w:r>
                    <w:rPr>
                      <w:rFonts w:hint="eastAsia"/>
                      <w:bCs/>
                      <w:kern w:val="0"/>
                      <w:sz w:val="18"/>
                      <w:szCs w:val="18"/>
                    </w:rPr>
                    <w:t>全部</w:t>
                  </w:r>
                </w:p>
              </w:tc>
              <w:tc>
                <w:tcPr>
                  <w:tcW w:w="577" w:type="pct"/>
                  <w:vMerge w:val="continue"/>
                  <w:tcBorders>
                    <w:tl2br w:val="nil"/>
                    <w:tr2bl w:val="nil"/>
                  </w:tcBorders>
                  <w:vAlign w:val="center"/>
                </w:tcPr>
                <w:p w14:paraId="19890BEB">
                  <w:pPr>
                    <w:widowControl/>
                    <w:jc w:val="center"/>
                    <w:rPr>
                      <w:bCs/>
                      <w:kern w:val="0"/>
                      <w:sz w:val="18"/>
                      <w:szCs w:val="18"/>
                    </w:rPr>
                  </w:pPr>
                </w:p>
              </w:tc>
            </w:tr>
            <w:tr w14:paraId="57BE2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3C07E7B">
                  <w:pPr>
                    <w:widowControl/>
                    <w:jc w:val="center"/>
                    <w:rPr>
                      <w:bCs/>
                      <w:kern w:val="0"/>
                      <w:sz w:val="18"/>
                      <w:szCs w:val="18"/>
                    </w:rPr>
                  </w:pPr>
                </w:p>
              </w:tc>
              <w:tc>
                <w:tcPr>
                  <w:tcW w:w="242" w:type="pct"/>
                  <w:vMerge w:val="continue"/>
                  <w:tcBorders>
                    <w:tl2br w:val="nil"/>
                    <w:tr2bl w:val="nil"/>
                  </w:tcBorders>
                  <w:vAlign w:val="center"/>
                </w:tcPr>
                <w:p w14:paraId="65912841">
                  <w:pPr>
                    <w:widowControl/>
                    <w:jc w:val="center"/>
                    <w:rPr>
                      <w:bCs/>
                      <w:kern w:val="0"/>
                      <w:sz w:val="18"/>
                      <w:szCs w:val="18"/>
                    </w:rPr>
                  </w:pPr>
                </w:p>
              </w:tc>
              <w:tc>
                <w:tcPr>
                  <w:tcW w:w="517" w:type="pct"/>
                  <w:tcBorders>
                    <w:tl2br w:val="nil"/>
                    <w:tr2bl w:val="nil"/>
                  </w:tcBorders>
                  <w:vAlign w:val="center"/>
                </w:tcPr>
                <w:p w14:paraId="5866B3D2">
                  <w:pPr>
                    <w:widowControl/>
                    <w:jc w:val="center"/>
                    <w:rPr>
                      <w:bCs/>
                      <w:kern w:val="0"/>
                      <w:sz w:val="18"/>
                      <w:szCs w:val="18"/>
                    </w:rPr>
                  </w:pPr>
                  <w:r>
                    <w:rPr>
                      <w:rFonts w:hint="eastAsia"/>
                      <w:bCs/>
                      <w:kern w:val="0"/>
                      <w:sz w:val="18"/>
                      <w:szCs w:val="18"/>
                    </w:rPr>
                    <w:t>二十四</w:t>
                  </w:r>
                </w:p>
              </w:tc>
              <w:tc>
                <w:tcPr>
                  <w:tcW w:w="801" w:type="pct"/>
                  <w:gridSpan w:val="2"/>
                  <w:tcBorders>
                    <w:tl2br w:val="nil"/>
                    <w:tr2bl w:val="nil"/>
                  </w:tcBorders>
                  <w:vAlign w:val="center"/>
                </w:tcPr>
                <w:p w14:paraId="3F331613">
                  <w:pPr>
                    <w:widowControl/>
                    <w:jc w:val="center"/>
                    <w:rPr>
                      <w:bCs/>
                      <w:kern w:val="0"/>
                      <w:sz w:val="18"/>
                      <w:szCs w:val="18"/>
                    </w:rPr>
                  </w:pPr>
                  <w:r>
                    <w:rPr>
                      <w:rFonts w:hint="eastAsia"/>
                      <w:bCs/>
                      <w:kern w:val="0"/>
                      <w:sz w:val="18"/>
                      <w:szCs w:val="18"/>
                    </w:rPr>
                    <w:t>医药制造业27</w:t>
                  </w:r>
                </w:p>
              </w:tc>
              <w:tc>
                <w:tcPr>
                  <w:tcW w:w="530" w:type="pct"/>
                  <w:tcBorders>
                    <w:tl2br w:val="nil"/>
                    <w:tr2bl w:val="nil"/>
                  </w:tcBorders>
                  <w:vAlign w:val="center"/>
                </w:tcPr>
                <w:p w14:paraId="3E1DA09C">
                  <w:pPr>
                    <w:widowControl/>
                    <w:rPr>
                      <w:bCs/>
                      <w:kern w:val="0"/>
                      <w:sz w:val="18"/>
                      <w:szCs w:val="18"/>
                    </w:rPr>
                  </w:pPr>
                  <w:r>
                    <w:rPr>
                      <w:rFonts w:hint="eastAsia"/>
                      <w:sz w:val="18"/>
                      <w:szCs w:val="18"/>
                    </w:rPr>
                    <w:t>化学药品原料药制造271、兽用药品制造275(除单纯药品复配外的)</w:t>
                  </w:r>
                </w:p>
              </w:tc>
              <w:tc>
                <w:tcPr>
                  <w:tcW w:w="1153" w:type="pct"/>
                  <w:tcBorders>
                    <w:tl2br w:val="nil"/>
                    <w:tr2bl w:val="nil"/>
                  </w:tcBorders>
                  <w:vAlign w:val="center"/>
                </w:tcPr>
                <w:p w14:paraId="17AA58D5">
                  <w:pPr>
                    <w:widowControl/>
                    <w:rPr>
                      <w:bCs/>
                      <w:kern w:val="0"/>
                      <w:sz w:val="18"/>
                      <w:szCs w:val="18"/>
                      <w:lang w:bidi="ar"/>
                    </w:rPr>
                  </w:pPr>
                  <w:r>
                    <w:rPr>
                      <w:rFonts w:hint="eastAsia"/>
                      <w:bCs/>
                      <w:kern w:val="0"/>
                      <w:sz w:val="18"/>
                      <w:szCs w:val="18"/>
                      <w:lang w:bidi="ar"/>
                    </w:rPr>
                    <w:t>1、涉及重点监管危险化工工艺或构成重大危险源的医药项目；</w:t>
                  </w:r>
                </w:p>
                <w:p w14:paraId="7170D7EB">
                  <w:pPr>
                    <w:widowControl/>
                    <w:rPr>
                      <w:bCs/>
                      <w:kern w:val="0"/>
                      <w:sz w:val="18"/>
                      <w:szCs w:val="18"/>
                    </w:rPr>
                  </w:pPr>
                  <w:r>
                    <w:rPr>
                      <w:rFonts w:hint="eastAsia"/>
                      <w:bCs/>
                      <w:kern w:val="0"/>
                      <w:sz w:val="18"/>
                      <w:szCs w:val="18"/>
                      <w:lang w:bidi="ar"/>
                    </w:rPr>
                    <w:t>2、危险化学品使用取证项目(不涉及重点监管危险化工工艺且不构成重大危险源的生物医药、中药提取项目除外)</w:t>
                  </w:r>
                </w:p>
              </w:tc>
              <w:tc>
                <w:tcPr>
                  <w:tcW w:w="938" w:type="pct"/>
                  <w:tcBorders>
                    <w:tl2br w:val="nil"/>
                    <w:tr2bl w:val="nil"/>
                  </w:tcBorders>
                  <w:vAlign w:val="center"/>
                </w:tcPr>
                <w:p w14:paraId="388FE857">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1F434701">
                  <w:pPr>
                    <w:widowControl/>
                    <w:jc w:val="center"/>
                    <w:rPr>
                      <w:bCs/>
                      <w:kern w:val="0"/>
                      <w:sz w:val="18"/>
                      <w:szCs w:val="18"/>
                    </w:rPr>
                  </w:pPr>
                </w:p>
              </w:tc>
            </w:tr>
            <w:tr w14:paraId="61F52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04DD01A6">
                  <w:pPr>
                    <w:widowControl/>
                    <w:jc w:val="center"/>
                    <w:rPr>
                      <w:bCs/>
                      <w:kern w:val="0"/>
                      <w:sz w:val="18"/>
                      <w:szCs w:val="18"/>
                    </w:rPr>
                  </w:pPr>
                </w:p>
              </w:tc>
              <w:tc>
                <w:tcPr>
                  <w:tcW w:w="242" w:type="pct"/>
                  <w:vMerge w:val="continue"/>
                  <w:tcBorders>
                    <w:tl2br w:val="nil"/>
                    <w:tr2bl w:val="nil"/>
                  </w:tcBorders>
                  <w:vAlign w:val="center"/>
                </w:tcPr>
                <w:p w14:paraId="08F64F5A">
                  <w:pPr>
                    <w:widowControl/>
                    <w:jc w:val="center"/>
                    <w:rPr>
                      <w:bCs/>
                      <w:kern w:val="0"/>
                      <w:sz w:val="18"/>
                      <w:szCs w:val="18"/>
                    </w:rPr>
                  </w:pPr>
                </w:p>
              </w:tc>
              <w:tc>
                <w:tcPr>
                  <w:tcW w:w="517" w:type="pct"/>
                  <w:tcBorders>
                    <w:tl2br w:val="nil"/>
                    <w:tr2bl w:val="nil"/>
                  </w:tcBorders>
                  <w:vAlign w:val="center"/>
                </w:tcPr>
                <w:p w14:paraId="5B80F459">
                  <w:pPr>
                    <w:widowControl/>
                    <w:jc w:val="center"/>
                    <w:rPr>
                      <w:bCs/>
                      <w:kern w:val="0"/>
                      <w:sz w:val="18"/>
                      <w:szCs w:val="18"/>
                    </w:rPr>
                  </w:pPr>
                  <w:r>
                    <w:rPr>
                      <w:rFonts w:hint="eastAsia"/>
                      <w:bCs/>
                      <w:kern w:val="0"/>
                      <w:sz w:val="18"/>
                      <w:szCs w:val="18"/>
                    </w:rPr>
                    <w:t>二十五</w:t>
                  </w:r>
                </w:p>
              </w:tc>
              <w:tc>
                <w:tcPr>
                  <w:tcW w:w="801" w:type="pct"/>
                  <w:gridSpan w:val="2"/>
                  <w:tcBorders>
                    <w:tl2br w:val="nil"/>
                    <w:tr2bl w:val="nil"/>
                  </w:tcBorders>
                  <w:vAlign w:val="center"/>
                </w:tcPr>
                <w:p w14:paraId="63EF2BB5">
                  <w:pPr>
                    <w:widowControl/>
                    <w:jc w:val="center"/>
                    <w:rPr>
                      <w:bCs/>
                      <w:kern w:val="0"/>
                      <w:sz w:val="18"/>
                      <w:szCs w:val="18"/>
                    </w:rPr>
                  </w:pPr>
                  <w:r>
                    <w:rPr>
                      <w:rFonts w:hint="eastAsia"/>
                      <w:bCs/>
                      <w:kern w:val="0"/>
                      <w:sz w:val="18"/>
                      <w:szCs w:val="18"/>
                    </w:rPr>
                    <w:t>化学纤维制造业28</w:t>
                  </w:r>
                </w:p>
              </w:tc>
              <w:tc>
                <w:tcPr>
                  <w:tcW w:w="2621" w:type="pct"/>
                  <w:gridSpan w:val="3"/>
                  <w:tcBorders>
                    <w:tl2br w:val="nil"/>
                    <w:tr2bl w:val="nil"/>
                  </w:tcBorders>
                  <w:vAlign w:val="center"/>
                </w:tcPr>
                <w:p w14:paraId="7F62AAB0">
                  <w:pPr>
                    <w:widowControl/>
                    <w:jc w:val="center"/>
                    <w:rPr>
                      <w:bCs/>
                      <w:kern w:val="0"/>
                      <w:sz w:val="18"/>
                      <w:szCs w:val="18"/>
                    </w:rPr>
                  </w:pPr>
                  <w:r>
                    <w:rPr>
                      <w:rFonts w:hint="eastAsia"/>
                      <w:bCs/>
                      <w:sz w:val="18"/>
                      <w:szCs w:val="18"/>
                    </w:rPr>
                    <w:t>全部(单纯纺丝制造、</w:t>
                  </w:r>
                  <w:r>
                    <w:rPr>
                      <w:rStyle w:val="148"/>
                      <w:rFonts w:hint="eastAsia"/>
                      <w:color w:val="auto"/>
                      <w:lang w:bidi="ar"/>
                    </w:rPr>
                    <w:t>单纯丙纶纤维制造的除外)</w:t>
                  </w:r>
                </w:p>
              </w:tc>
              <w:tc>
                <w:tcPr>
                  <w:tcW w:w="577" w:type="pct"/>
                  <w:vMerge w:val="continue"/>
                  <w:tcBorders>
                    <w:tl2br w:val="nil"/>
                    <w:tr2bl w:val="nil"/>
                  </w:tcBorders>
                  <w:vAlign w:val="center"/>
                </w:tcPr>
                <w:p w14:paraId="7E07E181">
                  <w:pPr>
                    <w:widowControl/>
                    <w:jc w:val="center"/>
                    <w:rPr>
                      <w:bCs/>
                      <w:kern w:val="0"/>
                      <w:sz w:val="18"/>
                      <w:szCs w:val="18"/>
                    </w:rPr>
                  </w:pPr>
                </w:p>
              </w:tc>
            </w:tr>
            <w:tr w14:paraId="54F7F7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57091FF3">
                  <w:pPr>
                    <w:widowControl/>
                    <w:jc w:val="center"/>
                    <w:rPr>
                      <w:bCs/>
                      <w:kern w:val="0"/>
                      <w:sz w:val="18"/>
                      <w:szCs w:val="18"/>
                    </w:rPr>
                  </w:pPr>
                </w:p>
              </w:tc>
              <w:tc>
                <w:tcPr>
                  <w:tcW w:w="242" w:type="pct"/>
                  <w:vMerge w:val="continue"/>
                  <w:tcBorders>
                    <w:tl2br w:val="nil"/>
                    <w:tr2bl w:val="nil"/>
                  </w:tcBorders>
                  <w:vAlign w:val="center"/>
                </w:tcPr>
                <w:p w14:paraId="30193109">
                  <w:pPr>
                    <w:widowControl/>
                    <w:jc w:val="center"/>
                    <w:rPr>
                      <w:bCs/>
                      <w:kern w:val="0"/>
                      <w:sz w:val="18"/>
                      <w:szCs w:val="18"/>
                    </w:rPr>
                  </w:pPr>
                </w:p>
              </w:tc>
              <w:tc>
                <w:tcPr>
                  <w:tcW w:w="517" w:type="pct"/>
                  <w:vMerge w:val="restart"/>
                  <w:tcBorders>
                    <w:tl2br w:val="nil"/>
                    <w:tr2bl w:val="nil"/>
                  </w:tcBorders>
                  <w:vAlign w:val="center"/>
                </w:tcPr>
                <w:p w14:paraId="62E7A5D7">
                  <w:pPr>
                    <w:widowControl/>
                    <w:jc w:val="center"/>
                    <w:rPr>
                      <w:bCs/>
                      <w:kern w:val="0"/>
                      <w:sz w:val="18"/>
                      <w:szCs w:val="18"/>
                    </w:rPr>
                  </w:pPr>
                  <w:r>
                    <w:rPr>
                      <w:rFonts w:hint="eastAsia"/>
                      <w:bCs/>
                      <w:kern w:val="0"/>
                      <w:sz w:val="18"/>
                      <w:szCs w:val="18"/>
                    </w:rPr>
                    <w:t>二十六</w:t>
                  </w:r>
                </w:p>
              </w:tc>
              <w:tc>
                <w:tcPr>
                  <w:tcW w:w="145" w:type="pct"/>
                  <w:vMerge w:val="restart"/>
                  <w:tcBorders>
                    <w:tl2br w:val="nil"/>
                    <w:tr2bl w:val="nil"/>
                  </w:tcBorders>
                  <w:vAlign w:val="center"/>
                </w:tcPr>
                <w:p w14:paraId="59495388">
                  <w:pPr>
                    <w:widowControl/>
                    <w:jc w:val="center"/>
                    <w:rPr>
                      <w:bCs/>
                      <w:kern w:val="0"/>
                      <w:sz w:val="18"/>
                      <w:szCs w:val="18"/>
                    </w:rPr>
                  </w:pPr>
                  <w:r>
                    <w:rPr>
                      <w:rFonts w:hint="eastAsia"/>
                      <w:bCs/>
                      <w:kern w:val="0"/>
                      <w:sz w:val="18"/>
                      <w:szCs w:val="18"/>
                    </w:rPr>
                    <w:t>橡胶和塑料制品业29</w:t>
                  </w:r>
                </w:p>
              </w:tc>
              <w:tc>
                <w:tcPr>
                  <w:tcW w:w="655" w:type="pct"/>
                  <w:tcBorders>
                    <w:tl2br w:val="nil"/>
                    <w:tr2bl w:val="nil"/>
                  </w:tcBorders>
                  <w:vAlign w:val="center"/>
                </w:tcPr>
                <w:p w14:paraId="3639D94E">
                  <w:pPr>
                    <w:widowControl/>
                    <w:jc w:val="center"/>
                    <w:rPr>
                      <w:bCs/>
                      <w:kern w:val="0"/>
                      <w:sz w:val="18"/>
                      <w:szCs w:val="18"/>
                    </w:rPr>
                  </w:pPr>
                  <w:r>
                    <w:rPr>
                      <w:rFonts w:hint="eastAsia"/>
                      <w:bCs/>
                      <w:kern w:val="0"/>
                      <w:sz w:val="18"/>
                      <w:szCs w:val="18"/>
                    </w:rPr>
                    <w:t>橡胶制品业291</w:t>
                  </w:r>
                </w:p>
              </w:tc>
              <w:tc>
                <w:tcPr>
                  <w:tcW w:w="530" w:type="pct"/>
                  <w:tcBorders>
                    <w:tl2br w:val="nil"/>
                    <w:tr2bl w:val="nil"/>
                  </w:tcBorders>
                  <w:vAlign w:val="center"/>
                </w:tcPr>
                <w:p w14:paraId="3FD4D612">
                  <w:pPr>
                    <w:widowControl/>
                    <w:jc w:val="center"/>
                    <w:rPr>
                      <w:bCs/>
                      <w:kern w:val="0"/>
                      <w:sz w:val="18"/>
                      <w:szCs w:val="18"/>
                    </w:rPr>
                  </w:pPr>
                  <w:r>
                    <w:rPr>
                      <w:bCs/>
                      <w:kern w:val="0"/>
                      <w:sz w:val="18"/>
                      <w:szCs w:val="18"/>
                    </w:rPr>
                    <w:t>/</w:t>
                  </w:r>
                </w:p>
              </w:tc>
              <w:tc>
                <w:tcPr>
                  <w:tcW w:w="1153" w:type="pct"/>
                  <w:vMerge w:val="restart"/>
                  <w:tcBorders>
                    <w:tl2br w:val="nil"/>
                    <w:tr2bl w:val="nil"/>
                  </w:tcBorders>
                  <w:vAlign w:val="center"/>
                </w:tcPr>
                <w:p w14:paraId="324EC5D5">
                  <w:pPr>
                    <w:widowControl/>
                    <w:rPr>
                      <w:bCs/>
                      <w:kern w:val="0"/>
                      <w:sz w:val="18"/>
                      <w:szCs w:val="18"/>
                    </w:rPr>
                  </w:pPr>
                  <w:r>
                    <w:rPr>
                      <w:rFonts w:hint="eastAsia"/>
                      <w:bCs/>
                      <w:kern w:val="0"/>
                      <w:sz w:val="18"/>
                      <w:szCs w:val="18"/>
                    </w:rPr>
                    <w:t>1、有电镀工艺的；</w:t>
                  </w:r>
                </w:p>
                <w:p w14:paraId="2B09AA66">
                  <w:pPr>
                    <w:widowControl/>
                    <w:rPr>
                      <w:bCs/>
                      <w:kern w:val="0"/>
                      <w:sz w:val="18"/>
                      <w:szCs w:val="18"/>
                    </w:rPr>
                  </w:pPr>
                  <w:r>
                    <w:rPr>
                      <w:rFonts w:hint="eastAsia"/>
                      <w:bCs/>
                      <w:kern w:val="0"/>
                      <w:sz w:val="18"/>
                      <w:szCs w:val="18"/>
                    </w:rPr>
                    <w:t>2、以再生塑料为原料生产的；</w:t>
                  </w:r>
                </w:p>
                <w:p w14:paraId="3A510CAF">
                  <w:pPr>
                    <w:widowControl/>
                    <w:rPr>
                      <w:bCs/>
                      <w:kern w:val="0"/>
                      <w:sz w:val="18"/>
                      <w:szCs w:val="18"/>
                    </w:rPr>
                  </w:pPr>
                  <w:r>
                    <w:rPr>
                      <w:rFonts w:hint="eastAsia"/>
                      <w:kern w:val="0"/>
                      <w:sz w:val="18"/>
                      <w:szCs w:val="18"/>
                    </w:rPr>
                    <w:t>3、</w:t>
                  </w:r>
                  <w:r>
                    <w:rPr>
                      <w:rFonts w:hint="eastAsia"/>
                      <w:bCs/>
                      <w:kern w:val="0"/>
                      <w:sz w:val="18"/>
                      <w:szCs w:val="18"/>
                    </w:rPr>
                    <w:t>使用溶剂型胶粘剂或</w:t>
                  </w:r>
                  <w:r>
                    <w:rPr>
                      <w:rFonts w:hint="eastAsia"/>
                      <w:kern w:val="0"/>
                      <w:sz w:val="18"/>
                      <w:szCs w:val="18"/>
                    </w:rPr>
                    <w:t>溶剂型涂料(含稀释剂)</w:t>
                  </w:r>
                  <w:r>
                    <w:rPr>
                      <w:rFonts w:hint="eastAsia"/>
                      <w:bCs/>
                      <w:kern w:val="0"/>
                      <w:sz w:val="18"/>
                      <w:szCs w:val="18"/>
                    </w:rPr>
                    <w:t>的</w:t>
                  </w:r>
                </w:p>
              </w:tc>
              <w:tc>
                <w:tcPr>
                  <w:tcW w:w="938" w:type="pct"/>
                  <w:tcBorders>
                    <w:tl2br w:val="nil"/>
                    <w:tr2bl w:val="nil"/>
                  </w:tcBorders>
                  <w:vAlign w:val="center"/>
                </w:tcPr>
                <w:p w14:paraId="5094215C">
                  <w:pPr>
                    <w:rPr>
                      <w:bCs/>
                      <w:kern w:val="0"/>
                      <w:sz w:val="18"/>
                      <w:szCs w:val="18"/>
                    </w:rPr>
                  </w:pPr>
                  <w:r>
                    <w:rPr>
                      <w:rFonts w:hint="eastAsia"/>
                      <w:bCs/>
                      <w:sz w:val="18"/>
                      <w:szCs w:val="18"/>
                    </w:rPr>
                    <w:t>轮胎制造；再生橡胶制造(常压连续脱硫工艺除外)</w:t>
                  </w:r>
                </w:p>
              </w:tc>
              <w:tc>
                <w:tcPr>
                  <w:tcW w:w="577" w:type="pct"/>
                  <w:tcBorders>
                    <w:tl2br w:val="nil"/>
                    <w:tr2bl w:val="nil"/>
                  </w:tcBorders>
                  <w:vAlign w:val="center"/>
                </w:tcPr>
                <w:p w14:paraId="7CC83BE0">
                  <w:pPr>
                    <w:widowControl/>
                    <w:jc w:val="center"/>
                    <w:rPr>
                      <w:bCs/>
                      <w:kern w:val="0"/>
                      <w:sz w:val="18"/>
                      <w:szCs w:val="18"/>
                    </w:rPr>
                  </w:pPr>
                </w:p>
              </w:tc>
            </w:tr>
            <w:tr w14:paraId="2524B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54B6693B">
                  <w:pPr>
                    <w:widowControl/>
                    <w:jc w:val="center"/>
                    <w:rPr>
                      <w:bCs/>
                      <w:kern w:val="0"/>
                      <w:sz w:val="18"/>
                      <w:szCs w:val="18"/>
                    </w:rPr>
                  </w:pPr>
                </w:p>
              </w:tc>
              <w:tc>
                <w:tcPr>
                  <w:tcW w:w="242" w:type="pct"/>
                  <w:vMerge w:val="continue"/>
                  <w:tcBorders>
                    <w:tl2br w:val="nil"/>
                    <w:tr2bl w:val="nil"/>
                  </w:tcBorders>
                  <w:vAlign w:val="center"/>
                </w:tcPr>
                <w:p w14:paraId="3EA3F3C1">
                  <w:pPr>
                    <w:widowControl/>
                    <w:jc w:val="center"/>
                    <w:rPr>
                      <w:bCs/>
                      <w:kern w:val="0"/>
                      <w:sz w:val="18"/>
                      <w:szCs w:val="18"/>
                    </w:rPr>
                  </w:pPr>
                </w:p>
              </w:tc>
              <w:tc>
                <w:tcPr>
                  <w:tcW w:w="517" w:type="pct"/>
                  <w:vMerge w:val="continue"/>
                  <w:tcBorders>
                    <w:tl2br w:val="nil"/>
                    <w:tr2bl w:val="nil"/>
                  </w:tcBorders>
                  <w:vAlign w:val="center"/>
                </w:tcPr>
                <w:p w14:paraId="1EBBC06F">
                  <w:pPr>
                    <w:widowControl/>
                    <w:jc w:val="center"/>
                    <w:rPr>
                      <w:bCs/>
                      <w:kern w:val="0"/>
                      <w:sz w:val="18"/>
                      <w:szCs w:val="18"/>
                    </w:rPr>
                  </w:pPr>
                </w:p>
              </w:tc>
              <w:tc>
                <w:tcPr>
                  <w:tcW w:w="145" w:type="pct"/>
                  <w:vMerge w:val="continue"/>
                  <w:tcBorders>
                    <w:tl2br w:val="nil"/>
                    <w:tr2bl w:val="nil"/>
                  </w:tcBorders>
                  <w:vAlign w:val="center"/>
                </w:tcPr>
                <w:p w14:paraId="0C5C6CC7">
                  <w:pPr>
                    <w:widowControl/>
                    <w:jc w:val="center"/>
                    <w:rPr>
                      <w:bCs/>
                      <w:kern w:val="0"/>
                      <w:sz w:val="18"/>
                      <w:szCs w:val="18"/>
                    </w:rPr>
                  </w:pPr>
                </w:p>
              </w:tc>
              <w:tc>
                <w:tcPr>
                  <w:tcW w:w="655" w:type="pct"/>
                  <w:tcBorders>
                    <w:tl2br w:val="nil"/>
                    <w:tr2bl w:val="nil"/>
                  </w:tcBorders>
                  <w:vAlign w:val="center"/>
                </w:tcPr>
                <w:p w14:paraId="67773C52">
                  <w:pPr>
                    <w:widowControl/>
                    <w:jc w:val="center"/>
                    <w:rPr>
                      <w:bCs/>
                      <w:kern w:val="0"/>
                      <w:sz w:val="18"/>
                      <w:szCs w:val="18"/>
                    </w:rPr>
                  </w:pPr>
                  <w:r>
                    <w:rPr>
                      <w:rFonts w:hint="eastAsia"/>
                      <w:bCs/>
                      <w:kern w:val="0"/>
                      <w:sz w:val="18"/>
                      <w:szCs w:val="18"/>
                    </w:rPr>
                    <w:t>塑料制品业292</w:t>
                  </w:r>
                </w:p>
              </w:tc>
              <w:tc>
                <w:tcPr>
                  <w:tcW w:w="530" w:type="pct"/>
                  <w:tcBorders>
                    <w:tl2br w:val="nil"/>
                    <w:tr2bl w:val="nil"/>
                  </w:tcBorders>
                  <w:vAlign w:val="center"/>
                </w:tcPr>
                <w:p w14:paraId="6F56BC4B">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4E5054F6">
                  <w:pPr>
                    <w:widowControl/>
                    <w:rPr>
                      <w:bCs/>
                      <w:kern w:val="0"/>
                      <w:sz w:val="18"/>
                      <w:szCs w:val="18"/>
                    </w:rPr>
                  </w:pPr>
                </w:p>
              </w:tc>
              <w:tc>
                <w:tcPr>
                  <w:tcW w:w="938" w:type="pct"/>
                  <w:tcBorders>
                    <w:tl2br w:val="nil"/>
                    <w:tr2bl w:val="nil"/>
                  </w:tcBorders>
                  <w:vAlign w:val="center"/>
                </w:tcPr>
                <w:p w14:paraId="27FA29B8">
                  <w:pPr>
                    <w:widowControl/>
                    <w:jc w:val="center"/>
                    <w:rPr>
                      <w:bCs/>
                      <w:kern w:val="0"/>
                      <w:sz w:val="18"/>
                      <w:szCs w:val="18"/>
                    </w:rPr>
                  </w:pPr>
                  <w:r>
                    <w:rPr>
                      <w:bCs/>
                      <w:kern w:val="0"/>
                      <w:sz w:val="18"/>
                      <w:szCs w:val="18"/>
                    </w:rPr>
                    <w:t>/</w:t>
                  </w:r>
                </w:p>
              </w:tc>
              <w:tc>
                <w:tcPr>
                  <w:tcW w:w="577" w:type="pct"/>
                  <w:tcBorders>
                    <w:tl2br w:val="nil"/>
                    <w:tr2bl w:val="nil"/>
                  </w:tcBorders>
                  <w:vAlign w:val="center"/>
                </w:tcPr>
                <w:p w14:paraId="07B17BB6">
                  <w:pPr>
                    <w:widowControl/>
                    <w:jc w:val="center"/>
                    <w:rPr>
                      <w:bCs/>
                      <w:kern w:val="0"/>
                      <w:sz w:val="18"/>
                      <w:szCs w:val="18"/>
                    </w:rPr>
                  </w:pPr>
                </w:p>
              </w:tc>
            </w:tr>
            <w:tr w14:paraId="3D8F93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494EE7EC">
                  <w:pPr>
                    <w:widowControl/>
                    <w:jc w:val="center"/>
                    <w:rPr>
                      <w:bCs/>
                      <w:kern w:val="0"/>
                      <w:sz w:val="18"/>
                      <w:szCs w:val="18"/>
                    </w:rPr>
                  </w:pPr>
                </w:p>
              </w:tc>
              <w:tc>
                <w:tcPr>
                  <w:tcW w:w="242" w:type="pct"/>
                  <w:vMerge w:val="continue"/>
                  <w:tcBorders>
                    <w:tl2br w:val="nil"/>
                    <w:tr2bl w:val="nil"/>
                  </w:tcBorders>
                  <w:vAlign w:val="center"/>
                </w:tcPr>
                <w:p w14:paraId="76DAA490">
                  <w:pPr>
                    <w:widowControl/>
                    <w:jc w:val="center"/>
                    <w:rPr>
                      <w:bCs/>
                      <w:kern w:val="0"/>
                      <w:sz w:val="18"/>
                      <w:szCs w:val="18"/>
                    </w:rPr>
                  </w:pPr>
                </w:p>
              </w:tc>
              <w:tc>
                <w:tcPr>
                  <w:tcW w:w="517" w:type="pct"/>
                  <w:tcBorders>
                    <w:tl2br w:val="nil"/>
                    <w:tr2bl w:val="nil"/>
                  </w:tcBorders>
                  <w:vAlign w:val="center"/>
                </w:tcPr>
                <w:p w14:paraId="444CCE98">
                  <w:pPr>
                    <w:widowControl/>
                    <w:jc w:val="center"/>
                    <w:rPr>
                      <w:bCs/>
                      <w:kern w:val="0"/>
                      <w:sz w:val="18"/>
                      <w:szCs w:val="18"/>
                    </w:rPr>
                  </w:pPr>
                  <w:r>
                    <w:rPr>
                      <w:rFonts w:hint="eastAsia"/>
                      <w:bCs/>
                      <w:kern w:val="0"/>
                      <w:sz w:val="18"/>
                      <w:szCs w:val="18"/>
                    </w:rPr>
                    <w:t>二十七</w:t>
                  </w:r>
                </w:p>
              </w:tc>
              <w:tc>
                <w:tcPr>
                  <w:tcW w:w="801" w:type="pct"/>
                  <w:gridSpan w:val="2"/>
                  <w:tcBorders>
                    <w:tl2br w:val="nil"/>
                    <w:tr2bl w:val="nil"/>
                  </w:tcBorders>
                  <w:vAlign w:val="center"/>
                </w:tcPr>
                <w:p w14:paraId="52246B08">
                  <w:pPr>
                    <w:widowControl/>
                    <w:jc w:val="center"/>
                    <w:rPr>
                      <w:bCs/>
                      <w:kern w:val="0"/>
                      <w:sz w:val="18"/>
                      <w:szCs w:val="18"/>
                    </w:rPr>
                  </w:pPr>
                  <w:r>
                    <w:rPr>
                      <w:rFonts w:hint="eastAsia"/>
                      <w:bCs/>
                      <w:kern w:val="0"/>
                      <w:sz w:val="18"/>
                      <w:szCs w:val="18"/>
                    </w:rPr>
                    <w:t>非金属矿物制品业30</w:t>
                  </w:r>
                </w:p>
              </w:tc>
              <w:tc>
                <w:tcPr>
                  <w:tcW w:w="530" w:type="pct"/>
                  <w:tcBorders>
                    <w:tl2br w:val="nil"/>
                    <w:tr2bl w:val="nil"/>
                  </w:tcBorders>
                  <w:vAlign w:val="center"/>
                </w:tcPr>
                <w:p w14:paraId="59CF49E1">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3A4DB7E8">
                  <w:pPr>
                    <w:widowControl/>
                    <w:jc w:val="center"/>
                    <w:rPr>
                      <w:bCs/>
                      <w:kern w:val="0"/>
                      <w:sz w:val="18"/>
                      <w:szCs w:val="18"/>
                    </w:rPr>
                  </w:pPr>
                  <w:r>
                    <w:rPr>
                      <w:bCs/>
                      <w:kern w:val="0"/>
                      <w:sz w:val="18"/>
                      <w:szCs w:val="18"/>
                    </w:rPr>
                    <w:t>/</w:t>
                  </w:r>
                </w:p>
              </w:tc>
              <w:tc>
                <w:tcPr>
                  <w:tcW w:w="938" w:type="pct"/>
                  <w:tcBorders>
                    <w:tl2br w:val="nil"/>
                    <w:tr2bl w:val="nil"/>
                  </w:tcBorders>
                  <w:vAlign w:val="center"/>
                </w:tcPr>
                <w:p w14:paraId="0A4C22BF">
                  <w:pPr>
                    <w:widowControl/>
                    <w:jc w:val="center"/>
                    <w:rPr>
                      <w:bCs/>
                      <w:kern w:val="0"/>
                      <w:sz w:val="18"/>
                      <w:szCs w:val="18"/>
                    </w:rPr>
                  </w:pPr>
                  <w:r>
                    <w:rPr>
                      <w:rFonts w:hint="eastAsia"/>
                      <w:bCs/>
                      <w:kern w:val="0"/>
                      <w:sz w:val="18"/>
                      <w:szCs w:val="18"/>
                    </w:rPr>
                    <w:t>水泥、石灰和石膏制造；石膏、水泥制品及类似制品制造(国家鼓励和扶持的绿色建材等除外)；砖瓦、石材等建筑材料制造；平板玻璃；陶瓷制品；石棉制品；</w:t>
                  </w:r>
                  <w:r>
                    <w:rPr>
                      <w:rFonts w:hint="eastAsia"/>
                      <w:kern w:val="0"/>
                      <w:sz w:val="18"/>
                      <w:szCs w:val="18"/>
                    </w:rPr>
                    <w:t>含焙烧的石墨、碳素制品</w:t>
                  </w:r>
                </w:p>
              </w:tc>
              <w:tc>
                <w:tcPr>
                  <w:tcW w:w="577" w:type="pct"/>
                  <w:tcBorders>
                    <w:tl2br w:val="nil"/>
                    <w:tr2bl w:val="nil"/>
                  </w:tcBorders>
                  <w:vAlign w:val="center"/>
                </w:tcPr>
                <w:p w14:paraId="584E95EF">
                  <w:pPr>
                    <w:widowControl/>
                    <w:jc w:val="center"/>
                    <w:rPr>
                      <w:bCs/>
                      <w:kern w:val="0"/>
                      <w:sz w:val="18"/>
                      <w:szCs w:val="18"/>
                    </w:rPr>
                  </w:pPr>
                </w:p>
              </w:tc>
            </w:tr>
            <w:tr w14:paraId="09E093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3D88C0F1">
                  <w:pPr>
                    <w:widowControl/>
                    <w:jc w:val="center"/>
                    <w:rPr>
                      <w:bCs/>
                      <w:kern w:val="0"/>
                      <w:sz w:val="18"/>
                      <w:szCs w:val="18"/>
                    </w:rPr>
                  </w:pPr>
                </w:p>
              </w:tc>
              <w:tc>
                <w:tcPr>
                  <w:tcW w:w="242" w:type="pct"/>
                  <w:vMerge w:val="continue"/>
                  <w:tcBorders>
                    <w:tl2br w:val="nil"/>
                    <w:tr2bl w:val="nil"/>
                  </w:tcBorders>
                  <w:vAlign w:val="center"/>
                </w:tcPr>
                <w:p w14:paraId="116373B1">
                  <w:pPr>
                    <w:widowControl/>
                    <w:jc w:val="center"/>
                    <w:rPr>
                      <w:bCs/>
                      <w:kern w:val="0"/>
                      <w:sz w:val="18"/>
                      <w:szCs w:val="18"/>
                    </w:rPr>
                  </w:pPr>
                </w:p>
              </w:tc>
              <w:tc>
                <w:tcPr>
                  <w:tcW w:w="517" w:type="pct"/>
                  <w:tcBorders>
                    <w:tl2br w:val="nil"/>
                    <w:tr2bl w:val="nil"/>
                  </w:tcBorders>
                  <w:vAlign w:val="center"/>
                </w:tcPr>
                <w:p w14:paraId="39F1D840">
                  <w:pPr>
                    <w:widowControl/>
                    <w:jc w:val="center"/>
                    <w:rPr>
                      <w:bCs/>
                      <w:kern w:val="0"/>
                      <w:sz w:val="18"/>
                      <w:szCs w:val="18"/>
                    </w:rPr>
                  </w:pPr>
                  <w:r>
                    <w:rPr>
                      <w:rFonts w:hint="eastAsia"/>
                      <w:bCs/>
                      <w:kern w:val="0"/>
                      <w:sz w:val="18"/>
                      <w:szCs w:val="18"/>
                    </w:rPr>
                    <w:t>二十八</w:t>
                  </w:r>
                </w:p>
              </w:tc>
              <w:tc>
                <w:tcPr>
                  <w:tcW w:w="801" w:type="pct"/>
                  <w:gridSpan w:val="2"/>
                  <w:tcBorders>
                    <w:tl2br w:val="nil"/>
                    <w:tr2bl w:val="nil"/>
                  </w:tcBorders>
                  <w:vAlign w:val="center"/>
                </w:tcPr>
                <w:p w14:paraId="3646B8C0">
                  <w:pPr>
                    <w:widowControl/>
                    <w:jc w:val="center"/>
                    <w:rPr>
                      <w:bCs/>
                      <w:kern w:val="0"/>
                      <w:sz w:val="18"/>
                      <w:szCs w:val="18"/>
                    </w:rPr>
                  </w:pPr>
                  <w:r>
                    <w:rPr>
                      <w:rFonts w:hint="eastAsia"/>
                      <w:bCs/>
                      <w:kern w:val="0"/>
                      <w:sz w:val="18"/>
                      <w:szCs w:val="18"/>
                    </w:rPr>
                    <w:t>黑色金属冶炼和压延加工业31</w:t>
                  </w:r>
                </w:p>
              </w:tc>
              <w:tc>
                <w:tcPr>
                  <w:tcW w:w="2621" w:type="pct"/>
                  <w:gridSpan w:val="3"/>
                  <w:tcBorders>
                    <w:tl2br w:val="nil"/>
                    <w:tr2bl w:val="nil"/>
                  </w:tcBorders>
                  <w:vAlign w:val="center"/>
                </w:tcPr>
                <w:p w14:paraId="047FB205">
                  <w:pPr>
                    <w:widowControl/>
                    <w:jc w:val="center"/>
                    <w:rPr>
                      <w:bCs/>
                      <w:kern w:val="0"/>
                      <w:sz w:val="18"/>
                      <w:szCs w:val="18"/>
                    </w:rPr>
                  </w:pPr>
                  <w:r>
                    <w:rPr>
                      <w:rFonts w:hint="eastAsia"/>
                      <w:bCs/>
                      <w:kern w:val="0"/>
                      <w:sz w:val="18"/>
                      <w:szCs w:val="18"/>
                    </w:rPr>
                    <w:t>全部</w:t>
                  </w:r>
                </w:p>
              </w:tc>
              <w:tc>
                <w:tcPr>
                  <w:tcW w:w="577" w:type="pct"/>
                  <w:tcBorders>
                    <w:tl2br w:val="nil"/>
                    <w:tr2bl w:val="nil"/>
                  </w:tcBorders>
                  <w:vAlign w:val="center"/>
                </w:tcPr>
                <w:p w14:paraId="1E994008">
                  <w:pPr>
                    <w:widowControl/>
                    <w:jc w:val="center"/>
                    <w:rPr>
                      <w:bCs/>
                      <w:kern w:val="0"/>
                      <w:sz w:val="18"/>
                      <w:szCs w:val="18"/>
                    </w:rPr>
                  </w:pPr>
                </w:p>
              </w:tc>
            </w:tr>
            <w:tr w14:paraId="328E38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6D2F4823">
                  <w:pPr>
                    <w:widowControl/>
                    <w:jc w:val="center"/>
                    <w:rPr>
                      <w:bCs/>
                      <w:kern w:val="0"/>
                      <w:sz w:val="18"/>
                      <w:szCs w:val="18"/>
                    </w:rPr>
                  </w:pPr>
                </w:p>
              </w:tc>
              <w:tc>
                <w:tcPr>
                  <w:tcW w:w="242" w:type="pct"/>
                  <w:vMerge w:val="continue"/>
                  <w:tcBorders>
                    <w:tl2br w:val="nil"/>
                    <w:tr2bl w:val="nil"/>
                  </w:tcBorders>
                  <w:vAlign w:val="center"/>
                </w:tcPr>
                <w:p w14:paraId="42C0FF55">
                  <w:pPr>
                    <w:widowControl/>
                    <w:jc w:val="center"/>
                    <w:rPr>
                      <w:bCs/>
                      <w:kern w:val="0"/>
                      <w:sz w:val="18"/>
                      <w:szCs w:val="18"/>
                    </w:rPr>
                  </w:pPr>
                </w:p>
              </w:tc>
              <w:tc>
                <w:tcPr>
                  <w:tcW w:w="517" w:type="pct"/>
                  <w:tcBorders>
                    <w:tl2br w:val="nil"/>
                    <w:tr2bl w:val="nil"/>
                  </w:tcBorders>
                  <w:vAlign w:val="center"/>
                </w:tcPr>
                <w:p w14:paraId="52B19A64">
                  <w:pPr>
                    <w:widowControl/>
                    <w:jc w:val="center"/>
                    <w:rPr>
                      <w:bCs/>
                      <w:kern w:val="0"/>
                      <w:sz w:val="18"/>
                      <w:szCs w:val="18"/>
                    </w:rPr>
                  </w:pPr>
                  <w:r>
                    <w:rPr>
                      <w:rFonts w:hint="eastAsia"/>
                      <w:bCs/>
                      <w:kern w:val="0"/>
                      <w:sz w:val="18"/>
                      <w:szCs w:val="18"/>
                    </w:rPr>
                    <w:t>二十九</w:t>
                  </w:r>
                </w:p>
              </w:tc>
              <w:tc>
                <w:tcPr>
                  <w:tcW w:w="801" w:type="pct"/>
                  <w:gridSpan w:val="2"/>
                  <w:tcBorders>
                    <w:tl2br w:val="nil"/>
                    <w:tr2bl w:val="nil"/>
                  </w:tcBorders>
                  <w:vAlign w:val="center"/>
                </w:tcPr>
                <w:p w14:paraId="7F7C3F9E">
                  <w:pPr>
                    <w:widowControl/>
                    <w:jc w:val="center"/>
                    <w:rPr>
                      <w:bCs/>
                      <w:kern w:val="0"/>
                      <w:sz w:val="18"/>
                      <w:szCs w:val="18"/>
                    </w:rPr>
                  </w:pPr>
                  <w:r>
                    <w:rPr>
                      <w:rFonts w:hint="eastAsia"/>
                      <w:bCs/>
                      <w:kern w:val="0"/>
                      <w:sz w:val="18"/>
                      <w:szCs w:val="18"/>
                    </w:rPr>
                    <w:t>有色金属冶炼和压延加工业32</w:t>
                  </w:r>
                </w:p>
              </w:tc>
              <w:tc>
                <w:tcPr>
                  <w:tcW w:w="2621" w:type="pct"/>
                  <w:gridSpan w:val="3"/>
                  <w:tcBorders>
                    <w:tl2br w:val="nil"/>
                    <w:tr2bl w:val="nil"/>
                  </w:tcBorders>
                  <w:vAlign w:val="center"/>
                </w:tcPr>
                <w:p w14:paraId="757C6FB0">
                  <w:pPr>
                    <w:widowControl/>
                    <w:jc w:val="center"/>
                    <w:rPr>
                      <w:bCs/>
                      <w:kern w:val="0"/>
                      <w:sz w:val="18"/>
                      <w:szCs w:val="18"/>
                    </w:rPr>
                  </w:pPr>
                  <w:r>
                    <w:rPr>
                      <w:rFonts w:hint="eastAsia"/>
                      <w:bCs/>
                      <w:kern w:val="0"/>
                      <w:sz w:val="18"/>
                      <w:szCs w:val="18"/>
                    </w:rPr>
                    <w:t>全部(铝压延除外)</w:t>
                  </w:r>
                </w:p>
              </w:tc>
              <w:tc>
                <w:tcPr>
                  <w:tcW w:w="577" w:type="pct"/>
                  <w:tcBorders>
                    <w:tl2br w:val="nil"/>
                    <w:tr2bl w:val="nil"/>
                  </w:tcBorders>
                  <w:vAlign w:val="center"/>
                </w:tcPr>
                <w:p w14:paraId="242C45BB">
                  <w:pPr>
                    <w:widowControl/>
                    <w:jc w:val="center"/>
                    <w:rPr>
                      <w:bCs/>
                      <w:kern w:val="0"/>
                      <w:sz w:val="18"/>
                      <w:szCs w:val="18"/>
                    </w:rPr>
                  </w:pPr>
                </w:p>
              </w:tc>
            </w:tr>
            <w:tr w14:paraId="2C6BB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357A023">
                  <w:pPr>
                    <w:widowControl/>
                    <w:jc w:val="center"/>
                    <w:rPr>
                      <w:bCs/>
                      <w:kern w:val="0"/>
                      <w:sz w:val="18"/>
                      <w:szCs w:val="18"/>
                    </w:rPr>
                  </w:pPr>
                </w:p>
              </w:tc>
              <w:tc>
                <w:tcPr>
                  <w:tcW w:w="242" w:type="pct"/>
                  <w:vMerge w:val="continue"/>
                  <w:tcBorders>
                    <w:tl2br w:val="nil"/>
                    <w:tr2bl w:val="nil"/>
                  </w:tcBorders>
                  <w:vAlign w:val="center"/>
                </w:tcPr>
                <w:p w14:paraId="35573B1F">
                  <w:pPr>
                    <w:widowControl/>
                    <w:jc w:val="center"/>
                    <w:rPr>
                      <w:bCs/>
                      <w:kern w:val="0"/>
                      <w:sz w:val="18"/>
                      <w:szCs w:val="18"/>
                    </w:rPr>
                  </w:pPr>
                </w:p>
              </w:tc>
              <w:tc>
                <w:tcPr>
                  <w:tcW w:w="517" w:type="pct"/>
                  <w:tcBorders>
                    <w:tl2br w:val="nil"/>
                    <w:tr2bl w:val="nil"/>
                  </w:tcBorders>
                  <w:vAlign w:val="center"/>
                </w:tcPr>
                <w:p w14:paraId="37DB5FDA">
                  <w:pPr>
                    <w:widowControl/>
                    <w:jc w:val="center"/>
                    <w:rPr>
                      <w:bCs/>
                      <w:kern w:val="0"/>
                      <w:sz w:val="18"/>
                      <w:szCs w:val="18"/>
                    </w:rPr>
                  </w:pPr>
                  <w:r>
                    <w:rPr>
                      <w:rFonts w:hint="eastAsia"/>
                      <w:bCs/>
                      <w:kern w:val="0"/>
                      <w:sz w:val="18"/>
                      <w:szCs w:val="18"/>
                    </w:rPr>
                    <w:t>三十三</w:t>
                  </w:r>
                </w:p>
              </w:tc>
              <w:tc>
                <w:tcPr>
                  <w:tcW w:w="801" w:type="pct"/>
                  <w:gridSpan w:val="2"/>
                  <w:tcBorders>
                    <w:tl2br w:val="nil"/>
                    <w:tr2bl w:val="nil"/>
                  </w:tcBorders>
                  <w:vAlign w:val="center"/>
                </w:tcPr>
                <w:p w14:paraId="6B02F7D8">
                  <w:pPr>
                    <w:widowControl/>
                    <w:jc w:val="center"/>
                    <w:rPr>
                      <w:bCs/>
                      <w:kern w:val="0"/>
                      <w:sz w:val="18"/>
                      <w:szCs w:val="18"/>
                    </w:rPr>
                  </w:pPr>
                  <w:r>
                    <w:rPr>
                      <w:rFonts w:hint="eastAsia"/>
                      <w:bCs/>
                      <w:kern w:val="0"/>
                      <w:sz w:val="18"/>
                      <w:szCs w:val="18"/>
                    </w:rPr>
                    <w:t>汽车制造业36</w:t>
                  </w:r>
                </w:p>
              </w:tc>
              <w:tc>
                <w:tcPr>
                  <w:tcW w:w="530" w:type="pct"/>
                  <w:tcBorders>
                    <w:tl2br w:val="nil"/>
                    <w:tr2bl w:val="nil"/>
                  </w:tcBorders>
                  <w:vAlign w:val="center"/>
                </w:tcPr>
                <w:p w14:paraId="47D8BA86">
                  <w:pPr>
                    <w:widowControl/>
                    <w:jc w:val="center"/>
                    <w:rPr>
                      <w:bCs/>
                      <w:kern w:val="0"/>
                      <w:sz w:val="18"/>
                      <w:szCs w:val="18"/>
                    </w:rPr>
                  </w:pPr>
                  <w:r>
                    <w:rPr>
                      <w:bCs/>
                      <w:kern w:val="0"/>
                      <w:sz w:val="18"/>
                      <w:szCs w:val="18"/>
                    </w:rPr>
                    <w:t>/</w:t>
                  </w:r>
                </w:p>
              </w:tc>
              <w:tc>
                <w:tcPr>
                  <w:tcW w:w="1153" w:type="pct"/>
                  <w:vMerge w:val="restart"/>
                  <w:tcBorders>
                    <w:tl2br w:val="nil"/>
                    <w:tr2bl w:val="nil"/>
                  </w:tcBorders>
                  <w:vAlign w:val="center"/>
                </w:tcPr>
                <w:p w14:paraId="307BF63E">
                  <w:pPr>
                    <w:widowControl/>
                    <w:rPr>
                      <w:bCs/>
                      <w:kern w:val="0"/>
                      <w:sz w:val="18"/>
                      <w:szCs w:val="18"/>
                    </w:rPr>
                  </w:pPr>
                  <w:r>
                    <w:rPr>
                      <w:rFonts w:hint="eastAsia"/>
                      <w:bCs/>
                      <w:kern w:val="0"/>
                      <w:sz w:val="18"/>
                      <w:szCs w:val="18"/>
                    </w:rPr>
                    <w:t>1、有电镀工艺的</w:t>
                  </w:r>
                  <w:r>
                    <w:rPr>
                      <w:rFonts w:hint="eastAsia"/>
                      <w:sz w:val="18"/>
                      <w:szCs w:val="18"/>
                    </w:rPr>
                    <w:t>(为省、市、区重点项目配套的必需工艺环节除外)</w:t>
                  </w:r>
                  <w:r>
                    <w:rPr>
                      <w:rFonts w:hint="eastAsia"/>
                      <w:bCs/>
                      <w:kern w:val="0"/>
                      <w:sz w:val="18"/>
                      <w:szCs w:val="18"/>
                    </w:rPr>
                    <w:t>；</w:t>
                  </w:r>
                </w:p>
                <w:p w14:paraId="21B4136E">
                  <w:pPr>
                    <w:widowControl/>
                    <w:rPr>
                      <w:bCs/>
                      <w:kern w:val="0"/>
                      <w:sz w:val="18"/>
                      <w:szCs w:val="18"/>
                    </w:rPr>
                  </w:pPr>
                  <w:r>
                    <w:rPr>
                      <w:rFonts w:hint="eastAsia"/>
                      <w:bCs/>
                      <w:kern w:val="0"/>
                      <w:sz w:val="18"/>
                      <w:szCs w:val="18"/>
                    </w:rPr>
                    <w:t>2、有钝化工艺的热镀锌</w:t>
                  </w:r>
                  <w:r>
                    <w:rPr>
                      <w:rFonts w:hint="eastAsia"/>
                      <w:sz w:val="18"/>
                      <w:szCs w:val="18"/>
                    </w:rPr>
                    <w:t>(为省、市、区重点项目配套的必需工艺环节除外)</w:t>
                  </w:r>
                </w:p>
              </w:tc>
              <w:tc>
                <w:tcPr>
                  <w:tcW w:w="938" w:type="pct"/>
                  <w:tcBorders>
                    <w:tl2br w:val="nil"/>
                    <w:tr2bl w:val="nil"/>
                  </w:tcBorders>
                  <w:vAlign w:val="center"/>
                </w:tcPr>
                <w:p w14:paraId="0014979E">
                  <w:pPr>
                    <w:widowControl/>
                    <w:jc w:val="center"/>
                    <w:rPr>
                      <w:bCs/>
                      <w:kern w:val="0"/>
                      <w:sz w:val="18"/>
                      <w:szCs w:val="18"/>
                    </w:rPr>
                  </w:pPr>
                  <w:r>
                    <w:rPr>
                      <w:bCs/>
                      <w:kern w:val="0"/>
                      <w:sz w:val="18"/>
                      <w:szCs w:val="18"/>
                    </w:rPr>
                    <w:t>/</w:t>
                  </w:r>
                </w:p>
              </w:tc>
              <w:tc>
                <w:tcPr>
                  <w:tcW w:w="577" w:type="pct"/>
                  <w:tcBorders>
                    <w:tl2br w:val="nil"/>
                    <w:tr2bl w:val="nil"/>
                  </w:tcBorders>
                  <w:vAlign w:val="center"/>
                </w:tcPr>
                <w:p w14:paraId="14C7C17E">
                  <w:pPr>
                    <w:widowControl/>
                    <w:jc w:val="center"/>
                    <w:rPr>
                      <w:bCs/>
                      <w:kern w:val="0"/>
                      <w:sz w:val="18"/>
                      <w:szCs w:val="18"/>
                    </w:rPr>
                  </w:pPr>
                </w:p>
              </w:tc>
            </w:tr>
            <w:tr w14:paraId="6D76D2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D24291F">
                  <w:pPr>
                    <w:widowControl/>
                    <w:jc w:val="center"/>
                    <w:rPr>
                      <w:bCs/>
                      <w:kern w:val="0"/>
                      <w:sz w:val="18"/>
                      <w:szCs w:val="18"/>
                    </w:rPr>
                  </w:pPr>
                </w:p>
              </w:tc>
              <w:tc>
                <w:tcPr>
                  <w:tcW w:w="242" w:type="pct"/>
                  <w:vMerge w:val="continue"/>
                  <w:tcBorders>
                    <w:tl2br w:val="nil"/>
                    <w:tr2bl w:val="nil"/>
                  </w:tcBorders>
                  <w:vAlign w:val="center"/>
                </w:tcPr>
                <w:p w14:paraId="1CBFAF89">
                  <w:pPr>
                    <w:widowControl/>
                    <w:jc w:val="center"/>
                    <w:rPr>
                      <w:bCs/>
                      <w:kern w:val="0"/>
                      <w:sz w:val="18"/>
                      <w:szCs w:val="18"/>
                    </w:rPr>
                  </w:pPr>
                </w:p>
              </w:tc>
              <w:tc>
                <w:tcPr>
                  <w:tcW w:w="517" w:type="pct"/>
                  <w:tcBorders>
                    <w:tl2br w:val="nil"/>
                    <w:tr2bl w:val="nil"/>
                  </w:tcBorders>
                  <w:vAlign w:val="center"/>
                </w:tcPr>
                <w:p w14:paraId="2AFE690F">
                  <w:pPr>
                    <w:widowControl/>
                    <w:jc w:val="center"/>
                    <w:rPr>
                      <w:bCs/>
                      <w:kern w:val="0"/>
                      <w:sz w:val="18"/>
                      <w:szCs w:val="18"/>
                    </w:rPr>
                  </w:pPr>
                  <w:r>
                    <w:rPr>
                      <w:rFonts w:hint="eastAsia"/>
                      <w:bCs/>
                      <w:kern w:val="0"/>
                      <w:sz w:val="18"/>
                      <w:szCs w:val="18"/>
                    </w:rPr>
                    <w:t>三十四</w:t>
                  </w:r>
                </w:p>
              </w:tc>
              <w:tc>
                <w:tcPr>
                  <w:tcW w:w="801" w:type="pct"/>
                  <w:gridSpan w:val="2"/>
                  <w:tcBorders>
                    <w:tl2br w:val="nil"/>
                    <w:tr2bl w:val="nil"/>
                  </w:tcBorders>
                  <w:vAlign w:val="center"/>
                </w:tcPr>
                <w:p w14:paraId="7B8D470D">
                  <w:pPr>
                    <w:widowControl/>
                    <w:jc w:val="center"/>
                    <w:rPr>
                      <w:bCs/>
                      <w:kern w:val="0"/>
                      <w:sz w:val="18"/>
                      <w:szCs w:val="18"/>
                    </w:rPr>
                  </w:pPr>
                  <w:r>
                    <w:rPr>
                      <w:rFonts w:hint="eastAsia"/>
                      <w:bCs/>
                      <w:kern w:val="0"/>
                      <w:sz w:val="18"/>
                      <w:szCs w:val="18"/>
                    </w:rPr>
                    <w:t>铁路、船舶、航空航天和其他运输设备制造业37</w:t>
                  </w:r>
                </w:p>
              </w:tc>
              <w:tc>
                <w:tcPr>
                  <w:tcW w:w="530" w:type="pct"/>
                  <w:tcBorders>
                    <w:tl2br w:val="nil"/>
                    <w:tr2bl w:val="nil"/>
                  </w:tcBorders>
                  <w:vAlign w:val="center"/>
                </w:tcPr>
                <w:p w14:paraId="6BAAA318">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6139DD66">
                  <w:pPr>
                    <w:widowControl/>
                    <w:jc w:val="center"/>
                    <w:rPr>
                      <w:bCs/>
                      <w:kern w:val="0"/>
                      <w:sz w:val="18"/>
                      <w:szCs w:val="18"/>
                    </w:rPr>
                  </w:pPr>
                </w:p>
              </w:tc>
              <w:tc>
                <w:tcPr>
                  <w:tcW w:w="938" w:type="pct"/>
                  <w:tcBorders>
                    <w:tl2br w:val="nil"/>
                    <w:tr2bl w:val="nil"/>
                  </w:tcBorders>
                  <w:vAlign w:val="center"/>
                </w:tcPr>
                <w:p w14:paraId="286AA4B1">
                  <w:pPr>
                    <w:widowControl/>
                    <w:jc w:val="center"/>
                    <w:rPr>
                      <w:bCs/>
                      <w:kern w:val="0"/>
                      <w:sz w:val="18"/>
                      <w:szCs w:val="18"/>
                    </w:rPr>
                  </w:pPr>
                  <w:r>
                    <w:rPr>
                      <w:bCs/>
                      <w:kern w:val="0"/>
                      <w:sz w:val="18"/>
                      <w:szCs w:val="18"/>
                    </w:rPr>
                    <w:t>/</w:t>
                  </w:r>
                </w:p>
              </w:tc>
              <w:tc>
                <w:tcPr>
                  <w:tcW w:w="577" w:type="pct"/>
                  <w:tcBorders>
                    <w:tl2br w:val="nil"/>
                    <w:tr2bl w:val="nil"/>
                  </w:tcBorders>
                  <w:vAlign w:val="center"/>
                </w:tcPr>
                <w:p w14:paraId="5316411C">
                  <w:pPr>
                    <w:widowControl/>
                    <w:jc w:val="center"/>
                    <w:rPr>
                      <w:bCs/>
                      <w:kern w:val="0"/>
                      <w:sz w:val="18"/>
                      <w:szCs w:val="18"/>
                    </w:rPr>
                  </w:pPr>
                </w:p>
              </w:tc>
            </w:tr>
            <w:tr w14:paraId="05472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7A2708DA">
                  <w:pPr>
                    <w:widowControl/>
                    <w:jc w:val="center"/>
                    <w:rPr>
                      <w:bCs/>
                      <w:kern w:val="0"/>
                      <w:sz w:val="18"/>
                      <w:szCs w:val="18"/>
                    </w:rPr>
                  </w:pPr>
                </w:p>
              </w:tc>
              <w:tc>
                <w:tcPr>
                  <w:tcW w:w="242" w:type="pct"/>
                  <w:vMerge w:val="continue"/>
                  <w:tcBorders>
                    <w:tl2br w:val="nil"/>
                    <w:tr2bl w:val="nil"/>
                  </w:tcBorders>
                  <w:vAlign w:val="center"/>
                </w:tcPr>
                <w:p w14:paraId="1013ED29">
                  <w:pPr>
                    <w:widowControl/>
                    <w:jc w:val="center"/>
                    <w:rPr>
                      <w:bCs/>
                      <w:kern w:val="0"/>
                      <w:sz w:val="18"/>
                      <w:szCs w:val="18"/>
                    </w:rPr>
                  </w:pPr>
                </w:p>
              </w:tc>
              <w:tc>
                <w:tcPr>
                  <w:tcW w:w="517" w:type="pct"/>
                  <w:tcBorders>
                    <w:tl2br w:val="nil"/>
                    <w:tr2bl w:val="nil"/>
                  </w:tcBorders>
                  <w:vAlign w:val="center"/>
                </w:tcPr>
                <w:p w14:paraId="11430F9A">
                  <w:pPr>
                    <w:widowControl/>
                    <w:jc w:val="center"/>
                    <w:rPr>
                      <w:bCs/>
                      <w:kern w:val="0"/>
                      <w:sz w:val="18"/>
                      <w:szCs w:val="18"/>
                    </w:rPr>
                  </w:pPr>
                  <w:r>
                    <w:rPr>
                      <w:rFonts w:hint="eastAsia"/>
                      <w:bCs/>
                      <w:kern w:val="0"/>
                      <w:sz w:val="18"/>
                      <w:szCs w:val="18"/>
                    </w:rPr>
                    <w:t>三十八</w:t>
                  </w:r>
                </w:p>
              </w:tc>
              <w:tc>
                <w:tcPr>
                  <w:tcW w:w="801" w:type="pct"/>
                  <w:gridSpan w:val="2"/>
                  <w:tcBorders>
                    <w:tl2br w:val="nil"/>
                    <w:tr2bl w:val="nil"/>
                  </w:tcBorders>
                  <w:vAlign w:val="center"/>
                </w:tcPr>
                <w:p w14:paraId="1535895F">
                  <w:pPr>
                    <w:widowControl/>
                    <w:jc w:val="center"/>
                    <w:rPr>
                      <w:bCs/>
                      <w:kern w:val="0"/>
                      <w:sz w:val="18"/>
                      <w:szCs w:val="18"/>
                    </w:rPr>
                  </w:pPr>
                  <w:r>
                    <w:rPr>
                      <w:rFonts w:hint="eastAsia"/>
                      <w:bCs/>
                      <w:kern w:val="0"/>
                      <w:sz w:val="18"/>
                      <w:szCs w:val="18"/>
                    </w:rPr>
                    <w:t>其他制造业41</w:t>
                  </w:r>
                </w:p>
              </w:tc>
              <w:tc>
                <w:tcPr>
                  <w:tcW w:w="530" w:type="pct"/>
                  <w:tcBorders>
                    <w:tl2br w:val="nil"/>
                    <w:tr2bl w:val="nil"/>
                  </w:tcBorders>
                  <w:vAlign w:val="center"/>
                </w:tcPr>
                <w:p w14:paraId="142A69B8">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7913ACCB">
                  <w:pPr>
                    <w:widowControl/>
                    <w:rPr>
                      <w:bCs/>
                      <w:kern w:val="0"/>
                      <w:sz w:val="18"/>
                      <w:szCs w:val="18"/>
                    </w:rPr>
                  </w:pPr>
                </w:p>
              </w:tc>
              <w:tc>
                <w:tcPr>
                  <w:tcW w:w="938" w:type="pct"/>
                  <w:tcBorders>
                    <w:tl2br w:val="nil"/>
                    <w:tr2bl w:val="nil"/>
                  </w:tcBorders>
                  <w:vAlign w:val="center"/>
                </w:tcPr>
                <w:p w14:paraId="71A7F44B">
                  <w:pPr>
                    <w:widowControl/>
                    <w:jc w:val="center"/>
                    <w:rPr>
                      <w:bCs/>
                      <w:kern w:val="0"/>
                      <w:sz w:val="18"/>
                      <w:szCs w:val="18"/>
                    </w:rPr>
                  </w:pPr>
                  <w:r>
                    <w:rPr>
                      <w:bCs/>
                      <w:kern w:val="0"/>
                      <w:sz w:val="18"/>
                      <w:szCs w:val="18"/>
                    </w:rPr>
                    <w:t>/</w:t>
                  </w:r>
                </w:p>
              </w:tc>
              <w:tc>
                <w:tcPr>
                  <w:tcW w:w="577" w:type="pct"/>
                  <w:tcBorders>
                    <w:tl2br w:val="nil"/>
                    <w:tr2bl w:val="nil"/>
                  </w:tcBorders>
                  <w:vAlign w:val="center"/>
                </w:tcPr>
                <w:p w14:paraId="78074577">
                  <w:pPr>
                    <w:widowControl/>
                    <w:jc w:val="center"/>
                    <w:rPr>
                      <w:bCs/>
                      <w:kern w:val="0"/>
                      <w:sz w:val="18"/>
                      <w:szCs w:val="18"/>
                    </w:rPr>
                  </w:pPr>
                </w:p>
              </w:tc>
            </w:tr>
            <w:tr w14:paraId="50B4E9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B87FAD0">
                  <w:pPr>
                    <w:widowControl/>
                    <w:jc w:val="center"/>
                    <w:rPr>
                      <w:bCs/>
                      <w:kern w:val="0"/>
                      <w:sz w:val="18"/>
                      <w:szCs w:val="18"/>
                    </w:rPr>
                  </w:pPr>
                </w:p>
              </w:tc>
              <w:tc>
                <w:tcPr>
                  <w:tcW w:w="242" w:type="pct"/>
                  <w:vMerge w:val="continue"/>
                  <w:tcBorders>
                    <w:tl2br w:val="nil"/>
                    <w:tr2bl w:val="nil"/>
                  </w:tcBorders>
                  <w:vAlign w:val="center"/>
                </w:tcPr>
                <w:p w14:paraId="10CCC6B4">
                  <w:pPr>
                    <w:widowControl/>
                    <w:jc w:val="center"/>
                    <w:rPr>
                      <w:bCs/>
                      <w:kern w:val="0"/>
                      <w:sz w:val="18"/>
                      <w:szCs w:val="18"/>
                    </w:rPr>
                  </w:pPr>
                </w:p>
              </w:tc>
              <w:tc>
                <w:tcPr>
                  <w:tcW w:w="517" w:type="pct"/>
                  <w:tcBorders>
                    <w:tl2br w:val="nil"/>
                    <w:tr2bl w:val="nil"/>
                  </w:tcBorders>
                  <w:vAlign w:val="center"/>
                </w:tcPr>
                <w:p w14:paraId="0F9D934C">
                  <w:pPr>
                    <w:widowControl/>
                    <w:jc w:val="center"/>
                    <w:rPr>
                      <w:bCs/>
                      <w:kern w:val="0"/>
                      <w:sz w:val="18"/>
                      <w:szCs w:val="18"/>
                    </w:rPr>
                  </w:pPr>
                  <w:r>
                    <w:rPr>
                      <w:rFonts w:hint="eastAsia"/>
                      <w:bCs/>
                      <w:kern w:val="0"/>
                      <w:sz w:val="18"/>
                      <w:szCs w:val="18"/>
                    </w:rPr>
                    <w:t>四十</w:t>
                  </w:r>
                </w:p>
              </w:tc>
              <w:tc>
                <w:tcPr>
                  <w:tcW w:w="801" w:type="pct"/>
                  <w:gridSpan w:val="2"/>
                  <w:tcBorders>
                    <w:tl2br w:val="nil"/>
                    <w:tr2bl w:val="nil"/>
                  </w:tcBorders>
                  <w:vAlign w:val="center"/>
                </w:tcPr>
                <w:p w14:paraId="05E70F9F">
                  <w:pPr>
                    <w:widowControl/>
                    <w:jc w:val="center"/>
                    <w:rPr>
                      <w:bCs/>
                      <w:kern w:val="0"/>
                      <w:sz w:val="18"/>
                      <w:szCs w:val="18"/>
                    </w:rPr>
                  </w:pPr>
                  <w:r>
                    <w:rPr>
                      <w:rFonts w:hint="eastAsia"/>
                      <w:bCs/>
                      <w:kern w:val="0"/>
                      <w:sz w:val="18"/>
                      <w:szCs w:val="18"/>
                    </w:rPr>
                    <w:t>金属制品、机械和设备修理业43</w:t>
                  </w:r>
                </w:p>
              </w:tc>
              <w:tc>
                <w:tcPr>
                  <w:tcW w:w="530" w:type="pct"/>
                  <w:tcBorders>
                    <w:tl2br w:val="nil"/>
                    <w:tr2bl w:val="nil"/>
                  </w:tcBorders>
                  <w:vAlign w:val="center"/>
                </w:tcPr>
                <w:p w14:paraId="66EAE5EC">
                  <w:pPr>
                    <w:widowControl/>
                    <w:jc w:val="center"/>
                    <w:rPr>
                      <w:bCs/>
                      <w:kern w:val="0"/>
                      <w:sz w:val="18"/>
                      <w:szCs w:val="18"/>
                    </w:rPr>
                  </w:pPr>
                  <w:r>
                    <w:rPr>
                      <w:bCs/>
                      <w:kern w:val="0"/>
                      <w:sz w:val="18"/>
                      <w:szCs w:val="18"/>
                    </w:rPr>
                    <w:t>/</w:t>
                  </w:r>
                </w:p>
              </w:tc>
              <w:tc>
                <w:tcPr>
                  <w:tcW w:w="1153" w:type="pct"/>
                  <w:tcBorders>
                    <w:tl2br w:val="nil"/>
                    <w:tr2bl w:val="nil"/>
                  </w:tcBorders>
                  <w:vAlign w:val="center"/>
                </w:tcPr>
                <w:p w14:paraId="5B899306">
                  <w:pPr>
                    <w:widowControl/>
                    <w:rPr>
                      <w:bCs/>
                      <w:kern w:val="0"/>
                      <w:sz w:val="18"/>
                      <w:szCs w:val="18"/>
                    </w:rPr>
                  </w:pPr>
                </w:p>
              </w:tc>
              <w:tc>
                <w:tcPr>
                  <w:tcW w:w="938" w:type="pct"/>
                  <w:tcBorders>
                    <w:tl2br w:val="nil"/>
                    <w:tr2bl w:val="nil"/>
                  </w:tcBorders>
                  <w:vAlign w:val="center"/>
                </w:tcPr>
                <w:p w14:paraId="73F6E59E">
                  <w:pPr>
                    <w:widowControl/>
                    <w:jc w:val="center"/>
                    <w:rPr>
                      <w:bCs/>
                      <w:kern w:val="0"/>
                      <w:sz w:val="18"/>
                      <w:szCs w:val="18"/>
                    </w:rPr>
                  </w:pPr>
                  <w:r>
                    <w:rPr>
                      <w:bCs/>
                      <w:kern w:val="0"/>
                      <w:sz w:val="18"/>
                      <w:szCs w:val="18"/>
                    </w:rPr>
                    <w:t>/</w:t>
                  </w:r>
                </w:p>
              </w:tc>
              <w:tc>
                <w:tcPr>
                  <w:tcW w:w="577" w:type="pct"/>
                  <w:tcBorders>
                    <w:tl2br w:val="nil"/>
                    <w:tr2bl w:val="nil"/>
                  </w:tcBorders>
                  <w:vAlign w:val="center"/>
                </w:tcPr>
                <w:p w14:paraId="2E432DE0">
                  <w:pPr>
                    <w:widowControl/>
                    <w:jc w:val="center"/>
                    <w:rPr>
                      <w:bCs/>
                      <w:kern w:val="0"/>
                      <w:sz w:val="18"/>
                      <w:szCs w:val="18"/>
                    </w:rPr>
                  </w:pPr>
                </w:p>
              </w:tc>
            </w:tr>
            <w:tr w14:paraId="1D87A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240E2CB2">
                  <w:pPr>
                    <w:widowControl/>
                    <w:jc w:val="center"/>
                    <w:rPr>
                      <w:bCs/>
                      <w:kern w:val="0"/>
                      <w:sz w:val="18"/>
                      <w:szCs w:val="18"/>
                    </w:rPr>
                  </w:pPr>
                </w:p>
              </w:tc>
              <w:tc>
                <w:tcPr>
                  <w:tcW w:w="242" w:type="pct"/>
                  <w:vMerge w:val="continue"/>
                  <w:tcBorders>
                    <w:tl2br w:val="nil"/>
                    <w:tr2bl w:val="nil"/>
                  </w:tcBorders>
                  <w:vAlign w:val="center"/>
                </w:tcPr>
                <w:p w14:paraId="1F558DBA">
                  <w:pPr>
                    <w:widowControl/>
                    <w:jc w:val="center"/>
                    <w:rPr>
                      <w:bCs/>
                      <w:kern w:val="0"/>
                      <w:sz w:val="18"/>
                      <w:szCs w:val="18"/>
                    </w:rPr>
                  </w:pPr>
                </w:p>
              </w:tc>
              <w:tc>
                <w:tcPr>
                  <w:tcW w:w="517" w:type="pct"/>
                  <w:tcBorders>
                    <w:tl2br w:val="nil"/>
                    <w:tr2bl w:val="nil"/>
                  </w:tcBorders>
                  <w:vAlign w:val="center"/>
                </w:tcPr>
                <w:p w14:paraId="648D1E4B">
                  <w:pPr>
                    <w:widowControl/>
                    <w:jc w:val="center"/>
                    <w:rPr>
                      <w:bCs/>
                      <w:kern w:val="0"/>
                      <w:sz w:val="18"/>
                      <w:szCs w:val="18"/>
                    </w:rPr>
                  </w:pPr>
                  <w:r>
                    <w:rPr>
                      <w:rFonts w:hint="eastAsia"/>
                      <w:bCs/>
                      <w:kern w:val="0"/>
                      <w:sz w:val="18"/>
                      <w:szCs w:val="18"/>
                    </w:rPr>
                    <w:t>三十九</w:t>
                  </w:r>
                </w:p>
              </w:tc>
              <w:tc>
                <w:tcPr>
                  <w:tcW w:w="801" w:type="pct"/>
                  <w:gridSpan w:val="2"/>
                  <w:tcBorders>
                    <w:tl2br w:val="nil"/>
                    <w:tr2bl w:val="nil"/>
                  </w:tcBorders>
                  <w:vAlign w:val="center"/>
                </w:tcPr>
                <w:p w14:paraId="17533783">
                  <w:pPr>
                    <w:widowControl/>
                    <w:jc w:val="center"/>
                    <w:rPr>
                      <w:bCs/>
                      <w:kern w:val="0"/>
                      <w:sz w:val="18"/>
                      <w:szCs w:val="18"/>
                    </w:rPr>
                  </w:pPr>
                  <w:r>
                    <w:rPr>
                      <w:rFonts w:hint="eastAsia"/>
                      <w:bCs/>
                      <w:kern w:val="0"/>
                      <w:sz w:val="18"/>
                      <w:szCs w:val="18"/>
                    </w:rPr>
                    <w:t>废弃资源综合利用业42</w:t>
                  </w:r>
                </w:p>
              </w:tc>
              <w:tc>
                <w:tcPr>
                  <w:tcW w:w="2621" w:type="pct"/>
                  <w:gridSpan w:val="3"/>
                  <w:tcBorders>
                    <w:tl2br w:val="nil"/>
                    <w:tr2bl w:val="nil"/>
                  </w:tcBorders>
                  <w:vAlign w:val="center"/>
                </w:tcPr>
                <w:p w14:paraId="06B44689">
                  <w:pPr>
                    <w:widowControl/>
                    <w:jc w:val="center"/>
                    <w:rPr>
                      <w:bCs/>
                      <w:kern w:val="0"/>
                      <w:sz w:val="18"/>
                      <w:szCs w:val="18"/>
                    </w:rPr>
                  </w:pPr>
                  <w:r>
                    <w:rPr>
                      <w:rFonts w:hint="eastAsia"/>
                      <w:bCs/>
                      <w:kern w:val="0"/>
                      <w:sz w:val="18"/>
                      <w:szCs w:val="18"/>
                    </w:rPr>
                    <w:t>全部</w:t>
                  </w:r>
                </w:p>
              </w:tc>
              <w:tc>
                <w:tcPr>
                  <w:tcW w:w="577" w:type="pct"/>
                  <w:vMerge w:val="restart"/>
                  <w:tcBorders>
                    <w:tl2br w:val="nil"/>
                    <w:tr2bl w:val="nil"/>
                  </w:tcBorders>
                  <w:vAlign w:val="center"/>
                </w:tcPr>
                <w:p w14:paraId="02710D32">
                  <w:pPr>
                    <w:widowControl/>
                    <w:jc w:val="center"/>
                    <w:rPr>
                      <w:bCs/>
                      <w:kern w:val="0"/>
                      <w:sz w:val="18"/>
                      <w:szCs w:val="18"/>
                    </w:rPr>
                  </w:pPr>
                </w:p>
              </w:tc>
            </w:tr>
            <w:tr w14:paraId="67899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45B4BCD5">
                  <w:pPr>
                    <w:widowControl/>
                    <w:jc w:val="center"/>
                    <w:rPr>
                      <w:bCs/>
                      <w:kern w:val="0"/>
                      <w:sz w:val="18"/>
                      <w:szCs w:val="18"/>
                    </w:rPr>
                  </w:pPr>
                </w:p>
              </w:tc>
              <w:tc>
                <w:tcPr>
                  <w:tcW w:w="242" w:type="pct"/>
                  <w:vMerge w:val="continue"/>
                  <w:tcBorders>
                    <w:tl2br w:val="nil"/>
                    <w:tr2bl w:val="nil"/>
                  </w:tcBorders>
                  <w:vAlign w:val="center"/>
                </w:tcPr>
                <w:p w14:paraId="513D9193">
                  <w:pPr>
                    <w:widowControl/>
                    <w:jc w:val="center"/>
                    <w:rPr>
                      <w:bCs/>
                      <w:kern w:val="0"/>
                      <w:sz w:val="18"/>
                      <w:szCs w:val="18"/>
                    </w:rPr>
                  </w:pPr>
                </w:p>
              </w:tc>
              <w:tc>
                <w:tcPr>
                  <w:tcW w:w="517" w:type="pct"/>
                  <w:tcBorders>
                    <w:tl2br w:val="nil"/>
                    <w:tr2bl w:val="nil"/>
                  </w:tcBorders>
                  <w:vAlign w:val="center"/>
                </w:tcPr>
                <w:p w14:paraId="7A293680">
                  <w:pPr>
                    <w:widowControl/>
                    <w:jc w:val="center"/>
                    <w:rPr>
                      <w:bCs/>
                      <w:kern w:val="0"/>
                      <w:sz w:val="18"/>
                      <w:szCs w:val="18"/>
                    </w:rPr>
                  </w:pPr>
                  <w:r>
                    <w:rPr>
                      <w:rFonts w:hint="eastAsia"/>
                      <w:bCs/>
                      <w:kern w:val="0"/>
                      <w:sz w:val="18"/>
                      <w:szCs w:val="18"/>
                    </w:rPr>
                    <w:t>四十五</w:t>
                  </w:r>
                </w:p>
              </w:tc>
              <w:tc>
                <w:tcPr>
                  <w:tcW w:w="801" w:type="pct"/>
                  <w:gridSpan w:val="2"/>
                  <w:tcBorders>
                    <w:tl2br w:val="nil"/>
                    <w:tr2bl w:val="nil"/>
                  </w:tcBorders>
                  <w:vAlign w:val="center"/>
                </w:tcPr>
                <w:p w14:paraId="55F98733">
                  <w:pPr>
                    <w:widowControl/>
                    <w:jc w:val="center"/>
                    <w:rPr>
                      <w:bCs/>
                      <w:kern w:val="0"/>
                      <w:sz w:val="18"/>
                      <w:szCs w:val="18"/>
                    </w:rPr>
                  </w:pPr>
                  <w:r>
                    <w:rPr>
                      <w:rFonts w:hint="eastAsia"/>
                      <w:bCs/>
                      <w:kern w:val="0"/>
                      <w:sz w:val="18"/>
                      <w:szCs w:val="18"/>
                    </w:rPr>
                    <w:t>研究和试验发展</w:t>
                  </w:r>
                </w:p>
              </w:tc>
              <w:tc>
                <w:tcPr>
                  <w:tcW w:w="2621" w:type="pct"/>
                  <w:gridSpan w:val="3"/>
                  <w:tcBorders>
                    <w:tl2br w:val="nil"/>
                    <w:tr2bl w:val="nil"/>
                  </w:tcBorders>
                  <w:vAlign w:val="center"/>
                </w:tcPr>
                <w:p w14:paraId="134193DE">
                  <w:pPr>
                    <w:widowControl/>
                    <w:jc w:val="center"/>
                    <w:rPr>
                      <w:bCs/>
                      <w:kern w:val="0"/>
                      <w:sz w:val="18"/>
                      <w:szCs w:val="18"/>
                    </w:rPr>
                  </w:pPr>
                  <w:r>
                    <w:rPr>
                      <w:rFonts w:hint="eastAsia"/>
                      <w:bCs/>
                      <w:kern w:val="0"/>
                      <w:sz w:val="18"/>
                      <w:szCs w:val="18"/>
                    </w:rPr>
                    <w:t>P3、P4生物安全实验室；转基因实验室</w:t>
                  </w:r>
                </w:p>
              </w:tc>
              <w:tc>
                <w:tcPr>
                  <w:tcW w:w="577" w:type="pct"/>
                  <w:vMerge w:val="continue"/>
                  <w:tcBorders>
                    <w:tl2br w:val="nil"/>
                    <w:tr2bl w:val="nil"/>
                  </w:tcBorders>
                  <w:vAlign w:val="center"/>
                </w:tcPr>
                <w:p w14:paraId="1DF8D64A">
                  <w:pPr>
                    <w:widowControl/>
                    <w:jc w:val="center"/>
                    <w:rPr>
                      <w:bCs/>
                      <w:kern w:val="0"/>
                      <w:sz w:val="18"/>
                      <w:szCs w:val="18"/>
                    </w:rPr>
                  </w:pPr>
                </w:p>
              </w:tc>
            </w:tr>
            <w:tr w14:paraId="73E4DB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7572D762">
                  <w:pPr>
                    <w:widowControl/>
                    <w:jc w:val="center"/>
                    <w:rPr>
                      <w:bCs/>
                      <w:kern w:val="0"/>
                      <w:sz w:val="18"/>
                      <w:szCs w:val="18"/>
                    </w:rPr>
                  </w:pPr>
                </w:p>
              </w:tc>
              <w:tc>
                <w:tcPr>
                  <w:tcW w:w="242" w:type="pct"/>
                  <w:vMerge w:val="restart"/>
                  <w:tcBorders>
                    <w:tl2br w:val="nil"/>
                    <w:tr2bl w:val="nil"/>
                  </w:tcBorders>
                  <w:vAlign w:val="center"/>
                </w:tcPr>
                <w:p w14:paraId="6F20F36B">
                  <w:pPr>
                    <w:widowControl/>
                    <w:jc w:val="center"/>
                    <w:rPr>
                      <w:bCs/>
                      <w:kern w:val="0"/>
                      <w:sz w:val="18"/>
                      <w:szCs w:val="18"/>
                    </w:rPr>
                  </w:pPr>
                  <w:r>
                    <w:rPr>
                      <w:rFonts w:hint="eastAsia"/>
                      <w:bCs/>
                      <w:kern w:val="0"/>
                      <w:sz w:val="18"/>
                      <w:szCs w:val="18"/>
                    </w:rPr>
                    <w:t>限制准入类</w:t>
                  </w:r>
                </w:p>
              </w:tc>
              <w:tc>
                <w:tcPr>
                  <w:tcW w:w="517" w:type="pct"/>
                  <w:tcBorders>
                    <w:tl2br w:val="nil"/>
                    <w:tr2bl w:val="nil"/>
                  </w:tcBorders>
                  <w:vAlign w:val="center"/>
                </w:tcPr>
                <w:p w14:paraId="63442D4E">
                  <w:pPr>
                    <w:widowControl/>
                    <w:jc w:val="center"/>
                    <w:rPr>
                      <w:bCs/>
                      <w:kern w:val="0"/>
                      <w:sz w:val="18"/>
                      <w:szCs w:val="18"/>
                    </w:rPr>
                  </w:pPr>
                  <w:r>
                    <w:rPr>
                      <w:rFonts w:hint="eastAsia"/>
                      <w:bCs/>
                      <w:kern w:val="0"/>
                      <w:sz w:val="18"/>
                      <w:szCs w:val="18"/>
                    </w:rPr>
                    <w:t>二十四</w:t>
                  </w:r>
                </w:p>
              </w:tc>
              <w:tc>
                <w:tcPr>
                  <w:tcW w:w="801" w:type="pct"/>
                  <w:gridSpan w:val="2"/>
                  <w:tcBorders>
                    <w:tl2br w:val="nil"/>
                    <w:tr2bl w:val="nil"/>
                  </w:tcBorders>
                  <w:vAlign w:val="center"/>
                </w:tcPr>
                <w:p w14:paraId="5DD6C2A4">
                  <w:pPr>
                    <w:widowControl/>
                    <w:jc w:val="center"/>
                    <w:rPr>
                      <w:bCs/>
                      <w:kern w:val="0"/>
                      <w:sz w:val="18"/>
                      <w:szCs w:val="18"/>
                    </w:rPr>
                  </w:pPr>
                  <w:r>
                    <w:rPr>
                      <w:rFonts w:hint="eastAsia"/>
                      <w:bCs/>
                      <w:kern w:val="0"/>
                      <w:sz w:val="18"/>
                      <w:szCs w:val="18"/>
                    </w:rPr>
                    <w:t>医药制造业27</w:t>
                  </w:r>
                </w:p>
              </w:tc>
              <w:tc>
                <w:tcPr>
                  <w:tcW w:w="530" w:type="pct"/>
                  <w:tcBorders>
                    <w:tl2br w:val="nil"/>
                    <w:tr2bl w:val="nil"/>
                  </w:tcBorders>
                  <w:vAlign w:val="center"/>
                </w:tcPr>
                <w:p w14:paraId="57A484C6">
                  <w:pPr>
                    <w:adjustRightInd w:val="0"/>
                    <w:snapToGrid w:val="0"/>
                    <w:jc w:val="center"/>
                    <w:rPr>
                      <w:bCs/>
                      <w:kern w:val="0"/>
                      <w:sz w:val="18"/>
                      <w:szCs w:val="18"/>
                    </w:rPr>
                  </w:pPr>
                  <w:r>
                    <w:rPr>
                      <w:sz w:val="18"/>
                      <w:szCs w:val="18"/>
                    </w:rPr>
                    <w:t>/</w:t>
                  </w:r>
                </w:p>
              </w:tc>
              <w:tc>
                <w:tcPr>
                  <w:tcW w:w="1153" w:type="pct"/>
                  <w:tcBorders>
                    <w:tl2br w:val="nil"/>
                    <w:tr2bl w:val="nil"/>
                  </w:tcBorders>
                  <w:vAlign w:val="center"/>
                </w:tcPr>
                <w:p w14:paraId="2AFD86E5">
                  <w:pPr>
                    <w:adjustRightInd w:val="0"/>
                    <w:snapToGrid w:val="0"/>
                    <w:jc w:val="left"/>
                    <w:rPr>
                      <w:sz w:val="18"/>
                      <w:szCs w:val="18"/>
                    </w:rPr>
                  </w:pPr>
                  <w:r>
                    <w:rPr>
                      <w:rFonts w:hint="eastAsia"/>
                      <w:sz w:val="18"/>
                      <w:szCs w:val="18"/>
                    </w:rPr>
                    <w:t>1、生物药品制品制造276：涉及化学合成反应的；有发酵工艺的；</w:t>
                  </w:r>
                </w:p>
                <w:p w14:paraId="326DF9B6">
                  <w:pPr>
                    <w:adjustRightInd w:val="0"/>
                    <w:snapToGrid w:val="0"/>
                    <w:jc w:val="left"/>
                    <w:rPr>
                      <w:sz w:val="18"/>
                      <w:szCs w:val="18"/>
                    </w:rPr>
                  </w:pPr>
                  <w:r>
                    <w:rPr>
                      <w:rFonts w:hint="eastAsia"/>
                      <w:sz w:val="18"/>
                      <w:szCs w:val="18"/>
                    </w:rPr>
                    <w:t>2、中药饮片加工273、中成药生产274：有提炼工艺的(仅醇提、水提的除外)</w:t>
                  </w:r>
                </w:p>
                <w:p w14:paraId="23CCC73A">
                  <w:pPr>
                    <w:adjustRightInd w:val="0"/>
                    <w:snapToGrid w:val="0"/>
                    <w:jc w:val="left"/>
                    <w:rPr>
                      <w:bCs/>
                      <w:kern w:val="0"/>
                      <w:sz w:val="18"/>
                      <w:szCs w:val="18"/>
                    </w:rPr>
                  </w:pPr>
                  <w:r>
                    <w:rPr>
                      <w:rFonts w:hint="eastAsia"/>
                      <w:sz w:val="18"/>
                      <w:szCs w:val="18"/>
                    </w:rPr>
                    <w:t>3、药用辅料及包装材料制造278：含有机合成反应的</w:t>
                  </w:r>
                </w:p>
              </w:tc>
              <w:tc>
                <w:tcPr>
                  <w:tcW w:w="938" w:type="pct"/>
                  <w:tcBorders>
                    <w:tl2br w:val="nil"/>
                    <w:tr2bl w:val="nil"/>
                  </w:tcBorders>
                  <w:vAlign w:val="center"/>
                </w:tcPr>
                <w:p w14:paraId="081384D8">
                  <w:pPr>
                    <w:adjustRightInd w:val="0"/>
                    <w:snapToGrid w:val="0"/>
                    <w:rPr>
                      <w:bCs/>
                      <w:kern w:val="0"/>
                      <w:sz w:val="18"/>
                      <w:szCs w:val="18"/>
                    </w:rPr>
                  </w:pPr>
                  <w:r>
                    <w:rPr>
                      <w:rFonts w:hint="eastAsia"/>
                      <w:sz w:val="18"/>
                      <w:szCs w:val="18"/>
                    </w:rPr>
                    <w:t>单纯中药熬制项目</w:t>
                  </w:r>
                </w:p>
              </w:tc>
              <w:tc>
                <w:tcPr>
                  <w:tcW w:w="577" w:type="pct"/>
                  <w:vMerge w:val="continue"/>
                  <w:tcBorders>
                    <w:tl2br w:val="nil"/>
                    <w:tr2bl w:val="nil"/>
                  </w:tcBorders>
                  <w:vAlign w:val="center"/>
                </w:tcPr>
                <w:p w14:paraId="2491FF8E">
                  <w:pPr>
                    <w:widowControl/>
                    <w:jc w:val="center"/>
                    <w:rPr>
                      <w:bCs/>
                      <w:kern w:val="0"/>
                      <w:sz w:val="18"/>
                      <w:szCs w:val="18"/>
                    </w:rPr>
                  </w:pPr>
                </w:p>
              </w:tc>
            </w:tr>
            <w:tr w14:paraId="40193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48650888">
                  <w:pPr>
                    <w:widowControl/>
                    <w:jc w:val="center"/>
                    <w:rPr>
                      <w:bCs/>
                      <w:kern w:val="0"/>
                      <w:sz w:val="18"/>
                      <w:szCs w:val="18"/>
                    </w:rPr>
                  </w:pPr>
                </w:p>
              </w:tc>
              <w:tc>
                <w:tcPr>
                  <w:tcW w:w="242" w:type="pct"/>
                  <w:vMerge w:val="continue"/>
                  <w:tcBorders>
                    <w:tl2br w:val="nil"/>
                    <w:tr2bl w:val="nil"/>
                  </w:tcBorders>
                  <w:vAlign w:val="center"/>
                </w:tcPr>
                <w:p w14:paraId="0D91F63A">
                  <w:pPr>
                    <w:widowControl/>
                    <w:jc w:val="center"/>
                    <w:rPr>
                      <w:bCs/>
                      <w:kern w:val="0"/>
                      <w:sz w:val="18"/>
                      <w:szCs w:val="18"/>
                    </w:rPr>
                  </w:pPr>
                </w:p>
              </w:tc>
              <w:tc>
                <w:tcPr>
                  <w:tcW w:w="517" w:type="pct"/>
                  <w:tcBorders>
                    <w:tl2br w:val="nil"/>
                    <w:tr2bl w:val="nil"/>
                  </w:tcBorders>
                  <w:vAlign w:val="center"/>
                </w:tcPr>
                <w:p w14:paraId="2A160DFA">
                  <w:pPr>
                    <w:widowControl/>
                    <w:jc w:val="center"/>
                    <w:rPr>
                      <w:bCs/>
                      <w:kern w:val="0"/>
                      <w:sz w:val="18"/>
                      <w:szCs w:val="18"/>
                    </w:rPr>
                  </w:pPr>
                  <w:r>
                    <w:rPr>
                      <w:rFonts w:hint="eastAsia"/>
                      <w:bCs/>
                      <w:kern w:val="0"/>
                      <w:sz w:val="18"/>
                      <w:szCs w:val="18"/>
                    </w:rPr>
                    <w:t>三十三</w:t>
                  </w:r>
                </w:p>
              </w:tc>
              <w:tc>
                <w:tcPr>
                  <w:tcW w:w="801" w:type="pct"/>
                  <w:gridSpan w:val="2"/>
                  <w:tcBorders>
                    <w:tl2br w:val="nil"/>
                    <w:tr2bl w:val="nil"/>
                  </w:tcBorders>
                  <w:vAlign w:val="center"/>
                </w:tcPr>
                <w:p w14:paraId="39DF1D8A">
                  <w:pPr>
                    <w:widowControl/>
                    <w:jc w:val="center"/>
                    <w:rPr>
                      <w:bCs/>
                      <w:kern w:val="0"/>
                      <w:sz w:val="18"/>
                      <w:szCs w:val="18"/>
                    </w:rPr>
                  </w:pPr>
                  <w:r>
                    <w:rPr>
                      <w:rFonts w:hint="eastAsia"/>
                      <w:bCs/>
                      <w:kern w:val="0"/>
                      <w:sz w:val="18"/>
                      <w:szCs w:val="18"/>
                    </w:rPr>
                    <w:t>汽车制造业36</w:t>
                  </w:r>
                </w:p>
              </w:tc>
              <w:tc>
                <w:tcPr>
                  <w:tcW w:w="530" w:type="pct"/>
                  <w:tcBorders>
                    <w:tl2br w:val="nil"/>
                    <w:tr2bl w:val="nil"/>
                  </w:tcBorders>
                  <w:vAlign w:val="center"/>
                </w:tcPr>
                <w:p w14:paraId="26C4A38F">
                  <w:pPr>
                    <w:widowControl/>
                    <w:jc w:val="center"/>
                    <w:rPr>
                      <w:bCs/>
                      <w:kern w:val="0"/>
                      <w:sz w:val="18"/>
                      <w:szCs w:val="18"/>
                    </w:rPr>
                  </w:pPr>
                  <w:r>
                    <w:rPr>
                      <w:bCs/>
                      <w:kern w:val="0"/>
                      <w:sz w:val="18"/>
                      <w:szCs w:val="18"/>
                    </w:rPr>
                    <w:t>/</w:t>
                  </w:r>
                </w:p>
              </w:tc>
              <w:tc>
                <w:tcPr>
                  <w:tcW w:w="1153" w:type="pct"/>
                  <w:vMerge w:val="restart"/>
                  <w:tcBorders>
                    <w:tl2br w:val="nil"/>
                    <w:tr2bl w:val="nil"/>
                  </w:tcBorders>
                  <w:vAlign w:val="center"/>
                </w:tcPr>
                <w:p w14:paraId="67021DFD">
                  <w:pPr>
                    <w:widowControl/>
                    <w:rPr>
                      <w:bCs/>
                      <w:kern w:val="0"/>
                      <w:sz w:val="18"/>
                      <w:szCs w:val="18"/>
                    </w:rPr>
                  </w:pPr>
                  <w:r>
                    <w:rPr>
                      <w:rFonts w:hint="eastAsia"/>
                      <w:bCs/>
                      <w:kern w:val="0"/>
                      <w:sz w:val="18"/>
                      <w:szCs w:val="18"/>
                    </w:rPr>
                    <w:t>1、涉及铸造工艺的；</w:t>
                  </w:r>
                </w:p>
                <w:p w14:paraId="6D6B6EA1">
                  <w:pPr>
                    <w:widowControl/>
                    <w:rPr>
                      <w:bCs/>
                      <w:kern w:val="0"/>
                      <w:sz w:val="18"/>
                      <w:szCs w:val="18"/>
                    </w:rPr>
                  </w:pPr>
                  <w:r>
                    <w:rPr>
                      <w:rFonts w:hint="eastAsia"/>
                      <w:bCs/>
                      <w:kern w:val="0"/>
                      <w:sz w:val="18"/>
                      <w:szCs w:val="18"/>
                    </w:rPr>
                    <w:t>2、涉及酸洗、磷化工艺的；</w:t>
                  </w:r>
                </w:p>
                <w:p w14:paraId="7D07B30A">
                  <w:pPr>
                    <w:widowControl/>
                    <w:rPr>
                      <w:bCs/>
                      <w:kern w:val="0"/>
                      <w:sz w:val="18"/>
                      <w:szCs w:val="18"/>
                    </w:rPr>
                  </w:pPr>
                  <w:r>
                    <w:rPr>
                      <w:rFonts w:hint="eastAsia"/>
                      <w:bCs/>
                      <w:kern w:val="0"/>
                      <w:sz w:val="18"/>
                      <w:szCs w:val="18"/>
                    </w:rPr>
                    <w:t>3、涉及属GB8978中规定的第一类污染物的重金属排放的；</w:t>
                  </w:r>
                </w:p>
                <w:p w14:paraId="7119EB29">
                  <w:pPr>
                    <w:widowControl/>
                    <w:rPr>
                      <w:bCs/>
                      <w:kern w:val="0"/>
                      <w:sz w:val="18"/>
                      <w:szCs w:val="18"/>
                    </w:rPr>
                  </w:pPr>
                  <w:r>
                    <w:rPr>
                      <w:rFonts w:hint="eastAsia"/>
                      <w:bCs/>
                      <w:kern w:val="0"/>
                      <w:sz w:val="18"/>
                      <w:szCs w:val="18"/>
                    </w:rPr>
                    <w:t>4、年用溶剂型涂料(含稀释剂)10吨及以上的</w:t>
                  </w:r>
                </w:p>
              </w:tc>
              <w:tc>
                <w:tcPr>
                  <w:tcW w:w="938" w:type="pct"/>
                  <w:tcBorders>
                    <w:tl2br w:val="nil"/>
                    <w:tr2bl w:val="nil"/>
                  </w:tcBorders>
                  <w:vAlign w:val="center"/>
                </w:tcPr>
                <w:p w14:paraId="22AB2FC3">
                  <w:pPr>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04FC3C9F">
                  <w:pPr>
                    <w:widowControl/>
                    <w:jc w:val="center"/>
                    <w:rPr>
                      <w:bCs/>
                      <w:kern w:val="0"/>
                      <w:sz w:val="18"/>
                      <w:szCs w:val="18"/>
                    </w:rPr>
                  </w:pPr>
                </w:p>
              </w:tc>
            </w:tr>
            <w:tr w14:paraId="789D6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DA5CEC1">
                  <w:pPr>
                    <w:widowControl/>
                    <w:jc w:val="center"/>
                    <w:rPr>
                      <w:bCs/>
                      <w:kern w:val="0"/>
                      <w:sz w:val="18"/>
                      <w:szCs w:val="18"/>
                    </w:rPr>
                  </w:pPr>
                </w:p>
              </w:tc>
              <w:tc>
                <w:tcPr>
                  <w:tcW w:w="242" w:type="pct"/>
                  <w:vMerge w:val="continue"/>
                  <w:tcBorders>
                    <w:tl2br w:val="nil"/>
                    <w:tr2bl w:val="nil"/>
                  </w:tcBorders>
                  <w:vAlign w:val="center"/>
                </w:tcPr>
                <w:p w14:paraId="61F79FB8">
                  <w:pPr>
                    <w:widowControl/>
                    <w:jc w:val="center"/>
                    <w:rPr>
                      <w:bCs/>
                      <w:kern w:val="0"/>
                      <w:sz w:val="18"/>
                      <w:szCs w:val="18"/>
                    </w:rPr>
                  </w:pPr>
                </w:p>
              </w:tc>
              <w:tc>
                <w:tcPr>
                  <w:tcW w:w="517" w:type="pct"/>
                  <w:tcBorders>
                    <w:tl2br w:val="nil"/>
                    <w:tr2bl w:val="nil"/>
                  </w:tcBorders>
                  <w:vAlign w:val="center"/>
                </w:tcPr>
                <w:p w14:paraId="1B9E0506">
                  <w:pPr>
                    <w:widowControl/>
                    <w:jc w:val="center"/>
                    <w:rPr>
                      <w:bCs/>
                      <w:kern w:val="0"/>
                      <w:sz w:val="18"/>
                      <w:szCs w:val="18"/>
                    </w:rPr>
                  </w:pPr>
                  <w:r>
                    <w:rPr>
                      <w:rFonts w:hint="eastAsia"/>
                      <w:bCs/>
                      <w:kern w:val="0"/>
                      <w:sz w:val="18"/>
                      <w:szCs w:val="18"/>
                    </w:rPr>
                    <w:t>三十四</w:t>
                  </w:r>
                </w:p>
              </w:tc>
              <w:tc>
                <w:tcPr>
                  <w:tcW w:w="801" w:type="pct"/>
                  <w:gridSpan w:val="2"/>
                  <w:tcBorders>
                    <w:tl2br w:val="nil"/>
                    <w:tr2bl w:val="nil"/>
                  </w:tcBorders>
                  <w:vAlign w:val="center"/>
                </w:tcPr>
                <w:p w14:paraId="2B6B1B42">
                  <w:pPr>
                    <w:widowControl/>
                    <w:jc w:val="center"/>
                    <w:rPr>
                      <w:bCs/>
                      <w:kern w:val="0"/>
                      <w:sz w:val="18"/>
                      <w:szCs w:val="18"/>
                    </w:rPr>
                  </w:pPr>
                  <w:r>
                    <w:rPr>
                      <w:rFonts w:hint="eastAsia"/>
                      <w:bCs/>
                      <w:kern w:val="0"/>
                      <w:sz w:val="18"/>
                      <w:szCs w:val="18"/>
                    </w:rPr>
                    <w:t>铁路、船舶、航空航天和其他运输设备制造业37</w:t>
                  </w:r>
                </w:p>
              </w:tc>
              <w:tc>
                <w:tcPr>
                  <w:tcW w:w="530" w:type="pct"/>
                  <w:tcBorders>
                    <w:tl2br w:val="nil"/>
                    <w:tr2bl w:val="nil"/>
                  </w:tcBorders>
                  <w:vAlign w:val="center"/>
                </w:tcPr>
                <w:p w14:paraId="3BD8E565">
                  <w:pPr>
                    <w:widowControl/>
                    <w:jc w:val="center"/>
                    <w:rPr>
                      <w:bCs/>
                      <w:kern w:val="0"/>
                      <w:sz w:val="18"/>
                      <w:szCs w:val="18"/>
                    </w:rPr>
                  </w:pPr>
                  <w:r>
                    <w:rPr>
                      <w:bCs/>
                      <w:kern w:val="0"/>
                      <w:sz w:val="18"/>
                      <w:szCs w:val="18"/>
                    </w:rPr>
                    <w:t>/</w:t>
                  </w:r>
                </w:p>
              </w:tc>
              <w:tc>
                <w:tcPr>
                  <w:tcW w:w="1153" w:type="pct"/>
                  <w:vMerge w:val="continue"/>
                  <w:tcBorders>
                    <w:tl2br w:val="nil"/>
                    <w:tr2bl w:val="nil"/>
                  </w:tcBorders>
                  <w:vAlign w:val="center"/>
                </w:tcPr>
                <w:p w14:paraId="6F0BE604">
                  <w:pPr>
                    <w:widowControl/>
                    <w:rPr>
                      <w:bCs/>
                      <w:kern w:val="0"/>
                      <w:sz w:val="18"/>
                      <w:szCs w:val="18"/>
                    </w:rPr>
                  </w:pPr>
                </w:p>
              </w:tc>
              <w:tc>
                <w:tcPr>
                  <w:tcW w:w="938" w:type="pct"/>
                  <w:tcBorders>
                    <w:tl2br w:val="nil"/>
                    <w:tr2bl w:val="nil"/>
                  </w:tcBorders>
                  <w:vAlign w:val="center"/>
                </w:tcPr>
                <w:p w14:paraId="05CB8DD8">
                  <w:pPr>
                    <w:widowControl/>
                    <w:jc w:val="center"/>
                    <w:rPr>
                      <w:bCs/>
                      <w:kern w:val="0"/>
                      <w:sz w:val="18"/>
                      <w:szCs w:val="18"/>
                    </w:rPr>
                  </w:pPr>
                  <w:r>
                    <w:rPr>
                      <w:bCs/>
                      <w:kern w:val="0"/>
                      <w:sz w:val="18"/>
                      <w:szCs w:val="18"/>
                    </w:rPr>
                    <w:t>/</w:t>
                  </w:r>
                </w:p>
              </w:tc>
              <w:tc>
                <w:tcPr>
                  <w:tcW w:w="577" w:type="pct"/>
                  <w:vMerge w:val="continue"/>
                  <w:tcBorders>
                    <w:tl2br w:val="nil"/>
                    <w:tr2bl w:val="nil"/>
                  </w:tcBorders>
                  <w:vAlign w:val="center"/>
                </w:tcPr>
                <w:p w14:paraId="5487EBDC">
                  <w:pPr>
                    <w:widowControl/>
                    <w:jc w:val="center"/>
                    <w:rPr>
                      <w:bCs/>
                      <w:kern w:val="0"/>
                      <w:sz w:val="18"/>
                      <w:szCs w:val="18"/>
                    </w:rPr>
                  </w:pPr>
                </w:p>
              </w:tc>
            </w:tr>
            <w:tr w14:paraId="248DB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9" w:type="pct"/>
                  <w:vMerge w:val="continue"/>
                  <w:tcBorders>
                    <w:tl2br w:val="nil"/>
                    <w:tr2bl w:val="nil"/>
                  </w:tcBorders>
                  <w:vAlign w:val="center"/>
                </w:tcPr>
                <w:p w14:paraId="127A1059">
                  <w:pPr>
                    <w:widowControl/>
                    <w:jc w:val="center"/>
                    <w:rPr>
                      <w:bCs/>
                      <w:kern w:val="0"/>
                      <w:sz w:val="18"/>
                      <w:szCs w:val="18"/>
                    </w:rPr>
                  </w:pPr>
                </w:p>
              </w:tc>
              <w:tc>
                <w:tcPr>
                  <w:tcW w:w="242" w:type="pct"/>
                  <w:vMerge w:val="continue"/>
                  <w:tcBorders>
                    <w:tl2br w:val="nil"/>
                    <w:tr2bl w:val="nil"/>
                  </w:tcBorders>
                  <w:vAlign w:val="center"/>
                </w:tcPr>
                <w:p w14:paraId="1C5DB482">
                  <w:pPr>
                    <w:widowControl/>
                    <w:jc w:val="center"/>
                    <w:rPr>
                      <w:bCs/>
                      <w:kern w:val="0"/>
                      <w:sz w:val="18"/>
                      <w:szCs w:val="18"/>
                    </w:rPr>
                  </w:pPr>
                </w:p>
              </w:tc>
              <w:tc>
                <w:tcPr>
                  <w:tcW w:w="517" w:type="pct"/>
                  <w:tcBorders>
                    <w:tl2br w:val="nil"/>
                    <w:tr2bl w:val="nil"/>
                  </w:tcBorders>
                  <w:vAlign w:val="center"/>
                </w:tcPr>
                <w:p w14:paraId="48EDE7B6">
                  <w:pPr>
                    <w:widowControl/>
                    <w:jc w:val="center"/>
                    <w:rPr>
                      <w:bCs/>
                      <w:kern w:val="0"/>
                      <w:sz w:val="18"/>
                      <w:szCs w:val="18"/>
                    </w:rPr>
                  </w:pPr>
                  <w:r>
                    <w:rPr>
                      <w:rFonts w:hint="eastAsia"/>
                      <w:bCs/>
                      <w:kern w:val="0"/>
                      <w:sz w:val="18"/>
                      <w:szCs w:val="18"/>
                    </w:rPr>
                    <w:t>四十五</w:t>
                  </w:r>
                </w:p>
              </w:tc>
              <w:tc>
                <w:tcPr>
                  <w:tcW w:w="801" w:type="pct"/>
                  <w:gridSpan w:val="2"/>
                  <w:tcBorders>
                    <w:tl2br w:val="nil"/>
                    <w:tr2bl w:val="nil"/>
                  </w:tcBorders>
                  <w:vAlign w:val="center"/>
                </w:tcPr>
                <w:p w14:paraId="22E20D23">
                  <w:pPr>
                    <w:widowControl/>
                    <w:jc w:val="center"/>
                    <w:rPr>
                      <w:bCs/>
                      <w:kern w:val="0"/>
                      <w:sz w:val="18"/>
                      <w:szCs w:val="18"/>
                    </w:rPr>
                  </w:pPr>
                  <w:r>
                    <w:rPr>
                      <w:rFonts w:hint="eastAsia"/>
                      <w:bCs/>
                      <w:kern w:val="0"/>
                      <w:sz w:val="18"/>
                      <w:szCs w:val="18"/>
                    </w:rPr>
                    <w:t>研究和试验发展</w:t>
                  </w:r>
                </w:p>
              </w:tc>
              <w:tc>
                <w:tcPr>
                  <w:tcW w:w="2621" w:type="pct"/>
                  <w:gridSpan w:val="3"/>
                  <w:tcBorders>
                    <w:tl2br w:val="nil"/>
                    <w:tr2bl w:val="nil"/>
                  </w:tcBorders>
                  <w:vAlign w:val="center"/>
                </w:tcPr>
                <w:p w14:paraId="5BCAAD10">
                  <w:pPr>
                    <w:widowControl/>
                    <w:rPr>
                      <w:bCs/>
                      <w:kern w:val="0"/>
                      <w:sz w:val="18"/>
                      <w:szCs w:val="18"/>
                    </w:rPr>
                  </w:pPr>
                  <w:r>
                    <w:rPr>
                      <w:rFonts w:hint="eastAsia"/>
                      <w:bCs/>
                      <w:kern w:val="0"/>
                      <w:sz w:val="18"/>
                      <w:szCs w:val="18"/>
                    </w:rPr>
                    <w:t>医药中间体研发及化学合成药研发(除创新药外)；各类有机化学品合计使用量超过5t/a的；涉及电镀、发蓝、磷化、有机涂层、热镀锌等工艺的</w:t>
                  </w:r>
                </w:p>
              </w:tc>
              <w:tc>
                <w:tcPr>
                  <w:tcW w:w="577" w:type="pct"/>
                  <w:vMerge w:val="continue"/>
                  <w:tcBorders>
                    <w:tl2br w:val="nil"/>
                    <w:tr2bl w:val="nil"/>
                  </w:tcBorders>
                  <w:vAlign w:val="center"/>
                </w:tcPr>
                <w:p w14:paraId="67E6D130">
                  <w:pPr>
                    <w:widowControl/>
                    <w:jc w:val="center"/>
                    <w:rPr>
                      <w:bCs/>
                      <w:kern w:val="0"/>
                      <w:sz w:val="18"/>
                      <w:szCs w:val="18"/>
                    </w:rPr>
                  </w:pPr>
                </w:p>
              </w:tc>
            </w:tr>
            <w:tr w14:paraId="270D22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vAlign w:val="center"/>
                </w:tcPr>
                <w:p w14:paraId="462119C0">
                  <w:pPr>
                    <w:adjustRightInd w:val="0"/>
                    <w:snapToGrid w:val="0"/>
                    <w:rPr>
                      <w:sz w:val="18"/>
                      <w:szCs w:val="18"/>
                    </w:rPr>
                  </w:pPr>
                  <w:r>
                    <w:rPr>
                      <w:rFonts w:hint="eastAsia"/>
                      <w:b/>
                      <w:bCs/>
                      <w:sz w:val="18"/>
                      <w:szCs w:val="18"/>
                    </w:rPr>
                    <w:t>说明：</w:t>
                  </w:r>
                  <w:r>
                    <w:rPr>
                      <w:rFonts w:hint="eastAsia"/>
                      <w:sz w:val="18"/>
                      <w:szCs w:val="18"/>
                    </w:rPr>
                    <w:t>1、禁止准入类主要是指不符合法律法规和生态环境分区管控规定，严重浪费资源、污染环境、不具备安全生产条件，危害人民群众身体健康和公共安全，需要淘汰的落后工艺技术、产品和服务。虽然未列入本次禁止类清单目录但属于有关法律、法规、政策和规划(包括今后国家和地方发布的相关文件)禁止或淘汰类的产业和项目，均归为禁止准入类。相关依据文件发生更新时，相应条款按照最新要求执行。</w:t>
                  </w:r>
                </w:p>
                <w:p w14:paraId="36E4874A">
                  <w:pPr>
                    <w:adjustRightInd w:val="0"/>
                    <w:snapToGrid w:val="0"/>
                    <w:rPr>
                      <w:sz w:val="18"/>
                      <w:szCs w:val="18"/>
                    </w:rPr>
                  </w:pPr>
                  <w:r>
                    <w:rPr>
                      <w:rFonts w:hint="eastAsia"/>
                      <w:sz w:val="18"/>
                      <w:szCs w:val="18"/>
                    </w:rPr>
                    <w:t>2、限制准入类主要涉及符合高新区规划产业发展导向，但含有一定环境污染隐患的，污染较大、环境风险较高、能耗较高的工艺、产品和服务，以及不符合区域产业布局和导向，不利于区域产业结构优化升级的工艺技术和产品。虽未列入本次限制准入类清单但属于有关法律、法规、政策和规划(包括今后国家和地方发布的相关文件)限制类的产业和项目，均归为限制准入类。相关依据文件发生更新时，相应条款按照最新要求执行。同时，限制类项目入园的，需经管委会主任办公会议审议通过，其中污染较重的项目建议先经专家评估论证通过。</w:t>
                  </w:r>
                </w:p>
                <w:p w14:paraId="73A1FC91">
                  <w:pPr>
                    <w:adjustRightInd w:val="0"/>
                    <w:snapToGrid w:val="0"/>
                    <w:rPr>
                      <w:sz w:val="18"/>
                      <w:szCs w:val="18"/>
                    </w:rPr>
                  </w:pPr>
                  <w:r>
                    <w:rPr>
                      <w:rFonts w:hint="eastAsia"/>
                      <w:sz w:val="18"/>
                      <w:szCs w:val="18"/>
                    </w:rPr>
                    <w:t>3、输油、输气管线项目，电力、热力生产和供应业，储油储气项目，水的生产和供应业，生态保护和环境治理业等基础设施类工业项目，以及矿产资源开发项目不纳入工业项目范畴。</w:t>
                  </w:r>
                </w:p>
                <w:p w14:paraId="3283A843">
                  <w:pPr>
                    <w:adjustRightInd w:val="0"/>
                    <w:snapToGrid w:val="0"/>
                    <w:rPr>
                      <w:bCs/>
                      <w:kern w:val="0"/>
                      <w:sz w:val="18"/>
                      <w:szCs w:val="18"/>
                    </w:rPr>
                  </w:pPr>
                  <w:r>
                    <w:rPr>
                      <w:rFonts w:hint="eastAsia"/>
                      <w:sz w:val="18"/>
                      <w:szCs w:val="18"/>
                    </w:rPr>
                    <w:t>4、《产业结构调整指导目录(2024年本)》、《建设项目环境影响评价分类管理名录(2021年版)》、《战略性新兴产业重点产品和服务指导目录(2016版)》、《工业战略性新兴产业分类目录(2023)》、《杭州市产业发展导向目录(2024年本)》等文件如有更新，以最新文件为准。</w:t>
                  </w:r>
                </w:p>
              </w:tc>
            </w:tr>
          </w:tbl>
          <w:p w14:paraId="63486BD6">
            <w:pPr>
              <w:spacing w:line="360" w:lineRule="auto"/>
              <w:ind w:firstLine="420" w:firstLineChars="200"/>
              <w:rPr>
                <w:b/>
                <w:bCs/>
                <w:szCs w:val="21"/>
              </w:rPr>
            </w:pPr>
            <w:r>
              <w:rPr>
                <w:rFonts w:hint="eastAsia"/>
                <w:szCs w:val="21"/>
              </w:rPr>
              <w:t>项目位于余杭区南湖科学中心(ZH33011020010)重点管控单元，属于C3589其他医疗设备及器械制造。对照基地环境准入条件清单，</w:t>
            </w:r>
            <w:r>
              <w:rPr>
                <w:rFonts w:hint="eastAsia"/>
              </w:rPr>
              <w:t>本项目不属于禁止准入类和限制准入类，项目的建设符合</w:t>
            </w:r>
            <w:r>
              <w:rPr>
                <w:rFonts w:hint="eastAsia"/>
                <w:szCs w:val="21"/>
              </w:rPr>
              <w:t>环境准入条件清单中的准入要求。</w:t>
            </w:r>
          </w:p>
          <w:p w14:paraId="5EC1D2E3">
            <w:pPr>
              <w:spacing w:line="360" w:lineRule="auto"/>
              <w:ind w:firstLine="422" w:firstLineChars="200"/>
              <w:rPr>
                <w:b/>
                <w:bCs/>
                <w:szCs w:val="21"/>
              </w:rPr>
            </w:pPr>
            <w:r>
              <w:rPr>
                <w:rFonts w:hint="eastAsia"/>
                <w:b/>
                <w:bCs/>
                <w:szCs w:val="21"/>
              </w:rPr>
              <w:t>⑥环境标准清单符合性</w:t>
            </w:r>
          </w:p>
          <w:p w14:paraId="50B1F9FC">
            <w:pPr>
              <w:spacing w:line="360" w:lineRule="auto"/>
              <w:ind w:firstLine="420" w:firstLineChars="200"/>
              <w:rPr>
                <w:szCs w:val="21"/>
              </w:rPr>
            </w:pPr>
            <w:r>
              <w:rPr>
                <w:rFonts w:hint="eastAsia"/>
                <w:szCs w:val="21"/>
              </w:rPr>
              <w:t>项目与环境标准清单符合性分析如</w:t>
            </w:r>
            <w:r>
              <w:rPr>
                <w:rFonts w:hint="eastAsia"/>
                <w:szCs w:val="21"/>
                <w:lang w:val="en-US" w:eastAsia="zh-CN"/>
              </w:rPr>
              <w:t>下表</w:t>
            </w:r>
            <w:r>
              <w:rPr>
                <w:rFonts w:hint="eastAsia"/>
                <w:szCs w:val="21"/>
              </w:rPr>
              <w:t>所示。</w:t>
            </w:r>
          </w:p>
          <w:p w14:paraId="7D1D3CB5">
            <w:pPr>
              <w:pStyle w:val="5"/>
              <w:widowControl/>
              <w:numPr>
                <w:ilvl w:val="0"/>
                <w:numId w:val="2"/>
              </w:numPr>
              <w:tabs>
                <w:tab w:val="left" w:pos="0"/>
              </w:tabs>
              <w:spacing w:before="0" w:after="0" w:line="360" w:lineRule="auto"/>
              <w:ind w:left="0" w:firstLine="0"/>
              <w:jc w:val="center"/>
              <w:rPr>
                <w:rFonts w:hint="eastAsia" w:ascii="黑体" w:hAnsi="黑体" w:cs="黑体"/>
                <w:b w:val="0"/>
                <w:bCs w:val="0"/>
                <w:sz w:val="21"/>
                <w:szCs w:val="21"/>
              </w:rPr>
            </w:pPr>
            <w:r>
              <w:rPr>
                <w:rFonts w:hint="eastAsia" w:ascii="黑体" w:hAnsi="黑体" w:cs="黑体"/>
                <w:b w:val="0"/>
                <w:bCs w:val="0"/>
                <w:sz w:val="21"/>
                <w:szCs w:val="21"/>
              </w:rPr>
              <w:t>项目与环境标准清单符合性分析</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79"/>
              <w:gridCol w:w="423"/>
              <w:gridCol w:w="680"/>
              <w:gridCol w:w="570"/>
              <w:gridCol w:w="578"/>
              <w:gridCol w:w="754"/>
              <w:gridCol w:w="754"/>
              <w:gridCol w:w="680"/>
              <w:gridCol w:w="586"/>
              <w:gridCol w:w="586"/>
              <w:gridCol w:w="586"/>
              <w:gridCol w:w="678"/>
              <w:gridCol w:w="1142"/>
            </w:tblGrid>
            <w:tr w14:paraId="6E1DD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25" w:type="pct"/>
                  <w:tcBorders>
                    <w:tl2br w:val="nil"/>
                    <w:tr2bl w:val="nil"/>
                  </w:tcBorders>
                  <w:vAlign w:val="center"/>
                </w:tcPr>
                <w:p w14:paraId="6746BE6D">
                  <w:pPr>
                    <w:adjustRightInd w:val="0"/>
                    <w:snapToGrid w:val="0"/>
                    <w:jc w:val="center"/>
                    <w:rPr>
                      <w:sz w:val="18"/>
                      <w:szCs w:val="18"/>
                    </w:rPr>
                  </w:pPr>
                  <w:r>
                    <w:rPr>
                      <w:rFonts w:hint="eastAsia"/>
                      <w:sz w:val="18"/>
                      <w:szCs w:val="18"/>
                    </w:rPr>
                    <w:t>序号</w:t>
                  </w:r>
                </w:p>
              </w:tc>
              <w:tc>
                <w:tcPr>
                  <w:tcW w:w="657" w:type="pct"/>
                  <w:gridSpan w:val="2"/>
                  <w:tcBorders>
                    <w:tl2br w:val="nil"/>
                    <w:tr2bl w:val="nil"/>
                  </w:tcBorders>
                  <w:vAlign w:val="center"/>
                </w:tcPr>
                <w:p w14:paraId="2BA2BCF9">
                  <w:pPr>
                    <w:adjustRightInd w:val="0"/>
                    <w:snapToGrid w:val="0"/>
                    <w:jc w:val="center"/>
                    <w:rPr>
                      <w:sz w:val="18"/>
                      <w:szCs w:val="18"/>
                    </w:rPr>
                  </w:pPr>
                  <w:r>
                    <w:rPr>
                      <w:rFonts w:hint="eastAsia"/>
                      <w:sz w:val="18"/>
                      <w:szCs w:val="18"/>
                    </w:rPr>
                    <w:t>类别</w:t>
                  </w:r>
                </w:p>
              </w:tc>
              <w:tc>
                <w:tcPr>
                  <w:tcW w:w="4117" w:type="pct"/>
                  <w:gridSpan w:val="10"/>
                  <w:tcBorders>
                    <w:tl2br w:val="nil"/>
                    <w:tr2bl w:val="nil"/>
                  </w:tcBorders>
                  <w:vAlign w:val="center"/>
                </w:tcPr>
                <w:p w14:paraId="5796EB12">
                  <w:pPr>
                    <w:adjustRightInd w:val="0"/>
                    <w:snapToGrid w:val="0"/>
                    <w:jc w:val="center"/>
                    <w:rPr>
                      <w:sz w:val="18"/>
                      <w:szCs w:val="18"/>
                    </w:rPr>
                  </w:pPr>
                  <w:r>
                    <w:rPr>
                      <w:rFonts w:hint="eastAsia"/>
                      <w:sz w:val="18"/>
                      <w:szCs w:val="18"/>
                    </w:rPr>
                    <w:t>主要内容</w:t>
                  </w:r>
                </w:p>
              </w:tc>
            </w:tr>
            <w:tr w14:paraId="4EC84E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restart"/>
                  <w:tcBorders>
                    <w:tl2br w:val="nil"/>
                    <w:tr2bl w:val="nil"/>
                  </w:tcBorders>
                  <w:vAlign w:val="center"/>
                </w:tcPr>
                <w:p w14:paraId="72899778">
                  <w:pPr>
                    <w:adjustRightInd w:val="0"/>
                    <w:snapToGrid w:val="0"/>
                    <w:jc w:val="center"/>
                    <w:rPr>
                      <w:bCs/>
                      <w:sz w:val="18"/>
                      <w:szCs w:val="18"/>
                    </w:rPr>
                  </w:pPr>
                  <w:r>
                    <w:rPr>
                      <w:bCs/>
                      <w:sz w:val="18"/>
                      <w:szCs w:val="18"/>
                    </w:rPr>
                    <w:t>1</w:t>
                  </w:r>
                </w:p>
              </w:tc>
              <w:tc>
                <w:tcPr>
                  <w:tcW w:w="252" w:type="pct"/>
                  <w:vMerge w:val="restart"/>
                  <w:tcBorders>
                    <w:tl2br w:val="nil"/>
                    <w:tr2bl w:val="nil"/>
                  </w:tcBorders>
                  <w:vAlign w:val="center"/>
                </w:tcPr>
                <w:p w14:paraId="3E54FD8B">
                  <w:pPr>
                    <w:adjustRightInd w:val="0"/>
                    <w:snapToGrid w:val="0"/>
                    <w:jc w:val="center"/>
                    <w:rPr>
                      <w:bCs/>
                      <w:sz w:val="18"/>
                      <w:szCs w:val="18"/>
                    </w:rPr>
                  </w:pPr>
                  <w:r>
                    <w:rPr>
                      <w:rFonts w:hint="eastAsia"/>
                      <w:bCs/>
                      <w:sz w:val="18"/>
                      <w:szCs w:val="18"/>
                    </w:rPr>
                    <w:t>空间准入标准</w:t>
                  </w:r>
                </w:p>
              </w:tc>
              <w:tc>
                <w:tcPr>
                  <w:tcW w:w="405" w:type="pct"/>
                  <w:tcBorders>
                    <w:tl2br w:val="nil"/>
                    <w:tr2bl w:val="nil"/>
                  </w:tcBorders>
                  <w:vAlign w:val="center"/>
                </w:tcPr>
                <w:p w14:paraId="2542ADD6">
                  <w:pPr>
                    <w:adjustRightInd w:val="0"/>
                    <w:snapToGrid w:val="0"/>
                    <w:jc w:val="center"/>
                    <w:rPr>
                      <w:bCs/>
                      <w:sz w:val="18"/>
                      <w:szCs w:val="18"/>
                    </w:rPr>
                  </w:pPr>
                  <w:r>
                    <w:rPr>
                      <w:rFonts w:hint="eastAsia"/>
                      <w:bCs/>
                      <w:sz w:val="18"/>
                      <w:szCs w:val="18"/>
                    </w:rPr>
                    <w:t>生态空间清单</w:t>
                  </w:r>
                </w:p>
              </w:tc>
              <w:tc>
                <w:tcPr>
                  <w:tcW w:w="4117" w:type="pct"/>
                  <w:gridSpan w:val="10"/>
                  <w:tcBorders>
                    <w:tl2br w:val="nil"/>
                    <w:tr2bl w:val="nil"/>
                  </w:tcBorders>
                  <w:vAlign w:val="center"/>
                </w:tcPr>
                <w:p w14:paraId="27E4210F">
                  <w:pPr>
                    <w:adjustRightInd w:val="0"/>
                    <w:snapToGrid w:val="0"/>
                    <w:jc w:val="left"/>
                    <w:rPr>
                      <w:bCs/>
                      <w:kern w:val="0"/>
                      <w:sz w:val="18"/>
                      <w:szCs w:val="18"/>
                    </w:rPr>
                  </w:pPr>
                  <w:r>
                    <w:rPr>
                      <w:rFonts w:hint="eastAsia"/>
                      <w:bCs/>
                      <w:kern w:val="0"/>
                      <w:sz w:val="18"/>
                      <w:szCs w:val="18"/>
                    </w:rPr>
                    <w:t>具体详见</w:t>
                  </w:r>
                  <w:r>
                    <w:rPr>
                      <w:rFonts w:hint="eastAsia"/>
                      <w:b/>
                      <w:kern w:val="0"/>
                      <w:sz w:val="18"/>
                      <w:szCs w:val="18"/>
                    </w:rPr>
                    <w:t>清单1 生态空间清单</w:t>
                  </w:r>
                  <w:r>
                    <w:rPr>
                      <w:rFonts w:hint="eastAsia"/>
                      <w:bCs/>
                      <w:kern w:val="0"/>
                      <w:sz w:val="18"/>
                      <w:szCs w:val="18"/>
                    </w:rPr>
                    <w:t>。</w:t>
                  </w:r>
                </w:p>
              </w:tc>
            </w:tr>
            <w:tr w14:paraId="7834B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6521B891">
                  <w:pPr>
                    <w:adjustRightInd w:val="0"/>
                    <w:snapToGrid w:val="0"/>
                    <w:jc w:val="center"/>
                    <w:rPr>
                      <w:bCs/>
                      <w:sz w:val="18"/>
                      <w:szCs w:val="18"/>
                    </w:rPr>
                  </w:pPr>
                </w:p>
              </w:tc>
              <w:tc>
                <w:tcPr>
                  <w:tcW w:w="252" w:type="pct"/>
                  <w:vMerge w:val="continue"/>
                  <w:tcBorders>
                    <w:tl2br w:val="nil"/>
                    <w:tr2bl w:val="nil"/>
                  </w:tcBorders>
                  <w:vAlign w:val="center"/>
                </w:tcPr>
                <w:p w14:paraId="4C4B5D76">
                  <w:pPr>
                    <w:adjustRightInd w:val="0"/>
                    <w:snapToGrid w:val="0"/>
                    <w:jc w:val="center"/>
                    <w:rPr>
                      <w:bCs/>
                      <w:kern w:val="0"/>
                      <w:sz w:val="18"/>
                      <w:szCs w:val="18"/>
                    </w:rPr>
                  </w:pPr>
                </w:p>
              </w:tc>
              <w:tc>
                <w:tcPr>
                  <w:tcW w:w="405" w:type="pct"/>
                  <w:tcBorders>
                    <w:tl2br w:val="nil"/>
                    <w:tr2bl w:val="nil"/>
                  </w:tcBorders>
                  <w:vAlign w:val="center"/>
                </w:tcPr>
                <w:p w14:paraId="4FF11F78">
                  <w:pPr>
                    <w:adjustRightInd w:val="0"/>
                    <w:snapToGrid w:val="0"/>
                    <w:jc w:val="center"/>
                    <w:rPr>
                      <w:bCs/>
                      <w:sz w:val="18"/>
                      <w:szCs w:val="18"/>
                    </w:rPr>
                  </w:pPr>
                  <w:r>
                    <w:rPr>
                      <w:rFonts w:hint="eastAsia"/>
                      <w:bCs/>
                      <w:kern w:val="0"/>
                      <w:sz w:val="18"/>
                      <w:szCs w:val="18"/>
                    </w:rPr>
                    <w:t>环境准入条件清单</w:t>
                  </w:r>
                </w:p>
              </w:tc>
              <w:tc>
                <w:tcPr>
                  <w:tcW w:w="4117" w:type="pct"/>
                  <w:gridSpan w:val="10"/>
                  <w:tcBorders>
                    <w:tl2br w:val="nil"/>
                    <w:tr2bl w:val="nil"/>
                  </w:tcBorders>
                  <w:vAlign w:val="center"/>
                </w:tcPr>
                <w:p w14:paraId="0D30AC38">
                  <w:pPr>
                    <w:adjustRightInd w:val="0"/>
                    <w:snapToGrid w:val="0"/>
                    <w:jc w:val="left"/>
                    <w:rPr>
                      <w:bCs/>
                      <w:sz w:val="18"/>
                      <w:szCs w:val="18"/>
                    </w:rPr>
                  </w:pPr>
                  <w:r>
                    <w:rPr>
                      <w:rFonts w:hint="eastAsia"/>
                      <w:bCs/>
                      <w:kern w:val="0"/>
                      <w:sz w:val="18"/>
                      <w:szCs w:val="18"/>
                    </w:rPr>
                    <w:t>具体详见</w:t>
                  </w:r>
                  <w:r>
                    <w:rPr>
                      <w:rFonts w:hint="eastAsia"/>
                      <w:b/>
                      <w:kern w:val="0"/>
                      <w:sz w:val="18"/>
                      <w:szCs w:val="18"/>
                    </w:rPr>
                    <w:t>清单5 环境准入条件清单</w:t>
                  </w:r>
                  <w:r>
                    <w:rPr>
                      <w:rFonts w:hint="eastAsia"/>
                      <w:bCs/>
                      <w:kern w:val="0"/>
                      <w:sz w:val="18"/>
                      <w:szCs w:val="18"/>
                    </w:rPr>
                    <w:t>。</w:t>
                  </w:r>
                </w:p>
              </w:tc>
            </w:tr>
            <w:tr w14:paraId="173A57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restart"/>
                  <w:tcBorders>
                    <w:tl2br w:val="nil"/>
                    <w:tr2bl w:val="nil"/>
                  </w:tcBorders>
                  <w:vAlign w:val="center"/>
                </w:tcPr>
                <w:p w14:paraId="1B91A633">
                  <w:pPr>
                    <w:adjustRightInd w:val="0"/>
                    <w:snapToGrid w:val="0"/>
                    <w:jc w:val="center"/>
                    <w:rPr>
                      <w:bCs/>
                      <w:sz w:val="18"/>
                      <w:szCs w:val="18"/>
                    </w:rPr>
                  </w:pPr>
                  <w:r>
                    <w:rPr>
                      <w:bCs/>
                      <w:sz w:val="18"/>
                      <w:szCs w:val="18"/>
                    </w:rPr>
                    <w:t>2</w:t>
                  </w:r>
                </w:p>
              </w:tc>
              <w:tc>
                <w:tcPr>
                  <w:tcW w:w="252" w:type="pct"/>
                  <w:vMerge w:val="restart"/>
                  <w:tcBorders>
                    <w:tl2br w:val="nil"/>
                    <w:tr2bl w:val="nil"/>
                  </w:tcBorders>
                  <w:vAlign w:val="center"/>
                </w:tcPr>
                <w:p w14:paraId="35BC6E9C">
                  <w:pPr>
                    <w:adjustRightInd w:val="0"/>
                    <w:snapToGrid w:val="0"/>
                    <w:jc w:val="center"/>
                    <w:rPr>
                      <w:bCs/>
                      <w:sz w:val="18"/>
                      <w:szCs w:val="18"/>
                    </w:rPr>
                  </w:pPr>
                  <w:r>
                    <w:rPr>
                      <w:rFonts w:hint="eastAsia"/>
                      <w:bCs/>
                      <w:sz w:val="18"/>
                      <w:szCs w:val="18"/>
                    </w:rPr>
                    <w:t>污染物排放标准</w:t>
                  </w:r>
                </w:p>
              </w:tc>
              <w:tc>
                <w:tcPr>
                  <w:tcW w:w="405" w:type="pct"/>
                  <w:tcBorders>
                    <w:tl2br w:val="nil"/>
                    <w:tr2bl w:val="nil"/>
                  </w:tcBorders>
                  <w:vAlign w:val="center"/>
                </w:tcPr>
                <w:p w14:paraId="7F9C2FAB">
                  <w:pPr>
                    <w:adjustRightInd w:val="0"/>
                    <w:snapToGrid w:val="0"/>
                    <w:jc w:val="center"/>
                    <w:rPr>
                      <w:bCs/>
                      <w:kern w:val="0"/>
                      <w:sz w:val="18"/>
                      <w:szCs w:val="18"/>
                    </w:rPr>
                  </w:pPr>
                  <w:r>
                    <w:rPr>
                      <w:rFonts w:hint="eastAsia"/>
                      <w:bCs/>
                      <w:kern w:val="0"/>
                      <w:sz w:val="18"/>
                      <w:szCs w:val="18"/>
                    </w:rPr>
                    <w:t>废气排放标准</w:t>
                  </w:r>
                </w:p>
              </w:tc>
              <w:tc>
                <w:tcPr>
                  <w:tcW w:w="4117" w:type="pct"/>
                  <w:gridSpan w:val="10"/>
                  <w:tcBorders>
                    <w:tl2br w:val="nil"/>
                    <w:tr2bl w:val="nil"/>
                  </w:tcBorders>
                  <w:vAlign w:val="center"/>
                </w:tcPr>
                <w:p w14:paraId="3ABFE6EE">
                  <w:pPr>
                    <w:adjustRightInd w:val="0"/>
                    <w:snapToGrid w:val="0"/>
                    <w:rPr>
                      <w:bCs/>
                      <w:sz w:val="18"/>
                      <w:szCs w:val="18"/>
                    </w:rPr>
                  </w:pPr>
                  <w:r>
                    <w:rPr>
                      <w:rFonts w:hint="eastAsia"/>
                      <w:b/>
                      <w:bCs/>
                      <w:sz w:val="18"/>
                      <w:szCs w:val="18"/>
                    </w:rPr>
                    <w:t>综合标准：</w:t>
                  </w:r>
                  <w:r>
                    <w:rPr>
                      <w:rFonts w:hint="eastAsia"/>
                      <w:bCs/>
                      <w:sz w:val="18"/>
                      <w:szCs w:val="18"/>
                    </w:rPr>
                    <w:t>《大气污染物综合排放标准》(GB16297-1996)、《恶臭污染物排放标准》(GB14554-93)、《挥发性有机物无组织排放控制标准》(GB37822-2019)、</w:t>
                  </w:r>
                  <w:r>
                    <w:rPr>
                      <w:rFonts w:hint="eastAsia"/>
                      <w:sz w:val="18"/>
                      <w:szCs w:val="18"/>
                    </w:rPr>
                    <w:t>《锅炉大气污染物排放标准》(DB33/1415—2025)</w:t>
                  </w:r>
                  <w:r>
                    <w:rPr>
                      <w:rFonts w:hint="eastAsia"/>
                      <w:bCs/>
                      <w:sz w:val="18"/>
                      <w:szCs w:val="18"/>
                    </w:rPr>
                    <w:t>、</w:t>
                  </w:r>
                  <w:r>
                    <w:rPr>
                      <w:rFonts w:hint="eastAsia"/>
                      <w:sz w:val="18"/>
                      <w:szCs w:val="18"/>
                    </w:rPr>
                    <w:t>《工业炉窑大气污染物排放标准》(GB9078-1996)、</w:t>
                  </w:r>
                  <w:r>
                    <w:rPr>
                      <w:rFonts w:hint="eastAsia"/>
                      <w:bCs/>
                      <w:sz w:val="18"/>
                      <w:szCs w:val="18"/>
                    </w:rPr>
                    <w:t>《饮食业油烟排放标准(试行)》(GB18483-2001)等；</w:t>
                  </w:r>
                </w:p>
                <w:p w14:paraId="043529CB">
                  <w:pPr>
                    <w:adjustRightInd w:val="0"/>
                    <w:snapToGrid w:val="0"/>
                    <w:rPr>
                      <w:bCs/>
                      <w:sz w:val="18"/>
                      <w:szCs w:val="18"/>
                    </w:rPr>
                  </w:pPr>
                  <w:r>
                    <w:rPr>
                      <w:rFonts w:hint="eastAsia"/>
                      <w:b/>
                      <w:bCs/>
                      <w:sz w:val="18"/>
                      <w:szCs w:val="18"/>
                    </w:rPr>
                    <w:t>行业标准：</w:t>
                  </w:r>
                  <w:r>
                    <w:rPr>
                      <w:rFonts w:hint="eastAsia"/>
                      <w:bCs/>
                      <w:sz w:val="18"/>
                      <w:szCs w:val="18"/>
                    </w:rPr>
                    <w:t>《制药工业大气污染物排放标准》(DB33/310005-2021)、《电池工业污染物排放标准》(GB30484-2013)、《合成树脂工业污染物排放标准》(GB31572-2015)及2024年修改单、《橡胶制品工业污染物排放标准》(GB27632-2011)、《玻璃工业大气污染物排放标准》(GB26453-2022)、《工业涂装工序大气污染物排放标准》(DB33/2146-2018)、</w:t>
                  </w:r>
                  <w:r>
                    <w:rPr>
                      <w:rFonts w:hint="eastAsia"/>
                      <w:sz w:val="18"/>
                      <w:szCs w:val="18"/>
                    </w:rPr>
                    <w:t>《印刷工业大气污染物排放标准》(GB41616-2022)</w:t>
                  </w:r>
                  <w:r>
                    <w:rPr>
                      <w:rFonts w:hint="eastAsia"/>
                      <w:bCs/>
                      <w:sz w:val="18"/>
                      <w:szCs w:val="18"/>
                    </w:rPr>
                    <w:t>等。</w:t>
                  </w:r>
                </w:p>
              </w:tc>
            </w:tr>
            <w:tr w14:paraId="4FF0FC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72C9740E">
                  <w:pPr>
                    <w:adjustRightInd w:val="0"/>
                    <w:snapToGrid w:val="0"/>
                    <w:jc w:val="center"/>
                    <w:rPr>
                      <w:bCs/>
                      <w:sz w:val="18"/>
                      <w:szCs w:val="18"/>
                    </w:rPr>
                  </w:pPr>
                </w:p>
              </w:tc>
              <w:tc>
                <w:tcPr>
                  <w:tcW w:w="252" w:type="pct"/>
                  <w:vMerge w:val="continue"/>
                  <w:tcBorders>
                    <w:tl2br w:val="nil"/>
                    <w:tr2bl w:val="nil"/>
                  </w:tcBorders>
                  <w:vAlign w:val="center"/>
                </w:tcPr>
                <w:p w14:paraId="26735435">
                  <w:pPr>
                    <w:adjustRightInd w:val="0"/>
                    <w:snapToGrid w:val="0"/>
                    <w:jc w:val="center"/>
                    <w:rPr>
                      <w:bCs/>
                      <w:sz w:val="18"/>
                      <w:szCs w:val="18"/>
                    </w:rPr>
                  </w:pPr>
                </w:p>
              </w:tc>
              <w:tc>
                <w:tcPr>
                  <w:tcW w:w="405" w:type="pct"/>
                  <w:tcBorders>
                    <w:tl2br w:val="nil"/>
                    <w:tr2bl w:val="nil"/>
                  </w:tcBorders>
                  <w:vAlign w:val="center"/>
                </w:tcPr>
                <w:p w14:paraId="46DD4F31">
                  <w:pPr>
                    <w:adjustRightInd w:val="0"/>
                    <w:snapToGrid w:val="0"/>
                    <w:jc w:val="center"/>
                    <w:rPr>
                      <w:bCs/>
                      <w:kern w:val="0"/>
                      <w:sz w:val="18"/>
                      <w:szCs w:val="18"/>
                    </w:rPr>
                  </w:pPr>
                  <w:r>
                    <w:rPr>
                      <w:rFonts w:hint="eastAsia"/>
                      <w:bCs/>
                      <w:kern w:val="0"/>
                      <w:sz w:val="18"/>
                      <w:szCs w:val="18"/>
                    </w:rPr>
                    <w:t>废水排放标准</w:t>
                  </w:r>
                </w:p>
              </w:tc>
              <w:tc>
                <w:tcPr>
                  <w:tcW w:w="4117" w:type="pct"/>
                  <w:gridSpan w:val="10"/>
                  <w:tcBorders>
                    <w:tl2br w:val="nil"/>
                    <w:tr2bl w:val="nil"/>
                  </w:tcBorders>
                  <w:vAlign w:val="center"/>
                </w:tcPr>
                <w:p w14:paraId="2CBEBDA4">
                  <w:pPr>
                    <w:adjustRightInd w:val="0"/>
                    <w:snapToGrid w:val="0"/>
                    <w:rPr>
                      <w:bCs/>
                      <w:sz w:val="18"/>
                      <w:szCs w:val="18"/>
                    </w:rPr>
                  </w:pPr>
                  <w:r>
                    <w:rPr>
                      <w:rFonts w:hint="eastAsia"/>
                      <w:b/>
                      <w:bCs/>
                      <w:sz w:val="18"/>
                      <w:szCs w:val="18"/>
                    </w:rPr>
                    <w:t>综合标准：</w:t>
                  </w:r>
                  <w:r>
                    <w:rPr>
                      <w:rFonts w:hint="eastAsia"/>
                      <w:bCs/>
                      <w:sz w:val="18"/>
                      <w:szCs w:val="18"/>
                    </w:rPr>
                    <w:t>《污水综合排放标准》(GB8978-1996)、《城镇污水处理厂污染物排放标准》(GB18918-2002)及2025年修改单、</w:t>
                  </w:r>
                  <w:r>
                    <w:rPr>
                      <w:rFonts w:hint="eastAsia"/>
                      <w:bCs/>
                      <w:sz w:val="18"/>
                      <w:szCs w:val="18"/>
                      <w:highlight w:val="none"/>
                    </w:rPr>
                    <w:t>《工业企业废水氮、磷污染物间接排放限值》(DB33/887</w:t>
                  </w:r>
                  <w:r>
                    <w:rPr>
                      <w:rFonts w:hint="eastAsia"/>
                      <w:bCs/>
                      <w:sz w:val="18"/>
                      <w:szCs w:val="18"/>
                      <w:highlight w:val="none"/>
                      <w:lang w:val="en-US" w:eastAsia="zh-CN"/>
                    </w:rPr>
                    <w:t>-2025</w:t>
                  </w:r>
                  <w:r>
                    <w:rPr>
                      <w:rFonts w:hint="eastAsia"/>
                      <w:bCs/>
                      <w:sz w:val="18"/>
                      <w:szCs w:val="18"/>
                      <w:highlight w:val="none"/>
                    </w:rPr>
                    <w:t>)、</w:t>
                  </w:r>
                  <w:r>
                    <w:rPr>
                      <w:rFonts w:hint="eastAsia"/>
                      <w:bCs/>
                      <w:sz w:val="18"/>
                      <w:szCs w:val="18"/>
                    </w:rPr>
                    <w:t>《城镇污水处理厂主要水污染物排放标准》(DB33/2169-2018)。</w:t>
                  </w:r>
                </w:p>
                <w:p w14:paraId="1788AA26">
                  <w:pPr>
                    <w:adjustRightInd w:val="0"/>
                    <w:snapToGrid w:val="0"/>
                    <w:rPr>
                      <w:bCs/>
                      <w:sz w:val="18"/>
                      <w:szCs w:val="18"/>
                    </w:rPr>
                  </w:pPr>
                  <w:r>
                    <w:rPr>
                      <w:rFonts w:hint="eastAsia"/>
                      <w:b/>
                      <w:bCs/>
                      <w:sz w:val="18"/>
                      <w:szCs w:val="18"/>
                    </w:rPr>
                    <w:t>行业标准：</w:t>
                  </w:r>
                  <w:r>
                    <w:rPr>
                      <w:rFonts w:hint="eastAsia"/>
                      <w:bCs/>
                      <w:sz w:val="18"/>
                      <w:szCs w:val="18"/>
                      <w:highlight w:val="none"/>
                    </w:rPr>
                    <w:t>《生物制药</w:t>
                  </w:r>
                  <w:r>
                    <w:rPr>
                      <w:rFonts w:hint="eastAsia"/>
                      <w:bCs/>
                      <w:sz w:val="18"/>
                      <w:szCs w:val="18"/>
                    </w:rPr>
                    <w:t>工业污染物排放标准》(DB33/923-2014)、《电子工业水污染物排放标准》(GB39731-2020)、《电池工业污染物排放标准》(GB30484-2013)、《合成树脂工业污染物排放标准》(GB31572-2015)、《橡胶制品工业污染物排放标准》(GB27632-2011)等。</w:t>
                  </w:r>
                </w:p>
              </w:tc>
            </w:tr>
            <w:tr w14:paraId="41303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7C4DF188">
                  <w:pPr>
                    <w:adjustRightInd w:val="0"/>
                    <w:snapToGrid w:val="0"/>
                    <w:jc w:val="center"/>
                    <w:rPr>
                      <w:bCs/>
                      <w:sz w:val="18"/>
                      <w:szCs w:val="18"/>
                    </w:rPr>
                  </w:pPr>
                </w:p>
              </w:tc>
              <w:tc>
                <w:tcPr>
                  <w:tcW w:w="252" w:type="pct"/>
                  <w:vMerge w:val="continue"/>
                  <w:tcBorders>
                    <w:tl2br w:val="nil"/>
                    <w:tr2bl w:val="nil"/>
                  </w:tcBorders>
                  <w:vAlign w:val="center"/>
                </w:tcPr>
                <w:p w14:paraId="6A065696">
                  <w:pPr>
                    <w:adjustRightInd w:val="0"/>
                    <w:snapToGrid w:val="0"/>
                    <w:jc w:val="center"/>
                    <w:rPr>
                      <w:bCs/>
                      <w:kern w:val="0"/>
                      <w:sz w:val="18"/>
                      <w:szCs w:val="18"/>
                    </w:rPr>
                  </w:pPr>
                </w:p>
              </w:tc>
              <w:tc>
                <w:tcPr>
                  <w:tcW w:w="405" w:type="pct"/>
                  <w:tcBorders>
                    <w:tl2br w:val="nil"/>
                    <w:tr2bl w:val="nil"/>
                  </w:tcBorders>
                  <w:vAlign w:val="center"/>
                </w:tcPr>
                <w:p w14:paraId="61B7ABAB">
                  <w:pPr>
                    <w:adjustRightInd w:val="0"/>
                    <w:snapToGrid w:val="0"/>
                    <w:jc w:val="center"/>
                    <w:rPr>
                      <w:bCs/>
                      <w:kern w:val="0"/>
                      <w:sz w:val="18"/>
                      <w:szCs w:val="18"/>
                    </w:rPr>
                  </w:pPr>
                  <w:r>
                    <w:rPr>
                      <w:rFonts w:hint="eastAsia"/>
                      <w:bCs/>
                      <w:kern w:val="0"/>
                      <w:sz w:val="18"/>
                      <w:szCs w:val="18"/>
                    </w:rPr>
                    <w:t>噪声排放标准</w:t>
                  </w:r>
                </w:p>
              </w:tc>
              <w:tc>
                <w:tcPr>
                  <w:tcW w:w="4117" w:type="pct"/>
                  <w:gridSpan w:val="10"/>
                  <w:tcBorders>
                    <w:tl2br w:val="nil"/>
                    <w:tr2bl w:val="nil"/>
                  </w:tcBorders>
                  <w:vAlign w:val="center"/>
                </w:tcPr>
                <w:p w14:paraId="4482A922">
                  <w:pPr>
                    <w:adjustRightInd w:val="0"/>
                    <w:snapToGrid w:val="0"/>
                    <w:rPr>
                      <w:bCs/>
                      <w:kern w:val="0"/>
                      <w:sz w:val="18"/>
                      <w:szCs w:val="18"/>
                    </w:rPr>
                  </w:pPr>
                  <w:r>
                    <w:rPr>
                      <w:rFonts w:hint="eastAsia"/>
                      <w:bCs/>
                      <w:kern w:val="0"/>
                      <w:sz w:val="18"/>
                      <w:szCs w:val="18"/>
                    </w:rPr>
                    <w:t>工业企业厂界环境噪声排放执行《工业企业厂界环境噪声排放标准》(GB12348-2008)；营业性文化娱乐场所、商业经营活动中使用的向环境排放噪声的设备、设施产生的噪声执行《社会生活环境噪声排放标准》(GB22337-2008)；施工期噪声执行《建筑施工噪声排放标准》(GB12523-2025)。</w:t>
                  </w:r>
                </w:p>
              </w:tc>
            </w:tr>
            <w:tr w14:paraId="6BCB8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1017A168">
                  <w:pPr>
                    <w:adjustRightInd w:val="0"/>
                    <w:snapToGrid w:val="0"/>
                    <w:jc w:val="center"/>
                    <w:rPr>
                      <w:bCs/>
                      <w:sz w:val="18"/>
                      <w:szCs w:val="18"/>
                    </w:rPr>
                  </w:pPr>
                </w:p>
              </w:tc>
              <w:tc>
                <w:tcPr>
                  <w:tcW w:w="252" w:type="pct"/>
                  <w:vMerge w:val="continue"/>
                  <w:tcBorders>
                    <w:tl2br w:val="nil"/>
                    <w:tr2bl w:val="nil"/>
                  </w:tcBorders>
                  <w:vAlign w:val="center"/>
                </w:tcPr>
                <w:p w14:paraId="48D842EA">
                  <w:pPr>
                    <w:adjustRightInd w:val="0"/>
                    <w:snapToGrid w:val="0"/>
                    <w:jc w:val="center"/>
                    <w:rPr>
                      <w:bCs/>
                      <w:kern w:val="0"/>
                      <w:sz w:val="18"/>
                      <w:szCs w:val="18"/>
                    </w:rPr>
                  </w:pPr>
                </w:p>
              </w:tc>
              <w:tc>
                <w:tcPr>
                  <w:tcW w:w="405" w:type="pct"/>
                  <w:tcBorders>
                    <w:tl2br w:val="nil"/>
                    <w:tr2bl w:val="nil"/>
                  </w:tcBorders>
                  <w:vAlign w:val="center"/>
                </w:tcPr>
                <w:p w14:paraId="457D3A3F">
                  <w:pPr>
                    <w:adjustRightInd w:val="0"/>
                    <w:snapToGrid w:val="0"/>
                    <w:jc w:val="center"/>
                    <w:rPr>
                      <w:bCs/>
                      <w:kern w:val="0"/>
                      <w:sz w:val="18"/>
                      <w:szCs w:val="18"/>
                    </w:rPr>
                  </w:pPr>
                  <w:r>
                    <w:rPr>
                      <w:rFonts w:hint="eastAsia"/>
                      <w:bCs/>
                      <w:kern w:val="0"/>
                      <w:sz w:val="18"/>
                      <w:szCs w:val="18"/>
                    </w:rPr>
                    <w:t>固废控制标准</w:t>
                  </w:r>
                </w:p>
              </w:tc>
              <w:tc>
                <w:tcPr>
                  <w:tcW w:w="4117" w:type="pct"/>
                  <w:gridSpan w:val="10"/>
                  <w:tcBorders>
                    <w:tl2br w:val="nil"/>
                    <w:tr2bl w:val="nil"/>
                  </w:tcBorders>
                  <w:vAlign w:val="center"/>
                </w:tcPr>
                <w:p w14:paraId="798C0448">
                  <w:pPr>
                    <w:adjustRightInd w:val="0"/>
                    <w:snapToGrid w:val="0"/>
                    <w:rPr>
                      <w:bCs/>
                      <w:kern w:val="0"/>
                      <w:sz w:val="18"/>
                      <w:szCs w:val="18"/>
                    </w:rPr>
                  </w:pPr>
                  <w:r>
                    <w:rPr>
                      <w:rFonts w:hint="eastAsia"/>
                      <w:bCs/>
                      <w:kern w:val="0"/>
                      <w:sz w:val="18"/>
                      <w:szCs w:val="18"/>
                    </w:rPr>
                    <w:t>固体废物鉴别执行《固体废物鉴别标准 通则》</w:t>
                  </w:r>
                  <w:r>
                    <w:rPr>
                      <w:sz w:val="18"/>
                      <w:szCs w:val="18"/>
                    </w:rPr>
                    <w:t>(GB34330-2025)</w:t>
                  </w:r>
                  <w:r>
                    <w:rPr>
                      <w:rFonts w:hint="eastAsia"/>
                      <w:bCs/>
                      <w:kern w:val="0"/>
                      <w:sz w:val="18"/>
                      <w:szCs w:val="18"/>
                    </w:rPr>
                    <w:t>，危险废物鉴别执行《危险废物鉴别技术规范》(HJ298-2019)，危险废物分类执行《国家危险废物名录(2025年版)》；一般工业固体废物贮存、处置执行《一般工业固体废物贮存和填埋污染控制标准》(GB18599-2020)；危险废物贮存执行《危险废物贮存污染控制标准》(GB18597-2023)，处置执行《危险废物填埋污染控制标准》(GB18598-2019)和《危险废物焚烧污染控制标准》(GB18484-2020)等有关规定。</w:t>
                  </w:r>
                </w:p>
              </w:tc>
            </w:tr>
            <w:tr w14:paraId="784AA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restart"/>
                  <w:tcBorders>
                    <w:tl2br w:val="nil"/>
                    <w:tr2bl w:val="nil"/>
                  </w:tcBorders>
                  <w:vAlign w:val="center"/>
                </w:tcPr>
                <w:p w14:paraId="758C09DA">
                  <w:pPr>
                    <w:adjustRightInd w:val="0"/>
                    <w:snapToGrid w:val="0"/>
                    <w:jc w:val="center"/>
                    <w:rPr>
                      <w:bCs/>
                      <w:sz w:val="18"/>
                      <w:szCs w:val="18"/>
                    </w:rPr>
                  </w:pPr>
                  <w:r>
                    <w:rPr>
                      <w:bCs/>
                      <w:kern w:val="0"/>
                      <w:sz w:val="18"/>
                      <w:szCs w:val="18"/>
                    </w:rPr>
                    <w:t>3</w:t>
                  </w:r>
                </w:p>
              </w:tc>
              <w:tc>
                <w:tcPr>
                  <w:tcW w:w="252" w:type="pct"/>
                  <w:vMerge w:val="restart"/>
                  <w:tcBorders>
                    <w:tl2br w:val="nil"/>
                    <w:tr2bl w:val="nil"/>
                  </w:tcBorders>
                  <w:vAlign w:val="center"/>
                </w:tcPr>
                <w:p w14:paraId="42E937FE">
                  <w:pPr>
                    <w:adjustRightInd w:val="0"/>
                    <w:snapToGrid w:val="0"/>
                    <w:jc w:val="center"/>
                    <w:rPr>
                      <w:bCs/>
                      <w:kern w:val="0"/>
                      <w:sz w:val="18"/>
                      <w:szCs w:val="18"/>
                    </w:rPr>
                  </w:pPr>
                  <w:r>
                    <w:rPr>
                      <w:rFonts w:hint="eastAsia"/>
                      <w:bCs/>
                      <w:kern w:val="0"/>
                      <w:sz w:val="18"/>
                      <w:szCs w:val="18"/>
                    </w:rPr>
                    <w:t>环境质量管控标准</w:t>
                  </w:r>
                </w:p>
              </w:tc>
              <w:tc>
                <w:tcPr>
                  <w:tcW w:w="405" w:type="pct"/>
                  <w:vMerge w:val="restart"/>
                  <w:tcBorders>
                    <w:tl2br w:val="nil"/>
                    <w:tr2bl w:val="nil"/>
                  </w:tcBorders>
                  <w:vAlign w:val="center"/>
                </w:tcPr>
                <w:p w14:paraId="207852A5">
                  <w:pPr>
                    <w:adjustRightInd w:val="0"/>
                    <w:snapToGrid w:val="0"/>
                    <w:jc w:val="center"/>
                    <w:rPr>
                      <w:bCs/>
                      <w:kern w:val="0"/>
                      <w:sz w:val="18"/>
                      <w:szCs w:val="18"/>
                    </w:rPr>
                  </w:pPr>
                  <w:r>
                    <w:rPr>
                      <w:rFonts w:hint="eastAsia"/>
                      <w:bCs/>
                      <w:kern w:val="0"/>
                      <w:sz w:val="18"/>
                      <w:szCs w:val="18"/>
                    </w:rPr>
                    <w:t>污染物排放总量管控限值</w:t>
                  </w:r>
                </w:p>
              </w:tc>
              <w:tc>
                <w:tcPr>
                  <w:tcW w:w="683" w:type="pct"/>
                  <w:gridSpan w:val="2"/>
                  <w:tcBorders>
                    <w:tl2br w:val="nil"/>
                    <w:tr2bl w:val="nil"/>
                  </w:tcBorders>
                  <w:vAlign w:val="center"/>
                </w:tcPr>
                <w:p w14:paraId="1670E1ED">
                  <w:pPr>
                    <w:adjustRightInd w:val="0"/>
                    <w:snapToGrid w:val="0"/>
                    <w:jc w:val="center"/>
                    <w:rPr>
                      <w:bCs/>
                      <w:kern w:val="0"/>
                      <w:sz w:val="18"/>
                      <w:szCs w:val="18"/>
                    </w:rPr>
                  </w:pPr>
                  <w:r>
                    <w:rPr>
                      <w:rFonts w:hint="eastAsia"/>
                      <w:bCs/>
                      <w:kern w:val="0"/>
                      <w:sz w:val="18"/>
                      <w:szCs w:val="18"/>
                    </w:rPr>
                    <w:t>类别</w:t>
                  </w:r>
                </w:p>
              </w:tc>
              <w:tc>
                <w:tcPr>
                  <w:tcW w:w="1303" w:type="pct"/>
                  <w:gridSpan w:val="3"/>
                  <w:tcBorders>
                    <w:tl2br w:val="nil"/>
                    <w:tr2bl w:val="nil"/>
                  </w:tcBorders>
                  <w:vAlign w:val="center"/>
                </w:tcPr>
                <w:p w14:paraId="24183E52">
                  <w:pPr>
                    <w:adjustRightInd w:val="0"/>
                    <w:snapToGrid w:val="0"/>
                    <w:jc w:val="center"/>
                    <w:rPr>
                      <w:bCs/>
                      <w:sz w:val="18"/>
                      <w:szCs w:val="18"/>
                    </w:rPr>
                  </w:pPr>
                  <w:r>
                    <w:rPr>
                      <w:rFonts w:hint="eastAsia"/>
                      <w:bCs/>
                      <w:sz w:val="18"/>
                      <w:szCs w:val="18"/>
                    </w:rPr>
                    <w:t>水污染物总量管控限值(t/a)</w:t>
                  </w:r>
                </w:p>
              </w:tc>
              <w:tc>
                <w:tcPr>
                  <w:tcW w:w="1451" w:type="pct"/>
                  <w:gridSpan w:val="4"/>
                  <w:tcBorders>
                    <w:tl2br w:val="nil"/>
                    <w:tr2bl w:val="nil"/>
                  </w:tcBorders>
                  <w:vAlign w:val="center"/>
                </w:tcPr>
                <w:p w14:paraId="446A3C46">
                  <w:pPr>
                    <w:adjustRightInd w:val="0"/>
                    <w:snapToGrid w:val="0"/>
                    <w:jc w:val="center"/>
                    <w:rPr>
                      <w:bCs/>
                      <w:sz w:val="18"/>
                      <w:szCs w:val="18"/>
                    </w:rPr>
                  </w:pPr>
                  <w:r>
                    <w:rPr>
                      <w:rFonts w:hint="eastAsia"/>
                      <w:bCs/>
                      <w:sz w:val="18"/>
                      <w:szCs w:val="18"/>
                    </w:rPr>
                    <w:t>大气污染物总量管控限值(t/a)</w:t>
                  </w:r>
                </w:p>
              </w:tc>
              <w:tc>
                <w:tcPr>
                  <w:tcW w:w="679" w:type="pct"/>
                  <w:vMerge w:val="restart"/>
                  <w:tcBorders>
                    <w:tl2br w:val="nil"/>
                    <w:tr2bl w:val="nil"/>
                  </w:tcBorders>
                  <w:vAlign w:val="center"/>
                </w:tcPr>
                <w:p w14:paraId="7FDE4027">
                  <w:pPr>
                    <w:adjustRightInd w:val="0"/>
                    <w:snapToGrid w:val="0"/>
                    <w:jc w:val="center"/>
                    <w:rPr>
                      <w:bCs/>
                      <w:sz w:val="18"/>
                      <w:szCs w:val="18"/>
                    </w:rPr>
                  </w:pPr>
                  <w:r>
                    <w:rPr>
                      <w:rFonts w:hint="eastAsia"/>
                      <w:bCs/>
                      <w:sz w:val="18"/>
                      <w:szCs w:val="18"/>
                    </w:rPr>
                    <w:t>危险废物管控总量限值(万t/a)</w:t>
                  </w:r>
                </w:p>
              </w:tc>
            </w:tr>
            <w:tr w14:paraId="11F48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593D7B59">
                  <w:pPr>
                    <w:adjustRightInd w:val="0"/>
                    <w:snapToGrid w:val="0"/>
                    <w:jc w:val="center"/>
                    <w:rPr>
                      <w:bCs/>
                      <w:kern w:val="0"/>
                      <w:sz w:val="18"/>
                      <w:szCs w:val="18"/>
                    </w:rPr>
                  </w:pPr>
                </w:p>
              </w:tc>
              <w:tc>
                <w:tcPr>
                  <w:tcW w:w="252" w:type="pct"/>
                  <w:vMerge w:val="continue"/>
                  <w:tcBorders>
                    <w:tl2br w:val="nil"/>
                    <w:tr2bl w:val="nil"/>
                  </w:tcBorders>
                  <w:vAlign w:val="center"/>
                </w:tcPr>
                <w:p w14:paraId="0884CB74">
                  <w:pPr>
                    <w:adjustRightInd w:val="0"/>
                    <w:snapToGrid w:val="0"/>
                    <w:jc w:val="center"/>
                    <w:rPr>
                      <w:bCs/>
                      <w:kern w:val="0"/>
                      <w:sz w:val="18"/>
                      <w:szCs w:val="18"/>
                    </w:rPr>
                  </w:pPr>
                </w:p>
              </w:tc>
              <w:tc>
                <w:tcPr>
                  <w:tcW w:w="405" w:type="pct"/>
                  <w:vMerge w:val="continue"/>
                  <w:tcBorders>
                    <w:tl2br w:val="nil"/>
                    <w:tr2bl w:val="nil"/>
                  </w:tcBorders>
                  <w:vAlign w:val="center"/>
                </w:tcPr>
                <w:p w14:paraId="38FD7186">
                  <w:pPr>
                    <w:adjustRightInd w:val="0"/>
                    <w:snapToGrid w:val="0"/>
                    <w:jc w:val="center"/>
                    <w:rPr>
                      <w:bCs/>
                      <w:kern w:val="0"/>
                      <w:sz w:val="18"/>
                      <w:szCs w:val="18"/>
                    </w:rPr>
                  </w:pPr>
                </w:p>
              </w:tc>
              <w:tc>
                <w:tcPr>
                  <w:tcW w:w="683" w:type="pct"/>
                  <w:gridSpan w:val="2"/>
                  <w:tcBorders>
                    <w:tl2br w:val="nil"/>
                    <w:tr2bl w:val="nil"/>
                  </w:tcBorders>
                  <w:vAlign w:val="center"/>
                </w:tcPr>
                <w:p w14:paraId="17BF2A7E">
                  <w:pPr>
                    <w:adjustRightInd w:val="0"/>
                    <w:snapToGrid w:val="0"/>
                    <w:jc w:val="center"/>
                    <w:rPr>
                      <w:bCs/>
                      <w:kern w:val="0"/>
                      <w:sz w:val="18"/>
                      <w:szCs w:val="18"/>
                    </w:rPr>
                  </w:pPr>
                  <w:r>
                    <w:rPr>
                      <w:rFonts w:hint="eastAsia"/>
                      <w:bCs/>
                      <w:kern w:val="0"/>
                      <w:sz w:val="18"/>
                      <w:szCs w:val="18"/>
                    </w:rPr>
                    <w:t>污染因子</w:t>
                  </w:r>
                </w:p>
              </w:tc>
              <w:tc>
                <w:tcPr>
                  <w:tcW w:w="449" w:type="pct"/>
                  <w:tcBorders>
                    <w:tl2br w:val="nil"/>
                    <w:tr2bl w:val="nil"/>
                  </w:tcBorders>
                  <w:vAlign w:val="center"/>
                </w:tcPr>
                <w:p w14:paraId="33ED74B2">
                  <w:pPr>
                    <w:adjustRightInd w:val="0"/>
                    <w:snapToGrid w:val="0"/>
                    <w:jc w:val="center"/>
                    <w:rPr>
                      <w:bCs/>
                      <w:sz w:val="18"/>
                      <w:szCs w:val="18"/>
                    </w:rPr>
                  </w:pPr>
                  <w:r>
                    <w:rPr>
                      <w:bCs/>
                      <w:kern w:val="0"/>
                      <w:sz w:val="18"/>
                      <w:szCs w:val="18"/>
                    </w:rPr>
                    <w:t>COD</w:t>
                  </w:r>
                  <w:r>
                    <w:rPr>
                      <w:bCs/>
                      <w:kern w:val="0"/>
                      <w:sz w:val="18"/>
                      <w:szCs w:val="18"/>
                      <w:vertAlign w:val="subscript"/>
                    </w:rPr>
                    <w:t>Cr</w:t>
                  </w:r>
                </w:p>
              </w:tc>
              <w:tc>
                <w:tcPr>
                  <w:tcW w:w="449" w:type="pct"/>
                  <w:tcBorders>
                    <w:tl2br w:val="nil"/>
                    <w:tr2bl w:val="nil"/>
                  </w:tcBorders>
                  <w:vAlign w:val="center"/>
                </w:tcPr>
                <w:p w14:paraId="75A8C848">
                  <w:pPr>
                    <w:adjustRightInd w:val="0"/>
                    <w:snapToGrid w:val="0"/>
                    <w:jc w:val="center"/>
                    <w:rPr>
                      <w:bCs/>
                      <w:sz w:val="18"/>
                      <w:szCs w:val="18"/>
                    </w:rPr>
                  </w:pPr>
                  <w:r>
                    <w:rPr>
                      <w:bCs/>
                      <w:kern w:val="0"/>
                      <w:sz w:val="18"/>
                      <w:szCs w:val="18"/>
                    </w:rPr>
                    <w:t>NH</w:t>
                  </w:r>
                  <w:r>
                    <w:rPr>
                      <w:bCs/>
                      <w:kern w:val="0"/>
                      <w:sz w:val="18"/>
                      <w:szCs w:val="18"/>
                      <w:vertAlign w:val="subscript"/>
                    </w:rPr>
                    <w:t>3</w:t>
                  </w:r>
                  <w:r>
                    <w:rPr>
                      <w:bCs/>
                      <w:kern w:val="0"/>
                      <w:sz w:val="18"/>
                      <w:szCs w:val="18"/>
                    </w:rPr>
                    <w:t>-N</w:t>
                  </w:r>
                </w:p>
              </w:tc>
              <w:tc>
                <w:tcPr>
                  <w:tcW w:w="405" w:type="pct"/>
                  <w:tcBorders>
                    <w:tl2br w:val="nil"/>
                    <w:tr2bl w:val="nil"/>
                  </w:tcBorders>
                  <w:vAlign w:val="center"/>
                </w:tcPr>
                <w:p w14:paraId="45A6A3B6">
                  <w:pPr>
                    <w:adjustRightInd w:val="0"/>
                    <w:snapToGrid w:val="0"/>
                    <w:jc w:val="center"/>
                    <w:rPr>
                      <w:bCs/>
                      <w:kern w:val="0"/>
                      <w:sz w:val="18"/>
                      <w:szCs w:val="18"/>
                    </w:rPr>
                  </w:pPr>
                  <w:r>
                    <w:rPr>
                      <w:bCs/>
                      <w:kern w:val="0"/>
                      <w:sz w:val="18"/>
                      <w:szCs w:val="18"/>
                    </w:rPr>
                    <w:t>TP</w:t>
                  </w:r>
                </w:p>
              </w:tc>
              <w:tc>
                <w:tcPr>
                  <w:tcW w:w="349" w:type="pct"/>
                  <w:tcBorders>
                    <w:tl2br w:val="nil"/>
                    <w:tr2bl w:val="nil"/>
                  </w:tcBorders>
                  <w:vAlign w:val="center"/>
                </w:tcPr>
                <w:p w14:paraId="69BEB6C5">
                  <w:pPr>
                    <w:adjustRightInd w:val="0"/>
                    <w:snapToGrid w:val="0"/>
                    <w:jc w:val="center"/>
                    <w:rPr>
                      <w:bCs/>
                      <w:sz w:val="18"/>
                      <w:szCs w:val="18"/>
                    </w:rPr>
                  </w:pPr>
                  <w:r>
                    <w:rPr>
                      <w:bCs/>
                      <w:kern w:val="0"/>
                      <w:sz w:val="18"/>
                      <w:szCs w:val="18"/>
                    </w:rPr>
                    <w:t>SO</w:t>
                  </w:r>
                  <w:r>
                    <w:rPr>
                      <w:bCs/>
                      <w:kern w:val="0"/>
                      <w:sz w:val="18"/>
                      <w:szCs w:val="18"/>
                      <w:vertAlign w:val="subscript"/>
                    </w:rPr>
                    <w:t>2</w:t>
                  </w:r>
                </w:p>
              </w:tc>
              <w:tc>
                <w:tcPr>
                  <w:tcW w:w="349" w:type="pct"/>
                  <w:tcBorders>
                    <w:tl2br w:val="nil"/>
                    <w:tr2bl w:val="nil"/>
                  </w:tcBorders>
                  <w:vAlign w:val="center"/>
                </w:tcPr>
                <w:p w14:paraId="5A6AF22F">
                  <w:pPr>
                    <w:adjustRightInd w:val="0"/>
                    <w:snapToGrid w:val="0"/>
                    <w:jc w:val="center"/>
                    <w:rPr>
                      <w:bCs/>
                      <w:sz w:val="18"/>
                      <w:szCs w:val="18"/>
                    </w:rPr>
                  </w:pPr>
                  <w:r>
                    <w:rPr>
                      <w:bCs/>
                      <w:kern w:val="0"/>
                      <w:sz w:val="18"/>
                      <w:szCs w:val="18"/>
                    </w:rPr>
                    <w:t>NO</w:t>
                  </w:r>
                  <w:r>
                    <w:rPr>
                      <w:bCs/>
                      <w:kern w:val="0"/>
                      <w:sz w:val="18"/>
                      <w:szCs w:val="18"/>
                      <w:vertAlign w:val="subscript"/>
                    </w:rPr>
                    <w:t>x</w:t>
                  </w:r>
                </w:p>
              </w:tc>
              <w:tc>
                <w:tcPr>
                  <w:tcW w:w="349" w:type="pct"/>
                  <w:tcBorders>
                    <w:tl2br w:val="nil"/>
                    <w:tr2bl w:val="nil"/>
                  </w:tcBorders>
                  <w:vAlign w:val="center"/>
                </w:tcPr>
                <w:p w14:paraId="49B62E37">
                  <w:pPr>
                    <w:adjustRightInd w:val="0"/>
                    <w:snapToGrid w:val="0"/>
                    <w:jc w:val="center"/>
                    <w:rPr>
                      <w:bCs/>
                      <w:sz w:val="18"/>
                      <w:szCs w:val="18"/>
                    </w:rPr>
                  </w:pPr>
                  <w:r>
                    <w:rPr>
                      <w:rFonts w:hint="eastAsia"/>
                      <w:bCs/>
                      <w:kern w:val="0"/>
                      <w:sz w:val="18"/>
                      <w:szCs w:val="18"/>
                    </w:rPr>
                    <w:t>烟粉尘</w:t>
                  </w:r>
                </w:p>
              </w:tc>
              <w:tc>
                <w:tcPr>
                  <w:tcW w:w="404" w:type="pct"/>
                  <w:tcBorders>
                    <w:tl2br w:val="nil"/>
                    <w:tr2bl w:val="nil"/>
                  </w:tcBorders>
                  <w:vAlign w:val="center"/>
                </w:tcPr>
                <w:p w14:paraId="4F90A1C2">
                  <w:pPr>
                    <w:adjustRightInd w:val="0"/>
                    <w:snapToGrid w:val="0"/>
                    <w:jc w:val="center"/>
                    <w:rPr>
                      <w:bCs/>
                      <w:sz w:val="18"/>
                      <w:szCs w:val="18"/>
                    </w:rPr>
                  </w:pPr>
                  <w:r>
                    <w:rPr>
                      <w:bCs/>
                      <w:kern w:val="0"/>
                      <w:sz w:val="18"/>
                      <w:szCs w:val="18"/>
                    </w:rPr>
                    <w:t>VOCs</w:t>
                  </w:r>
                </w:p>
              </w:tc>
              <w:tc>
                <w:tcPr>
                  <w:tcW w:w="679" w:type="pct"/>
                  <w:vMerge w:val="continue"/>
                  <w:tcBorders>
                    <w:tl2br w:val="nil"/>
                    <w:tr2bl w:val="nil"/>
                  </w:tcBorders>
                  <w:vAlign w:val="center"/>
                </w:tcPr>
                <w:p w14:paraId="2233766E">
                  <w:pPr>
                    <w:adjustRightInd w:val="0"/>
                    <w:snapToGrid w:val="0"/>
                    <w:jc w:val="center"/>
                    <w:rPr>
                      <w:bCs/>
                      <w:sz w:val="18"/>
                      <w:szCs w:val="18"/>
                    </w:rPr>
                  </w:pPr>
                </w:p>
              </w:tc>
            </w:tr>
            <w:tr w14:paraId="53652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08F38D36">
                  <w:pPr>
                    <w:adjustRightInd w:val="0"/>
                    <w:snapToGrid w:val="0"/>
                    <w:jc w:val="center"/>
                    <w:rPr>
                      <w:bCs/>
                      <w:kern w:val="0"/>
                      <w:sz w:val="18"/>
                      <w:szCs w:val="18"/>
                    </w:rPr>
                  </w:pPr>
                </w:p>
              </w:tc>
              <w:tc>
                <w:tcPr>
                  <w:tcW w:w="252" w:type="pct"/>
                  <w:vMerge w:val="continue"/>
                  <w:tcBorders>
                    <w:tl2br w:val="nil"/>
                    <w:tr2bl w:val="nil"/>
                  </w:tcBorders>
                  <w:vAlign w:val="center"/>
                </w:tcPr>
                <w:p w14:paraId="3D82D5F4">
                  <w:pPr>
                    <w:adjustRightInd w:val="0"/>
                    <w:snapToGrid w:val="0"/>
                    <w:jc w:val="center"/>
                    <w:rPr>
                      <w:bCs/>
                      <w:kern w:val="0"/>
                      <w:sz w:val="18"/>
                      <w:szCs w:val="18"/>
                    </w:rPr>
                  </w:pPr>
                </w:p>
              </w:tc>
              <w:tc>
                <w:tcPr>
                  <w:tcW w:w="405" w:type="pct"/>
                  <w:vMerge w:val="continue"/>
                  <w:tcBorders>
                    <w:tl2br w:val="nil"/>
                    <w:tr2bl w:val="nil"/>
                  </w:tcBorders>
                  <w:vAlign w:val="center"/>
                </w:tcPr>
                <w:p w14:paraId="2A8E3792">
                  <w:pPr>
                    <w:adjustRightInd w:val="0"/>
                    <w:snapToGrid w:val="0"/>
                    <w:jc w:val="center"/>
                    <w:rPr>
                      <w:bCs/>
                      <w:kern w:val="0"/>
                      <w:sz w:val="18"/>
                      <w:szCs w:val="18"/>
                    </w:rPr>
                  </w:pPr>
                </w:p>
              </w:tc>
              <w:tc>
                <w:tcPr>
                  <w:tcW w:w="339" w:type="pct"/>
                  <w:vMerge w:val="restart"/>
                  <w:tcBorders>
                    <w:tl2br w:val="nil"/>
                    <w:tr2bl w:val="nil"/>
                  </w:tcBorders>
                  <w:vAlign w:val="center"/>
                </w:tcPr>
                <w:p w14:paraId="7EBDEB59">
                  <w:pPr>
                    <w:adjustRightInd w:val="0"/>
                    <w:snapToGrid w:val="0"/>
                    <w:jc w:val="center"/>
                    <w:rPr>
                      <w:bCs/>
                      <w:kern w:val="0"/>
                      <w:sz w:val="18"/>
                      <w:szCs w:val="18"/>
                    </w:rPr>
                  </w:pPr>
                  <w:r>
                    <w:rPr>
                      <w:rFonts w:hint="eastAsia"/>
                      <w:bCs/>
                      <w:kern w:val="0"/>
                      <w:sz w:val="18"/>
                      <w:szCs w:val="18"/>
                    </w:rPr>
                    <w:t>近期(2030)</w:t>
                  </w:r>
                </w:p>
              </w:tc>
              <w:tc>
                <w:tcPr>
                  <w:tcW w:w="343" w:type="pct"/>
                  <w:tcBorders>
                    <w:tl2br w:val="nil"/>
                    <w:tr2bl w:val="nil"/>
                  </w:tcBorders>
                  <w:vAlign w:val="center"/>
                </w:tcPr>
                <w:p w14:paraId="132100BF">
                  <w:pPr>
                    <w:adjustRightInd w:val="0"/>
                    <w:snapToGrid w:val="0"/>
                    <w:jc w:val="center"/>
                    <w:rPr>
                      <w:bCs/>
                      <w:kern w:val="0"/>
                      <w:sz w:val="18"/>
                      <w:szCs w:val="18"/>
                    </w:rPr>
                  </w:pPr>
                  <w:r>
                    <w:rPr>
                      <w:rFonts w:hint="eastAsia"/>
                      <w:bCs/>
                      <w:kern w:val="0"/>
                      <w:sz w:val="18"/>
                      <w:szCs w:val="18"/>
                    </w:rPr>
                    <w:t>工业源</w:t>
                  </w:r>
                </w:p>
              </w:tc>
              <w:tc>
                <w:tcPr>
                  <w:tcW w:w="1267" w:type="dxa"/>
                  <w:tcBorders>
                    <w:tl2br w:val="nil"/>
                    <w:tr2bl w:val="nil"/>
                  </w:tcBorders>
                  <w:vAlign w:val="center"/>
                </w:tcPr>
                <w:p w14:paraId="4765414A">
                  <w:pPr>
                    <w:adjustRightInd w:val="0"/>
                    <w:snapToGrid w:val="0"/>
                    <w:jc w:val="center"/>
                    <w:rPr>
                      <w:bCs/>
                      <w:kern w:val="0"/>
                      <w:sz w:val="18"/>
                      <w:szCs w:val="18"/>
                    </w:rPr>
                  </w:pPr>
                  <w:r>
                    <w:rPr>
                      <w:bCs/>
                      <w:kern w:val="0"/>
                      <w:sz w:val="18"/>
                      <w:szCs w:val="18"/>
                    </w:rPr>
                    <w:t xml:space="preserve">130.052 </w:t>
                  </w:r>
                </w:p>
              </w:tc>
              <w:tc>
                <w:tcPr>
                  <w:tcW w:w="1267" w:type="dxa"/>
                  <w:tcBorders>
                    <w:tl2br w:val="nil"/>
                    <w:tr2bl w:val="nil"/>
                  </w:tcBorders>
                  <w:vAlign w:val="center"/>
                </w:tcPr>
                <w:p w14:paraId="2592A233">
                  <w:pPr>
                    <w:adjustRightInd w:val="0"/>
                    <w:snapToGrid w:val="0"/>
                    <w:jc w:val="center"/>
                    <w:rPr>
                      <w:bCs/>
                      <w:kern w:val="0"/>
                      <w:sz w:val="18"/>
                      <w:szCs w:val="18"/>
                    </w:rPr>
                  </w:pPr>
                  <w:r>
                    <w:rPr>
                      <w:bCs/>
                      <w:kern w:val="0"/>
                      <w:sz w:val="18"/>
                      <w:szCs w:val="18"/>
                    </w:rPr>
                    <w:t xml:space="preserve">6.546 </w:t>
                  </w:r>
                </w:p>
              </w:tc>
              <w:tc>
                <w:tcPr>
                  <w:tcW w:w="1143" w:type="dxa"/>
                  <w:tcBorders>
                    <w:tl2br w:val="nil"/>
                    <w:tr2bl w:val="nil"/>
                  </w:tcBorders>
                  <w:vAlign w:val="center"/>
                </w:tcPr>
                <w:p w14:paraId="69298349">
                  <w:pPr>
                    <w:adjustRightInd w:val="0"/>
                    <w:snapToGrid w:val="0"/>
                    <w:jc w:val="center"/>
                    <w:rPr>
                      <w:bCs/>
                      <w:kern w:val="0"/>
                      <w:sz w:val="18"/>
                      <w:szCs w:val="18"/>
                    </w:rPr>
                  </w:pPr>
                  <w:r>
                    <w:rPr>
                      <w:bCs/>
                      <w:kern w:val="0"/>
                      <w:sz w:val="18"/>
                      <w:szCs w:val="18"/>
                    </w:rPr>
                    <w:t xml:space="preserve">1.051 </w:t>
                  </w:r>
                </w:p>
              </w:tc>
              <w:tc>
                <w:tcPr>
                  <w:tcW w:w="985" w:type="dxa"/>
                  <w:tcBorders>
                    <w:tl2br w:val="nil"/>
                    <w:tr2bl w:val="nil"/>
                  </w:tcBorders>
                  <w:vAlign w:val="center"/>
                </w:tcPr>
                <w:p w14:paraId="75B4D7BC">
                  <w:pPr>
                    <w:adjustRightInd w:val="0"/>
                    <w:snapToGrid w:val="0"/>
                    <w:jc w:val="center"/>
                    <w:rPr>
                      <w:bCs/>
                      <w:kern w:val="0"/>
                      <w:sz w:val="18"/>
                      <w:szCs w:val="18"/>
                    </w:rPr>
                  </w:pPr>
                  <w:r>
                    <w:rPr>
                      <w:bCs/>
                      <w:kern w:val="0"/>
                      <w:sz w:val="18"/>
                      <w:szCs w:val="18"/>
                    </w:rPr>
                    <w:t xml:space="preserve">16.860 </w:t>
                  </w:r>
                </w:p>
              </w:tc>
              <w:tc>
                <w:tcPr>
                  <w:tcW w:w="985" w:type="dxa"/>
                  <w:tcBorders>
                    <w:tl2br w:val="nil"/>
                    <w:tr2bl w:val="nil"/>
                  </w:tcBorders>
                  <w:vAlign w:val="center"/>
                </w:tcPr>
                <w:p w14:paraId="2A8C727F">
                  <w:pPr>
                    <w:adjustRightInd w:val="0"/>
                    <w:snapToGrid w:val="0"/>
                    <w:jc w:val="center"/>
                    <w:rPr>
                      <w:bCs/>
                      <w:kern w:val="0"/>
                      <w:sz w:val="18"/>
                      <w:szCs w:val="18"/>
                    </w:rPr>
                  </w:pPr>
                  <w:r>
                    <w:rPr>
                      <w:bCs/>
                      <w:kern w:val="0"/>
                      <w:sz w:val="18"/>
                      <w:szCs w:val="18"/>
                    </w:rPr>
                    <w:t xml:space="preserve">70.908 </w:t>
                  </w:r>
                </w:p>
              </w:tc>
              <w:tc>
                <w:tcPr>
                  <w:tcW w:w="985" w:type="dxa"/>
                  <w:tcBorders>
                    <w:tl2br w:val="nil"/>
                    <w:tr2bl w:val="nil"/>
                  </w:tcBorders>
                  <w:vAlign w:val="center"/>
                </w:tcPr>
                <w:p w14:paraId="3F0D0E90">
                  <w:pPr>
                    <w:adjustRightInd w:val="0"/>
                    <w:snapToGrid w:val="0"/>
                    <w:jc w:val="center"/>
                    <w:rPr>
                      <w:bCs/>
                      <w:kern w:val="0"/>
                      <w:sz w:val="18"/>
                      <w:szCs w:val="18"/>
                    </w:rPr>
                  </w:pPr>
                  <w:r>
                    <w:rPr>
                      <w:bCs/>
                      <w:kern w:val="0"/>
                      <w:sz w:val="18"/>
                      <w:szCs w:val="18"/>
                    </w:rPr>
                    <w:t xml:space="preserve">150.127 </w:t>
                  </w:r>
                </w:p>
              </w:tc>
              <w:tc>
                <w:tcPr>
                  <w:tcW w:w="1140" w:type="dxa"/>
                  <w:tcBorders>
                    <w:tl2br w:val="nil"/>
                    <w:tr2bl w:val="nil"/>
                  </w:tcBorders>
                  <w:vAlign w:val="center"/>
                </w:tcPr>
                <w:p w14:paraId="57D956BB">
                  <w:pPr>
                    <w:adjustRightInd w:val="0"/>
                    <w:snapToGrid w:val="0"/>
                    <w:jc w:val="center"/>
                    <w:rPr>
                      <w:bCs/>
                      <w:kern w:val="0"/>
                      <w:sz w:val="18"/>
                      <w:szCs w:val="18"/>
                    </w:rPr>
                  </w:pPr>
                  <w:r>
                    <w:rPr>
                      <w:bCs/>
                      <w:kern w:val="0"/>
                      <w:sz w:val="18"/>
                      <w:szCs w:val="18"/>
                    </w:rPr>
                    <w:t xml:space="preserve">282.216 </w:t>
                  </w:r>
                </w:p>
              </w:tc>
              <w:tc>
                <w:tcPr>
                  <w:tcW w:w="1919" w:type="dxa"/>
                  <w:tcBorders>
                    <w:tl2br w:val="nil"/>
                    <w:tr2bl w:val="nil"/>
                  </w:tcBorders>
                  <w:vAlign w:val="center"/>
                </w:tcPr>
                <w:p w14:paraId="0113AEEF">
                  <w:pPr>
                    <w:adjustRightInd w:val="0"/>
                    <w:snapToGrid w:val="0"/>
                    <w:jc w:val="center"/>
                    <w:rPr>
                      <w:bCs/>
                      <w:kern w:val="0"/>
                      <w:sz w:val="18"/>
                      <w:szCs w:val="18"/>
                    </w:rPr>
                  </w:pPr>
                  <w:r>
                    <w:rPr>
                      <w:bCs/>
                      <w:kern w:val="0"/>
                      <w:sz w:val="18"/>
                      <w:szCs w:val="18"/>
                    </w:rPr>
                    <w:t xml:space="preserve">1.81 </w:t>
                  </w:r>
                </w:p>
              </w:tc>
            </w:tr>
            <w:tr w14:paraId="55F96E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43C671B7">
                  <w:pPr>
                    <w:adjustRightInd w:val="0"/>
                    <w:snapToGrid w:val="0"/>
                    <w:jc w:val="center"/>
                    <w:rPr>
                      <w:bCs/>
                      <w:kern w:val="0"/>
                      <w:sz w:val="18"/>
                      <w:szCs w:val="18"/>
                    </w:rPr>
                  </w:pPr>
                </w:p>
              </w:tc>
              <w:tc>
                <w:tcPr>
                  <w:tcW w:w="252" w:type="pct"/>
                  <w:vMerge w:val="continue"/>
                  <w:tcBorders>
                    <w:tl2br w:val="nil"/>
                    <w:tr2bl w:val="nil"/>
                  </w:tcBorders>
                  <w:vAlign w:val="center"/>
                </w:tcPr>
                <w:p w14:paraId="30E8557E">
                  <w:pPr>
                    <w:adjustRightInd w:val="0"/>
                    <w:snapToGrid w:val="0"/>
                    <w:jc w:val="center"/>
                    <w:rPr>
                      <w:bCs/>
                      <w:kern w:val="0"/>
                      <w:sz w:val="18"/>
                      <w:szCs w:val="18"/>
                    </w:rPr>
                  </w:pPr>
                </w:p>
              </w:tc>
              <w:tc>
                <w:tcPr>
                  <w:tcW w:w="405" w:type="pct"/>
                  <w:vMerge w:val="continue"/>
                  <w:tcBorders>
                    <w:tl2br w:val="nil"/>
                    <w:tr2bl w:val="nil"/>
                  </w:tcBorders>
                  <w:vAlign w:val="center"/>
                </w:tcPr>
                <w:p w14:paraId="646BB2DF">
                  <w:pPr>
                    <w:adjustRightInd w:val="0"/>
                    <w:snapToGrid w:val="0"/>
                    <w:jc w:val="center"/>
                    <w:rPr>
                      <w:bCs/>
                      <w:kern w:val="0"/>
                      <w:sz w:val="18"/>
                      <w:szCs w:val="18"/>
                    </w:rPr>
                  </w:pPr>
                </w:p>
              </w:tc>
              <w:tc>
                <w:tcPr>
                  <w:tcW w:w="339" w:type="pct"/>
                  <w:vMerge w:val="continue"/>
                  <w:tcBorders>
                    <w:tl2br w:val="nil"/>
                    <w:tr2bl w:val="nil"/>
                  </w:tcBorders>
                  <w:vAlign w:val="center"/>
                </w:tcPr>
                <w:p w14:paraId="31DBF15E">
                  <w:pPr>
                    <w:adjustRightInd w:val="0"/>
                    <w:snapToGrid w:val="0"/>
                    <w:jc w:val="center"/>
                    <w:rPr>
                      <w:bCs/>
                      <w:kern w:val="0"/>
                      <w:sz w:val="18"/>
                      <w:szCs w:val="18"/>
                    </w:rPr>
                  </w:pPr>
                </w:p>
              </w:tc>
              <w:tc>
                <w:tcPr>
                  <w:tcW w:w="343" w:type="pct"/>
                  <w:tcBorders>
                    <w:tl2br w:val="nil"/>
                    <w:tr2bl w:val="nil"/>
                  </w:tcBorders>
                  <w:vAlign w:val="center"/>
                </w:tcPr>
                <w:p w14:paraId="6B8EC9F9">
                  <w:pPr>
                    <w:adjustRightInd w:val="0"/>
                    <w:snapToGrid w:val="0"/>
                    <w:jc w:val="center"/>
                    <w:rPr>
                      <w:bCs/>
                      <w:kern w:val="0"/>
                      <w:sz w:val="18"/>
                      <w:szCs w:val="18"/>
                    </w:rPr>
                  </w:pPr>
                  <w:r>
                    <w:rPr>
                      <w:rFonts w:hint="eastAsia"/>
                      <w:bCs/>
                      <w:kern w:val="0"/>
                      <w:sz w:val="18"/>
                      <w:szCs w:val="18"/>
                    </w:rPr>
                    <w:t>生活源</w:t>
                  </w:r>
                </w:p>
              </w:tc>
              <w:tc>
                <w:tcPr>
                  <w:tcW w:w="1267" w:type="dxa"/>
                  <w:tcBorders>
                    <w:tl2br w:val="nil"/>
                    <w:tr2bl w:val="nil"/>
                  </w:tcBorders>
                  <w:vAlign w:val="center"/>
                </w:tcPr>
                <w:p w14:paraId="0F10345E">
                  <w:pPr>
                    <w:adjustRightInd w:val="0"/>
                    <w:snapToGrid w:val="0"/>
                    <w:jc w:val="center"/>
                    <w:rPr>
                      <w:bCs/>
                      <w:kern w:val="0"/>
                      <w:sz w:val="18"/>
                      <w:szCs w:val="18"/>
                    </w:rPr>
                  </w:pPr>
                  <w:r>
                    <w:rPr>
                      <w:bCs/>
                      <w:kern w:val="0"/>
                      <w:sz w:val="18"/>
                      <w:szCs w:val="18"/>
                    </w:rPr>
                    <w:t xml:space="preserve">603.172 </w:t>
                  </w:r>
                </w:p>
              </w:tc>
              <w:tc>
                <w:tcPr>
                  <w:tcW w:w="1267" w:type="dxa"/>
                  <w:tcBorders>
                    <w:tl2br w:val="nil"/>
                    <w:tr2bl w:val="nil"/>
                  </w:tcBorders>
                  <w:vAlign w:val="center"/>
                </w:tcPr>
                <w:p w14:paraId="4BEFFD92">
                  <w:pPr>
                    <w:adjustRightInd w:val="0"/>
                    <w:snapToGrid w:val="0"/>
                    <w:jc w:val="center"/>
                    <w:rPr>
                      <w:bCs/>
                      <w:kern w:val="0"/>
                      <w:sz w:val="18"/>
                      <w:szCs w:val="18"/>
                    </w:rPr>
                  </w:pPr>
                  <w:r>
                    <w:rPr>
                      <w:bCs/>
                      <w:kern w:val="0"/>
                      <w:sz w:val="18"/>
                      <w:szCs w:val="18"/>
                    </w:rPr>
                    <w:t xml:space="preserve">30.159 </w:t>
                  </w:r>
                </w:p>
              </w:tc>
              <w:tc>
                <w:tcPr>
                  <w:tcW w:w="1143" w:type="dxa"/>
                  <w:tcBorders>
                    <w:tl2br w:val="nil"/>
                    <w:tr2bl w:val="nil"/>
                  </w:tcBorders>
                  <w:vAlign w:val="center"/>
                </w:tcPr>
                <w:p w14:paraId="306866BC">
                  <w:pPr>
                    <w:adjustRightInd w:val="0"/>
                    <w:snapToGrid w:val="0"/>
                    <w:jc w:val="center"/>
                    <w:rPr>
                      <w:bCs/>
                      <w:kern w:val="0"/>
                      <w:sz w:val="18"/>
                      <w:szCs w:val="18"/>
                    </w:rPr>
                  </w:pPr>
                  <w:r>
                    <w:rPr>
                      <w:bCs/>
                      <w:kern w:val="0"/>
                      <w:sz w:val="18"/>
                      <w:szCs w:val="18"/>
                    </w:rPr>
                    <w:t xml:space="preserve">5.170 </w:t>
                  </w:r>
                </w:p>
              </w:tc>
              <w:tc>
                <w:tcPr>
                  <w:tcW w:w="985" w:type="dxa"/>
                  <w:tcBorders>
                    <w:tl2br w:val="nil"/>
                    <w:tr2bl w:val="nil"/>
                  </w:tcBorders>
                  <w:vAlign w:val="center"/>
                </w:tcPr>
                <w:p w14:paraId="668828A9">
                  <w:pPr>
                    <w:adjustRightInd w:val="0"/>
                    <w:snapToGrid w:val="0"/>
                    <w:jc w:val="center"/>
                    <w:rPr>
                      <w:bCs/>
                      <w:kern w:val="0"/>
                      <w:sz w:val="18"/>
                      <w:szCs w:val="18"/>
                    </w:rPr>
                  </w:pPr>
                  <w:r>
                    <w:rPr>
                      <w:bCs/>
                      <w:kern w:val="0"/>
                      <w:sz w:val="18"/>
                      <w:szCs w:val="18"/>
                    </w:rPr>
                    <w:t xml:space="preserve">0.010 </w:t>
                  </w:r>
                </w:p>
              </w:tc>
              <w:tc>
                <w:tcPr>
                  <w:tcW w:w="985" w:type="dxa"/>
                  <w:tcBorders>
                    <w:tl2br w:val="nil"/>
                    <w:tr2bl w:val="nil"/>
                  </w:tcBorders>
                  <w:vAlign w:val="center"/>
                </w:tcPr>
                <w:p w14:paraId="70F1A700">
                  <w:pPr>
                    <w:adjustRightInd w:val="0"/>
                    <w:snapToGrid w:val="0"/>
                    <w:jc w:val="center"/>
                    <w:rPr>
                      <w:bCs/>
                      <w:kern w:val="0"/>
                      <w:sz w:val="18"/>
                      <w:szCs w:val="18"/>
                    </w:rPr>
                  </w:pPr>
                  <w:r>
                    <w:rPr>
                      <w:bCs/>
                      <w:kern w:val="0"/>
                      <w:sz w:val="18"/>
                      <w:szCs w:val="18"/>
                    </w:rPr>
                    <w:t xml:space="preserve">22.127 </w:t>
                  </w:r>
                </w:p>
              </w:tc>
              <w:tc>
                <w:tcPr>
                  <w:tcW w:w="985" w:type="dxa"/>
                  <w:tcBorders>
                    <w:tl2br w:val="nil"/>
                    <w:tr2bl w:val="nil"/>
                  </w:tcBorders>
                  <w:vAlign w:val="center"/>
                </w:tcPr>
                <w:p w14:paraId="5E485474">
                  <w:pPr>
                    <w:adjustRightInd w:val="0"/>
                    <w:snapToGrid w:val="0"/>
                    <w:jc w:val="center"/>
                    <w:rPr>
                      <w:bCs/>
                      <w:kern w:val="0"/>
                      <w:sz w:val="18"/>
                      <w:szCs w:val="18"/>
                    </w:rPr>
                  </w:pPr>
                  <w:r>
                    <w:rPr>
                      <w:bCs/>
                      <w:kern w:val="0"/>
                      <w:sz w:val="18"/>
                      <w:szCs w:val="18"/>
                    </w:rPr>
                    <w:t xml:space="preserve">2.028 </w:t>
                  </w:r>
                </w:p>
              </w:tc>
              <w:tc>
                <w:tcPr>
                  <w:tcW w:w="1140" w:type="dxa"/>
                  <w:tcBorders>
                    <w:tl2br w:val="nil"/>
                    <w:tr2bl w:val="nil"/>
                  </w:tcBorders>
                  <w:vAlign w:val="center"/>
                </w:tcPr>
                <w:p w14:paraId="7B28AE3E">
                  <w:pPr>
                    <w:adjustRightInd w:val="0"/>
                    <w:snapToGrid w:val="0"/>
                    <w:jc w:val="center"/>
                    <w:rPr>
                      <w:bCs/>
                      <w:kern w:val="0"/>
                      <w:sz w:val="18"/>
                      <w:szCs w:val="18"/>
                    </w:rPr>
                  </w:pPr>
                </w:p>
              </w:tc>
              <w:tc>
                <w:tcPr>
                  <w:tcW w:w="1919" w:type="dxa"/>
                  <w:tcBorders>
                    <w:tl2br w:val="nil"/>
                    <w:tr2bl w:val="nil"/>
                  </w:tcBorders>
                  <w:vAlign w:val="center"/>
                </w:tcPr>
                <w:p w14:paraId="2536F809">
                  <w:pPr>
                    <w:adjustRightInd w:val="0"/>
                    <w:snapToGrid w:val="0"/>
                    <w:jc w:val="center"/>
                    <w:rPr>
                      <w:bCs/>
                      <w:kern w:val="0"/>
                      <w:sz w:val="18"/>
                      <w:szCs w:val="18"/>
                    </w:rPr>
                  </w:pPr>
                </w:p>
              </w:tc>
            </w:tr>
            <w:tr w14:paraId="4D6780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0EAAF37B">
                  <w:pPr>
                    <w:adjustRightInd w:val="0"/>
                    <w:snapToGrid w:val="0"/>
                    <w:jc w:val="center"/>
                    <w:rPr>
                      <w:bCs/>
                      <w:kern w:val="0"/>
                      <w:sz w:val="18"/>
                      <w:szCs w:val="18"/>
                    </w:rPr>
                  </w:pPr>
                </w:p>
              </w:tc>
              <w:tc>
                <w:tcPr>
                  <w:tcW w:w="252" w:type="pct"/>
                  <w:vMerge w:val="continue"/>
                  <w:tcBorders>
                    <w:tl2br w:val="nil"/>
                    <w:tr2bl w:val="nil"/>
                  </w:tcBorders>
                  <w:vAlign w:val="center"/>
                </w:tcPr>
                <w:p w14:paraId="0453E0F7">
                  <w:pPr>
                    <w:adjustRightInd w:val="0"/>
                    <w:snapToGrid w:val="0"/>
                    <w:jc w:val="center"/>
                    <w:rPr>
                      <w:bCs/>
                      <w:kern w:val="0"/>
                      <w:sz w:val="18"/>
                      <w:szCs w:val="18"/>
                    </w:rPr>
                  </w:pPr>
                </w:p>
              </w:tc>
              <w:tc>
                <w:tcPr>
                  <w:tcW w:w="405" w:type="pct"/>
                  <w:vMerge w:val="continue"/>
                  <w:tcBorders>
                    <w:tl2br w:val="nil"/>
                    <w:tr2bl w:val="nil"/>
                  </w:tcBorders>
                  <w:vAlign w:val="center"/>
                </w:tcPr>
                <w:p w14:paraId="55E8F4E7">
                  <w:pPr>
                    <w:adjustRightInd w:val="0"/>
                    <w:snapToGrid w:val="0"/>
                    <w:jc w:val="center"/>
                    <w:rPr>
                      <w:bCs/>
                      <w:kern w:val="0"/>
                      <w:sz w:val="18"/>
                      <w:szCs w:val="18"/>
                    </w:rPr>
                  </w:pPr>
                </w:p>
              </w:tc>
              <w:tc>
                <w:tcPr>
                  <w:tcW w:w="339" w:type="pct"/>
                  <w:vMerge w:val="continue"/>
                  <w:tcBorders>
                    <w:tl2br w:val="nil"/>
                    <w:tr2bl w:val="nil"/>
                  </w:tcBorders>
                  <w:vAlign w:val="center"/>
                </w:tcPr>
                <w:p w14:paraId="1F6CD7A5">
                  <w:pPr>
                    <w:adjustRightInd w:val="0"/>
                    <w:snapToGrid w:val="0"/>
                    <w:jc w:val="center"/>
                    <w:rPr>
                      <w:bCs/>
                      <w:kern w:val="0"/>
                      <w:sz w:val="18"/>
                      <w:szCs w:val="18"/>
                    </w:rPr>
                  </w:pPr>
                </w:p>
              </w:tc>
              <w:tc>
                <w:tcPr>
                  <w:tcW w:w="343" w:type="pct"/>
                  <w:tcBorders>
                    <w:tl2br w:val="nil"/>
                    <w:tr2bl w:val="nil"/>
                  </w:tcBorders>
                  <w:vAlign w:val="center"/>
                </w:tcPr>
                <w:p w14:paraId="53EFEBD2">
                  <w:pPr>
                    <w:adjustRightInd w:val="0"/>
                    <w:snapToGrid w:val="0"/>
                    <w:jc w:val="center"/>
                    <w:rPr>
                      <w:bCs/>
                      <w:kern w:val="0"/>
                      <w:sz w:val="18"/>
                      <w:szCs w:val="18"/>
                    </w:rPr>
                  </w:pPr>
                  <w:r>
                    <w:rPr>
                      <w:rFonts w:hint="eastAsia"/>
                      <w:bCs/>
                      <w:kern w:val="0"/>
                      <w:sz w:val="18"/>
                      <w:szCs w:val="18"/>
                    </w:rPr>
                    <w:t>合计</w:t>
                  </w:r>
                </w:p>
              </w:tc>
              <w:tc>
                <w:tcPr>
                  <w:tcW w:w="1267" w:type="dxa"/>
                  <w:tcBorders>
                    <w:tl2br w:val="nil"/>
                    <w:tr2bl w:val="nil"/>
                  </w:tcBorders>
                  <w:vAlign w:val="center"/>
                </w:tcPr>
                <w:p w14:paraId="52DA2609">
                  <w:pPr>
                    <w:adjustRightInd w:val="0"/>
                    <w:snapToGrid w:val="0"/>
                    <w:jc w:val="center"/>
                    <w:rPr>
                      <w:bCs/>
                      <w:kern w:val="0"/>
                      <w:sz w:val="18"/>
                      <w:szCs w:val="18"/>
                    </w:rPr>
                  </w:pPr>
                  <w:r>
                    <w:rPr>
                      <w:bCs/>
                      <w:kern w:val="0"/>
                      <w:sz w:val="18"/>
                      <w:szCs w:val="18"/>
                    </w:rPr>
                    <w:t xml:space="preserve">733.224 </w:t>
                  </w:r>
                </w:p>
              </w:tc>
              <w:tc>
                <w:tcPr>
                  <w:tcW w:w="1267" w:type="dxa"/>
                  <w:tcBorders>
                    <w:tl2br w:val="nil"/>
                    <w:tr2bl w:val="nil"/>
                  </w:tcBorders>
                  <w:vAlign w:val="center"/>
                </w:tcPr>
                <w:p w14:paraId="039D0D06">
                  <w:pPr>
                    <w:adjustRightInd w:val="0"/>
                    <w:snapToGrid w:val="0"/>
                    <w:jc w:val="center"/>
                    <w:rPr>
                      <w:bCs/>
                      <w:kern w:val="0"/>
                      <w:sz w:val="18"/>
                      <w:szCs w:val="18"/>
                    </w:rPr>
                  </w:pPr>
                  <w:r>
                    <w:rPr>
                      <w:bCs/>
                      <w:kern w:val="0"/>
                      <w:sz w:val="18"/>
                      <w:szCs w:val="18"/>
                    </w:rPr>
                    <w:t xml:space="preserve">36.704 </w:t>
                  </w:r>
                </w:p>
              </w:tc>
              <w:tc>
                <w:tcPr>
                  <w:tcW w:w="1143" w:type="dxa"/>
                  <w:tcBorders>
                    <w:tl2br w:val="nil"/>
                    <w:tr2bl w:val="nil"/>
                  </w:tcBorders>
                  <w:vAlign w:val="center"/>
                </w:tcPr>
                <w:p w14:paraId="3EFFBB68">
                  <w:pPr>
                    <w:adjustRightInd w:val="0"/>
                    <w:snapToGrid w:val="0"/>
                    <w:jc w:val="center"/>
                    <w:rPr>
                      <w:bCs/>
                      <w:kern w:val="0"/>
                      <w:sz w:val="18"/>
                      <w:szCs w:val="18"/>
                    </w:rPr>
                  </w:pPr>
                  <w:r>
                    <w:rPr>
                      <w:bCs/>
                      <w:kern w:val="0"/>
                      <w:sz w:val="18"/>
                      <w:szCs w:val="18"/>
                    </w:rPr>
                    <w:t xml:space="preserve">6.221 </w:t>
                  </w:r>
                </w:p>
              </w:tc>
              <w:tc>
                <w:tcPr>
                  <w:tcW w:w="985" w:type="dxa"/>
                  <w:tcBorders>
                    <w:tl2br w:val="nil"/>
                    <w:tr2bl w:val="nil"/>
                  </w:tcBorders>
                  <w:vAlign w:val="center"/>
                </w:tcPr>
                <w:p w14:paraId="5295404A">
                  <w:pPr>
                    <w:adjustRightInd w:val="0"/>
                    <w:snapToGrid w:val="0"/>
                    <w:jc w:val="center"/>
                    <w:rPr>
                      <w:bCs/>
                      <w:kern w:val="0"/>
                      <w:sz w:val="18"/>
                      <w:szCs w:val="18"/>
                    </w:rPr>
                  </w:pPr>
                  <w:r>
                    <w:rPr>
                      <w:bCs/>
                      <w:kern w:val="0"/>
                      <w:sz w:val="18"/>
                      <w:szCs w:val="18"/>
                    </w:rPr>
                    <w:t xml:space="preserve">16.870 </w:t>
                  </w:r>
                </w:p>
              </w:tc>
              <w:tc>
                <w:tcPr>
                  <w:tcW w:w="985" w:type="dxa"/>
                  <w:tcBorders>
                    <w:tl2br w:val="nil"/>
                    <w:tr2bl w:val="nil"/>
                  </w:tcBorders>
                  <w:vAlign w:val="center"/>
                </w:tcPr>
                <w:p w14:paraId="673A3FA5">
                  <w:pPr>
                    <w:adjustRightInd w:val="0"/>
                    <w:snapToGrid w:val="0"/>
                    <w:jc w:val="center"/>
                    <w:rPr>
                      <w:bCs/>
                      <w:kern w:val="0"/>
                      <w:sz w:val="18"/>
                      <w:szCs w:val="18"/>
                    </w:rPr>
                  </w:pPr>
                  <w:r>
                    <w:rPr>
                      <w:bCs/>
                      <w:kern w:val="0"/>
                      <w:sz w:val="18"/>
                      <w:szCs w:val="18"/>
                    </w:rPr>
                    <w:t xml:space="preserve">93.035 </w:t>
                  </w:r>
                </w:p>
              </w:tc>
              <w:tc>
                <w:tcPr>
                  <w:tcW w:w="985" w:type="dxa"/>
                  <w:tcBorders>
                    <w:tl2br w:val="nil"/>
                    <w:tr2bl w:val="nil"/>
                  </w:tcBorders>
                  <w:vAlign w:val="center"/>
                </w:tcPr>
                <w:p w14:paraId="3B293D0D">
                  <w:pPr>
                    <w:adjustRightInd w:val="0"/>
                    <w:snapToGrid w:val="0"/>
                    <w:jc w:val="center"/>
                    <w:rPr>
                      <w:bCs/>
                      <w:kern w:val="0"/>
                      <w:sz w:val="18"/>
                      <w:szCs w:val="18"/>
                    </w:rPr>
                  </w:pPr>
                  <w:r>
                    <w:rPr>
                      <w:bCs/>
                      <w:kern w:val="0"/>
                      <w:sz w:val="18"/>
                      <w:szCs w:val="18"/>
                    </w:rPr>
                    <w:t xml:space="preserve">152.156 </w:t>
                  </w:r>
                </w:p>
              </w:tc>
              <w:tc>
                <w:tcPr>
                  <w:tcW w:w="1140" w:type="dxa"/>
                  <w:tcBorders>
                    <w:tl2br w:val="nil"/>
                    <w:tr2bl w:val="nil"/>
                  </w:tcBorders>
                  <w:vAlign w:val="center"/>
                </w:tcPr>
                <w:p w14:paraId="7DF603CD">
                  <w:pPr>
                    <w:adjustRightInd w:val="0"/>
                    <w:snapToGrid w:val="0"/>
                    <w:jc w:val="center"/>
                    <w:rPr>
                      <w:bCs/>
                      <w:kern w:val="0"/>
                      <w:sz w:val="18"/>
                      <w:szCs w:val="18"/>
                    </w:rPr>
                  </w:pPr>
                  <w:r>
                    <w:rPr>
                      <w:bCs/>
                      <w:kern w:val="0"/>
                      <w:sz w:val="18"/>
                      <w:szCs w:val="18"/>
                    </w:rPr>
                    <w:t xml:space="preserve">282.216 </w:t>
                  </w:r>
                </w:p>
              </w:tc>
              <w:tc>
                <w:tcPr>
                  <w:tcW w:w="1919" w:type="dxa"/>
                  <w:tcBorders>
                    <w:tl2br w:val="nil"/>
                    <w:tr2bl w:val="nil"/>
                  </w:tcBorders>
                  <w:vAlign w:val="center"/>
                </w:tcPr>
                <w:p w14:paraId="2AD42D8E">
                  <w:pPr>
                    <w:adjustRightInd w:val="0"/>
                    <w:snapToGrid w:val="0"/>
                    <w:jc w:val="center"/>
                    <w:rPr>
                      <w:bCs/>
                      <w:kern w:val="0"/>
                      <w:sz w:val="18"/>
                      <w:szCs w:val="18"/>
                    </w:rPr>
                  </w:pPr>
                  <w:r>
                    <w:rPr>
                      <w:bCs/>
                      <w:kern w:val="0"/>
                      <w:sz w:val="18"/>
                      <w:szCs w:val="18"/>
                    </w:rPr>
                    <w:t xml:space="preserve">1.81 </w:t>
                  </w:r>
                </w:p>
              </w:tc>
            </w:tr>
            <w:tr w14:paraId="3D7915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31C8DDE2">
                  <w:pPr>
                    <w:adjustRightInd w:val="0"/>
                    <w:snapToGrid w:val="0"/>
                    <w:jc w:val="center"/>
                    <w:rPr>
                      <w:bCs/>
                      <w:kern w:val="0"/>
                      <w:sz w:val="18"/>
                      <w:szCs w:val="18"/>
                    </w:rPr>
                  </w:pPr>
                </w:p>
              </w:tc>
              <w:tc>
                <w:tcPr>
                  <w:tcW w:w="252" w:type="pct"/>
                  <w:vMerge w:val="continue"/>
                  <w:tcBorders>
                    <w:tl2br w:val="nil"/>
                    <w:tr2bl w:val="nil"/>
                  </w:tcBorders>
                  <w:vAlign w:val="center"/>
                </w:tcPr>
                <w:p w14:paraId="04B88763">
                  <w:pPr>
                    <w:adjustRightInd w:val="0"/>
                    <w:snapToGrid w:val="0"/>
                    <w:jc w:val="center"/>
                    <w:rPr>
                      <w:bCs/>
                      <w:kern w:val="0"/>
                      <w:sz w:val="18"/>
                      <w:szCs w:val="18"/>
                    </w:rPr>
                  </w:pPr>
                </w:p>
              </w:tc>
              <w:tc>
                <w:tcPr>
                  <w:tcW w:w="405" w:type="pct"/>
                  <w:vMerge w:val="continue"/>
                  <w:tcBorders>
                    <w:tl2br w:val="nil"/>
                    <w:tr2bl w:val="nil"/>
                  </w:tcBorders>
                  <w:vAlign w:val="center"/>
                </w:tcPr>
                <w:p w14:paraId="34C266F9">
                  <w:pPr>
                    <w:adjustRightInd w:val="0"/>
                    <w:snapToGrid w:val="0"/>
                    <w:jc w:val="center"/>
                    <w:rPr>
                      <w:bCs/>
                      <w:kern w:val="0"/>
                      <w:sz w:val="18"/>
                      <w:szCs w:val="18"/>
                    </w:rPr>
                  </w:pPr>
                </w:p>
              </w:tc>
              <w:tc>
                <w:tcPr>
                  <w:tcW w:w="339" w:type="pct"/>
                  <w:vMerge w:val="restart"/>
                  <w:tcBorders>
                    <w:tl2br w:val="nil"/>
                    <w:tr2bl w:val="nil"/>
                  </w:tcBorders>
                  <w:vAlign w:val="center"/>
                </w:tcPr>
                <w:p w14:paraId="4C95F588">
                  <w:pPr>
                    <w:adjustRightInd w:val="0"/>
                    <w:snapToGrid w:val="0"/>
                    <w:jc w:val="center"/>
                    <w:rPr>
                      <w:bCs/>
                      <w:kern w:val="0"/>
                      <w:sz w:val="18"/>
                      <w:szCs w:val="18"/>
                    </w:rPr>
                  </w:pPr>
                  <w:r>
                    <w:rPr>
                      <w:rFonts w:hint="eastAsia"/>
                      <w:bCs/>
                      <w:kern w:val="0"/>
                      <w:sz w:val="18"/>
                      <w:szCs w:val="18"/>
                    </w:rPr>
                    <w:t>远期(2035)</w:t>
                  </w:r>
                </w:p>
              </w:tc>
              <w:tc>
                <w:tcPr>
                  <w:tcW w:w="971" w:type="dxa"/>
                  <w:tcBorders>
                    <w:tl2br w:val="nil"/>
                    <w:tr2bl w:val="nil"/>
                  </w:tcBorders>
                  <w:vAlign w:val="center"/>
                </w:tcPr>
                <w:p w14:paraId="61B745CE">
                  <w:pPr>
                    <w:adjustRightInd w:val="0"/>
                    <w:snapToGrid w:val="0"/>
                    <w:jc w:val="center"/>
                    <w:rPr>
                      <w:bCs/>
                      <w:kern w:val="0"/>
                      <w:sz w:val="18"/>
                      <w:szCs w:val="18"/>
                    </w:rPr>
                  </w:pPr>
                  <w:r>
                    <w:rPr>
                      <w:rFonts w:hint="eastAsia"/>
                      <w:bCs/>
                      <w:kern w:val="0"/>
                      <w:sz w:val="18"/>
                      <w:szCs w:val="18"/>
                    </w:rPr>
                    <w:t>工业源</w:t>
                  </w:r>
                </w:p>
              </w:tc>
              <w:tc>
                <w:tcPr>
                  <w:tcW w:w="1267" w:type="dxa"/>
                  <w:tcBorders>
                    <w:tl2br w:val="nil"/>
                    <w:tr2bl w:val="nil"/>
                  </w:tcBorders>
                  <w:vAlign w:val="center"/>
                </w:tcPr>
                <w:p w14:paraId="7F72ED6F">
                  <w:pPr>
                    <w:adjustRightInd w:val="0"/>
                    <w:snapToGrid w:val="0"/>
                    <w:jc w:val="center"/>
                    <w:rPr>
                      <w:bCs/>
                      <w:kern w:val="0"/>
                      <w:sz w:val="18"/>
                      <w:szCs w:val="18"/>
                    </w:rPr>
                  </w:pPr>
                  <w:r>
                    <w:rPr>
                      <w:bCs/>
                      <w:kern w:val="0"/>
                      <w:sz w:val="18"/>
                      <w:szCs w:val="18"/>
                    </w:rPr>
                    <w:t xml:space="preserve">108.600 </w:t>
                  </w:r>
                </w:p>
              </w:tc>
              <w:tc>
                <w:tcPr>
                  <w:tcW w:w="1267" w:type="dxa"/>
                  <w:tcBorders>
                    <w:tl2br w:val="nil"/>
                    <w:tr2bl w:val="nil"/>
                  </w:tcBorders>
                  <w:vAlign w:val="center"/>
                </w:tcPr>
                <w:p w14:paraId="0741820B">
                  <w:pPr>
                    <w:adjustRightInd w:val="0"/>
                    <w:snapToGrid w:val="0"/>
                    <w:jc w:val="center"/>
                    <w:rPr>
                      <w:bCs/>
                      <w:kern w:val="0"/>
                      <w:sz w:val="18"/>
                      <w:szCs w:val="18"/>
                    </w:rPr>
                  </w:pPr>
                  <w:r>
                    <w:rPr>
                      <w:bCs/>
                      <w:kern w:val="0"/>
                      <w:sz w:val="18"/>
                      <w:szCs w:val="18"/>
                    </w:rPr>
                    <w:t xml:space="preserve">5.454 </w:t>
                  </w:r>
                </w:p>
              </w:tc>
              <w:tc>
                <w:tcPr>
                  <w:tcW w:w="1143" w:type="dxa"/>
                  <w:tcBorders>
                    <w:tl2br w:val="nil"/>
                    <w:tr2bl w:val="nil"/>
                  </w:tcBorders>
                  <w:vAlign w:val="center"/>
                </w:tcPr>
                <w:p w14:paraId="44EED396">
                  <w:pPr>
                    <w:adjustRightInd w:val="0"/>
                    <w:snapToGrid w:val="0"/>
                    <w:jc w:val="center"/>
                    <w:rPr>
                      <w:bCs/>
                      <w:kern w:val="0"/>
                      <w:sz w:val="18"/>
                      <w:szCs w:val="18"/>
                    </w:rPr>
                  </w:pPr>
                  <w:r>
                    <w:rPr>
                      <w:bCs/>
                      <w:kern w:val="0"/>
                      <w:sz w:val="18"/>
                      <w:szCs w:val="18"/>
                    </w:rPr>
                    <w:t xml:space="preserve">0.878 </w:t>
                  </w:r>
                </w:p>
              </w:tc>
              <w:tc>
                <w:tcPr>
                  <w:tcW w:w="985" w:type="dxa"/>
                  <w:tcBorders>
                    <w:tl2br w:val="nil"/>
                    <w:tr2bl w:val="nil"/>
                  </w:tcBorders>
                  <w:vAlign w:val="center"/>
                </w:tcPr>
                <w:p w14:paraId="3CB5B988">
                  <w:pPr>
                    <w:adjustRightInd w:val="0"/>
                    <w:snapToGrid w:val="0"/>
                    <w:jc w:val="center"/>
                    <w:rPr>
                      <w:bCs/>
                      <w:kern w:val="0"/>
                      <w:sz w:val="18"/>
                      <w:szCs w:val="18"/>
                    </w:rPr>
                  </w:pPr>
                  <w:r>
                    <w:rPr>
                      <w:bCs/>
                      <w:kern w:val="0"/>
                      <w:sz w:val="18"/>
                      <w:szCs w:val="18"/>
                    </w:rPr>
                    <w:t xml:space="preserve">14.378 </w:t>
                  </w:r>
                </w:p>
              </w:tc>
              <w:tc>
                <w:tcPr>
                  <w:tcW w:w="985" w:type="dxa"/>
                  <w:tcBorders>
                    <w:tl2br w:val="nil"/>
                    <w:tr2bl w:val="nil"/>
                  </w:tcBorders>
                  <w:vAlign w:val="center"/>
                </w:tcPr>
                <w:p w14:paraId="0DF400C9">
                  <w:pPr>
                    <w:adjustRightInd w:val="0"/>
                    <w:snapToGrid w:val="0"/>
                    <w:jc w:val="center"/>
                    <w:rPr>
                      <w:bCs/>
                      <w:kern w:val="0"/>
                      <w:sz w:val="18"/>
                      <w:szCs w:val="18"/>
                    </w:rPr>
                  </w:pPr>
                  <w:r>
                    <w:rPr>
                      <w:bCs/>
                      <w:kern w:val="0"/>
                      <w:sz w:val="18"/>
                      <w:szCs w:val="18"/>
                    </w:rPr>
                    <w:t xml:space="preserve">60.466 </w:t>
                  </w:r>
                </w:p>
              </w:tc>
              <w:tc>
                <w:tcPr>
                  <w:tcW w:w="985" w:type="dxa"/>
                  <w:tcBorders>
                    <w:tl2br w:val="nil"/>
                    <w:tr2bl w:val="nil"/>
                  </w:tcBorders>
                  <w:vAlign w:val="center"/>
                </w:tcPr>
                <w:p w14:paraId="378271E1">
                  <w:pPr>
                    <w:adjustRightInd w:val="0"/>
                    <w:snapToGrid w:val="0"/>
                    <w:jc w:val="center"/>
                    <w:rPr>
                      <w:bCs/>
                      <w:kern w:val="0"/>
                      <w:sz w:val="18"/>
                      <w:szCs w:val="18"/>
                    </w:rPr>
                  </w:pPr>
                  <w:r>
                    <w:rPr>
                      <w:bCs/>
                      <w:kern w:val="0"/>
                      <w:sz w:val="18"/>
                      <w:szCs w:val="18"/>
                    </w:rPr>
                    <w:t xml:space="preserve">125.331 </w:t>
                  </w:r>
                </w:p>
              </w:tc>
              <w:tc>
                <w:tcPr>
                  <w:tcW w:w="1140" w:type="dxa"/>
                  <w:tcBorders>
                    <w:tl2br w:val="nil"/>
                    <w:tr2bl w:val="nil"/>
                  </w:tcBorders>
                  <w:vAlign w:val="center"/>
                </w:tcPr>
                <w:p w14:paraId="21137732">
                  <w:pPr>
                    <w:adjustRightInd w:val="0"/>
                    <w:snapToGrid w:val="0"/>
                    <w:jc w:val="center"/>
                    <w:rPr>
                      <w:bCs/>
                      <w:kern w:val="0"/>
                      <w:sz w:val="18"/>
                      <w:szCs w:val="18"/>
                    </w:rPr>
                  </w:pPr>
                  <w:r>
                    <w:rPr>
                      <w:bCs/>
                      <w:kern w:val="0"/>
                      <w:sz w:val="18"/>
                      <w:szCs w:val="18"/>
                    </w:rPr>
                    <w:t xml:space="preserve">235.603 </w:t>
                  </w:r>
                </w:p>
              </w:tc>
              <w:tc>
                <w:tcPr>
                  <w:tcW w:w="1919" w:type="dxa"/>
                  <w:tcBorders>
                    <w:tl2br w:val="nil"/>
                    <w:tr2bl w:val="nil"/>
                  </w:tcBorders>
                  <w:vAlign w:val="center"/>
                </w:tcPr>
                <w:p w14:paraId="49715A22">
                  <w:pPr>
                    <w:adjustRightInd w:val="0"/>
                    <w:snapToGrid w:val="0"/>
                    <w:jc w:val="center"/>
                    <w:rPr>
                      <w:bCs/>
                      <w:kern w:val="0"/>
                      <w:sz w:val="18"/>
                      <w:szCs w:val="18"/>
                    </w:rPr>
                  </w:pPr>
                  <w:r>
                    <w:rPr>
                      <w:bCs/>
                      <w:kern w:val="0"/>
                      <w:sz w:val="18"/>
                      <w:szCs w:val="18"/>
                    </w:rPr>
                    <w:t xml:space="preserve">1.51 </w:t>
                  </w:r>
                </w:p>
              </w:tc>
            </w:tr>
            <w:tr w14:paraId="55AF5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6F0EE570">
                  <w:pPr>
                    <w:adjustRightInd w:val="0"/>
                    <w:snapToGrid w:val="0"/>
                    <w:jc w:val="center"/>
                    <w:rPr>
                      <w:bCs/>
                      <w:kern w:val="0"/>
                      <w:sz w:val="18"/>
                      <w:szCs w:val="18"/>
                    </w:rPr>
                  </w:pPr>
                </w:p>
              </w:tc>
              <w:tc>
                <w:tcPr>
                  <w:tcW w:w="252" w:type="pct"/>
                  <w:vMerge w:val="continue"/>
                  <w:tcBorders>
                    <w:tl2br w:val="nil"/>
                    <w:tr2bl w:val="nil"/>
                  </w:tcBorders>
                  <w:vAlign w:val="center"/>
                </w:tcPr>
                <w:p w14:paraId="5B45785C">
                  <w:pPr>
                    <w:adjustRightInd w:val="0"/>
                    <w:snapToGrid w:val="0"/>
                    <w:jc w:val="center"/>
                    <w:rPr>
                      <w:bCs/>
                      <w:kern w:val="0"/>
                      <w:sz w:val="18"/>
                      <w:szCs w:val="18"/>
                    </w:rPr>
                  </w:pPr>
                </w:p>
              </w:tc>
              <w:tc>
                <w:tcPr>
                  <w:tcW w:w="405" w:type="pct"/>
                  <w:vMerge w:val="continue"/>
                  <w:tcBorders>
                    <w:tl2br w:val="nil"/>
                    <w:tr2bl w:val="nil"/>
                  </w:tcBorders>
                  <w:vAlign w:val="center"/>
                </w:tcPr>
                <w:p w14:paraId="482A9E09">
                  <w:pPr>
                    <w:adjustRightInd w:val="0"/>
                    <w:snapToGrid w:val="0"/>
                    <w:jc w:val="center"/>
                    <w:rPr>
                      <w:bCs/>
                      <w:kern w:val="0"/>
                      <w:sz w:val="18"/>
                      <w:szCs w:val="18"/>
                    </w:rPr>
                  </w:pPr>
                </w:p>
              </w:tc>
              <w:tc>
                <w:tcPr>
                  <w:tcW w:w="339" w:type="pct"/>
                  <w:vMerge w:val="continue"/>
                  <w:tcBorders>
                    <w:tl2br w:val="nil"/>
                    <w:tr2bl w:val="nil"/>
                  </w:tcBorders>
                  <w:vAlign w:val="center"/>
                </w:tcPr>
                <w:p w14:paraId="63C08617">
                  <w:pPr>
                    <w:adjustRightInd w:val="0"/>
                    <w:snapToGrid w:val="0"/>
                    <w:jc w:val="center"/>
                    <w:rPr>
                      <w:bCs/>
                      <w:kern w:val="0"/>
                      <w:sz w:val="18"/>
                      <w:szCs w:val="18"/>
                    </w:rPr>
                  </w:pPr>
                </w:p>
              </w:tc>
              <w:tc>
                <w:tcPr>
                  <w:tcW w:w="971" w:type="dxa"/>
                  <w:tcBorders>
                    <w:tl2br w:val="nil"/>
                    <w:tr2bl w:val="nil"/>
                  </w:tcBorders>
                  <w:vAlign w:val="center"/>
                </w:tcPr>
                <w:p w14:paraId="409405A5">
                  <w:pPr>
                    <w:adjustRightInd w:val="0"/>
                    <w:snapToGrid w:val="0"/>
                    <w:jc w:val="center"/>
                    <w:rPr>
                      <w:bCs/>
                      <w:kern w:val="0"/>
                      <w:sz w:val="18"/>
                      <w:szCs w:val="18"/>
                    </w:rPr>
                  </w:pPr>
                  <w:r>
                    <w:rPr>
                      <w:rFonts w:hint="eastAsia"/>
                      <w:bCs/>
                      <w:kern w:val="0"/>
                      <w:sz w:val="18"/>
                      <w:szCs w:val="18"/>
                    </w:rPr>
                    <w:t>生活源</w:t>
                  </w:r>
                </w:p>
              </w:tc>
              <w:tc>
                <w:tcPr>
                  <w:tcW w:w="1267" w:type="dxa"/>
                  <w:tcBorders>
                    <w:tl2br w:val="nil"/>
                    <w:tr2bl w:val="nil"/>
                  </w:tcBorders>
                  <w:vAlign w:val="center"/>
                </w:tcPr>
                <w:p w14:paraId="355D3E99">
                  <w:pPr>
                    <w:adjustRightInd w:val="0"/>
                    <w:snapToGrid w:val="0"/>
                    <w:jc w:val="center"/>
                    <w:rPr>
                      <w:bCs/>
                      <w:kern w:val="0"/>
                      <w:sz w:val="18"/>
                      <w:szCs w:val="18"/>
                    </w:rPr>
                  </w:pPr>
                  <w:r>
                    <w:rPr>
                      <w:bCs/>
                      <w:kern w:val="0"/>
                      <w:sz w:val="18"/>
                      <w:szCs w:val="18"/>
                    </w:rPr>
                    <w:t xml:space="preserve">772.695 </w:t>
                  </w:r>
                </w:p>
              </w:tc>
              <w:tc>
                <w:tcPr>
                  <w:tcW w:w="1267" w:type="dxa"/>
                  <w:tcBorders>
                    <w:tl2br w:val="nil"/>
                    <w:tr2bl w:val="nil"/>
                  </w:tcBorders>
                  <w:vAlign w:val="center"/>
                </w:tcPr>
                <w:p w14:paraId="4C667405">
                  <w:pPr>
                    <w:adjustRightInd w:val="0"/>
                    <w:snapToGrid w:val="0"/>
                    <w:jc w:val="center"/>
                    <w:rPr>
                      <w:bCs/>
                      <w:kern w:val="0"/>
                      <w:sz w:val="18"/>
                      <w:szCs w:val="18"/>
                    </w:rPr>
                  </w:pPr>
                  <w:r>
                    <w:rPr>
                      <w:bCs/>
                      <w:kern w:val="0"/>
                      <w:sz w:val="18"/>
                      <w:szCs w:val="18"/>
                    </w:rPr>
                    <w:t xml:space="preserve">33.177 </w:t>
                  </w:r>
                </w:p>
              </w:tc>
              <w:tc>
                <w:tcPr>
                  <w:tcW w:w="1143" w:type="dxa"/>
                  <w:tcBorders>
                    <w:tl2br w:val="nil"/>
                    <w:tr2bl w:val="nil"/>
                  </w:tcBorders>
                  <w:vAlign w:val="center"/>
                </w:tcPr>
                <w:p w14:paraId="2851CB9C">
                  <w:pPr>
                    <w:adjustRightInd w:val="0"/>
                    <w:snapToGrid w:val="0"/>
                    <w:jc w:val="center"/>
                    <w:rPr>
                      <w:bCs/>
                      <w:kern w:val="0"/>
                      <w:sz w:val="18"/>
                      <w:szCs w:val="18"/>
                    </w:rPr>
                  </w:pPr>
                  <w:r>
                    <w:rPr>
                      <w:bCs/>
                      <w:kern w:val="0"/>
                      <w:sz w:val="18"/>
                      <w:szCs w:val="18"/>
                    </w:rPr>
                    <w:t xml:space="preserve">5.687 </w:t>
                  </w:r>
                </w:p>
              </w:tc>
              <w:tc>
                <w:tcPr>
                  <w:tcW w:w="985" w:type="dxa"/>
                  <w:tcBorders>
                    <w:tl2br w:val="nil"/>
                    <w:tr2bl w:val="nil"/>
                  </w:tcBorders>
                  <w:vAlign w:val="center"/>
                </w:tcPr>
                <w:p w14:paraId="6EAF7D23">
                  <w:pPr>
                    <w:adjustRightInd w:val="0"/>
                    <w:snapToGrid w:val="0"/>
                    <w:jc w:val="center"/>
                    <w:rPr>
                      <w:bCs/>
                      <w:kern w:val="0"/>
                      <w:sz w:val="18"/>
                      <w:szCs w:val="18"/>
                    </w:rPr>
                  </w:pPr>
                  <w:r>
                    <w:rPr>
                      <w:bCs/>
                      <w:kern w:val="0"/>
                      <w:sz w:val="18"/>
                      <w:szCs w:val="18"/>
                    </w:rPr>
                    <w:t xml:space="preserve">0.011 </w:t>
                  </w:r>
                </w:p>
              </w:tc>
              <w:tc>
                <w:tcPr>
                  <w:tcW w:w="985" w:type="dxa"/>
                  <w:tcBorders>
                    <w:tl2br w:val="nil"/>
                    <w:tr2bl w:val="nil"/>
                  </w:tcBorders>
                  <w:vAlign w:val="center"/>
                </w:tcPr>
                <w:p w14:paraId="74E59208">
                  <w:pPr>
                    <w:adjustRightInd w:val="0"/>
                    <w:snapToGrid w:val="0"/>
                    <w:jc w:val="center"/>
                    <w:rPr>
                      <w:bCs/>
                      <w:kern w:val="0"/>
                      <w:sz w:val="18"/>
                      <w:szCs w:val="18"/>
                    </w:rPr>
                  </w:pPr>
                  <w:r>
                    <w:rPr>
                      <w:bCs/>
                      <w:kern w:val="0"/>
                      <w:sz w:val="18"/>
                      <w:szCs w:val="18"/>
                    </w:rPr>
                    <w:t xml:space="preserve">24.342 </w:t>
                  </w:r>
                </w:p>
              </w:tc>
              <w:tc>
                <w:tcPr>
                  <w:tcW w:w="985" w:type="dxa"/>
                  <w:tcBorders>
                    <w:tl2br w:val="nil"/>
                    <w:tr2bl w:val="nil"/>
                  </w:tcBorders>
                  <w:vAlign w:val="center"/>
                </w:tcPr>
                <w:p w14:paraId="7B4CED63">
                  <w:pPr>
                    <w:adjustRightInd w:val="0"/>
                    <w:snapToGrid w:val="0"/>
                    <w:jc w:val="center"/>
                    <w:rPr>
                      <w:bCs/>
                      <w:kern w:val="0"/>
                      <w:sz w:val="18"/>
                      <w:szCs w:val="18"/>
                    </w:rPr>
                  </w:pPr>
                  <w:r>
                    <w:rPr>
                      <w:bCs/>
                      <w:kern w:val="0"/>
                      <w:sz w:val="18"/>
                      <w:szCs w:val="18"/>
                    </w:rPr>
                    <w:t xml:space="preserve">2.231 </w:t>
                  </w:r>
                </w:p>
              </w:tc>
              <w:tc>
                <w:tcPr>
                  <w:tcW w:w="1140" w:type="dxa"/>
                  <w:tcBorders>
                    <w:tl2br w:val="nil"/>
                    <w:tr2bl w:val="nil"/>
                  </w:tcBorders>
                  <w:vAlign w:val="center"/>
                </w:tcPr>
                <w:p w14:paraId="4E2CF77B">
                  <w:pPr>
                    <w:adjustRightInd w:val="0"/>
                    <w:snapToGrid w:val="0"/>
                    <w:jc w:val="center"/>
                    <w:rPr>
                      <w:bCs/>
                      <w:kern w:val="0"/>
                      <w:sz w:val="18"/>
                      <w:szCs w:val="18"/>
                    </w:rPr>
                  </w:pPr>
                </w:p>
              </w:tc>
              <w:tc>
                <w:tcPr>
                  <w:tcW w:w="1919" w:type="dxa"/>
                  <w:tcBorders>
                    <w:tl2br w:val="nil"/>
                    <w:tr2bl w:val="nil"/>
                  </w:tcBorders>
                  <w:vAlign w:val="center"/>
                </w:tcPr>
                <w:p w14:paraId="20C4806E">
                  <w:pPr>
                    <w:adjustRightInd w:val="0"/>
                    <w:snapToGrid w:val="0"/>
                    <w:jc w:val="center"/>
                    <w:rPr>
                      <w:bCs/>
                      <w:kern w:val="0"/>
                      <w:sz w:val="18"/>
                      <w:szCs w:val="18"/>
                    </w:rPr>
                  </w:pPr>
                </w:p>
              </w:tc>
            </w:tr>
            <w:tr w14:paraId="6EDE4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4521D0F9">
                  <w:pPr>
                    <w:adjustRightInd w:val="0"/>
                    <w:snapToGrid w:val="0"/>
                    <w:jc w:val="center"/>
                    <w:rPr>
                      <w:bCs/>
                      <w:kern w:val="0"/>
                      <w:sz w:val="18"/>
                      <w:szCs w:val="18"/>
                    </w:rPr>
                  </w:pPr>
                </w:p>
              </w:tc>
              <w:tc>
                <w:tcPr>
                  <w:tcW w:w="252" w:type="pct"/>
                  <w:vMerge w:val="continue"/>
                  <w:tcBorders>
                    <w:tl2br w:val="nil"/>
                    <w:tr2bl w:val="nil"/>
                  </w:tcBorders>
                  <w:vAlign w:val="center"/>
                </w:tcPr>
                <w:p w14:paraId="3A553C6C">
                  <w:pPr>
                    <w:adjustRightInd w:val="0"/>
                    <w:snapToGrid w:val="0"/>
                    <w:jc w:val="center"/>
                    <w:rPr>
                      <w:bCs/>
                      <w:kern w:val="0"/>
                      <w:sz w:val="18"/>
                      <w:szCs w:val="18"/>
                    </w:rPr>
                  </w:pPr>
                </w:p>
              </w:tc>
              <w:tc>
                <w:tcPr>
                  <w:tcW w:w="405" w:type="pct"/>
                  <w:vMerge w:val="continue"/>
                  <w:tcBorders>
                    <w:tl2br w:val="nil"/>
                    <w:tr2bl w:val="nil"/>
                  </w:tcBorders>
                  <w:vAlign w:val="center"/>
                </w:tcPr>
                <w:p w14:paraId="10F19C42">
                  <w:pPr>
                    <w:adjustRightInd w:val="0"/>
                    <w:snapToGrid w:val="0"/>
                    <w:jc w:val="center"/>
                    <w:rPr>
                      <w:bCs/>
                      <w:kern w:val="0"/>
                      <w:sz w:val="18"/>
                      <w:szCs w:val="18"/>
                    </w:rPr>
                  </w:pPr>
                </w:p>
              </w:tc>
              <w:tc>
                <w:tcPr>
                  <w:tcW w:w="339" w:type="pct"/>
                  <w:vMerge w:val="continue"/>
                  <w:tcBorders>
                    <w:tl2br w:val="nil"/>
                    <w:tr2bl w:val="nil"/>
                  </w:tcBorders>
                  <w:vAlign w:val="center"/>
                </w:tcPr>
                <w:p w14:paraId="386BAA5B">
                  <w:pPr>
                    <w:adjustRightInd w:val="0"/>
                    <w:snapToGrid w:val="0"/>
                    <w:jc w:val="center"/>
                    <w:rPr>
                      <w:bCs/>
                      <w:kern w:val="0"/>
                      <w:sz w:val="18"/>
                      <w:szCs w:val="18"/>
                    </w:rPr>
                  </w:pPr>
                </w:p>
              </w:tc>
              <w:tc>
                <w:tcPr>
                  <w:tcW w:w="971" w:type="dxa"/>
                  <w:tcBorders>
                    <w:tl2br w:val="nil"/>
                    <w:tr2bl w:val="nil"/>
                  </w:tcBorders>
                  <w:vAlign w:val="center"/>
                </w:tcPr>
                <w:p w14:paraId="7417B63D">
                  <w:pPr>
                    <w:adjustRightInd w:val="0"/>
                    <w:snapToGrid w:val="0"/>
                    <w:jc w:val="center"/>
                    <w:rPr>
                      <w:bCs/>
                      <w:kern w:val="0"/>
                      <w:sz w:val="18"/>
                      <w:szCs w:val="18"/>
                    </w:rPr>
                  </w:pPr>
                  <w:r>
                    <w:rPr>
                      <w:rFonts w:hint="eastAsia"/>
                      <w:bCs/>
                      <w:kern w:val="0"/>
                      <w:sz w:val="18"/>
                      <w:szCs w:val="18"/>
                    </w:rPr>
                    <w:t>合计</w:t>
                  </w:r>
                </w:p>
              </w:tc>
              <w:tc>
                <w:tcPr>
                  <w:tcW w:w="1267" w:type="dxa"/>
                  <w:tcBorders>
                    <w:tl2br w:val="nil"/>
                    <w:tr2bl w:val="nil"/>
                  </w:tcBorders>
                  <w:vAlign w:val="center"/>
                </w:tcPr>
                <w:p w14:paraId="7426CC20">
                  <w:pPr>
                    <w:adjustRightInd w:val="0"/>
                    <w:snapToGrid w:val="0"/>
                    <w:jc w:val="center"/>
                    <w:rPr>
                      <w:bCs/>
                      <w:kern w:val="0"/>
                      <w:sz w:val="18"/>
                      <w:szCs w:val="18"/>
                    </w:rPr>
                  </w:pPr>
                  <w:r>
                    <w:rPr>
                      <w:bCs/>
                      <w:kern w:val="0"/>
                      <w:sz w:val="18"/>
                      <w:szCs w:val="18"/>
                    </w:rPr>
                    <w:t xml:space="preserve">881.295 </w:t>
                  </w:r>
                </w:p>
              </w:tc>
              <w:tc>
                <w:tcPr>
                  <w:tcW w:w="1267" w:type="dxa"/>
                  <w:tcBorders>
                    <w:tl2br w:val="nil"/>
                    <w:tr2bl w:val="nil"/>
                  </w:tcBorders>
                  <w:vAlign w:val="center"/>
                </w:tcPr>
                <w:p w14:paraId="70078453">
                  <w:pPr>
                    <w:adjustRightInd w:val="0"/>
                    <w:snapToGrid w:val="0"/>
                    <w:jc w:val="center"/>
                    <w:rPr>
                      <w:bCs/>
                      <w:kern w:val="0"/>
                      <w:sz w:val="18"/>
                      <w:szCs w:val="18"/>
                    </w:rPr>
                  </w:pPr>
                  <w:r>
                    <w:rPr>
                      <w:bCs/>
                      <w:kern w:val="0"/>
                      <w:sz w:val="18"/>
                      <w:szCs w:val="18"/>
                    </w:rPr>
                    <w:t xml:space="preserve">38.631 </w:t>
                  </w:r>
                </w:p>
              </w:tc>
              <w:tc>
                <w:tcPr>
                  <w:tcW w:w="1143" w:type="dxa"/>
                  <w:tcBorders>
                    <w:tl2br w:val="nil"/>
                    <w:tr2bl w:val="nil"/>
                  </w:tcBorders>
                  <w:vAlign w:val="center"/>
                </w:tcPr>
                <w:p w14:paraId="59EB88E3">
                  <w:pPr>
                    <w:adjustRightInd w:val="0"/>
                    <w:snapToGrid w:val="0"/>
                    <w:jc w:val="center"/>
                    <w:rPr>
                      <w:bCs/>
                      <w:kern w:val="0"/>
                      <w:sz w:val="18"/>
                      <w:szCs w:val="18"/>
                    </w:rPr>
                  </w:pPr>
                  <w:r>
                    <w:rPr>
                      <w:bCs/>
                      <w:kern w:val="0"/>
                      <w:sz w:val="18"/>
                      <w:szCs w:val="18"/>
                    </w:rPr>
                    <w:t xml:space="preserve">6.565 </w:t>
                  </w:r>
                </w:p>
              </w:tc>
              <w:tc>
                <w:tcPr>
                  <w:tcW w:w="985" w:type="dxa"/>
                  <w:tcBorders>
                    <w:tl2br w:val="nil"/>
                    <w:tr2bl w:val="nil"/>
                  </w:tcBorders>
                  <w:vAlign w:val="center"/>
                </w:tcPr>
                <w:p w14:paraId="1DD29A09">
                  <w:pPr>
                    <w:adjustRightInd w:val="0"/>
                    <w:snapToGrid w:val="0"/>
                    <w:jc w:val="center"/>
                    <w:rPr>
                      <w:bCs/>
                      <w:kern w:val="0"/>
                      <w:sz w:val="18"/>
                      <w:szCs w:val="18"/>
                    </w:rPr>
                  </w:pPr>
                  <w:r>
                    <w:rPr>
                      <w:bCs/>
                      <w:kern w:val="0"/>
                      <w:sz w:val="18"/>
                      <w:szCs w:val="18"/>
                    </w:rPr>
                    <w:t xml:space="preserve">14.389 </w:t>
                  </w:r>
                </w:p>
              </w:tc>
              <w:tc>
                <w:tcPr>
                  <w:tcW w:w="985" w:type="dxa"/>
                  <w:tcBorders>
                    <w:tl2br w:val="nil"/>
                    <w:tr2bl w:val="nil"/>
                  </w:tcBorders>
                  <w:vAlign w:val="center"/>
                </w:tcPr>
                <w:p w14:paraId="3A3DFAD8">
                  <w:pPr>
                    <w:adjustRightInd w:val="0"/>
                    <w:snapToGrid w:val="0"/>
                    <w:jc w:val="center"/>
                    <w:rPr>
                      <w:bCs/>
                      <w:kern w:val="0"/>
                      <w:sz w:val="18"/>
                      <w:szCs w:val="18"/>
                    </w:rPr>
                  </w:pPr>
                  <w:r>
                    <w:rPr>
                      <w:bCs/>
                      <w:kern w:val="0"/>
                      <w:sz w:val="18"/>
                      <w:szCs w:val="18"/>
                    </w:rPr>
                    <w:t xml:space="preserve">84.808 </w:t>
                  </w:r>
                </w:p>
              </w:tc>
              <w:tc>
                <w:tcPr>
                  <w:tcW w:w="985" w:type="dxa"/>
                  <w:tcBorders>
                    <w:tl2br w:val="nil"/>
                    <w:tr2bl w:val="nil"/>
                  </w:tcBorders>
                  <w:vAlign w:val="center"/>
                </w:tcPr>
                <w:p w14:paraId="354B95D0">
                  <w:pPr>
                    <w:adjustRightInd w:val="0"/>
                    <w:snapToGrid w:val="0"/>
                    <w:jc w:val="center"/>
                    <w:rPr>
                      <w:bCs/>
                      <w:kern w:val="0"/>
                      <w:sz w:val="18"/>
                      <w:szCs w:val="18"/>
                    </w:rPr>
                  </w:pPr>
                  <w:r>
                    <w:rPr>
                      <w:bCs/>
                      <w:kern w:val="0"/>
                      <w:sz w:val="18"/>
                      <w:szCs w:val="18"/>
                    </w:rPr>
                    <w:t xml:space="preserve">127.562 </w:t>
                  </w:r>
                </w:p>
              </w:tc>
              <w:tc>
                <w:tcPr>
                  <w:tcW w:w="1140" w:type="dxa"/>
                  <w:tcBorders>
                    <w:tl2br w:val="nil"/>
                    <w:tr2bl w:val="nil"/>
                  </w:tcBorders>
                  <w:vAlign w:val="center"/>
                </w:tcPr>
                <w:p w14:paraId="1009F2B6">
                  <w:pPr>
                    <w:adjustRightInd w:val="0"/>
                    <w:snapToGrid w:val="0"/>
                    <w:jc w:val="center"/>
                    <w:rPr>
                      <w:bCs/>
                      <w:kern w:val="0"/>
                      <w:sz w:val="18"/>
                      <w:szCs w:val="18"/>
                    </w:rPr>
                  </w:pPr>
                  <w:r>
                    <w:rPr>
                      <w:bCs/>
                      <w:kern w:val="0"/>
                      <w:sz w:val="18"/>
                      <w:szCs w:val="18"/>
                    </w:rPr>
                    <w:t xml:space="preserve">235.603 </w:t>
                  </w:r>
                </w:p>
              </w:tc>
              <w:tc>
                <w:tcPr>
                  <w:tcW w:w="1919" w:type="dxa"/>
                  <w:tcBorders>
                    <w:tl2br w:val="nil"/>
                    <w:tr2bl w:val="nil"/>
                  </w:tcBorders>
                  <w:vAlign w:val="center"/>
                </w:tcPr>
                <w:p w14:paraId="161439C2">
                  <w:pPr>
                    <w:adjustRightInd w:val="0"/>
                    <w:snapToGrid w:val="0"/>
                    <w:jc w:val="center"/>
                    <w:rPr>
                      <w:bCs/>
                      <w:kern w:val="0"/>
                      <w:sz w:val="18"/>
                      <w:szCs w:val="18"/>
                    </w:rPr>
                  </w:pPr>
                  <w:r>
                    <w:rPr>
                      <w:bCs/>
                      <w:kern w:val="0"/>
                      <w:sz w:val="18"/>
                      <w:szCs w:val="18"/>
                    </w:rPr>
                    <w:t xml:space="preserve">1.51 </w:t>
                  </w:r>
                </w:p>
              </w:tc>
            </w:tr>
            <w:tr w14:paraId="2159F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 w:type="pct"/>
                  <w:vMerge w:val="continue"/>
                  <w:tcBorders>
                    <w:tl2br w:val="nil"/>
                    <w:tr2bl w:val="nil"/>
                  </w:tcBorders>
                  <w:vAlign w:val="center"/>
                </w:tcPr>
                <w:p w14:paraId="3ABC46FE">
                  <w:pPr>
                    <w:adjustRightInd w:val="0"/>
                    <w:snapToGrid w:val="0"/>
                    <w:jc w:val="center"/>
                    <w:rPr>
                      <w:bCs/>
                      <w:sz w:val="18"/>
                      <w:szCs w:val="18"/>
                    </w:rPr>
                  </w:pPr>
                </w:p>
              </w:tc>
              <w:tc>
                <w:tcPr>
                  <w:tcW w:w="252" w:type="pct"/>
                  <w:vMerge w:val="continue"/>
                  <w:tcBorders>
                    <w:tl2br w:val="nil"/>
                    <w:tr2bl w:val="nil"/>
                  </w:tcBorders>
                  <w:vAlign w:val="center"/>
                </w:tcPr>
                <w:p w14:paraId="523E7BFF">
                  <w:pPr>
                    <w:adjustRightInd w:val="0"/>
                    <w:snapToGrid w:val="0"/>
                    <w:jc w:val="center"/>
                    <w:rPr>
                      <w:bCs/>
                      <w:sz w:val="18"/>
                      <w:szCs w:val="18"/>
                    </w:rPr>
                  </w:pPr>
                </w:p>
              </w:tc>
              <w:tc>
                <w:tcPr>
                  <w:tcW w:w="405" w:type="pct"/>
                  <w:tcBorders>
                    <w:tl2br w:val="nil"/>
                    <w:tr2bl w:val="nil"/>
                  </w:tcBorders>
                  <w:vAlign w:val="center"/>
                </w:tcPr>
                <w:p w14:paraId="15D59EC6">
                  <w:pPr>
                    <w:adjustRightInd w:val="0"/>
                    <w:snapToGrid w:val="0"/>
                    <w:jc w:val="center"/>
                    <w:rPr>
                      <w:bCs/>
                      <w:kern w:val="0"/>
                      <w:sz w:val="18"/>
                      <w:szCs w:val="18"/>
                    </w:rPr>
                  </w:pPr>
                  <w:r>
                    <w:rPr>
                      <w:rFonts w:hint="eastAsia"/>
                      <w:bCs/>
                      <w:kern w:val="0"/>
                      <w:sz w:val="18"/>
                      <w:szCs w:val="18"/>
                    </w:rPr>
                    <w:t>大气环境质量标准</w:t>
                  </w:r>
                </w:p>
              </w:tc>
              <w:tc>
                <w:tcPr>
                  <w:tcW w:w="4117" w:type="pct"/>
                  <w:gridSpan w:val="10"/>
                  <w:tcBorders>
                    <w:tl2br w:val="nil"/>
                    <w:tr2bl w:val="nil"/>
                  </w:tcBorders>
                  <w:vAlign w:val="center"/>
                </w:tcPr>
                <w:p w14:paraId="581603BD">
                  <w:pPr>
                    <w:adjustRightInd w:val="0"/>
                    <w:snapToGrid w:val="0"/>
                    <w:rPr>
                      <w:bCs/>
                      <w:sz w:val="18"/>
                      <w:szCs w:val="18"/>
                    </w:rPr>
                  </w:pPr>
                  <w:r>
                    <w:rPr>
                      <w:rFonts w:hint="eastAsia"/>
                      <w:bCs/>
                      <w:kern w:val="0"/>
                      <w:sz w:val="18"/>
                      <w:szCs w:val="18"/>
                    </w:rPr>
                    <w:t>环境空气中基本污染物执行《环境空气质量标准》(GB3095-</w:t>
                  </w:r>
                  <w:r>
                    <w:rPr>
                      <w:rFonts w:hint="eastAsia"/>
                      <w:bCs/>
                      <w:kern w:val="0"/>
                      <w:sz w:val="18"/>
                      <w:szCs w:val="18"/>
                      <w:lang w:val="en-US" w:eastAsia="zh-CN"/>
                    </w:rPr>
                    <w:t>2026</w:t>
                  </w:r>
                  <w:r>
                    <w:rPr>
                      <w:bCs/>
                      <w:kern w:val="0"/>
                      <w:sz w:val="18"/>
                      <w:szCs w:val="18"/>
                    </w:rPr>
                    <w:t>)</w:t>
                  </w:r>
                  <w:r>
                    <w:rPr>
                      <w:rFonts w:hint="eastAsia"/>
                      <w:bCs/>
                      <w:kern w:val="0"/>
                      <w:sz w:val="18"/>
                      <w:szCs w:val="18"/>
                    </w:rPr>
                    <w:t>中的</w:t>
                  </w:r>
                  <w:r>
                    <w:rPr>
                      <w:rFonts w:hint="eastAsia"/>
                      <w:bCs/>
                      <w:kern w:val="0"/>
                      <w:sz w:val="18"/>
                      <w:szCs w:val="18"/>
                      <w:lang w:val="en-US" w:eastAsia="zh-CN"/>
                    </w:rPr>
                    <w:t>过渡阶段</w:t>
                  </w:r>
                  <w:r>
                    <w:rPr>
                      <w:rFonts w:hint="eastAsia"/>
                      <w:bCs/>
                      <w:kern w:val="0"/>
                      <w:sz w:val="18"/>
                      <w:szCs w:val="18"/>
                    </w:rPr>
                    <w:t>二级标准；GB3095-2012中无规定的特殊因子参照执行《环境影响评价技术导则大气环境》(HJ2.2-2018)中附录D其他污染物空气质量浓度参考限值；非甲烷总烃参照执行《大气污染物综合排放标准详解》中的推荐值，乙酸乙酯按《大气污染物综合排放标准详解》中有关公式计算。</w:t>
                  </w:r>
                </w:p>
              </w:tc>
            </w:tr>
            <w:tr w14:paraId="41E9E7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3CDBA70B">
                  <w:pPr>
                    <w:adjustRightInd w:val="0"/>
                    <w:snapToGrid w:val="0"/>
                    <w:jc w:val="center"/>
                    <w:rPr>
                      <w:bCs/>
                      <w:sz w:val="18"/>
                      <w:szCs w:val="18"/>
                    </w:rPr>
                  </w:pPr>
                </w:p>
              </w:tc>
              <w:tc>
                <w:tcPr>
                  <w:tcW w:w="252" w:type="pct"/>
                  <w:vMerge w:val="continue"/>
                  <w:tcBorders>
                    <w:tl2br w:val="nil"/>
                    <w:tr2bl w:val="nil"/>
                  </w:tcBorders>
                  <w:vAlign w:val="center"/>
                </w:tcPr>
                <w:p w14:paraId="148B37EA">
                  <w:pPr>
                    <w:adjustRightInd w:val="0"/>
                    <w:snapToGrid w:val="0"/>
                    <w:jc w:val="center"/>
                    <w:rPr>
                      <w:bCs/>
                      <w:sz w:val="18"/>
                      <w:szCs w:val="18"/>
                    </w:rPr>
                  </w:pPr>
                </w:p>
              </w:tc>
              <w:tc>
                <w:tcPr>
                  <w:tcW w:w="405" w:type="pct"/>
                  <w:tcBorders>
                    <w:tl2br w:val="nil"/>
                    <w:tr2bl w:val="nil"/>
                  </w:tcBorders>
                  <w:vAlign w:val="center"/>
                </w:tcPr>
                <w:p w14:paraId="772513D8">
                  <w:pPr>
                    <w:adjustRightInd w:val="0"/>
                    <w:snapToGrid w:val="0"/>
                    <w:jc w:val="center"/>
                    <w:rPr>
                      <w:bCs/>
                      <w:kern w:val="0"/>
                      <w:sz w:val="18"/>
                      <w:szCs w:val="18"/>
                    </w:rPr>
                  </w:pPr>
                  <w:r>
                    <w:rPr>
                      <w:rFonts w:hint="eastAsia"/>
                      <w:bCs/>
                      <w:kern w:val="0"/>
                      <w:sz w:val="18"/>
                      <w:szCs w:val="18"/>
                    </w:rPr>
                    <w:t>水环境质量标准</w:t>
                  </w:r>
                </w:p>
              </w:tc>
              <w:tc>
                <w:tcPr>
                  <w:tcW w:w="4117" w:type="pct"/>
                  <w:gridSpan w:val="10"/>
                  <w:tcBorders>
                    <w:tl2br w:val="nil"/>
                    <w:tr2bl w:val="nil"/>
                  </w:tcBorders>
                  <w:vAlign w:val="center"/>
                </w:tcPr>
                <w:p w14:paraId="12B9A2FF">
                  <w:pPr>
                    <w:adjustRightInd w:val="0"/>
                    <w:snapToGrid w:val="0"/>
                    <w:rPr>
                      <w:bCs/>
                      <w:kern w:val="0"/>
                      <w:sz w:val="18"/>
                      <w:szCs w:val="18"/>
                    </w:rPr>
                  </w:pPr>
                  <w:r>
                    <w:rPr>
                      <w:rFonts w:hint="eastAsia"/>
                      <w:bCs/>
                      <w:kern w:val="0"/>
                      <w:sz w:val="18"/>
                      <w:szCs w:val="18"/>
                    </w:rPr>
                    <w:t>地表水环境按照功能区划要求相应执行《地表水环境质量标准》(GB3838-2002)中Ⅱ类、Ⅲ类水质标准；地下水参照执行《地下水质量标准》(GB/T14848-2017)中Ⅲ类标准。</w:t>
                  </w:r>
                </w:p>
              </w:tc>
            </w:tr>
            <w:tr w14:paraId="2BD7B3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0D79BD6C">
                  <w:pPr>
                    <w:adjustRightInd w:val="0"/>
                    <w:snapToGrid w:val="0"/>
                    <w:jc w:val="center"/>
                    <w:rPr>
                      <w:bCs/>
                      <w:sz w:val="18"/>
                      <w:szCs w:val="18"/>
                    </w:rPr>
                  </w:pPr>
                </w:p>
              </w:tc>
              <w:tc>
                <w:tcPr>
                  <w:tcW w:w="252" w:type="pct"/>
                  <w:vMerge w:val="continue"/>
                  <w:tcBorders>
                    <w:tl2br w:val="nil"/>
                    <w:tr2bl w:val="nil"/>
                  </w:tcBorders>
                  <w:vAlign w:val="center"/>
                </w:tcPr>
                <w:p w14:paraId="0CE33537">
                  <w:pPr>
                    <w:adjustRightInd w:val="0"/>
                    <w:snapToGrid w:val="0"/>
                    <w:jc w:val="center"/>
                    <w:rPr>
                      <w:bCs/>
                      <w:sz w:val="18"/>
                      <w:szCs w:val="18"/>
                    </w:rPr>
                  </w:pPr>
                </w:p>
              </w:tc>
              <w:tc>
                <w:tcPr>
                  <w:tcW w:w="405" w:type="pct"/>
                  <w:tcBorders>
                    <w:tl2br w:val="nil"/>
                    <w:tr2bl w:val="nil"/>
                  </w:tcBorders>
                  <w:vAlign w:val="center"/>
                </w:tcPr>
                <w:p w14:paraId="5E509044">
                  <w:pPr>
                    <w:adjustRightInd w:val="0"/>
                    <w:snapToGrid w:val="0"/>
                    <w:jc w:val="center"/>
                    <w:rPr>
                      <w:bCs/>
                      <w:kern w:val="0"/>
                      <w:sz w:val="18"/>
                      <w:szCs w:val="18"/>
                    </w:rPr>
                  </w:pPr>
                  <w:r>
                    <w:rPr>
                      <w:rFonts w:hint="eastAsia"/>
                      <w:bCs/>
                      <w:kern w:val="0"/>
                      <w:sz w:val="18"/>
                      <w:szCs w:val="18"/>
                    </w:rPr>
                    <w:t>声环境质量标准</w:t>
                  </w:r>
                </w:p>
              </w:tc>
              <w:tc>
                <w:tcPr>
                  <w:tcW w:w="4117" w:type="pct"/>
                  <w:gridSpan w:val="10"/>
                  <w:tcBorders>
                    <w:tl2br w:val="nil"/>
                    <w:tr2bl w:val="nil"/>
                  </w:tcBorders>
                  <w:vAlign w:val="center"/>
                </w:tcPr>
                <w:p w14:paraId="36835D21">
                  <w:pPr>
                    <w:adjustRightInd w:val="0"/>
                    <w:snapToGrid w:val="0"/>
                    <w:rPr>
                      <w:bCs/>
                      <w:kern w:val="0"/>
                      <w:sz w:val="18"/>
                      <w:szCs w:val="18"/>
                    </w:rPr>
                  </w:pPr>
                  <w:r>
                    <w:rPr>
                      <w:rFonts w:hint="eastAsia"/>
                      <w:bCs/>
                      <w:kern w:val="0"/>
                      <w:sz w:val="18"/>
                      <w:szCs w:val="18"/>
                    </w:rPr>
                    <w:t>声环境按照功能区划要求相应执行《声环境质量标准》(GB3096-2008)中2类、3类、4a、4b类标准。</w:t>
                  </w:r>
                </w:p>
              </w:tc>
            </w:tr>
            <w:tr w14:paraId="3860A9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vMerge w:val="continue"/>
                  <w:tcBorders>
                    <w:tl2br w:val="nil"/>
                    <w:tr2bl w:val="nil"/>
                  </w:tcBorders>
                  <w:vAlign w:val="center"/>
                </w:tcPr>
                <w:p w14:paraId="0E90CF28">
                  <w:pPr>
                    <w:adjustRightInd w:val="0"/>
                    <w:snapToGrid w:val="0"/>
                    <w:jc w:val="center"/>
                    <w:rPr>
                      <w:bCs/>
                      <w:sz w:val="18"/>
                      <w:szCs w:val="18"/>
                    </w:rPr>
                  </w:pPr>
                </w:p>
              </w:tc>
              <w:tc>
                <w:tcPr>
                  <w:tcW w:w="252" w:type="pct"/>
                  <w:vMerge w:val="continue"/>
                  <w:tcBorders>
                    <w:tl2br w:val="nil"/>
                    <w:tr2bl w:val="nil"/>
                  </w:tcBorders>
                  <w:vAlign w:val="center"/>
                </w:tcPr>
                <w:p w14:paraId="1A7A2077">
                  <w:pPr>
                    <w:adjustRightInd w:val="0"/>
                    <w:snapToGrid w:val="0"/>
                    <w:jc w:val="center"/>
                    <w:rPr>
                      <w:bCs/>
                      <w:sz w:val="18"/>
                      <w:szCs w:val="18"/>
                    </w:rPr>
                  </w:pPr>
                </w:p>
              </w:tc>
              <w:tc>
                <w:tcPr>
                  <w:tcW w:w="405" w:type="pct"/>
                  <w:tcBorders>
                    <w:tl2br w:val="nil"/>
                    <w:tr2bl w:val="nil"/>
                  </w:tcBorders>
                  <w:vAlign w:val="center"/>
                </w:tcPr>
                <w:p w14:paraId="4DA34DF1">
                  <w:pPr>
                    <w:adjustRightInd w:val="0"/>
                    <w:snapToGrid w:val="0"/>
                    <w:jc w:val="center"/>
                    <w:rPr>
                      <w:bCs/>
                      <w:kern w:val="0"/>
                      <w:sz w:val="18"/>
                      <w:szCs w:val="18"/>
                    </w:rPr>
                  </w:pPr>
                  <w:r>
                    <w:rPr>
                      <w:rFonts w:hint="eastAsia"/>
                      <w:bCs/>
                      <w:kern w:val="0"/>
                      <w:sz w:val="18"/>
                      <w:szCs w:val="18"/>
                    </w:rPr>
                    <w:t>土壤环境质量标准</w:t>
                  </w:r>
                </w:p>
              </w:tc>
              <w:tc>
                <w:tcPr>
                  <w:tcW w:w="4117" w:type="pct"/>
                  <w:gridSpan w:val="10"/>
                  <w:tcBorders>
                    <w:tl2br w:val="nil"/>
                    <w:tr2bl w:val="nil"/>
                  </w:tcBorders>
                  <w:vAlign w:val="center"/>
                </w:tcPr>
                <w:p w14:paraId="00E2A941">
                  <w:pPr>
                    <w:adjustRightInd w:val="0"/>
                    <w:snapToGrid w:val="0"/>
                    <w:rPr>
                      <w:bCs/>
                      <w:sz w:val="18"/>
                      <w:szCs w:val="18"/>
                    </w:rPr>
                  </w:pPr>
                  <w:r>
                    <w:rPr>
                      <w:rFonts w:hint="eastAsia"/>
                      <w:bCs/>
                      <w:sz w:val="18"/>
                      <w:szCs w:val="18"/>
                    </w:rPr>
                    <w:t>土壤环境执行《土壤环境质量 建设用地土壤污染风险管控标准(试行)》(GB36600-2018)、《土壤环境质量 农用地土壤污染风险管控标准(试行)》(GB15618-2018)中相应标准；河道底泥参照执行GB15618-2018中的“其他”风险筛选值。</w:t>
                  </w:r>
                </w:p>
              </w:tc>
            </w:tr>
            <w:tr w14:paraId="024209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5" w:type="pct"/>
                  <w:tcBorders>
                    <w:tl2br w:val="nil"/>
                    <w:tr2bl w:val="nil"/>
                  </w:tcBorders>
                  <w:vAlign w:val="center"/>
                </w:tcPr>
                <w:p w14:paraId="00480755">
                  <w:pPr>
                    <w:adjustRightInd w:val="0"/>
                    <w:snapToGrid w:val="0"/>
                    <w:jc w:val="center"/>
                    <w:rPr>
                      <w:bCs/>
                      <w:kern w:val="0"/>
                      <w:sz w:val="18"/>
                      <w:szCs w:val="18"/>
                    </w:rPr>
                  </w:pPr>
                  <w:r>
                    <w:rPr>
                      <w:bCs/>
                      <w:kern w:val="0"/>
                      <w:sz w:val="18"/>
                      <w:szCs w:val="18"/>
                    </w:rPr>
                    <w:t>4</w:t>
                  </w:r>
                </w:p>
              </w:tc>
              <w:tc>
                <w:tcPr>
                  <w:tcW w:w="657" w:type="pct"/>
                  <w:gridSpan w:val="2"/>
                  <w:tcBorders>
                    <w:tl2br w:val="nil"/>
                    <w:tr2bl w:val="nil"/>
                  </w:tcBorders>
                  <w:vAlign w:val="center"/>
                </w:tcPr>
                <w:p w14:paraId="70CBB7B0">
                  <w:pPr>
                    <w:adjustRightInd w:val="0"/>
                    <w:snapToGrid w:val="0"/>
                    <w:jc w:val="center"/>
                    <w:rPr>
                      <w:bCs/>
                      <w:kern w:val="0"/>
                      <w:sz w:val="18"/>
                      <w:szCs w:val="18"/>
                    </w:rPr>
                  </w:pPr>
                  <w:r>
                    <w:rPr>
                      <w:rFonts w:hint="eastAsia"/>
                      <w:bCs/>
                      <w:kern w:val="0"/>
                      <w:sz w:val="18"/>
                      <w:szCs w:val="18"/>
                    </w:rPr>
                    <w:t>行业准入标准</w:t>
                  </w:r>
                </w:p>
              </w:tc>
              <w:tc>
                <w:tcPr>
                  <w:tcW w:w="4117" w:type="pct"/>
                  <w:gridSpan w:val="10"/>
                  <w:tcBorders>
                    <w:tl2br w:val="nil"/>
                    <w:tr2bl w:val="nil"/>
                  </w:tcBorders>
                  <w:vAlign w:val="center"/>
                </w:tcPr>
                <w:p w14:paraId="00F1A897">
                  <w:pPr>
                    <w:adjustRightInd w:val="0"/>
                    <w:snapToGrid w:val="0"/>
                    <w:rPr>
                      <w:bCs/>
                      <w:sz w:val="18"/>
                      <w:szCs w:val="18"/>
                    </w:rPr>
                  </w:pPr>
                  <w:r>
                    <w:rPr>
                      <w:rFonts w:hint="eastAsia"/>
                      <w:bCs/>
                      <w:sz w:val="18"/>
                      <w:szCs w:val="18"/>
                    </w:rPr>
                    <w:t>《产业结构调整指导目录(2024年本)》、《市场准入负面清单(2025年版)》、《鼓励外商投资产业目录(2025年版)》、《外商投资准入特别管理措施(负面清单)(2024年版)》、《产业发展与转移指导目录(2018年本)》、《自然资源要素支撑产业高质量发展指导目录(2024年本)》、《&lt;长江经济带发展负面清单指南(试行，2022年版)&gt;浙江省实施细则》、《杭州市产业发展导向目录(2024年本)》、《杭州市人民政府办公厅关于加快生物医药产业高质量发展的若干意见》等(其中国家和地方颁布的产业目录均以最新版本为准)。</w:t>
                  </w:r>
                </w:p>
              </w:tc>
            </w:tr>
          </w:tbl>
          <w:p w14:paraId="2CD70A66">
            <w:pPr>
              <w:spacing w:line="360" w:lineRule="auto"/>
              <w:ind w:firstLine="420" w:firstLineChars="200"/>
              <w:rPr>
                <w:b/>
                <w:bCs/>
                <w:szCs w:val="21"/>
              </w:rPr>
            </w:pPr>
            <w:r>
              <w:rPr>
                <w:rFonts w:hint="eastAsia"/>
                <w:szCs w:val="21"/>
                <w:lang w:val="en-US" w:eastAsia="zh-CN"/>
              </w:rPr>
              <w:t>本项目符合相关行业准入标准；</w:t>
            </w:r>
            <w:r>
              <w:rPr>
                <w:rFonts w:hint="eastAsia"/>
                <w:szCs w:val="21"/>
              </w:rPr>
              <w:t>采取各类环保措施后，污染物均可达标排放，符合环境标准清单要求。</w:t>
            </w:r>
          </w:p>
          <w:p w14:paraId="38D8F1CB">
            <w:pPr>
              <w:widowControl/>
              <w:spacing w:line="360" w:lineRule="auto"/>
              <w:outlineLvl w:val="2"/>
              <w:rPr>
                <w:rFonts w:hint="eastAsia"/>
                <w:b/>
                <w:bCs/>
                <w:kern w:val="0"/>
                <w:sz w:val="22"/>
                <w:szCs w:val="22"/>
              </w:rPr>
            </w:pPr>
            <w:r>
              <w:rPr>
                <w:rFonts w:hint="eastAsia"/>
                <w:b/>
                <w:bCs/>
                <w:kern w:val="0"/>
                <w:sz w:val="22"/>
                <w:szCs w:val="22"/>
              </w:rPr>
              <w:t>1.2.</w:t>
            </w:r>
            <w:r>
              <w:rPr>
                <w:rFonts w:hint="eastAsia"/>
                <w:b/>
                <w:bCs/>
                <w:kern w:val="0"/>
                <w:sz w:val="22"/>
                <w:szCs w:val="22"/>
                <w:lang w:val="en-US" w:eastAsia="zh-CN"/>
              </w:rPr>
              <w:t>2</w:t>
            </w:r>
            <w:r>
              <w:rPr>
                <w:rFonts w:hint="eastAsia"/>
                <w:b/>
                <w:bCs/>
                <w:kern w:val="0"/>
                <w:sz w:val="22"/>
                <w:szCs w:val="22"/>
              </w:rPr>
              <w:t xml:space="preserve">  规划环评</w:t>
            </w:r>
            <w:r>
              <w:rPr>
                <w:rFonts w:hint="eastAsia"/>
                <w:b/>
                <w:bCs/>
                <w:kern w:val="0"/>
                <w:sz w:val="22"/>
                <w:szCs w:val="22"/>
                <w:lang w:val="en-US" w:eastAsia="zh-CN"/>
              </w:rPr>
              <w:t>审查意见</w:t>
            </w:r>
            <w:r>
              <w:rPr>
                <w:rFonts w:hint="eastAsia"/>
                <w:b/>
                <w:bCs/>
                <w:kern w:val="0"/>
                <w:sz w:val="22"/>
                <w:szCs w:val="22"/>
              </w:rPr>
              <w:t>符合性分析</w:t>
            </w:r>
          </w:p>
          <w:p w14:paraId="463BAF0C">
            <w:pPr>
              <w:widowControl/>
              <w:spacing w:line="360" w:lineRule="auto"/>
              <w:ind w:firstLine="420" w:firstLineChars="200"/>
              <w:outlineLvl w:val="2"/>
              <w:rPr>
                <w:rFonts w:hint="default" w:ascii="Times New Roman" w:hAnsi="Times New Roman" w:eastAsia="宋体" w:cs="Times New Roman"/>
                <w:b w:val="0"/>
                <w:bCs w:val="0"/>
                <w:kern w:val="0"/>
                <w:sz w:val="21"/>
                <w:szCs w:val="21"/>
                <w:lang w:val="en-US" w:eastAsia="zh-CN"/>
              </w:rPr>
            </w:pPr>
            <w:r>
              <w:rPr>
                <w:rFonts w:hint="default" w:ascii="Times New Roman" w:hAnsi="Times New Roman" w:cs="Times New Roman"/>
                <w:b w:val="0"/>
                <w:bCs w:val="0"/>
                <w:kern w:val="0"/>
                <w:sz w:val="21"/>
                <w:szCs w:val="21"/>
                <w:lang w:val="en-US" w:eastAsia="zh-CN"/>
              </w:rPr>
              <w:t>项目与规划环评审查意见符合性如</w:t>
            </w:r>
            <w:r>
              <w:rPr>
                <w:rFonts w:hint="eastAsia" w:cs="Times New Roman"/>
                <w:b w:val="0"/>
                <w:bCs w:val="0"/>
                <w:kern w:val="0"/>
                <w:sz w:val="21"/>
                <w:szCs w:val="21"/>
                <w:lang w:val="en-US" w:eastAsia="zh-CN"/>
              </w:rPr>
              <w:t>下表</w:t>
            </w:r>
            <w:r>
              <w:rPr>
                <w:rFonts w:hint="default" w:ascii="Times New Roman" w:hAnsi="Times New Roman" w:cs="Times New Roman"/>
                <w:b w:val="0"/>
                <w:bCs w:val="0"/>
                <w:kern w:val="0"/>
                <w:sz w:val="21"/>
                <w:szCs w:val="21"/>
                <w:lang w:val="en-US" w:eastAsia="zh-CN"/>
              </w:rPr>
              <w:t>所示。</w:t>
            </w:r>
          </w:p>
          <w:p w14:paraId="2DBD381B">
            <w:pPr>
              <w:pStyle w:val="5"/>
              <w:widowControl/>
              <w:numPr>
                <w:ilvl w:val="0"/>
                <w:numId w:val="2"/>
              </w:numPr>
              <w:tabs>
                <w:tab w:val="left" w:pos="0"/>
              </w:tabs>
              <w:spacing w:before="0" w:after="0" w:line="360" w:lineRule="auto"/>
              <w:ind w:left="0" w:firstLine="0"/>
              <w:jc w:val="center"/>
              <w:rPr>
                <w:rFonts w:hint="eastAsia" w:ascii="黑体" w:hAnsi="黑体" w:cs="黑体"/>
                <w:b w:val="0"/>
                <w:bCs w:val="0"/>
                <w:sz w:val="21"/>
                <w:szCs w:val="21"/>
              </w:rPr>
            </w:pPr>
            <w:r>
              <w:rPr>
                <w:rFonts w:hint="eastAsia" w:ascii="黑体" w:hAnsi="黑体" w:cs="黑体"/>
                <w:b w:val="0"/>
                <w:bCs w:val="0"/>
                <w:sz w:val="21"/>
                <w:szCs w:val="21"/>
              </w:rPr>
              <w:t>项目与</w:t>
            </w:r>
            <w:r>
              <w:rPr>
                <w:rFonts w:hint="eastAsia" w:ascii="黑体" w:hAnsi="黑体" w:cs="黑体"/>
                <w:b w:val="0"/>
                <w:bCs w:val="0"/>
                <w:sz w:val="21"/>
                <w:szCs w:val="21"/>
                <w:lang w:val="en-US" w:eastAsia="zh-CN"/>
              </w:rPr>
              <w:t>规划环评审查意见</w:t>
            </w:r>
            <w:r>
              <w:rPr>
                <w:rFonts w:hint="eastAsia" w:ascii="黑体" w:hAnsi="黑体" w:cs="黑体"/>
                <w:b w:val="0"/>
                <w:bCs w:val="0"/>
                <w:sz w:val="21"/>
                <w:szCs w:val="21"/>
              </w:rPr>
              <w:t>符合性分析</w:t>
            </w:r>
          </w:p>
          <w:tbl>
            <w:tblPr>
              <w:tblStyle w:val="27"/>
              <w:tblW w:w="822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84"/>
              <w:gridCol w:w="5800"/>
              <w:gridCol w:w="1842"/>
            </w:tblGrid>
            <w:tr w14:paraId="1DE9A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485525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 w:val="18"/>
                      <w:szCs w:val="18"/>
                      <w:vertAlign w:val="baseline"/>
                      <w:lang w:val="en-US" w:eastAsia="zh-CN"/>
                    </w:rPr>
                  </w:pPr>
                  <w:r>
                    <w:rPr>
                      <w:rFonts w:hint="eastAsia"/>
                      <w:sz w:val="18"/>
                      <w:szCs w:val="18"/>
                      <w:vertAlign w:val="baseline"/>
                      <w:lang w:val="en-US" w:eastAsia="zh-CN"/>
                    </w:rPr>
                    <w:t>序号</w:t>
                  </w:r>
                </w:p>
              </w:tc>
              <w:tc>
                <w:tcPr>
                  <w:tcW w:w="5800" w:type="dxa"/>
                  <w:tcBorders>
                    <w:tl2br w:val="nil"/>
                    <w:tr2bl w:val="nil"/>
                  </w:tcBorders>
                  <w:vAlign w:val="center"/>
                </w:tcPr>
                <w:p w14:paraId="744953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 w:val="18"/>
                      <w:szCs w:val="18"/>
                      <w:vertAlign w:val="baseline"/>
                      <w:lang w:val="en-US" w:eastAsia="zh-CN"/>
                    </w:rPr>
                  </w:pPr>
                  <w:r>
                    <w:rPr>
                      <w:rFonts w:hint="eastAsia"/>
                      <w:sz w:val="18"/>
                      <w:szCs w:val="18"/>
                      <w:vertAlign w:val="baseline"/>
                      <w:lang w:val="en-US" w:eastAsia="zh-CN"/>
                    </w:rPr>
                    <w:t>内容</w:t>
                  </w:r>
                </w:p>
              </w:tc>
              <w:tc>
                <w:tcPr>
                  <w:tcW w:w="1842" w:type="dxa"/>
                  <w:tcBorders>
                    <w:tl2br w:val="nil"/>
                    <w:tr2bl w:val="nil"/>
                  </w:tcBorders>
                  <w:vAlign w:val="center"/>
                </w:tcPr>
                <w:p w14:paraId="058BB9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z w:val="18"/>
                      <w:szCs w:val="18"/>
                      <w:vertAlign w:val="baseline"/>
                      <w:lang w:val="en-US" w:eastAsia="zh-CN"/>
                    </w:rPr>
                  </w:pPr>
                  <w:r>
                    <w:rPr>
                      <w:rFonts w:hint="eastAsia"/>
                      <w:sz w:val="18"/>
                      <w:szCs w:val="18"/>
                      <w:vertAlign w:val="baseline"/>
                      <w:lang w:val="en-US" w:eastAsia="zh-CN"/>
                    </w:rPr>
                    <w:t>符合性分析</w:t>
                  </w:r>
                </w:p>
              </w:tc>
            </w:tr>
            <w:tr w14:paraId="459DE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77E4D8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1</w:t>
                  </w:r>
                </w:p>
              </w:tc>
              <w:tc>
                <w:tcPr>
                  <w:tcW w:w="5800" w:type="dxa"/>
                  <w:tcBorders>
                    <w:tl2br w:val="nil"/>
                    <w:tr2bl w:val="nil"/>
                  </w:tcBorders>
                  <w:vAlign w:val="center"/>
                </w:tcPr>
                <w:p w14:paraId="64E0A36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严格空间管控，优化功能布局。加强《规划》引导，坚持生态优先、高效集约，衔接国土空间规划，落实生态环境分区管控、饮用水水源保护、湿地保护、文物保护等相关要求进行有序开发。严格落实《中华人民共和国文物保护法》《浙江省文物保护管理条例》《良渚遗址和鲤鱼山-老虎岭水坝遗址保护总体规划（2021-2035）》，瓶窑产业园区内位于良渚遗址保护范围和建设控制地带内的修缮和建设行为须符合文物保护相关要求，现状与保护要求不相符的建（构）筑物、企业、居民等应分期、分批外迁或拆除。加快解决余杭义桥工业园、瓶窑产业园以及闲林工业园涉及的工居混杂问题，推进分散居民拆迁安置。南湖科学中心、瓶窑产业园区域涉及饮用水水源准保护区，应进一步明确产业布局定位和控制要求。</w:t>
                  </w:r>
                </w:p>
              </w:tc>
              <w:tc>
                <w:tcPr>
                  <w:tcW w:w="1842" w:type="dxa"/>
                  <w:tcBorders>
                    <w:tl2br w:val="nil"/>
                    <w:tr2bl w:val="nil"/>
                  </w:tcBorders>
                  <w:vAlign w:val="center"/>
                </w:tcPr>
                <w:p w14:paraId="106D10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项目位于南湖单元（YH10），从事医疗器械制造，符合用地规划和产业布局要求。</w:t>
                  </w:r>
                </w:p>
              </w:tc>
            </w:tr>
            <w:tr w14:paraId="66BB17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77CF5F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2</w:t>
                  </w:r>
                </w:p>
              </w:tc>
              <w:tc>
                <w:tcPr>
                  <w:tcW w:w="5800" w:type="dxa"/>
                  <w:tcBorders>
                    <w:tl2br w:val="nil"/>
                    <w:tr2bl w:val="nil"/>
                  </w:tcBorders>
                  <w:vAlign w:val="center"/>
                </w:tcPr>
                <w:p w14:paraId="71D902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严守环境质量底线，强化污染物排放管控。根据国家和浙江省大气、水、土壤污染防治要求，强化污染物排放管控。针对大气臭氧超标问题，要进一步强化源头治理，加强规划区内废气污染较为突出区域的环境综合整治和监管，全面提升企业废气收集率和治理效率；涉及使用涂料、油墨、胶粘剂的工序全面推行低挥发性有机物含量原辅材料替代，从源头控制VOCs产生，推动重点企业大气污染防治绩效达到A级水平。</w:t>
                  </w:r>
                </w:p>
              </w:tc>
              <w:tc>
                <w:tcPr>
                  <w:tcW w:w="1842" w:type="dxa"/>
                  <w:tcBorders>
                    <w:tl2br w:val="nil"/>
                    <w:tr2bl w:val="nil"/>
                  </w:tcBorders>
                  <w:vAlign w:val="center"/>
                </w:tcPr>
                <w:p w14:paraId="3CAD12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项目产生的VOCs量不大并能得到妥善处理，环境影响较小。</w:t>
                  </w:r>
                </w:p>
              </w:tc>
            </w:tr>
            <w:tr w14:paraId="1682F8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0B4D9F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3</w:t>
                  </w:r>
                </w:p>
              </w:tc>
              <w:tc>
                <w:tcPr>
                  <w:tcW w:w="5800" w:type="dxa"/>
                  <w:tcBorders>
                    <w:tl2br w:val="nil"/>
                    <w:tr2bl w:val="nil"/>
                  </w:tcBorders>
                  <w:vAlign w:val="center"/>
                </w:tcPr>
                <w:p w14:paraId="287D5D4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完善配套基础设施建设，提升环境治理能力。持续深入推进“污水零直排区”建设及工业园区“水污染整治专项行动”等各项工作，提升区域水环境质量。加快解决城镇管网破损、雨污分流不彻底等问题，加大管网的排查频次与修复力度，强化工业企业地面硬化等防渗、防漏措施，进一步提高地下水、土壤污染风险防控工作质效。加快落实余杭污水处理厂提升改造、城西污水处理厂扩建及配套再生水利用工程建设，加快推进良渚供水厂建设进程。</w:t>
                  </w:r>
                </w:p>
              </w:tc>
              <w:tc>
                <w:tcPr>
                  <w:tcW w:w="1842" w:type="dxa"/>
                  <w:tcBorders>
                    <w:tl2br w:val="nil"/>
                    <w:tr2bl w:val="nil"/>
                  </w:tcBorders>
                  <w:vAlign w:val="center"/>
                </w:tcPr>
                <w:p w14:paraId="0926F5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园区实行雨污分流，地面做好防渗，避免对于地下水和土壤的污染。</w:t>
                  </w:r>
                </w:p>
              </w:tc>
            </w:tr>
            <w:tr w14:paraId="31485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65604B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4</w:t>
                  </w:r>
                </w:p>
              </w:tc>
              <w:tc>
                <w:tcPr>
                  <w:tcW w:w="5800" w:type="dxa"/>
                  <w:tcBorders>
                    <w:tl2br w:val="nil"/>
                    <w:tr2bl w:val="nil"/>
                  </w:tcBorders>
                  <w:vAlign w:val="center"/>
                </w:tcPr>
                <w:p w14:paraId="65D1D82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严格生态环境准入，助推高质量发展。严格落实《报告书》提出的生态环境准入要求、禁止类的工艺和产品清单要求，严格限制与主导产业不相关且排污负荷大以及高污染、高环境风险项目。构建循环型生态产业链，引进项目的生产工艺、设备，以及单位产品水耗、能耗、污染物排放和资源利用等均需达到同行业先进水平。针对高新区内现有不符合主导产业定位、用地布局规划的企业，应加快制定保留优化、整治提升、刚性清退等更新策略，推动现状低效工业用地整治，构建产业发展新生态。</w:t>
                  </w:r>
                </w:p>
              </w:tc>
              <w:tc>
                <w:tcPr>
                  <w:tcW w:w="1842" w:type="dxa"/>
                  <w:tcBorders>
                    <w:tl2br w:val="nil"/>
                    <w:tr2bl w:val="nil"/>
                  </w:tcBorders>
                  <w:vAlign w:val="center"/>
                </w:tcPr>
                <w:p w14:paraId="2B99C84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项目不属于高污染、高环境风险项目，生产工艺和设备先进，符合园区产业定位。</w:t>
                  </w:r>
                </w:p>
              </w:tc>
            </w:tr>
            <w:tr w14:paraId="0DD13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2DEC9B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5</w:t>
                  </w:r>
                </w:p>
              </w:tc>
              <w:tc>
                <w:tcPr>
                  <w:tcW w:w="5800" w:type="dxa"/>
                  <w:tcBorders>
                    <w:tl2br w:val="nil"/>
                    <w:tr2bl w:val="nil"/>
                  </w:tcBorders>
                  <w:vAlign w:val="center"/>
                </w:tcPr>
                <w:p w14:paraId="101329F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强化环境风险防控，提升环境管理水平。落实国家、省新污染物治理方案的要求，严格涉新污染物建设项目准入管理。积极推动工业固体废物源头减量，一般工业固体废物、危险废物应依法依规收集、妥善安全处理处置。加强对环境风险源企业的管控，强化环境应急物资配备和应急救援队伍建设，提升环境风险防控和应急处置能力。重污染企业退役场地应严格落实土壤污染状况调查、风险管控、修复等管理要求。</w:t>
                  </w:r>
                </w:p>
              </w:tc>
              <w:tc>
                <w:tcPr>
                  <w:tcW w:w="1842" w:type="dxa"/>
                  <w:tcBorders>
                    <w:tl2br w:val="nil"/>
                    <w:tr2bl w:val="nil"/>
                  </w:tcBorders>
                  <w:vAlign w:val="center"/>
                </w:tcPr>
                <w:p w14:paraId="057E155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项目投产前要求企业建立环境风险管理制度，编制突发环境事件应急预案，建立应急救援队伍和物资储备。</w:t>
                  </w:r>
                </w:p>
              </w:tc>
            </w:tr>
            <w:tr w14:paraId="47876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4" w:type="dxa"/>
                  <w:tcBorders>
                    <w:tl2br w:val="nil"/>
                    <w:tr2bl w:val="nil"/>
                  </w:tcBorders>
                  <w:vAlign w:val="center"/>
                </w:tcPr>
                <w:p w14:paraId="4D68F6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18"/>
                      <w:szCs w:val="18"/>
                      <w:vertAlign w:val="baseline"/>
                      <w:lang w:val="en-US" w:eastAsia="zh-CN"/>
                    </w:rPr>
                  </w:pPr>
                  <w:r>
                    <w:rPr>
                      <w:rFonts w:hint="eastAsia"/>
                      <w:sz w:val="18"/>
                      <w:szCs w:val="18"/>
                      <w:vertAlign w:val="baseline"/>
                      <w:lang w:val="en-US" w:eastAsia="zh-CN"/>
                    </w:rPr>
                    <w:t>6</w:t>
                  </w:r>
                </w:p>
              </w:tc>
              <w:tc>
                <w:tcPr>
                  <w:tcW w:w="5800" w:type="dxa"/>
                  <w:tcBorders>
                    <w:tl2br w:val="nil"/>
                    <w:tr2bl w:val="nil"/>
                  </w:tcBorders>
                  <w:vAlign w:val="center"/>
                </w:tcPr>
                <w:p w14:paraId="1C2833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18"/>
                      <w:szCs w:val="18"/>
                      <w:vertAlign w:val="baseline"/>
                      <w:lang w:val="en-US" w:eastAsia="zh-CN"/>
                    </w:rPr>
                  </w:pPr>
                  <w:r>
                    <w:rPr>
                      <w:rFonts w:hint="eastAsia"/>
                      <w:sz w:val="18"/>
                      <w:szCs w:val="18"/>
                      <w:vertAlign w:val="baseline"/>
                      <w:lang w:val="en-US" w:eastAsia="zh-CN"/>
                    </w:rPr>
                    <w:t>健全环境监测体系，跟踪区域变化情况。结合高新区产业布局、重点企业分布、污染物排放、环境保护目标分布等，持续开展区域内地表水、地下水、大气、土壤、噪声等环境要素的长期跟踪监测、管理与评价。在《规划》实施过程中，适时开展环境影响跟踪评价。《规划》在实施范围、适用期限、规模、结构和布局等方面进行重大调整或者修订的，应当重新编制环境影响报告书。</w:t>
                  </w:r>
                </w:p>
              </w:tc>
              <w:tc>
                <w:tcPr>
                  <w:tcW w:w="1842" w:type="dxa"/>
                  <w:tcBorders>
                    <w:tl2br w:val="nil"/>
                    <w:tr2bl w:val="nil"/>
                  </w:tcBorders>
                  <w:vAlign w:val="center"/>
                </w:tcPr>
                <w:p w14:paraId="771363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18"/>
                      <w:szCs w:val="18"/>
                      <w:vertAlign w:val="baseline"/>
                      <w:lang w:val="en-US" w:eastAsia="zh-CN"/>
                    </w:rPr>
                  </w:pPr>
                  <w:r>
                    <w:rPr>
                      <w:rFonts w:hint="eastAsia"/>
                      <w:sz w:val="18"/>
                      <w:szCs w:val="18"/>
                      <w:vertAlign w:val="baseline"/>
                      <w:lang w:val="en-US" w:eastAsia="zh-CN"/>
                    </w:rPr>
                    <w:t>本项目不涉及。</w:t>
                  </w:r>
                </w:p>
              </w:tc>
            </w:tr>
          </w:tbl>
          <w:p w14:paraId="43BFD7EA">
            <w:pPr>
              <w:widowControl/>
              <w:spacing w:line="360" w:lineRule="auto"/>
              <w:ind w:firstLine="420" w:firstLineChars="200"/>
              <w:rPr>
                <w:kern w:val="0"/>
                <w:szCs w:val="21"/>
                <w:highlight w:val="yellow"/>
              </w:rPr>
            </w:pPr>
            <w:r>
              <w:rPr>
                <w:rFonts w:hint="eastAsia"/>
                <w:bCs/>
                <w:szCs w:val="21"/>
              </w:rPr>
              <w:t>综上分析可知，本项目符合</w:t>
            </w:r>
            <w:r>
              <w:rPr>
                <w:rFonts w:hint="eastAsia"/>
                <w:szCs w:val="21"/>
              </w:rPr>
              <w:t>《杭州未来科技城高新技术产业开发区总体规划(2024-2035)环境影响报告书》</w:t>
            </w:r>
            <w:r>
              <w:rPr>
                <w:rFonts w:hint="eastAsia"/>
                <w:szCs w:val="21"/>
                <w:lang w:val="en-US" w:eastAsia="zh-CN"/>
              </w:rPr>
              <w:t>六张清单及审查意见的</w:t>
            </w:r>
            <w:r>
              <w:rPr>
                <w:rFonts w:hint="eastAsia"/>
                <w:bCs/>
                <w:szCs w:val="21"/>
              </w:rPr>
              <w:t>相关要求。</w:t>
            </w:r>
          </w:p>
        </w:tc>
      </w:tr>
      <w:tr w14:paraId="7D57C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382" w:type="dxa"/>
            <w:vAlign w:val="center"/>
          </w:tcPr>
          <w:p w14:paraId="69B79265">
            <w:pPr>
              <w:autoSpaceDE w:val="0"/>
              <w:autoSpaceDN w:val="0"/>
              <w:adjustRightInd w:val="0"/>
              <w:snapToGrid w:val="0"/>
              <w:jc w:val="center"/>
              <w:rPr>
                <w:kern w:val="0"/>
                <w:szCs w:val="21"/>
              </w:rPr>
            </w:pPr>
            <w:r>
              <w:rPr>
                <w:rFonts w:hint="eastAsia"/>
                <w:kern w:val="0"/>
                <w:szCs w:val="21"/>
              </w:rPr>
              <w:t>其他符合性分析</w:t>
            </w:r>
          </w:p>
        </w:tc>
        <w:tc>
          <w:tcPr>
            <w:tcW w:w="8442" w:type="dxa"/>
            <w:gridSpan w:val="4"/>
            <w:vAlign w:val="center"/>
          </w:tcPr>
          <w:p w14:paraId="7363F708">
            <w:pPr>
              <w:spacing w:line="360" w:lineRule="auto"/>
              <w:outlineLvl w:val="1"/>
              <w:rPr>
                <w:b/>
                <w:snapToGrid w:val="0"/>
                <w:sz w:val="24"/>
                <w:szCs w:val="32"/>
              </w:rPr>
            </w:pPr>
            <w:r>
              <w:rPr>
                <w:rFonts w:hint="eastAsia"/>
                <w:b/>
                <w:snapToGrid w:val="0"/>
                <w:sz w:val="24"/>
                <w:szCs w:val="32"/>
              </w:rPr>
              <w:t>1.3  审批原则符合性分析</w:t>
            </w:r>
          </w:p>
          <w:p w14:paraId="18979A45">
            <w:pPr>
              <w:spacing w:line="360" w:lineRule="auto"/>
              <w:outlineLvl w:val="2"/>
              <w:rPr>
                <w:b/>
                <w:snapToGrid w:val="0"/>
                <w:sz w:val="22"/>
                <w:szCs w:val="28"/>
              </w:rPr>
            </w:pPr>
            <w:r>
              <w:rPr>
                <w:rFonts w:hint="eastAsia"/>
                <w:b/>
                <w:snapToGrid w:val="0"/>
                <w:sz w:val="22"/>
                <w:szCs w:val="28"/>
              </w:rPr>
              <w:t>1.3.1  建设项目应当符合生态保护红线、环境质量底线、资源利用上线和生态环境准入清单管控的要求</w:t>
            </w:r>
          </w:p>
          <w:p w14:paraId="39221585">
            <w:pPr>
              <w:spacing w:line="360" w:lineRule="auto"/>
              <w:ind w:firstLine="420" w:firstLineChars="200"/>
              <w:rPr>
                <w:snapToGrid w:val="0"/>
              </w:rPr>
            </w:pPr>
            <w:r>
              <w:rPr>
                <w:rFonts w:hint="eastAsia"/>
                <w:snapToGrid w:val="0"/>
              </w:rPr>
              <w:t>项目</w:t>
            </w:r>
            <w:r>
              <w:rPr>
                <w:rFonts w:hint="eastAsia"/>
                <w:szCs w:val="21"/>
              </w:rPr>
              <w:t>位于杭州市余杭区中泰街道铜山溪路2号南湖未来科学院5号楼301-302室</w:t>
            </w:r>
            <w:r>
              <w:rPr>
                <w:rFonts w:hint="eastAsia"/>
                <w:snapToGrid w:val="0"/>
              </w:rPr>
              <w:t>，</w:t>
            </w:r>
            <w:r>
              <w:rPr>
                <w:rFonts w:hint="eastAsia"/>
                <w:kern w:val="0"/>
                <w:szCs w:val="21"/>
              </w:rPr>
              <w:t>对照根据《杭州市生态环境分区管控动态更新方案》（杭环发〔2024〕49号），均位于余杭区南湖科学中心(ZH33011020010)</w:t>
            </w:r>
            <w:r>
              <w:rPr>
                <w:kern w:val="0"/>
                <w:szCs w:val="21"/>
              </w:rPr>
              <w:t>”</w:t>
            </w:r>
            <w:r>
              <w:rPr>
                <w:rFonts w:hint="eastAsia"/>
                <w:kern w:val="0"/>
                <w:szCs w:val="21"/>
              </w:rPr>
              <w:t>，属于重点管控单元，项目符合性分析如</w:t>
            </w:r>
            <w:r>
              <w:rPr>
                <w:rFonts w:hint="eastAsia"/>
                <w:kern w:val="0"/>
                <w:szCs w:val="21"/>
                <w:lang w:val="en-US" w:eastAsia="zh-CN"/>
              </w:rPr>
              <w:t>下表</w:t>
            </w:r>
            <w:r>
              <w:rPr>
                <w:rFonts w:hint="eastAsia"/>
                <w:kern w:val="0"/>
                <w:szCs w:val="21"/>
              </w:rPr>
              <w:t>所示。</w:t>
            </w:r>
          </w:p>
          <w:p w14:paraId="78780170">
            <w:pPr>
              <w:pStyle w:val="5"/>
              <w:numPr>
                <w:ilvl w:val="0"/>
                <w:numId w:val="2"/>
              </w:numPr>
              <w:tabs>
                <w:tab w:val="left" w:pos="0"/>
              </w:tabs>
              <w:spacing w:before="0" w:after="0" w:line="360" w:lineRule="auto"/>
              <w:ind w:left="368" w:hanging="367" w:hangingChars="175"/>
              <w:jc w:val="center"/>
              <w:rPr>
                <w:rFonts w:hint="eastAsia" w:ascii="黑体" w:hAnsi="黑体" w:cs="黑体"/>
                <w:b w:val="0"/>
                <w:bCs w:val="0"/>
                <w:sz w:val="21"/>
                <w:szCs w:val="21"/>
              </w:rPr>
            </w:pPr>
            <w:r>
              <w:rPr>
                <w:rFonts w:hint="eastAsia" w:ascii="黑体" w:hAnsi="黑体" w:cs="黑体"/>
                <w:b w:val="0"/>
                <w:bCs w:val="0"/>
                <w:sz w:val="21"/>
                <w:szCs w:val="21"/>
                <w:lang w:val="en-US"/>
              </w:rPr>
              <w:t>生态保护红线、</w:t>
            </w:r>
            <w:r>
              <w:rPr>
                <w:rFonts w:hint="eastAsia" w:ascii="黑体" w:hAnsi="黑体" w:cs="黑体"/>
                <w:b w:val="0"/>
                <w:bCs w:val="0"/>
                <w:sz w:val="21"/>
                <w:szCs w:val="21"/>
              </w:rPr>
              <w:t>环境质量底线及资源利用上线符合性分析</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5"/>
              <w:gridCol w:w="824"/>
              <w:gridCol w:w="3299"/>
              <w:gridCol w:w="2998"/>
              <w:gridCol w:w="752"/>
            </w:tblGrid>
            <w:tr w14:paraId="7A6C0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2" w:type="pct"/>
                  <w:gridSpan w:val="2"/>
                  <w:tcBorders>
                    <w:tl2br w:val="nil"/>
                    <w:tr2bl w:val="nil"/>
                  </w:tcBorders>
                  <w:vAlign w:val="center"/>
                </w:tcPr>
                <w:p w14:paraId="722F2B00">
                  <w:pPr>
                    <w:jc w:val="center"/>
                    <w:rPr>
                      <w:sz w:val="18"/>
                      <w:szCs w:val="18"/>
                    </w:rPr>
                  </w:pPr>
                  <w:r>
                    <w:rPr>
                      <w:rFonts w:hint="eastAsia"/>
                      <w:sz w:val="18"/>
                      <w:szCs w:val="18"/>
                    </w:rPr>
                    <w:t>管控类型</w:t>
                  </w:r>
                </w:p>
              </w:tc>
              <w:tc>
                <w:tcPr>
                  <w:tcW w:w="1964" w:type="pct"/>
                  <w:tcBorders>
                    <w:tl2br w:val="nil"/>
                    <w:tr2bl w:val="nil"/>
                  </w:tcBorders>
                  <w:vAlign w:val="center"/>
                </w:tcPr>
                <w:p w14:paraId="39AF3AD6">
                  <w:pPr>
                    <w:jc w:val="center"/>
                    <w:rPr>
                      <w:sz w:val="18"/>
                      <w:szCs w:val="18"/>
                    </w:rPr>
                  </w:pPr>
                  <w:r>
                    <w:rPr>
                      <w:rFonts w:hint="eastAsia"/>
                      <w:sz w:val="18"/>
                      <w:szCs w:val="18"/>
                    </w:rPr>
                    <w:t>管控要求</w:t>
                  </w:r>
                </w:p>
              </w:tc>
              <w:tc>
                <w:tcPr>
                  <w:tcW w:w="1785" w:type="pct"/>
                  <w:tcBorders>
                    <w:tl2br w:val="nil"/>
                    <w:tr2bl w:val="nil"/>
                  </w:tcBorders>
                  <w:vAlign w:val="center"/>
                </w:tcPr>
                <w:p w14:paraId="23206AB2">
                  <w:pPr>
                    <w:jc w:val="center"/>
                    <w:rPr>
                      <w:sz w:val="18"/>
                      <w:szCs w:val="18"/>
                    </w:rPr>
                  </w:pPr>
                  <w:r>
                    <w:rPr>
                      <w:rFonts w:hint="eastAsia"/>
                      <w:sz w:val="18"/>
                      <w:szCs w:val="18"/>
                    </w:rPr>
                    <w:t>本项目情况</w:t>
                  </w:r>
                </w:p>
              </w:tc>
              <w:tc>
                <w:tcPr>
                  <w:tcW w:w="448" w:type="pct"/>
                  <w:tcBorders>
                    <w:tl2br w:val="nil"/>
                    <w:tr2bl w:val="nil"/>
                  </w:tcBorders>
                  <w:vAlign w:val="center"/>
                </w:tcPr>
                <w:p w14:paraId="33A73C94">
                  <w:pPr>
                    <w:jc w:val="center"/>
                    <w:rPr>
                      <w:sz w:val="18"/>
                      <w:szCs w:val="18"/>
                    </w:rPr>
                  </w:pPr>
                  <w:r>
                    <w:rPr>
                      <w:rFonts w:hint="eastAsia"/>
                      <w:sz w:val="18"/>
                      <w:szCs w:val="18"/>
                    </w:rPr>
                    <w:t>符合性</w:t>
                  </w:r>
                </w:p>
              </w:tc>
            </w:tr>
            <w:tr w14:paraId="49D67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2" w:type="pct"/>
                  <w:gridSpan w:val="2"/>
                  <w:tcBorders>
                    <w:tl2br w:val="nil"/>
                    <w:tr2bl w:val="nil"/>
                  </w:tcBorders>
                  <w:vAlign w:val="center"/>
                </w:tcPr>
                <w:p w14:paraId="3F248F0B">
                  <w:pPr>
                    <w:jc w:val="center"/>
                    <w:rPr>
                      <w:sz w:val="18"/>
                      <w:szCs w:val="18"/>
                    </w:rPr>
                  </w:pPr>
                  <w:r>
                    <w:rPr>
                      <w:rFonts w:hint="eastAsia"/>
                      <w:sz w:val="18"/>
                      <w:szCs w:val="18"/>
                    </w:rPr>
                    <w:t>生态保护红线</w:t>
                  </w:r>
                </w:p>
              </w:tc>
              <w:tc>
                <w:tcPr>
                  <w:tcW w:w="1964" w:type="pct"/>
                  <w:tcBorders>
                    <w:tl2br w:val="nil"/>
                    <w:tr2bl w:val="nil"/>
                  </w:tcBorders>
                  <w:vAlign w:val="center"/>
                </w:tcPr>
                <w:p w14:paraId="4662B30E">
                  <w:pPr>
                    <w:jc w:val="center"/>
                    <w:rPr>
                      <w:sz w:val="18"/>
                      <w:szCs w:val="18"/>
                    </w:rPr>
                  </w:pPr>
                  <w:r>
                    <w:rPr>
                      <w:rFonts w:hint="eastAsia"/>
                      <w:sz w:val="18"/>
                      <w:szCs w:val="18"/>
                    </w:rPr>
                    <w:t>生态功能不降低、面积不减少、性质不改变</w:t>
                  </w:r>
                </w:p>
              </w:tc>
              <w:tc>
                <w:tcPr>
                  <w:tcW w:w="1785" w:type="pct"/>
                  <w:tcBorders>
                    <w:tl2br w:val="nil"/>
                    <w:tr2bl w:val="nil"/>
                  </w:tcBorders>
                  <w:vAlign w:val="center"/>
                </w:tcPr>
                <w:p w14:paraId="0EE5FFA2">
                  <w:pPr>
                    <w:jc w:val="both"/>
                    <w:rPr>
                      <w:sz w:val="18"/>
                      <w:szCs w:val="18"/>
                    </w:rPr>
                  </w:pPr>
                  <w:r>
                    <w:rPr>
                      <w:rFonts w:hint="eastAsia"/>
                      <w:sz w:val="18"/>
                      <w:szCs w:val="18"/>
                    </w:rPr>
                    <w:t>本项目所在地位于城镇开发边界内，不涉及生态保护红线、永久基本农田。</w:t>
                  </w:r>
                </w:p>
              </w:tc>
              <w:tc>
                <w:tcPr>
                  <w:tcW w:w="448" w:type="pct"/>
                  <w:tcBorders>
                    <w:tl2br w:val="nil"/>
                    <w:tr2bl w:val="nil"/>
                  </w:tcBorders>
                  <w:vAlign w:val="center"/>
                </w:tcPr>
                <w:p w14:paraId="47EC8F23">
                  <w:pPr>
                    <w:jc w:val="center"/>
                    <w:rPr>
                      <w:sz w:val="18"/>
                      <w:szCs w:val="18"/>
                    </w:rPr>
                  </w:pPr>
                  <w:r>
                    <w:rPr>
                      <w:rFonts w:hint="eastAsia"/>
                      <w:sz w:val="18"/>
                      <w:szCs w:val="18"/>
                    </w:rPr>
                    <w:t>符合</w:t>
                  </w:r>
                </w:p>
              </w:tc>
            </w:tr>
            <w:tr w14:paraId="52888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tcBorders>
                    <w:tl2br w:val="nil"/>
                    <w:tr2bl w:val="nil"/>
                  </w:tcBorders>
                  <w:vAlign w:val="center"/>
                </w:tcPr>
                <w:p w14:paraId="46E3C9E9">
                  <w:pPr>
                    <w:jc w:val="center"/>
                    <w:rPr>
                      <w:sz w:val="18"/>
                      <w:szCs w:val="18"/>
                    </w:rPr>
                  </w:pPr>
                  <w:r>
                    <w:rPr>
                      <w:rFonts w:hint="eastAsia"/>
                      <w:sz w:val="18"/>
                      <w:szCs w:val="18"/>
                    </w:rPr>
                    <w:t>环境质量底线</w:t>
                  </w:r>
                </w:p>
              </w:tc>
              <w:tc>
                <w:tcPr>
                  <w:tcW w:w="489" w:type="pct"/>
                  <w:tcBorders>
                    <w:tl2br w:val="nil"/>
                    <w:tr2bl w:val="nil"/>
                  </w:tcBorders>
                  <w:vAlign w:val="center"/>
                </w:tcPr>
                <w:p w14:paraId="6861C165">
                  <w:pPr>
                    <w:jc w:val="center"/>
                    <w:rPr>
                      <w:sz w:val="18"/>
                      <w:szCs w:val="18"/>
                    </w:rPr>
                  </w:pPr>
                  <w:r>
                    <w:rPr>
                      <w:rFonts w:hint="eastAsia"/>
                      <w:sz w:val="18"/>
                      <w:szCs w:val="18"/>
                    </w:rPr>
                    <w:t>大气环境质量底线目标</w:t>
                  </w:r>
                </w:p>
              </w:tc>
              <w:tc>
                <w:tcPr>
                  <w:tcW w:w="1964" w:type="pct"/>
                  <w:tcBorders>
                    <w:tl2br w:val="nil"/>
                    <w:tr2bl w:val="nil"/>
                  </w:tcBorders>
                  <w:vAlign w:val="center"/>
                </w:tcPr>
                <w:p w14:paraId="38649894">
                  <w:pPr>
                    <w:jc w:val="left"/>
                    <w:rPr>
                      <w:snapToGrid w:val="0"/>
                      <w:sz w:val="18"/>
                      <w:szCs w:val="18"/>
                    </w:rPr>
                  </w:pPr>
                  <w:r>
                    <w:rPr>
                      <w:rFonts w:hint="eastAsia"/>
                      <w:sz w:val="18"/>
                      <w:szCs w:val="18"/>
                    </w:rPr>
                    <w:t>2025年，全面消除重污染天气，基本消除中度污染天气，力争O</w:t>
                  </w:r>
                  <w:r>
                    <w:rPr>
                      <w:sz w:val="18"/>
                      <w:szCs w:val="18"/>
                      <w:vertAlign w:val="subscript"/>
                    </w:rPr>
                    <w:t>3</w:t>
                  </w:r>
                  <w:r>
                    <w:rPr>
                      <w:rFonts w:hint="eastAsia"/>
                      <w:sz w:val="18"/>
                      <w:szCs w:val="18"/>
                    </w:rPr>
                    <w:t>浓度达到拐点，PM</w:t>
                  </w:r>
                  <w:r>
                    <w:rPr>
                      <w:sz w:val="18"/>
                      <w:szCs w:val="18"/>
                      <w:vertAlign w:val="subscript"/>
                    </w:rPr>
                    <w:t>2.5</w:t>
                  </w:r>
                  <w:r>
                    <w:rPr>
                      <w:rFonts w:hint="eastAsia"/>
                      <w:sz w:val="18"/>
                      <w:szCs w:val="18"/>
                    </w:rPr>
                    <w:t>年均浓度稳定控制在28微克/立方米以下，努力实现环境空气质量稳定全面达标。</w:t>
                  </w:r>
                </w:p>
              </w:tc>
              <w:tc>
                <w:tcPr>
                  <w:tcW w:w="1785" w:type="pct"/>
                  <w:tcBorders>
                    <w:tl2br w:val="nil"/>
                    <w:tr2bl w:val="nil"/>
                  </w:tcBorders>
                  <w:vAlign w:val="center"/>
                </w:tcPr>
                <w:p w14:paraId="4BC9AE5A">
                  <w:pPr>
                    <w:rPr>
                      <w:sz w:val="18"/>
                      <w:szCs w:val="18"/>
                    </w:rPr>
                  </w:pPr>
                  <w:r>
                    <w:rPr>
                      <w:rFonts w:hint="eastAsia"/>
                      <w:sz w:val="18"/>
                      <w:szCs w:val="18"/>
                      <w:highlight w:val="none"/>
                    </w:rPr>
                    <w:t>本项目地块所在区域</w:t>
                  </w:r>
                  <w:r>
                    <w:rPr>
                      <w:rFonts w:hint="eastAsia"/>
                      <w:sz w:val="18"/>
                      <w:szCs w:val="18"/>
                      <w:highlight w:val="none"/>
                      <w:lang w:val="en-US" w:eastAsia="zh-CN"/>
                    </w:rPr>
                    <w:t>2025</w:t>
                  </w:r>
                  <w:r>
                    <w:rPr>
                      <w:rFonts w:hint="eastAsia"/>
                      <w:sz w:val="18"/>
                      <w:szCs w:val="18"/>
                      <w:highlight w:val="none"/>
                    </w:rPr>
                    <w:t>年属于环境空气质量</w:t>
                  </w:r>
                  <w:r>
                    <w:rPr>
                      <w:rFonts w:hint="eastAsia"/>
                      <w:sz w:val="18"/>
                      <w:szCs w:val="18"/>
                      <w:highlight w:val="none"/>
                      <w:lang w:val="en-US" w:eastAsia="zh-CN"/>
                    </w:rPr>
                    <w:t>不</w:t>
                  </w:r>
                  <w:r>
                    <w:rPr>
                      <w:rFonts w:hint="eastAsia"/>
                      <w:sz w:val="18"/>
                      <w:szCs w:val="18"/>
                      <w:highlight w:val="none"/>
                    </w:rPr>
                    <w:t>达标区</w:t>
                  </w:r>
                  <w:r>
                    <w:rPr>
                      <w:rFonts w:hint="eastAsia"/>
                      <w:sz w:val="18"/>
                      <w:szCs w:val="18"/>
                      <w:highlight w:val="none"/>
                      <w:lang w:eastAsia="zh-CN"/>
                    </w:rPr>
                    <w:t>，</w:t>
                  </w:r>
                  <w:r>
                    <w:rPr>
                      <w:rFonts w:hint="eastAsia"/>
                      <w:sz w:val="18"/>
                      <w:szCs w:val="18"/>
                      <w:highlight w:val="none"/>
                      <w:lang w:val="en-US" w:eastAsia="zh-CN"/>
                    </w:rPr>
                    <w:t>超标因子为臭氧</w:t>
                  </w:r>
                  <w:r>
                    <w:rPr>
                      <w:rFonts w:hint="eastAsia"/>
                      <w:sz w:val="18"/>
                      <w:szCs w:val="18"/>
                      <w:highlight w:val="none"/>
                    </w:rPr>
                    <w:t>。本项目废气量较少，可达标排放，不会</w:t>
                  </w:r>
                  <w:r>
                    <w:rPr>
                      <w:rFonts w:hint="eastAsia"/>
                      <w:sz w:val="18"/>
                      <w:szCs w:val="18"/>
                    </w:rPr>
                    <w:t>影响大气环境质量改善目标的实现。</w:t>
                  </w:r>
                </w:p>
              </w:tc>
              <w:tc>
                <w:tcPr>
                  <w:tcW w:w="448" w:type="pct"/>
                  <w:tcBorders>
                    <w:tl2br w:val="nil"/>
                    <w:tr2bl w:val="nil"/>
                  </w:tcBorders>
                  <w:vAlign w:val="center"/>
                </w:tcPr>
                <w:p w14:paraId="3DC95511">
                  <w:pPr>
                    <w:jc w:val="center"/>
                    <w:rPr>
                      <w:sz w:val="18"/>
                      <w:szCs w:val="18"/>
                    </w:rPr>
                  </w:pPr>
                  <w:r>
                    <w:rPr>
                      <w:rFonts w:hint="eastAsia"/>
                      <w:sz w:val="18"/>
                      <w:szCs w:val="18"/>
                    </w:rPr>
                    <w:t>符合</w:t>
                  </w:r>
                </w:p>
              </w:tc>
            </w:tr>
            <w:tr w14:paraId="472182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6FC8CC36">
                  <w:pPr>
                    <w:rPr>
                      <w:sz w:val="18"/>
                      <w:szCs w:val="18"/>
                    </w:rPr>
                  </w:pPr>
                </w:p>
              </w:tc>
              <w:tc>
                <w:tcPr>
                  <w:tcW w:w="489" w:type="pct"/>
                  <w:tcBorders>
                    <w:tl2br w:val="nil"/>
                    <w:tr2bl w:val="nil"/>
                  </w:tcBorders>
                  <w:vAlign w:val="center"/>
                </w:tcPr>
                <w:p w14:paraId="26731127">
                  <w:pPr>
                    <w:jc w:val="center"/>
                    <w:rPr>
                      <w:sz w:val="18"/>
                      <w:szCs w:val="18"/>
                    </w:rPr>
                  </w:pPr>
                  <w:r>
                    <w:rPr>
                      <w:rFonts w:hint="eastAsia"/>
                      <w:sz w:val="18"/>
                      <w:szCs w:val="18"/>
                    </w:rPr>
                    <w:t>水环境质量底线目标</w:t>
                  </w:r>
                </w:p>
              </w:tc>
              <w:tc>
                <w:tcPr>
                  <w:tcW w:w="1964" w:type="pct"/>
                  <w:tcBorders>
                    <w:tl2br w:val="nil"/>
                    <w:tr2bl w:val="nil"/>
                  </w:tcBorders>
                  <w:vAlign w:val="center"/>
                </w:tcPr>
                <w:p w14:paraId="0E3CE214">
                  <w:pPr>
                    <w:rPr>
                      <w:sz w:val="18"/>
                      <w:szCs w:val="18"/>
                    </w:rPr>
                  </w:pPr>
                  <w:r>
                    <w:rPr>
                      <w:rFonts w:hint="eastAsia"/>
                      <w:sz w:val="18"/>
                      <w:szCs w:val="18"/>
                    </w:rPr>
                    <w:t>到2025年，力争全市水生态环境质量实现“三无、两提升、三个百分百”，即：城市建成区无黑臭水体，地表无劣</w:t>
                  </w:r>
                  <w:r>
                    <w:rPr>
                      <w:rFonts w:hint="eastAsia" w:ascii="宋体" w:hAnsi="宋体" w:cs="宋体"/>
                      <w:sz w:val="18"/>
                      <w:szCs w:val="18"/>
                    </w:rPr>
                    <w:t>Ⅴ</w:t>
                  </w:r>
                  <w:r>
                    <w:rPr>
                      <w:rFonts w:hint="eastAsia"/>
                      <w:sz w:val="18"/>
                      <w:szCs w:val="18"/>
                    </w:rPr>
                    <w:t>类水体，无断流（干涸）河流；市控以上地表水优良（达到或优于</w:t>
                  </w:r>
                  <w:r>
                    <w:rPr>
                      <w:rFonts w:hint="eastAsia" w:ascii="宋体" w:hAnsi="宋体" w:cs="宋体"/>
                      <w:sz w:val="18"/>
                      <w:szCs w:val="18"/>
                    </w:rPr>
                    <w:t>Ⅲ</w:t>
                  </w:r>
                  <w:r>
                    <w:rPr>
                      <w:rFonts w:hint="eastAsia"/>
                      <w:sz w:val="18"/>
                      <w:szCs w:val="18"/>
                    </w:rPr>
                    <w:t>类）比例与水生生物完整性有不同程度的提升，县级以上城市集中式饮用水水源达到或优于</w:t>
                  </w:r>
                  <w:r>
                    <w:rPr>
                      <w:rFonts w:hint="eastAsia" w:ascii="宋体" w:hAnsi="宋体" w:cs="宋体"/>
                      <w:sz w:val="18"/>
                      <w:szCs w:val="18"/>
                    </w:rPr>
                    <w:t>Ⅲ</w:t>
                  </w:r>
                  <w:r>
                    <w:rPr>
                      <w:rFonts w:hint="eastAsia"/>
                      <w:sz w:val="18"/>
                      <w:szCs w:val="18"/>
                    </w:rPr>
                    <w:t>类比例达到100%，地表水市控以上断面水质达标率达到100%，国家重要水功能区达标率达到100%。</w:t>
                  </w:r>
                </w:p>
              </w:tc>
              <w:tc>
                <w:tcPr>
                  <w:tcW w:w="1785" w:type="pct"/>
                  <w:tcBorders>
                    <w:tl2br w:val="nil"/>
                    <w:tr2bl w:val="nil"/>
                  </w:tcBorders>
                  <w:vAlign w:val="center"/>
                </w:tcPr>
                <w:p w14:paraId="75F8985E">
                  <w:pPr>
                    <w:rPr>
                      <w:sz w:val="18"/>
                      <w:szCs w:val="18"/>
                    </w:rPr>
                  </w:pPr>
                  <w:r>
                    <w:rPr>
                      <w:rFonts w:hint="eastAsia"/>
                      <w:sz w:val="18"/>
                      <w:szCs w:val="18"/>
                    </w:rPr>
                    <w:t>本项目</w:t>
                  </w:r>
                  <w:r>
                    <w:rPr>
                      <w:rFonts w:hint="eastAsia"/>
                      <w:sz w:val="18"/>
                      <w:szCs w:val="18"/>
                      <w:lang w:val="en-US" w:eastAsia="zh-CN"/>
                    </w:rPr>
                    <w:t>废水最终受纳水体</w:t>
                  </w:r>
                  <w:r>
                    <w:rPr>
                      <w:rFonts w:hint="eastAsia"/>
                      <w:sz w:val="18"/>
                      <w:szCs w:val="18"/>
                    </w:rPr>
                    <w:t>附近地表水2023年</w:t>
                  </w:r>
                  <w:r>
                    <w:rPr>
                      <w:rFonts w:hint="eastAsia"/>
                      <w:sz w:val="18"/>
                      <w:szCs w:val="18"/>
                      <w:lang w:val="en-US" w:eastAsia="zh-CN"/>
                    </w:rPr>
                    <w:t>月均</w:t>
                  </w:r>
                  <w:r>
                    <w:rPr>
                      <w:rFonts w:hint="eastAsia"/>
                      <w:sz w:val="18"/>
                      <w:szCs w:val="18"/>
                    </w:rPr>
                    <w:t>水质有超标现象，超标因子为DO</w:t>
                  </w:r>
                  <w:r>
                    <w:rPr>
                      <w:rFonts w:hint="eastAsia"/>
                      <w:sz w:val="18"/>
                      <w:szCs w:val="18"/>
                      <w:lang w:eastAsia="zh-CN"/>
                    </w:rPr>
                    <w:t>、</w:t>
                  </w:r>
                  <w:r>
                    <w:rPr>
                      <w:rFonts w:hint="eastAsia"/>
                      <w:sz w:val="18"/>
                      <w:szCs w:val="18"/>
                      <w:lang w:val="en-US" w:eastAsia="zh-CN"/>
                    </w:rPr>
                    <w:t>NH</w:t>
                  </w:r>
                  <w:r>
                    <w:rPr>
                      <w:rFonts w:hint="eastAsia"/>
                      <w:sz w:val="18"/>
                      <w:szCs w:val="18"/>
                      <w:vertAlign w:val="subscript"/>
                      <w:lang w:val="en-US" w:eastAsia="zh-CN"/>
                    </w:rPr>
                    <w:t>3</w:t>
                  </w:r>
                  <w:r>
                    <w:rPr>
                      <w:rFonts w:hint="eastAsia"/>
                      <w:sz w:val="18"/>
                      <w:szCs w:val="18"/>
                      <w:lang w:val="en-US" w:eastAsia="zh-CN"/>
                    </w:rPr>
                    <w:t>-N</w:t>
                  </w:r>
                  <w:r>
                    <w:rPr>
                      <w:rFonts w:hint="eastAsia"/>
                      <w:sz w:val="18"/>
                      <w:szCs w:val="18"/>
                    </w:rPr>
                    <w:t>。随着 “污水零直排区”、“美丽河湖”“幸福河湖”推进，《余杭区重点流域水生态环境“十四五”规划》实施，区域水环境质量将得到持续改善。本项目生产废水与经化粪池处理后的生活污水一同纳管排放，最终经余杭污水处理厂处理达标后排放。不会突破水环境质量底线，不会影响区域环境质量改善目标的实现。</w:t>
                  </w:r>
                </w:p>
              </w:tc>
              <w:tc>
                <w:tcPr>
                  <w:tcW w:w="448" w:type="pct"/>
                  <w:tcBorders>
                    <w:tl2br w:val="nil"/>
                    <w:tr2bl w:val="nil"/>
                  </w:tcBorders>
                  <w:vAlign w:val="center"/>
                </w:tcPr>
                <w:p w14:paraId="743E379A">
                  <w:pPr>
                    <w:rPr>
                      <w:sz w:val="18"/>
                      <w:szCs w:val="18"/>
                    </w:rPr>
                  </w:pPr>
                  <w:r>
                    <w:rPr>
                      <w:rFonts w:hint="eastAsia"/>
                      <w:sz w:val="18"/>
                      <w:szCs w:val="18"/>
                    </w:rPr>
                    <w:t>符合</w:t>
                  </w:r>
                </w:p>
              </w:tc>
            </w:tr>
            <w:tr w14:paraId="46519E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510193F5">
                  <w:pPr>
                    <w:rPr>
                      <w:sz w:val="18"/>
                      <w:szCs w:val="18"/>
                    </w:rPr>
                  </w:pPr>
                </w:p>
              </w:tc>
              <w:tc>
                <w:tcPr>
                  <w:tcW w:w="489" w:type="pct"/>
                  <w:tcBorders>
                    <w:tl2br w:val="nil"/>
                    <w:tr2bl w:val="nil"/>
                  </w:tcBorders>
                  <w:vAlign w:val="center"/>
                </w:tcPr>
                <w:p w14:paraId="2B70B3B8">
                  <w:pPr>
                    <w:jc w:val="center"/>
                    <w:rPr>
                      <w:sz w:val="18"/>
                      <w:szCs w:val="18"/>
                    </w:rPr>
                  </w:pPr>
                  <w:r>
                    <w:rPr>
                      <w:rFonts w:hint="eastAsia"/>
                      <w:sz w:val="18"/>
                      <w:szCs w:val="18"/>
                    </w:rPr>
                    <w:t>土壤环境风险防控底线目标</w:t>
                  </w:r>
                </w:p>
              </w:tc>
              <w:tc>
                <w:tcPr>
                  <w:tcW w:w="1964" w:type="pct"/>
                  <w:tcBorders>
                    <w:tl2br w:val="nil"/>
                    <w:tr2bl w:val="nil"/>
                  </w:tcBorders>
                  <w:vAlign w:val="center"/>
                </w:tcPr>
                <w:p w14:paraId="482BC5EB">
                  <w:pPr>
                    <w:jc w:val="left"/>
                    <w:rPr>
                      <w:snapToGrid w:val="0"/>
                      <w:sz w:val="18"/>
                      <w:szCs w:val="18"/>
                    </w:rPr>
                  </w:pPr>
                  <w:r>
                    <w:rPr>
                      <w:rFonts w:hint="eastAsia"/>
                      <w:sz w:val="18"/>
                      <w:szCs w:val="18"/>
                    </w:rPr>
                    <w:t>2025年，土壤环境质量稳中向好，受污染耕地安全利用率达到省下达目标，重点建设用地安全利用率达到97%以上。</w:t>
                  </w:r>
                </w:p>
              </w:tc>
              <w:tc>
                <w:tcPr>
                  <w:tcW w:w="1785" w:type="pct"/>
                  <w:tcBorders>
                    <w:tl2br w:val="nil"/>
                    <w:tr2bl w:val="nil"/>
                  </w:tcBorders>
                  <w:vAlign w:val="center"/>
                </w:tcPr>
                <w:p w14:paraId="39BED975">
                  <w:pPr>
                    <w:rPr>
                      <w:sz w:val="18"/>
                      <w:szCs w:val="18"/>
                    </w:rPr>
                  </w:pPr>
                  <w:r>
                    <w:rPr>
                      <w:rFonts w:hint="eastAsia"/>
                      <w:sz w:val="18"/>
                      <w:szCs w:val="18"/>
                    </w:rPr>
                    <w:t>本项目租用传嘉科技（杭州）有限公司现有厂房，不占用耕地</w:t>
                  </w:r>
                  <w:r>
                    <w:rPr>
                      <w:rFonts w:hint="eastAsia"/>
                      <w:sz w:val="18"/>
                      <w:szCs w:val="18"/>
                      <w:lang w:eastAsia="zh-CN"/>
                    </w:rPr>
                    <w:t>，在</w:t>
                  </w:r>
                  <w:r>
                    <w:rPr>
                      <w:rFonts w:hint="eastAsia"/>
                      <w:sz w:val="18"/>
                      <w:szCs w:val="18"/>
                    </w:rPr>
                    <w:t>采取防腐防渗措施的情况下，对土壤环境影响不大，不会突破土壤环境风险防控底线。</w:t>
                  </w:r>
                </w:p>
              </w:tc>
              <w:tc>
                <w:tcPr>
                  <w:tcW w:w="448" w:type="pct"/>
                  <w:tcBorders>
                    <w:tl2br w:val="nil"/>
                    <w:tr2bl w:val="nil"/>
                  </w:tcBorders>
                  <w:vAlign w:val="center"/>
                </w:tcPr>
                <w:p w14:paraId="07109F67">
                  <w:pPr>
                    <w:jc w:val="center"/>
                    <w:rPr>
                      <w:sz w:val="18"/>
                      <w:szCs w:val="18"/>
                    </w:rPr>
                  </w:pPr>
                  <w:r>
                    <w:rPr>
                      <w:rFonts w:hint="eastAsia"/>
                      <w:sz w:val="18"/>
                      <w:szCs w:val="18"/>
                    </w:rPr>
                    <w:t>符合</w:t>
                  </w:r>
                </w:p>
              </w:tc>
            </w:tr>
            <w:tr w14:paraId="6D6D72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tcBorders>
                    <w:tl2br w:val="nil"/>
                    <w:tr2bl w:val="nil"/>
                  </w:tcBorders>
                  <w:vAlign w:val="center"/>
                </w:tcPr>
                <w:p w14:paraId="73ACBB6B">
                  <w:pPr>
                    <w:jc w:val="center"/>
                    <w:rPr>
                      <w:sz w:val="18"/>
                      <w:szCs w:val="18"/>
                    </w:rPr>
                  </w:pPr>
                  <w:r>
                    <w:rPr>
                      <w:rFonts w:hint="eastAsia"/>
                      <w:sz w:val="18"/>
                      <w:szCs w:val="18"/>
                    </w:rPr>
                    <w:t>资源利用上线</w:t>
                  </w:r>
                </w:p>
              </w:tc>
              <w:tc>
                <w:tcPr>
                  <w:tcW w:w="489" w:type="pct"/>
                  <w:tcBorders>
                    <w:tl2br w:val="nil"/>
                    <w:tr2bl w:val="nil"/>
                  </w:tcBorders>
                  <w:vAlign w:val="center"/>
                </w:tcPr>
                <w:p w14:paraId="6D52CAB4">
                  <w:pPr>
                    <w:jc w:val="center"/>
                    <w:rPr>
                      <w:sz w:val="18"/>
                      <w:szCs w:val="18"/>
                    </w:rPr>
                  </w:pPr>
                  <w:r>
                    <w:rPr>
                      <w:rFonts w:hint="eastAsia"/>
                      <w:sz w:val="18"/>
                      <w:szCs w:val="18"/>
                    </w:rPr>
                    <w:t>能源利用上线目标</w:t>
                  </w:r>
                </w:p>
              </w:tc>
              <w:tc>
                <w:tcPr>
                  <w:tcW w:w="1964" w:type="pct"/>
                  <w:tcBorders>
                    <w:tl2br w:val="nil"/>
                    <w:tr2bl w:val="nil"/>
                  </w:tcBorders>
                  <w:vAlign w:val="center"/>
                </w:tcPr>
                <w:p w14:paraId="7DA858EE">
                  <w:pPr>
                    <w:jc w:val="left"/>
                    <w:rPr>
                      <w:sz w:val="18"/>
                      <w:szCs w:val="18"/>
                    </w:rPr>
                  </w:pPr>
                  <w:r>
                    <w:rPr>
                      <w:rFonts w:hint="eastAsia"/>
                      <w:sz w:val="18"/>
                      <w:szCs w:val="18"/>
                    </w:rPr>
                    <w:t>通过一手抓能源供应保障，一手抓能源结构优化，到2025年实现“三保两降两升”的主要发展目标。</w:t>
                  </w:r>
                </w:p>
                <w:p w14:paraId="39D0B16C">
                  <w:pPr>
                    <w:jc w:val="left"/>
                    <w:rPr>
                      <w:sz w:val="18"/>
                      <w:szCs w:val="18"/>
                    </w:rPr>
                  </w:pPr>
                  <w:r>
                    <w:rPr>
                      <w:rFonts w:hint="eastAsia"/>
                      <w:sz w:val="18"/>
                      <w:szCs w:val="18"/>
                    </w:rPr>
                    <w:t>——“三保”：电力、天然气、油品等能源供应保障能力持续增强。到2025年，全市电网110千伏及以上变电容量达到11268万千伏安，天然气供应能力不小于44亿立方米，汽柴油供应能力不小于420万吨。</w:t>
                  </w:r>
                </w:p>
                <w:p w14:paraId="50554E08">
                  <w:pPr>
                    <w:jc w:val="left"/>
                    <w:rPr>
                      <w:sz w:val="18"/>
                      <w:szCs w:val="18"/>
                    </w:rPr>
                  </w:pPr>
                  <w:r>
                    <w:rPr>
                      <w:rFonts w:hint="eastAsia"/>
                      <w:sz w:val="18"/>
                      <w:szCs w:val="18"/>
                    </w:rPr>
                    <w:t>——“两降”：即单位GDP能耗、煤炭消费量进一步下降。“十四五”期间，全市单位GDP能耗累计降幅不低于15%，煤炭消费下降目标达到省要求。</w:t>
                  </w:r>
                </w:p>
                <w:p w14:paraId="29D23325">
                  <w:pPr>
                    <w:jc w:val="left"/>
                    <w:rPr>
                      <w:snapToGrid w:val="0"/>
                      <w:sz w:val="18"/>
                      <w:szCs w:val="18"/>
                    </w:rPr>
                  </w:pPr>
                  <w:r>
                    <w:rPr>
                      <w:rFonts w:hint="eastAsia"/>
                      <w:sz w:val="18"/>
                      <w:szCs w:val="18"/>
                    </w:rPr>
                    <w:t>——“两升”：即清洁能源占比、非化石能源占比进一步提升。到2025年，全市清洁能源占比不低于68%，非化石能源占比不低于20%。</w:t>
                  </w:r>
                </w:p>
              </w:tc>
              <w:tc>
                <w:tcPr>
                  <w:tcW w:w="1785" w:type="pct"/>
                  <w:tcBorders>
                    <w:tl2br w:val="nil"/>
                    <w:tr2bl w:val="nil"/>
                  </w:tcBorders>
                  <w:vAlign w:val="center"/>
                </w:tcPr>
                <w:p w14:paraId="6F067FD4">
                  <w:pPr>
                    <w:rPr>
                      <w:sz w:val="18"/>
                      <w:szCs w:val="18"/>
                    </w:rPr>
                  </w:pPr>
                  <w:r>
                    <w:rPr>
                      <w:rFonts w:hint="eastAsia"/>
                      <w:sz w:val="18"/>
                      <w:szCs w:val="18"/>
                    </w:rPr>
                    <w:t>本项目所用能源为电能，能源消耗量较少，不会突破区域能源利用上线。</w:t>
                  </w:r>
                </w:p>
              </w:tc>
              <w:tc>
                <w:tcPr>
                  <w:tcW w:w="448" w:type="pct"/>
                  <w:tcBorders>
                    <w:tl2br w:val="nil"/>
                    <w:tr2bl w:val="nil"/>
                  </w:tcBorders>
                  <w:vAlign w:val="center"/>
                </w:tcPr>
                <w:p w14:paraId="18B22161">
                  <w:pPr>
                    <w:jc w:val="center"/>
                    <w:rPr>
                      <w:sz w:val="18"/>
                      <w:szCs w:val="18"/>
                    </w:rPr>
                  </w:pPr>
                  <w:r>
                    <w:rPr>
                      <w:rFonts w:hint="eastAsia"/>
                      <w:sz w:val="18"/>
                      <w:szCs w:val="18"/>
                    </w:rPr>
                    <w:t>符合</w:t>
                  </w:r>
                </w:p>
              </w:tc>
            </w:tr>
            <w:tr w14:paraId="1164E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16C911E3">
                  <w:pPr>
                    <w:rPr>
                      <w:sz w:val="18"/>
                      <w:szCs w:val="18"/>
                    </w:rPr>
                  </w:pPr>
                </w:p>
              </w:tc>
              <w:tc>
                <w:tcPr>
                  <w:tcW w:w="489" w:type="pct"/>
                  <w:tcBorders>
                    <w:tl2br w:val="nil"/>
                    <w:tr2bl w:val="nil"/>
                  </w:tcBorders>
                  <w:vAlign w:val="center"/>
                </w:tcPr>
                <w:p w14:paraId="598B0FAB">
                  <w:pPr>
                    <w:jc w:val="center"/>
                    <w:rPr>
                      <w:sz w:val="18"/>
                      <w:szCs w:val="18"/>
                    </w:rPr>
                  </w:pPr>
                  <w:r>
                    <w:rPr>
                      <w:rFonts w:hint="eastAsia"/>
                      <w:sz w:val="18"/>
                      <w:szCs w:val="18"/>
                    </w:rPr>
                    <w:t>水资源利用上线目标</w:t>
                  </w:r>
                </w:p>
              </w:tc>
              <w:tc>
                <w:tcPr>
                  <w:tcW w:w="1964" w:type="pct"/>
                  <w:tcBorders>
                    <w:tl2br w:val="nil"/>
                    <w:tr2bl w:val="nil"/>
                  </w:tcBorders>
                  <w:vAlign w:val="center"/>
                </w:tcPr>
                <w:p w14:paraId="21D0B2DC">
                  <w:pPr>
                    <w:jc w:val="left"/>
                    <w:rPr>
                      <w:sz w:val="18"/>
                      <w:szCs w:val="18"/>
                    </w:rPr>
                  </w:pPr>
                  <w:r>
                    <w:rPr>
                      <w:rFonts w:hint="eastAsia"/>
                      <w:sz w:val="18"/>
                      <w:szCs w:val="18"/>
                    </w:rPr>
                    <w:t>到2025年，用水总量目标为32.68亿立方米（含非常水0.48亿立方米）、万元GDP用水量比2020年下降16%、万元工业增加值用水量比2020年下降17%，农田灌溉水有效利用系数达到0.614。</w:t>
                  </w:r>
                </w:p>
              </w:tc>
              <w:tc>
                <w:tcPr>
                  <w:tcW w:w="1785" w:type="pct"/>
                  <w:tcBorders>
                    <w:tl2br w:val="nil"/>
                    <w:tr2bl w:val="nil"/>
                  </w:tcBorders>
                  <w:vAlign w:val="center"/>
                </w:tcPr>
                <w:p w14:paraId="0B0508EF">
                  <w:pPr>
                    <w:rPr>
                      <w:sz w:val="18"/>
                      <w:szCs w:val="18"/>
                    </w:rPr>
                  </w:pPr>
                  <w:r>
                    <w:rPr>
                      <w:rFonts w:hint="eastAsia"/>
                      <w:sz w:val="18"/>
                      <w:szCs w:val="18"/>
                    </w:rPr>
                    <w:t>本项目用水量不大，不会突破区域水资源利用上线。</w:t>
                  </w:r>
                </w:p>
              </w:tc>
              <w:tc>
                <w:tcPr>
                  <w:tcW w:w="448" w:type="pct"/>
                  <w:tcBorders>
                    <w:tl2br w:val="nil"/>
                    <w:tr2bl w:val="nil"/>
                  </w:tcBorders>
                  <w:vAlign w:val="center"/>
                </w:tcPr>
                <w:p w14:paraId="1984C5A3">
                  <w:pPr>
                    <w:jc w:val="center"/>
                    <w:rPr>
                      <w:sz w:val="18"/>
                      <w:szCs w:val="18"/>
                    </w:rPr>
                  </w:pPr>
                  <w:r>
                    <w:rPr>
                      <w:rFonts w:hint="eastAsia"/>
                      <w:sz w:val="18"/>
                      <w:szCs w:val="18"/>
                    </w:rPr>
                    <w:t>符合</w:t>
                  </w:r>
                </w:p>
              </w:tc>
            </w:tr>
            <w:tr w14:paraId="30249A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5C5C8779">
                  <w:pPr>
                    <w:rPr>
                      <w:sz w:val="18"/>
                      <w:szCs w:val="18"/>
                    </w:rPr>
                  </w:pPr>
                </w:p>
              </w:tc>
              <w:tc>
                <w:tcPr>
                  <w:tcW w:w="489" w:type="pct"/>
                  <w:tcBorders>
                    <w:tl2br w:val="nil"/>
                    <w:tr2bl w:val="nil"/>
                  </w:tcBorders>
                  <w:vAlign w:val="center"/>
                </w:tcPr>
                <w:p w14:paraId="5F689A42">
                  <w:pPr>
                    <w:jc w:val="center"/>
                    <w:rPr>
                      <w:sz w:val="18"/>
                      <w:szCs w:val="18"/>
                    </w:rPr>
                  </w:pPr>
                  <w:r>
                    <w:rPr>
                      <w:rFonts w:hint="eastAsia"/>
                      <w:sz w:val="18"/>
                      <w:szCs w:val="18"/>
                    </w:rPr>
                    <w:t>土地资源利用上线目标</w:t>
                  </w:r>
                </w:p>
              </w:tc>
              <w:tc>
                <w:tcPr>
                  <w:tcW w:w="1964" w:type="pct"/>
                  <w:tcBorders>
                    <w:tl2br w:val="nil"/>
                    <w:tr2bl w:val="nil"/>
                  </w:tcBorders>
                  <w:vAlign w:val="center"/>
                </w:tcPr>
                <w:p w14:paraId="0D945039">
                  <w:pPr>
                    <w:jc w:val="left"/>
                    <w:rPr>
                      <w:snapToGrid w:val="0"/>
                      <w:sz w:val="18"/>
                      <w:szCs w:val="18"/>
                    </w:rPr>
                  </w:pPr>
                  <w:r>
                    <w:rPr>
                      <w:rFonts w:hint="eastAsia"/>
                      <w:snapToGrid w:val="0"/>
                      <w:sz w:val="18"/>
                      <w:szCs w:val="18"/>
                    </w:rPr>
                    <w:t>到2025年，杭州市耕地保有量不少于1162.7平方公里，永久基本农田面积控制在968平方公里以内，建设用地总规模不超过2152平方公里，城乡建设用地总规模不超过1752平方公里，人均城镇建设用地面积控制在94平方米以内，万元GDP地耗不超过9.7平方米。</w:t>
                  </w:r>
                </w:p>
              </w:tc>
              <w:tc>
                <w:tcPr>
                  <w:tcW w:w="1785" w:type="pct"/>
                  <w:tcBorders>
                    <w:tl2br w:val="nil"/>
                    <w:tr2bl w:val="nil"/>
                  </w:tcBorders>
                  <w:vAlign w:val="center"/>
                </w:tcPr>
                <w:p w14:paraId="2978A880">
                  <w:pPr>
                    <w:rPr>
                      <w:sz w:val="18"/>
                      <w:szCs w:val="18"/>
                    </w:rPr>
                  </w:pPr>
                  <w:r>
                    <w:rPr>
                      <w:rFonts w:hint="eastAsia"/>
                      <w:sz w:val="18"/>
                      <w:szCs w:val="18"/>
                    </w:rPr>
                    <w:t>项目租用传嘉科技（杭州）有限公司现有厂房，未新增用地</w:t>
                  </w:r>
                  <w:r>
                    <w:rPr>
                      <w:rFonts w:hint="eastAsia"/>
                      <w:sz w:val="20"/>
                      <w:szCs w:val="21"/>
                    </w:rPr>
                    <w:t>，</w:t>
                  </w:r>
                  <w:r>
                    <w:rPr>
                      <w:rFonts w:hint="eastAsia"/>
                      <w:sz w:val="18"/>
                      <w:szCs w:val="18"/>
                    </w:rPr>
                    <w:t>不会突破土地利用资源上线。</w:t>
                  </w:r>
                </w:p>
              </w:tc>
              <w:tc>
                <w:tcPr>
                  <w:tcW w:w="448" w:type="pct"/>
                  <w:tcBorders>
                    <w:tl2br w:val="nil"/>
                    <w:tr2bl w:val="nil"/>
                  </w:tcBorders>
                  <w:vAlign w:val="center"/>
                </w:tcPr>
                <w:p w14:paraId="24E43C34">
                  <w:pPr>
                    <w:jc w:val="center"/>
                    <w:rPr>
                      <w:sz w:val="18"/>
                      <w:szCs w:val="18"/>
                    </w:rPr>
                  </w:pPr>
                  <w:r>
                    <w:rPr>
                      <w:rFonts w:hint="eastAsia"/>
                      <w:sz w:val="18"/>
                      <w:szCs w:val="18"/>
                    </w:rPr>
                    <w:t>符合</w:t>
                  </w:r>
                </w:p>
              </w:tc>
            </w:tr>
            <w:tr w14:paraId="4C4DA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2" w:type="pct"/>
                  <w:gridSpan w:val="2"/>
                  <w:tcBorders>
                    <w:tl2br w:val="nil"/>
                    <w:tr2bl w:val="nil"/>
                  </w:tcBorders>
                  <w:vAlign w:val="center"/>
                </w:tcPr>
                <w:p w14:paraId="42388027">
                  <w:pPr>
                    <w:jc w:val="center"/>
                    <w:rPr>
                      <w:sz w:val="18"/>
                      <w:szCs w:val="18"/>
                    </w:rPr>
                  </w:pPr>
                  <w:r>
                    <w:rPr>
                      <w:rFonts w:hint="eastAsia"/>
                      <w:sz w:val="18"/>
                      <w:szCs w:val="18"/>
                    </w:rPr>
                    <w:t>环境管控单元准入要求</w:t>
                  </w:r>
                </w:p>
              </w:tc>
              <w:tc>
                <w:tcPr>
                  <w:tcW w:w="3749" w:type="pct"/>
                  <w:gridSpan w:val="2"/>
                  <w:tcBorders>
                    <w:tl2br w:val="nil"/>
                    <w:tr2bl w:val="nil"/>
                  </w:tcBorders>
                  <w:vAlign w:val="center"/>
                </w:tcPr>
                <w:p w14:paraId="4ADCEB9F">
                  <w:pPr>
                    <w:rPr>
                      <w:sz w:val="18"/>
                      <w:szCs w:val="18"/>
                    </w:rPr>
                  </w:pPr>
                  <w:r>
                    <w:rPr>
                      <w:rFonts w:hint="eastAsia"/>
                      <w:sz w:val="18"/>
                      <w:szCs w:val="18"/>
                    </w:rPr>
                    <w:t>本项目位于“余杭区南湖科学中心重点管控单元(ZH33011020010)”，符合环境管控单元分类准入要求，具体见表1-2。</w:t>
                  </w:r>
                </w:p>
              </w:tc>
              <w:tc>
                <w:tcPr>
                  <w:tcW w:w="448" w:type="pct"/>
                  <w:tcBorders>
                    <w:tl2br w:val="nil"/>
                    <w:tr2bl w:val="nil"/>
                  </w:tcBorders>
                  <w:vAlign w:val="center"/>
                </w:tcPr>
                <w:p w14:paraId="08EE059F">
                  <w:pPr>
                    <w:jc w:val="center"/>
                    <w:rPr>
                      <w:sz w:val="18"/>
                      <w:szCs w:val="18"/>
                    </w:rPr>
                  </w:pPr>
                  <w:r>
                    <w:rPr>
                      <w:rFonts w:hint="eastAsia"/>
                      <w:sz w:val="18"/>
                      <w:szCs w:val="18"/>
                    </w:rPr>
                    <w:t>符合</w:t>
                  </w:r>
                </w:p>
              </w:tc>
            </w:tr>
          </w:tbl>
          <w:p w14:paraId="0B645A2A">
            <w:pPr>
              <w:spacing w:line="360" w:lineRule="auto"/>
              <w:ind w:firstLine="420" w:firstLineChars="200"/>
            </w:pPr>
            <w:r>
              <w:rPr>
                <w:rFonts w:hint="eastAsia"/>
                <w:szCs w:val="21"/>
              </w:rPr>
              <w:t>本项目与环境管控单元准入清单的符合性分析如</w:t>
            </w:r>
            <w:r>
              <w:rPr>
                <w:rFonts w:hint="eastAsia"/>
                <w:szCs w:val="21"/>
                <w:lang w:val="en-US" w:eastAsia="zh-CN"/>
              </w:rPr>
              <w:t>下表</w:t>
            </w:r>
            <w:r>
              <w:rPr>
                <w:rFonts w:hint="eastAsia"/>
                <w:szCs w:val="21"/>
              </w:rPr>
              <w:t>所示。</w:t>
            </w:r>
          </w:p>
          <w:p w14:paraId="18790C72">
            <w:pPr>
              <w:pStyle w:val="5"/>
              <w:numPr>
                <w:ilvl w:val="0"/>
                <w:numId w:val="2"/>
              </w:numPr>
              <w:tabs>
                <w:tab w:val="left" w:pos="0"/>
              </w:tabs>
              <w:spacing w:before="0" w:after="0" w:line="360" w:lineRule="auto"/>
              <w:ind w:left="368" w:hanging="367" w:hangingChars="175"/>
              <w:jc w:val="center"/>
              <w:rPr>
                <w:rFonts w:hint="eastAsia" w:ascii="黑体" w:hAnsi="黑体" w:cs="黑体"/>
                <w:b w:val="0"/>
                <w:bCs w:val="0"/>
                <w:sz w:val="21"/>
                <w:szCs w:val="21"/>
              </w:rPr>
            </w:pPr>
            <w:r>
              <w:rPr>
                <w:rFonts w:hint="eastAsia" w:ascii="黑体" w:hAnsi="黑体" w:cs="黑体"/>
                <w:b w:val="0"/>
                <w:bCs w:val="0"/>
                <w:sz w:val="21"/>
                <w:szCs w:val="21"/>
              </w:rPr>
              <w:t>项目</w:t>
            </w:r>
            <w:r>
              <w:rPr>
                <w:rFonts w:hint="eastAsia" w:ascii="黑体" w:hAnsi="黑体" w:cs="黑体"/>
                <w:b w:val="0"/>
                <w:bCs w:val="0"/>
                <w:sz w:val="21"/>
                <w:szCs w:val="21"/>
                <w:lang w:val="en-US"/>
              </w:rPr>
              <w:t>环境管控单元准入清单</w:t>
            </w:r>
            <w:r>
              <w:rPr>
                <w:rFonts w:hint="eastAsia" w:ascii="黑体" w:hAnsi="黑体" w:cs="黑体"/>
                <w:b w:val="0"/>
                <w:bCs w:val="0"/>
                <w:sz w:val="21"/>
                <w:szCs w:val="21"/>
              </w:rPr>
              <w:t>符合性分析</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68"/>
              <w:gridCol w:w="2840"/>
              <w:gridCol w:w="3172"/>
              <w:gridCol w:w="617"/>
            </w:tblGrid>
            <w:tr w14:paraId="4311A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10261D4F">
                  <w:pPr>
                    <w:jc w:val="center"/>
                    <w:rPr>
                      <w:sz w:val="18"/>
                      <w:szCs w:val="18"/>
                    </w:rPr>
                  </w:pPr>
                  <w:r>
                    <w:rPr>
                      <w:rFonts w:hint="eastAsia"/>
                      <w:sz w:val="18"/>
                      <w:szCs w:val="18"/>
                    </w:rPr>
                    <w:t>生态环境准入清单</w:t>
                  </w:r>
                </w:p>
              </w:tc>
              <w:tc>
                <w:tcPr>
                  <w:tcW w:w="1690" w:type="pct"/>
                  <w:tcBorders>
                    <w:tl2br w:val="nil"/>
                    <w:tr2bl w:val="nil"/>
                  </w:tcBorders>
                  <w:vAlign w:val="center"/>
                </w:tcPr>
                <w:p w14:paraId="3194B9A6">
                  <w:pPr>
                    <w:jc w:val="center"/>
                    <w:rPr>
                      <w:sz w:val="18"/>
                      <w:szCs w:val="18"/>
                    </w:rPr>
                  </w:pPr>
                  <w:r>
                    <w:rPr>
                      <w:rFonts w:hint="eastAsia"/>
                      <w:sz w:val="18"/>
                      <w:szCs w:val="18"/>
                    </w:rPr>
                    <w:t>有关要求</w:t>
                  </w:r>
                </w:p>
              </w:tc>
              <w:tc>
                <w:tcPr>
                  <w:tcW w:w="1888" w:type="pct"/>
                  <w:tcBorders>
                    <w:tl2br w:val="nil"/>
                    <w:tr2bl w:val="nil"/>
                  </w:tcBorders>
                  <w:vAlign w:val="center"/>
                </w:tcPr>
                <w:p w14:paraId="3035CBDB">
                  <w:pPr>
                    <w:jc w:val="center"/>
                    <w:rPr>
                      <w:sz w:val="18"/>
                      <w:szCs w:val="18"/>
                    </w:rPr>
                  </w:pPr>
                  <w:r>
                    <w:rPr>
                      <w:rFonts w:hint="eastAsia"/>
                      <w:sz w:val="18"/>
                      <w:szCs w:val="18"/>
                    </w:rPr>
                    <w:t>本项目情况</w:t>
                  </w:r>
                </w:p>
              </w:tc>
              <w:tc>
                <w:tcPr>
                  <w:tcW w:w="367" w:type="pct"/>
                  <w:tcBorders>
                    <w:tl2br w:val="nil"/>
                    <w:tr2bl w:val="nil"/>
                  </w:tcBorders>
                  <w:vAlign w:val="center"/>
                </w:tcPr>
                <w:p w14:paraId="38906DEC">
                  <w:pPr>
                    <w:jc w:val="center"/>
                    <w:rPr>
                      <w:sz w:val="18"/>
                      <w:szCs w:val="18"/>
                    </w:rPr>
                  </w:pPr>
                  <w:r>
                    <w:rPr>
                      <w:rFonts w:hint="eastAsia"/>
                      <w:sz w:val="18"/>
                      <w:szCs w:val="18"/>
                    </w:rPr>
                    <w:t>符合性</w:t>
                  </w:r>
                </w:p>
              </w:tc>
            </w:tr>
            <w:tr w14:paraId="18C23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7E1861B5">
                  <w:pPr>
                    <w:jc w:val="center"/>
                    <w:rPr>
                      <w:sz w:val="18"/>
                      <w:szCs w:val="21"/>
                    </w:rPr>
                  </w:pPr>
                  <w:r>
                    <w:rPr>
                      <w:rFonts w:hint="eastAsia"/>
                      <w:sz w:val="18"/>
                      <w:szCs w:val="21"/>
                    </w:rPr>
                    <w:t>空间布局引导</w:t>
                  </w:r>
                </w:p>
              </w:tc>
              <w:tc>
                <w:tcPr>
                  <w:tcW w:w="1690" w:type="pct"/>
                  <w:tcBorders>
                    <w:tl2br w:val="nil"/>
                    <w:tr2bl w:val="nil"/>
                  </w:tcBorders>
                  <w:vAlign w:val="center"/>
                </w:tcPr>
                <w:p w14:paraId="65CFB69A">
                  <w:pPr>
                    <w:rPr>
                      <w:sz w:val="18"/>
                      <w:szCs w:val="21"/>
                    </w:rPr>
                  </w:pPr>
                  <w:r>
                    <w:rPr>
                      <w:rFonts w:hint="eastAsia"/>
                      <w:bCs/>
                      <w:sz w:val="18"/>
                      <w:szCs w:val="21"/>
                    </w:rPr>
                    <w:t>根据产业集聚区块的功能定位，建立分区差别化的产业准入条件。合理规划布局居住、医疗卫生、文化教育等功能区块，与工业区</w:t>
                  </w:r>
                  <w:bookmarkStart w:id="12" w:name="hmcheck_6c6be3ae01764451bc00ab2f7ceae401"/>
                  <w:r>
                    <w:rPr>
                      <w:rFonts w:hint="eastAsia"/>
                      <w:bCs/>
                      <w:sz w:val="18"/>
                      <w:szCs w:val="21"/>
                    </w:rPr>
                    <w:t>块</w:t>
                  </w:r>
                  <w:bookmarkEnd w:id="12"/>
                  <w:r>
                    <w:rPr>
                      <w:rFonts w:hint="eastAsia"/>
                      <w:bCs/>
                      <w:sz w:val="18"/>
                      <w:szCs w:val="21"/>
                    </w:rPr>
                    <w:t>、工业企业之间设置防护绿地、生活绿地等隔离带。</w:t>
                  </w:r>
                </w:p>
              </w:tc>
              <w:tc>
                <w:tcPr>
                  <w:tcW w:w="1888" w:type="pct"/>
                  <w:tcBorders>
                    <w:tl2br w:val="nil"/>
                    <w:tr2bl w:val="nil"/>
                  </w:tcBorders>
                  <w:vAlign w:val="center"/>
                </w:tcPr>
                <w:p w14:paraId="35B6C1E7">
                  <w:pPr>
                    <w:rPr>
                      <w:sz w:val="18"/>
                      <w:szCs w:val="21"/>
                    </w:rPr>
                  </w:pPr>
                  <w:r>
                    <w:rPr>
                      <w:rFonts w:hint="eastAsia"/>
                      <w:sz w:val="18"/>
                      <w:szCs w:val="18"/>
                    </w:rPr>
                    <w:t>本项目属于二类工业项目，</w:t>
                  </w:r>
                  <w:r>
                    <w:rPr>
                      <w:rFonts w:hint="eastAsia"/>
                      <w:sz w:val="18"/>
                      <w:szCs w:val="18"/>
                      <w:lang w:val="en-GB"/>
                    </w:rPr>
                    <w:t>根据规划和规划环评分析可知，</w:t>
                  </w:r>
                  <w:r>
                    <w:rPr>
                      <w:rFonts w:hint="eastAsia"/>
                      <w:sz w:val="18"/>
                      <w:szCs w:val="21"/>
                    </w:rPr>
                    <w:t>符合区域产业准入</w:t>
                  </w:r>
                  <w:r>
                    <w:rPr>
                      <w:rFonts w:hint="eastAsia"/>
                      <w:sz w:val="18"/>
                      <w:szCs w:val="21"/>
                      <w:highlight w:val="none"/>
                    </w:rPr>
                    <w:t>条件；项目</w:t>
                  </w:r>
                  <w:r>
                    <w:rPr>
                      <w:rFonts w:hint="eastAsia"/>
                      <w:kern w:val="0"/>
                      <w:sz w:val="18"/>
                      <w:szCs w:val="18"/>
                      <w:highlight w:val="none"/>
                    </w:rPr>
                    <w:t>与周边保护目标之间隔有防护绿地等隔离带，距离</w:t>
                  </w:r>
                  <w:r>
                    <w:rPr>
                      <w:rFonts w:hint="eastAsia"/>
                      <w:sz w:val="18"/>
                      <w:szCs w:val="18"/>
                      <w:highlight w:val="none"/>
                    </w:rPr>
                    <w:t>最近的敏感目标</w:t>
                  </w:r>
                  <w:r>
                    <w:rPr>
                      <w:rFonts w:hint="eastAsia"/>
                      <w:kern w:val="0"/>
                      <w:sz w:val="18"/>
                      <w:szCs w:val="18"/>
                      <w:highlight w:val="none"/>
                    </w:rPr>
                    <w:t>为</w:t>
                  </w:r>
                  <w:r>
                    <w:rPr>
                      <w:rFonts w:hint="eastAsia"/>
                      <w:kern w:val="0"/>
                      <w:sz w:val="18"/>
                      <w:szCs w:val="18"/>
                      <w:highlight w:val="none"/>
                      <w:lang w:val="en-US" w:eastAsia="zh-CN"/>
                    </w:rPr>
                    <w:t>西侧约140米处的规划居住用地</w:t>
                  </w:r>
                  <w:r>
                    <w:rPr>
                      <w:rFonts w:hint="eastAsia"/>
                      <w:kern w:val="0"/>
                      <w:sz w:val="18"/>
                      <w:szCs w:val="18"/>
                      <w:highlight w:val="none"/>
                    </w:rPr>
                    <w:t>。</w:t>
                  </w:r>
                </w:p>
              </w:tc>
              <w:tc>
                <w:tcPr>
                  <w:tcW w:w="367" w:type="pct"/>
                  <w:tcBorders>
                    <w:tl2br w:val="nil"/>
                    <w:tr2bl w:val="nil"/>
                  </w:tcBorders>
                  <w:vAlign w:val="center"/>
                </w:tcPr>
                <w:p w14:paraId="0599C487">
                  <w:pPr>
                    <w:jc w:val="center"/>
                    <w:rPr>
                      <w:sz w:val="18"/>
                      <w:szCs w:val="21"/>
                    </w:rPr>
                  </w:pPr>
                  <w:r>
                    <w:rPr>
                      <w:rFonts w:hint="eastAsia"/>
                      <w:sz w:val="18"/>
                      <w:szCs w:val="21"/>
                    </w:rPr>
                    <w:t>符合</w:t>
                  </w:r>
                </w:p>
              </w:tc>
            </w:tr>
            <w:tr w14:paraId="5BF10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4E6D234D">
                  <w:pPr>
                    <w:jc w:val="center"/>
                    <w:rPr>
                      <w:sz w:val="18"/>
                      <w:szCs w:val="21"/>
                    </w:rPr>
                  </w:pPr>
                  <w:r>
                    <w:rPr>
                      <w:rFonts w:hint="eastAsia"/>
                      <w:sz w:val="18"/>
                      <w:szCs w:val="21"/>
                    </w:rPr>
                    <w:t>污染物排放管控</w:t>
                  </w:r>
                </w:p>
              </w:tc>
              <w:tc>
                <w:tcPr>
                  <w:tcW w:w="1690" w:type="pct"/>
                  <w:tcBorders>
                    <w:tl2br w:val="nil"/>
                    <w:tr2bl w:val="nil"/>
                  </w:tcBorders>
                  <w:vAlign w:val="center"/>
                </w:tcPr>
                <w:p w14:paraId="5831B5C4">
                  <w:pPr>
                    <w:rPr>
                      <w:sz w:val="18"/>
                      <w:szCs w:val="21"/>
                    </w:rPr>
                  </w:pPr>
                  <w:r>
                    <w:rPr>
                      <w:rFonts w:hint="eastAsia"/>
                      <w:bCs/>
                      <w:sz w:val="18"/>
                      <w:szCs w:val="18"/>
                    </w:rPr>
                    <w:t>严格实施污染物总量控制制度，根据区域环境质量改善目标，削减污染物排放总量。所有企业实现雨污分流。</w:t>
                  </w:r>
                </w:p>
              </w:tc>
              <w:tc>
                <w:tcPr>
                  <w:tcW w:w="1888" w:type="pct"/>
                  <w:tcBorders>
                    <w:tl2br w:val="nil"/>
                    <w:tr2bl w:val="nil"/>
                  </w:tcBorders>
                  <w:vAlign w:val="center"/>
                </w:tcPr>
                <w:p w14:paraId="006488DC">
                  <w:pPr>
                    <w:rPr>
                      <w:sz w:val="18"/>
                      <w:szCs w:val="21"/>
                    </w:rPr>
                  </w:pPr>
                  <w:r>
                    <w:rPr>
                      <w:rFonts w:hint="eastAsia"/>
                      <w:sz w:val="18"/>
                      <w:szCs w:val="18"/>
                    </w:rPr>
                    <w:t>项目废水、废气、噪声均能达标排放，严格执行污染物总量控制，根据区域环境质量改善目标，削减污染物排放总量，</w:t>
                  </w:r>
                  <w:r>
                    <w:rPr>
                      <w:rFonts w:hint="eastAsia"/>
                      <w:sz w:val="18"/>
                      <w:szCs w:val="21"/>
                    </w:rPr>
                    <w:t>不会导致区域环境质量降低。项目实行雨污分流。</w:t>
                  </w:r>
                </w:p>
              </w:tc>
              <w:tc>
                <w:tcPr>
                  <w:tcW w:w="367" w:type="pct"/>
                  <w:tcBorders>
                    <w:tl2br w:val="nil"/>
                    <w:tr2bl w:val="nil"/>
                  </w:tcBorders>
                  <w:vAlign w:val="center"/>
                </w:tcPr>
                <w:p w14:paraId="608AEB78">
                  <w:pPr>
                    <w:jc w:val="center"/>
                    <w:rPr>
                      <w:sz w:val="18"/>
                      <w:szCs w:val="21"/>
                    </w:rPr>
                  </w:pPr>
                  <w:r>
                    <w:rPr>
                      <w:rFonts w:hint="eastAsia"/>
                      <w:sz w:val="18"/>
                      <w:szCs w:val="21"/>
                    </w:rPr>
                    <w:t>符合</w:t>
                  </w:r>
                </w:p>
              </w:tc>
            </w:tr>
            <w:tr w14:paraId="3746AA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1053" w:type="pct"/>
                  <w:tcBorders>
                    <w:tl2br w:val="nil"/>
                    <w:tr2bl w:val="nil"/>
                  </w:tcBorders>
                  <w:vAlign w:val="center"/>
                </w:tcPr>
                <w:p w14:paraId="22884996">
                  <w:pPr>
                    <w:jc w:val="center"/>
                    <w:rPr>
                      <w:sz w:val="18"/>
                      <w:szCs w:val="21"/>
                    </w:rPr>
                  </w:pPr>
                  <w:r>
                    <w:rPr>
                      <w:rFonts w:hint="eastAsia"/>
                      <w:sz w:val="18"/>
                      <w:szCs w:val="21"/>
                    </w:rPr>
                    <w:t>环境风险防控</w:t>
                  </w:r>
                </w:p>
              </w:tc>
              <w:tc>
                <w:tcPr>
                  <w:tcW w:w="1690" w:type="pct"/>
                  <w:tcBorders>
                    <w:tl2br w:val="nil"/>
                    <w:tr2bl w:val="nil"/>
                  </w:tcBorders>
                  <w:vAlign w:val="center"/>
                </w:tcPr>
                <w:p w14:paraId="503197E9">
                  <w:pPr>
                    <w:rPr>
                      <w:sz w:val="18"/>
                      <w:szCs w:val="21"/>
                    </w:rPr>
                  </w:pPr>
                  <w:r>
                    <w:rPr>
                      <w:rFonts w:hint="eastAsia"/>
                      <w:bCs/>
                      <w:sz w:val="18"/>
                      <w:szCs w:val="18"/>
                    </w:rPr>
                    <w:t>强化工业集聚区企业环境风险防范设施设备建设和正常运行监管，加强重点环境风险管控企业应急预案制定，建立常态化的企业隐患排查整治监管机制，加强风险防控体系建设</w:t>
                  </w:r>
                  <w:r>
                    <w:rPr>
                      <w:rFonts w:hint="eastAsia"/>
                      <w:sz w:val="18"/>
                      <w:szCs w:val="21"/>
                    </w:rPr>
                    <w:t>。</w:t>
                  </w:r>
                </w:p>
              </w:tc>
              <w:tc>
                <w:tcPr>
                  <w:tcW w:w="1888" w:type="pct"/>
                  <w:tcBorders>
                    <w:tl2br w:val="nil"/>
                    <w:tr2bl w:val="nil"/>
                  </w:tcBorders>
                  <w:vAlign w:val="center"/>
                </w:tcPr>
                <w:p w14:paraId="2A733B20">
                  <w:pPr>
                    <w:rPr>
                      <w:sz w:val="18"/>
                      <w:szCs w:val="21"/>
                    </w:rPr>
                  </w:pPr>
                  <w:r>
                    <w:rPr>
                      <w:rFonts w:hint="eastAsia"/>
                      <w:sz w:val="18"/>
                      <w:szCs w:val="18"/>
                    </w:rPr>
                    <w:t>本项目属于二类工业项目，严格做好安全生产工作，严格遵守各项操作规程和制度，操作规程和制度，落实各项风险防范措施，减少对周围环境的影响。因此符合环境风险防控要求。</w:t>
                  </w:r>
                </w:p>
              </w:tc>
              <w:tc>
                <w:tcPr>
                  <w:tcW w:w="367" w:type="pct"/>
                  <w:tcBorders>
                    <w:tl2br w:val="nil"/>
                    <w:tr2bl w:val="nil"/>
                  </w:tcBorders>
                  <w:vAlign w:val="center"/>
                </w:tcPr>
                <w:p w14:paraId="5B419C6F">
                  <w:pPr>
                    <w:jc w:val="center"/>
                    <w:rPr>
                      <w:sz w:val="18"/>
                      <w:szCs w:val="21"/>
                    </w:rPr>
                  </w:pPr>
                  <w:r>
                    <w:rPr>
                      <w:rFonts w:hint="eastAsia"/>
                      <w:sz w:val="18"/>
                      <w:szCs w:val="21"/>
                    </w:rPr>
                    <w:t>符合</w:t>
                  </w:r>
                </w:p>
              </w:tc>
            </w:tr>
          </w:tbl>
          <w:p w14:paraId="32D7978B">
            <w:pPr>
              <w:autoSpaceDE w:val="0"/>
              <w:autoSpaceDN w:val="0"/>
              <w:adjustRightInd w:val="0"/>
              <w:snapToGrid w:val="0"/>
              <w:spacing w:line="360" w:lineRule="auto"/>
              <w:ind w:firstLine="420" w:firstLineChars="200"/>
              <w:rPr>
                <w:bCs/>
                <w:szCs w:val="21"/>
              </w:rPr>
            </w:pPr>
            <w:r>
              <w:rPr>
                <w:rFonts w:hint="eastAsia"/>
                <w:szCs w:val="21"/>
              </w:rPr>
              <w:t>综上，</w:t>
            </w:r>
            <w:r>
              <w:rPr>
                <w:rFonts w:hint="eastAsia"/>
                <w:bCs/>
                <w:szCs w:val="21"/>
              </w:rPr>
              <w:t>项目符合《</w:t>
            </w:r>
            <w:r>
              <w:rPr>
                <w:rFonts w:hint="eastAsia"/>
                <w:szCs w:val="21"/>
              </w:rPr>
              <w:t>杭州市生态环境分区管控动态更新方案》管控</w:t>
            </w:r>
            <w:r>
              <w:rPr>
                <w:rFonts w:hint="eastAsia"/>
                <w:bCs/>
                <w:szCs w:val="21"/>
              </w:rPr>
              <w:t>要求。</w:t>
            </w:r>
          </w:p>
          <w:p w14:paraId="5837BE48">
            <w:pPr>
              <w:spacing w:line="360" w:lineRule="auto"/>
              <w:outlineLvl w:val="2"/>
              <w:rPr>
                <w:b/>
                <w:snapToGrid w:val="0"/>
                <w:sz w:val="22"/>
                <w:szCs w:val="28"/>
              </w:rPr>
            </w:pPr>
            <w:r>
              <w:rPr>
                <w:rFonts w:hint="eastAsia"/>
                <w:b/>
                <w:snapToGrid w:val="0"/>
                <w:sz w:val="22"/>
                <w:szCs w:val="28"/>
              </w:rPr>
              <w:t>1.3.2  排放污染物应当符合国家、省规定的污染物排放标准和重点污染物排放总量控制要求</w:t>
            </w:r>
          </w:p>
          <w:p w14:paraId="2A418240">
            <w:pPr>
              <w:spacing w:line="360" w:lineRule="auto"/>
              <w:ind w:firstLine="420" w:firstLineChars="200"/>
              <w:rPr>
                <w:szCs w:val="21"/>
              </w:rPr>
            </w:pPr>
            <w:r>
              <w:rPr>
                <w:rFonts w:hint="eastAsia"/>
                <w:szCs w:val="21"/>
              </w:rPr>
              <w:t>根据工程分析及环境影响分析，项目废气、废水、噪声经处理后均能达标排放，各种固体废物均可得到妥善处置，对环境的影响可接受，环境功能可维持现状。</w:t>
            </w:r>
          </w:p>
          <w:p w14:paraId="39A34621">
            <w:pPr>
              <w:spacing w:line="360" w:lineRule="auto"/>
              <w:ind w:firstLine="420" w:firstLineChars="200"/>
              <w:rPr>
                <w:color w:val="FF0000"/>
                <w:szCs w:val="21"/>
              </w:rPr>
            </w:pPr>
            <w:r>
              <w:rPr>
                <w:rFonts w:hint="eastAsia"/>
                <w:szCs w:val="21"/>
              </w:rPr>
              <w:t>项目建成后新增总量指标均可在区域内进行替代削减，符合总量控制要求。</w:t>
            </w:r>
          </w:p>
          <w:p w14:paraId="3CF470A9">
            <w:pPr>
              <w:spacing w:line="360" w:lineRule="auto"/>
              <w:outlineLvl w:val="2"/>
              <w:rPr>
                <w:b/>
                <w:snapToGrid w:val="0"/>
                <w:sz w:val="22"/>
                <w:szCs w:val="28"/>
              </w:rPr>
            </w:pPr>
            <w:r>
              <w:rPr>
                <w:rFonts w:hint="eastAsia"/>
                <w:b/>
                <w:snapToGrid w:val="0"/>
                <w:sz w:val="22"/>
                <w:szCs w:val="28"/>
              </w:rPr>
              <w:t>1.3.3  建设项目还应符合国土空间规划、国家和省产业政策等要求</w:t>
            </w:r>
          </w:p>
          <w:p w14:paraId="43F54D74">
            <w:pPr>
              <w:spacing w:line="360" w:lineRule="auto"/>
              <w:ind w:firstLine="420" w:firstLineChars="200"/>
              <w:rPr>
                <w:szCs w:val="21"/>
              </w:rPr>
            </w:pPr>
            <w:r>
              <w:rPr>
                <w:rFonts w:hint="eastAsia" w:ascii="宋体" w:hAnsi="宋体" w:cs="宋体"/>
                <w:szCs w:val="21"/>
              </w:rPr>
              <w:t>①</w:t>
            </w:r>
            <w:r>
              <w:rPr>
                <w:rFonts w:hint="eastAsia"/>
                <w:szCs w:val="21"/>
              </w:rPr>
              <w:t>国土空间规划符合性</w:t>
            </w:r>
          </w:p>
          <w:p w14:paraId="1A30DBBC">
            <w:pPr>
              <w:spacing w:line="360" w:lineRule="auto"/>
              <w:ind w:firstLine="420" w:firstLineChars="200"/>
              <w:rPr>
                <w:szCs w:val="21"/>
              </w:rPr>
            </w:pPr>
            <w:r>
              <w:rPr>
                <w:rFonts w:hint="eastAsia"/>
                <w:szCs w:val="21"/>
              </w:rPr>
              <w:t>本项目位于杭州市余杭区中泰街道铜山溪路2号南湖未来科学院5号楼301-302室，根据建设单位提供的不动产权证（详见附件），地块为工业用地，符合用地规划；根据项目所在地三区三线图，项目所在地位于城镇开发边界内，不涉及永久基本农田和生态保护红线，符合国土空间规划。</w:t>
            </w:r>
          </w:p>
          <w:p w14:paraId="2A863B31">
            <w:pPr>
              <w:spacing w:line="360" w:lineRule="auto"/>
              <w:ind w:firstLine="420" w:firstLineChars="200"/>
              <w:rPr>
                <w:szCs w:val="21"/>
              </w:rPr>
            </w:pPr>
            <w:r>
              <w:rPr>
                <w:rFonts w:hint="eastAsia" w:ascii="宋体" w:hAnsi="宋体" w:cs="宋体"/>
                <w:szCs w:val="21"/>
              </w:rPr>
              <w:t>②</w:t>
            </w:r>
            <w:r>
              <w:rPr>
                <w:rFonts w:hint="eastAsia"/>
                <w:szCs w:val="21"/>
              </w:rPr>
              <w:t>产业政策符合性</w:t>
            </w:r>
          </w:p>
          <w:p w14:paraId="4DA20A6C">
            <w:pPr>
              <w:spacing w:line="360" w:lineRule="auto"/>
              <w:ind w:firstLine="420" w:firstLineChars="200"/>
              <w:rPr>
                <w:bCs/>
                <w:szCs w:val="21"/>
              </w:rPr>
            </w:pPr>
            <w:r>
              <w:rPr>
                <w:rFonts w:hint="eastAsia"/>
                <w:bCs/>
                <w:szCs w:val="21"/>
              </w:rPr>
              <w:t>（1）国家产业政策</w:t>
            </w:r>
          </w:p>
          <w:p w14:paraId="0A6476D7">
            <w:pPr>
              <w:spacing w:line="360" w:lineRule="auto"/>
              <w:ind w:firstLine="420" w:firstLineChars="200"/>
              <w:rPr>
                <w:bCs/>
                <w:szCs w:val="21"/>
              </w:rPr>
            </w:pPr>
            <w:r>
              <w:rPr>
                <w:rFonts w:hint="eastAsia"/>
                <w:bCs/>
                <w:szCs w:val="21"/>
              </w:rPr>
              <w:t>根据《产业结构调整指导目录(2024年本)》（2023年第7号令），本项目不属于该目录中限制和淘汰类。对照《市场准入负面清单(2025年版)》（发改体改规〔2025〕466号），本项目不在其负面清单范围内。对照《</w:t>
            </w:r>
            <w:r>
              <w:rPr>
                <w:rStyle w:val="33"/>
                <w:rFonts w:hint="eastAsia"/>
                <w:kern w:val="0"/>
                <w:szCs w:val="20"/>
              </w:rPr>
              <w:t>自然资源要素支撑产业高质量发展指导目录（2024年本）</w:t>
            </w:r>
            <w:r>
              <w:rPr>
                <w:rFonts w:hint="eastAsia"/>
                <w:bCs/>
                <w:szCs w:val="21"/>
              </w:rPr>
              <w:t>》（自然资发〔2024〕273号）</w:t>
            </w:r>
            <w:r>
              <w:rPr>
                <w:rStyle w:val="33"/>
                <w:rFonts w:hint="eastAsia"/>
                <w:kern w:val="0"/>
                <w:szCs w:val="20"/>
              </w:rPr>
              <w:t>，本项目不属于该目录中限制类和禁止类。</w:t>
            </w:r>
            <w:r>
              <w:rPr>
                <w:rFonts w:hint="eastAsia"/>
              </w:rPr>
              <w:t>对照《环境保护综合名录（2021年版）》（环办综合函〔2021〕495号），项目不涉及“高污染、高环境风险”产品。</w:t>
            </w:r>
          </w:p>
          <w:p w14:paraId="4CABD611">
            <w:pPr>
              <w:spacing w:line="360" w:lineRule="auto"/>
              <w:ind w:firstLine="420" w:firstLineChars="200"/>
              <w:rPr>
                <w:bCs/>
                <w:szCs w:val="21"/>
              </w:rPr>
            </w:pPr>
            <w:r>
              <w:rPr>
                <w:rFonts w:hint="eastAsia"/>
                <w:bCs/>
                <w:szCs w:val="21"/>
              </w:rPr>
              <w:t>（2）地方产业政策</w:t>
            </w:r>
          </w:p>
          <w:p w14:paraId="5D0CDA59">
            <w:pPr>
              <w:spacing w:line="360" w:lineRule="auto"/>
              <w:ind w:firstLine="420" w:firstLineChars="200"/>
              <w:rPr>
                <w:bCs/>
                <w:szCs w:val="21"/>
              </w:rPr>
            </w:pPr>
            <w:r>
              <w:rPr>
                <w:rFonts w:hint="eastAsia"/>
                <w:bCs/>
                <w:szCs w:val="21"/>
              </w:rPr>
              <w:t>对照《长江经济带发展负面清单指南（试行，2022年版）浙江省实施细则》（浙长江办〔</w:t>
            </w:r>
            <w:r>
              <w:rPr>
                <w:bCs/>
                <w:szCs w:val="21"/>
              </w:rPr>
              <w:t>2022</w:t>
            </w:r>
            <w:r>
              <w:rPr>
                <w:rFonts w:hint="eastAsia"/>
                <w:bCs/>
                <w:szCs w:val="21"/>
              </w:rPr>
              <w:t>〕6号），本项目不在其负面清单范围内。对照《杭州市产业发展导向目录与产业平台布局指引（2024年本）》，项目不属于其中限制类和淘汰类项目。</w:t>
            </w:r>
          </w:p>
          <w:p w14:paraId="055590B3">
            <w:pPr>
              <w:spacing w:line="360" w:lineRule="auto"/>
              <w:ind w:firstLine="420" w:firstLineChars="200"/>
              <w:rPr>
                <w:bCs/>
                <w:szCs w:val="21"/>
              </w:rPr>
            </w:pPr>
            <w:r>
              <w:rPr>
                <w:rFonts w:hint="eastAsia"/>
                <w:bCs/>
                <w:szCs w:val="21"/>
              </w:rPr>
              <w:t>因此，项目符合相关产业政策要求。</w:t>
            </w:r>
          </w:p>
          <w:p w14:paraId="453342EC">
            <w:pPr>
              <w:spacing w:line="360" w:lineRule="auto"/>
              <w:outlineLvl w:val="1"/>
              <w:rPr>
                <w:b/>
                <w:sz w:val="24"/>
              </w:rPr>
            </w:pPr>
            <w:r>
              <w:rPr>
                <w:rFonts w:hint="eastAsia"/>
                <w:b/>
                <w:sz w:val="24"/>
              </w:rPr>
              <w:t>1.4  太湖流域相关政策符合性分析</w:t>
            </w:r>
          </w:p>
          <w:p w14:paraId="7D17D8F5">
            <w:pPr>
              <w:spacing w:line="360" w:lineRule="auto"/>
              <w:outlineLvl w:val="2"/>
              <w:rPr>
                <w:b/>
                <w:sz w:val="22"/>
                <w:szCs w:val="22"/>
              </w:rPr>
            </w:pPr>
            <w:r>
              <w:rPr>
                <w:rFonts w:hint="eastAsia"/>
                <w:b/>
                <w:sz w:val="22"/>
                <w:szCs w:val="22"/>
              </w:rPr>
              <w:t>1.4.1  《太湖流域管理条例》符合性分析</w:t>
            </w:r>
          </w:p>
          <w:p w14:paraId="67064BAA">
            <w:pPr>
              <w:spacing w:line="360" w:lineRule="auto"/>
              <w:ind w:firstLine="420" w:firstLineChars="200"/>
              <w:rPr>
                <w:bCs/>
                <w:szCs w:val="21"/>
              </w:rPr>
            </w:pPr>
            <w:r>
              <w:rPr>
                <w:rFonts w:hint="eastAsia"/>
                <w:bCs/>
                <w:szCs w:val="21"/>
              </w:rPr>
              <w:t>《太湖流域管理条例》于2011年8月24日国务院第169次常务会议通过，自2011年11月1日起施行。项目与其中有关条款的符合性分析如</w:t>
            </w:r>
            <w:r>
              <w:rPr>
                <w:rFonts w:hint="eastAsia"/>
                <w:bCs/>
                <w:szCs w:val="21"/>
                <w:lang w:val="en-US" w:eastAsia="zh-CN"/>
              </w:rPr>
              <w:t>下表</w:t>
            </w:r>
            <w:r>
              <w:rPr>
                <w:rFonts w:hint="eastAsia"/>
                <w:bCs/>
                <w:szCs w:val="21"/>
              </w:rPr>
              <w:t>所示。</w:t>
            </w:r>
          </w:p>
          <w:p w14:paraId="43D7B2BB">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r>
              <w:rPr>
                <w:rFonts w:hint="eastAsia" w:ascii="黑体" w:hAnsi="黑体" w:eastAsia="黑体" w:cs="黑体"/>
                <w:kern w:val="0"/>
                <w:szCs w:val="21"/>
                <w:lang w:val="zh-CN"/>
              </w:rPr>
              <w:t>项目与《</w:t>
            </w:r>
            <w:r>
              <w:rPr>
                <w:rFonts w:hint="eastAsia" w:ascii="黑体" w:hAnsi="黑体" w:eastAsia="黑体" w:cs="黑体"/>
                <w:kern w:val="0"/>
                <w:szCs w:val="21"/>
              </w:rPr>
              <w:t>太湖流域管理条例</w:t>
            </w:r>
            <w:r>
              <w:rPr>
                <w:rFonts w:hint="eastAsia" w:ascii="黑体" w:hAnsi="黑体" w:eastAsia="黑体" w:cs="黑体"/>
                <w:kern w:val="0"/>
                <w:szCs w:val="21"/>
                <w:lang w:val="zh-CN"/>
              </w:rPr>
              <w:t>》</w:t>
            </w:r>
            <w:r>
              <w:rPr>
                <w:rFonts w:hint="eastAsia" w:ascii="黑体" w:hAnsi="黑体" w:eastAsia="黑体" w:cs="黑体"/>
                <w:kern w:val="0"/>
                <w:szCs w:val="21"/>
              </w:rPr>
              <w:t>有关内容</w:t>
            </w:r>
            <w:r>
              <w:rPr>
                <w:rFonts w:hint="eastAsia" w:ascii="黑体" w:hAnsi="黑体" w:eastAsia="黑体" w:cs="黑体"/>
                <w:kern w:val="0"/>
                <w:szCs w:val="21"/>
                <w:lang w:val="zh-CN"/>
              </w:rPr>
              <w:t>符合性分析</w:t>
            </w:r>
          </w:p>
          <w:tbl>
            <w:tblPr>
              <w:tblStyle w:val="26"/>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71"/>
              <w:gridCol w:w="4795"/>
              <w:gridCol w:w="2043"/>
              <w:gridCol w:w="886"/>
            </w:tblGrid>
            <w:tr w14:paraId="47C28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399" w:type="pct"/>
                  <w:tcBorders>
                    <w:tl2br w:val="nil"/>
                    <w:tr2bl w:val="nil"/>
                  </w:tcBorders>
                  <w:vAlign w:val="center"/>
                </w:tcPr>
                <w:p w14:paraId="25477D14">
                  <w:pPr>
                    <w:jc w:val="center"/>
                    <w:rPr>
                      <w:sz w:val="18"/>
                      <w:szCs w:val="18"/>
                    </w:rPr>
                  </w:pPr>
                  <w:r>
                    <w:rPr>
                      <w:rFonts w:hint="eastAsia"/>
                      <w:sz w:val="18"/>
                      <w:szCs w:val="18"/>
                    </w:rPr>
                    <w:t>条款</w:t>
                  </w:r>
                </w:p>
              </w:tc>
              <w:tc>
                <w:tcPr>
                  <w:tcW w:w="2854" w:type="pct"/>
                  <w:tcBorders>
                    <w:tl2br w:val="nil"/>
                    <w:tr2bl w:val="nil"/>
                  </w:tcBorders>
                  <w:vAlign w:val="center"/>
                </w:tcPr>
                <w:p w14:paraId="71C79F6A">
                  <w:pPr>
                    <w:jc w:val="center"/>
                    <w:rPr>
                      <w:sz w:val="18"/>
                      <w:szCs w:val="18"/>
                    </w:rPr>
                  </w:pPr>
                  <w:r>
                    <w:rPr>
                      <w:rFonts w:hint="eastAsia"/>
                      <w:sz w:val="18"/>
                      <w:szCs w:val="18"/>
                    </w:rPr>
                    <w:t>有关要求</w:t>
                  </w:r>
                </w:p>
              </w:tc>
              <w:tc>
                <w:tcPr>
                  <w:tcW w:w="1217" w:type="pct"/>
                  <w:tcBorders>
                    <w:tl2br w:val="nil"/>
                    <w:tr2bl w:val="nil"/>
                  </w:tcBorders>
                  <w:vAlign w:val="center"/>
                </w:tcPr>
                <w:p w14:paraId="3CAF99E1">
                  <w:pPr>
                    <w:jc w:val="center"/>
                    <w:rPr>
                      <w:sz w:val="18"/>
                      <w:szCs w:val="18"/>
                    </w:rPr>
                  </w:pPr>
                  <w:r>
                    <w:rPr>
                      <w:rFonts w:hint="eastAsia"/>
                      <w:sz w:val="18"/>
                      <w:szCs w:val="18"/>
                    </w:rPr>
                    <w:t>本项目情况</w:t>
                  </w:r>
                </w:p>
              </w:tc>
              <w:tc>
                <w:tcPr>
                  <w:tcW w:w="528" w:type="pct"/>
                  <w:tcBorders>
                    <w:tl2br w:val="nil"/>
                    <w:tr2bl w:val="nil"/>
                  </w:tcBorders>
                  <w:vAlign w:val="center"/>
                </w:tcPr>
                <w:p w14:paraId="76108626">
                  <w:pPr>
                    <w:jc w:val="center"/>
                    <w:rPr>
                      <w:sz w:val="18"/>
                      <w:szCs w:val="18"/>
                    </w:rPr>
                  </w:pPr>
                  <w:r>
                    <w:rPr>
                      <w:rFonts w:hint="eastAsia"/>
                      <w:sz w:val="18"/>
                      <w:szCs w:val="18"/>
                    </w:rPr>
                    <w:t>符合性</w:t>
                  </w:r>
                </w:p>
              </w:tc>
            </w:tr>
            <w:tr w14:paraId="5D0814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36038081">
                  <w:pPr>
                    <w:jc w:val="center"/>
                    <w:rPr>
                      <w:sz w:val="18"/>
                      <w:szCs w:val="18"/>
                    </w:rPr>
                  </w:pPr>
                  <w:r>
                    <w:rPr>
                      <w:rFonts w:hint="eastAsia"/>
                      <w:sz w:val="18"/>
                      <w:szCs w:val="18"/>
                      <w:lang w:val="zh-CN"/>
                    </w:rPr>
                    <w:t>第八条</w:t>
                  </w:r>
                </w:p>
              </w:tc>
              <w:tc>
                <w:tcPr>
                  <w:tcW w:w="4512" w:type="dxa"/>
                  <w:tcBorders>
                    <w:tl2br w:val="nil"/>
                    <w:tr2bl w:val="nil"/>
                  </w:tcBorders>
                  <w:vAlign w:val="center"/>
                </w:tcPr>
                <w:p w14:paraId="33497CC7">
                  <w:pPr>
                    <w:rPr>
                      <w:sz w:val="18"/>
                      <w:szCs w:val="18"/>
                    </w:rPr>
                  </w:pPr>
                  <w:r>
                    <w:rPr>
                      <w:rFonts w:hint="eastAsia"/>
                      <w:sz w:val="18"/>
                      <w:szCs w:val="18"/>
                      <w:lang w:val="zh-CN"/>
                    </w:rPr>
                    <w:t>禁止在太湖流域饮用水水源保护区内设置排污口、有毒有害物品仓库以及垃圾场；已经设置的，当地县级人民政府应当责令拆除或者关闭。</w:t>
                  </w:r>
                </w:p>
              </w:tc>
              <w:tc>
                <w:tcPr>
                  <w:tcW w:w="1924" w:type="dxa"/>
                  <w:tcBorders>
                    <w:tl2br w:val="nil"/>
                    <w:tr2bl w:val="nil"/>
                  </w:tcBorders>
                  <w:vAlign w:val="center"/>
                </w:tcPr>
                <w:p w14:paraId="77099DC0">
                  <w:pPr>
                    <w:rPr>
                      <w:sz w:val="18"/>
                      <w:szCs w:val="18"/>
                    </w:rPr>
                  </w:pPr>
                  <w:r>
                    <w:rPr>
                      <w:rFonts w:hint="eastAsia"/>
                      <w:sz w:val="18"/>
                      <w:szCs w:val="18"/>
                      <w:lang w:val="zh-CN"/>
                    </w:rPr>
                    <w:t>项目不在饮用水水源保护区范围，废水纳管排放，不单独设置排污口。</w:t>
                  </w:r>
                </w:p>
              </w:tc>
              <w:tc>
                <w:tcPr>
                  <w:tcW w:w="835" w:type="dxa"/>
                  <w:tcBorders>
                    <w:tl2br w:val="nil"/>
                    <w:tr2bl w:val="nil"/>
                  </w:tcBorders>
                  <w:vAlign w:val="center"/>
                </w:tcPr>
                <w:p w14:paraId="3DE3A0D2">
                  <w:pPr>
                    <w:jc w:val="center"/>
                    <w:rPr>
                      <w:rFonts w:hint="eastAsia" w:eastAsia="宋体"/>
                      <w:sz w:val="18"/>
                      <w:szCs w:val="18"/>
                      <w:lang w:eastAsia="zh-CN"/>
                    </w:rPr>
                  </w:pPr>
                  <w:r>
                    <w:rPr>
                      <w:rFonts w:hint="eastAsia"/>
                      <w:sz w:val="18"/>
                      <w:szCs w:val="18"/>
                      <w:lang w:val="en-US" w:eastAsia="zh-CN"/>
                    </w:rPr>
                    <w:t>符合</w:t>
                  </w:r>
                </w:p>
              </w:tc>
            </w:tr>
            <w:tr w14:paraId="094C52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734A7B74">
                  <w:pPr>
                    <w:jc w:val="center"/>
                    <w:rPr>
                      <w:sz w:val="18"/>
                      <w:szCs w:val="18"/>
                      <w:lang w:val="zh-CN"/>
                    </w:rPr>
                  </w:pPr>
                  <w:r>
                    <w:rPr>
                      <w:rFonts w:hint="eastAsia"/>
                      <w:sz w:val="18"/>
                      <w:szCs w:val="18"/>
                      <w:lang w:val="zh-CN"/>
                    </w:rPr>
                    <w:t>第二十八条</w:t>
                  </w:r>
                </w:p>
              </w:tc>
              <w:tc>
                <w:tcPr>
                  <w:tcW w:w="4512" w:type="dxa"/>
                  <w:tcBorders>
                    <w:tl2br w:val="nil"/>
                    <w:tr2bl w:val="nil"/>
                  </w:tcBorders>
                  <w:vAlign w:val="center"/>
                </w:tcPr>
                <w:p w14:paraId="1D3FB61A">
                  <w:pPr>
                    <w:rPr>
                      <w:sz w:val="18"/>
                      <w:szCs w:val="18"/>
                      <w:lang w:val="zh-CN"/>
                    </w:rPr>
                  </w:pPr>
                  <w:r>
                    <w:rPr>
                      <w:rFonts w:hint="eastAsia"/>
                      <w:sz w:val="18"/>
                      <w:szCs w:val="18"/>
                      <w:lang w:val="zh-CN"/>
                    </w:rPr>
                    <w:t>排污单位排放水污染物，不得超过经核定的水污染物排放总量，并应当按照规定设置便于检查、采样的规范化排污口，悬挂标志牌；不得私设暗管或者采取其他规避监管的方式排放水污染物。</w:t>
                  </w:r>
                </w:p>
                <w:p w14:paraId="00B8B413">
                  <w:pPr>
                    <w:rPr>
                      <w:sz w:val="18"/>
                      <w:szCs w:val="18"/>
                      <w:lang w:val="zh-CN"/>
                    </w:rPr>
                  </w:pPr>
                  <w:r>
                    <w:rPr>
                      <w:rFonts w:hint="eastAsia"/>
                      <w:sz w:val="18"/>
                      <w:szCs w:val="18"/>
                      <w:lang w:val="zh-CN"/>
                    </w:rPr>
                    <w:t>禁止在太湖流域设置不符合国家产业政策和水环境综合治理要求的造纸、制革、酒精、淀粉、冶金、酿造、印染、电镀等排放水污染物的生产项目，现有的生产项目不能实现达标排放的应当依法关闭。</w:t>
                  </w:r>
                </w:p>
                <w:p w14:paraId="2534EE11">
                  <w:pPr>
                    <w:rPr>
                      <w:sz w:val="18"/>
                      <w:szCs w:val="18"/>
                      <w:lang w:val="zh-CN"/>
                    </w:rPr>
                  </w:pPr>
                  <w:r>
                    <w:rPr>
                      <w:rFonts w:hint="eastAsia"/>
                      <w:sz w:val="18"/>
                      <w:szCs w:val="18"/>
                      <w:lang w:val="zh-CN"/>
                    </w:rPr>
                    <w:t>在太湖流域新设的企业应当符合国家规定的清洁生产要求，现有的企业尚未达到清洁生产要求的，应当按照清洁生产规划要求进行技术改造，两省一市人民政府应当加强监督检查。</w:t>
                  </w:r>
                </w:p>
              </w:tc>
              <w:tc>
                <w:tcPr>
                  <w:tcW w:w="1924" w:type="dxa"/>
                  <w:tcBorders>
                    <w:tl2br w:val="nil"/>
                    <w:tr2bl w:val="nil"/>
                  </w:tcBorders>
                  <w:vAlign w:val="center"/>
                </w:tcPr>
                <w:p w14:paraId="4B356453">
                  <w:pPr>
                    <w:rPr>
                      <w:sz w:val="18"/>
                      <w:szCs w:val="18"/>
                      <w:lang w:val="zh-CN"/>
                    </w:rPr>
                  </w:pPr>
                  <w:r>
                    <w:rPr>
                      <w:rFonts w:hint="eastAsia"/>
                      <w:sz w:val="18"/>
                      <w:szCs w:val="18"/>
                      <w:lang w:val="zh-CN"/>
                    </w:rPr>
                    <w:t>本项目后期运营过程中水污染物排放量不得超过本报告核定量。将设置便于检查、采样的规范化排污口，并按要求悬挂标志牌。</w:t>
                  </w:r>
                </w:p>
                <w:p w14:paraId="76CC289A">
                  <w:pPr>
                    <w:rPr>
                      <w:sz w:val="18"/>
                      <w:szCs w:val="18"/>
                      <w:lang w:val="zh-CN"/>
                    </w:rPr>
                  </w:pPr>
                  <w:r>
                    <w:rPr>
                      <w:rFonts w:hint="eastAsia"/>
                      <w:sz w:val="18"/>
                      <w:szCs w:val="18"/>
                      <w:lang w:val="zh-CN"/>
                    </w:rPr>
                    <w:t>本项目不涉及条例中禁止设置的不符合国家产业政策和水环境综合治理要求的行业。</w:t>
                  </w:r>
                </w:p>
              </w:tc>
              <w:tc>
                <w:tcPr>
                  <w:tcW w:w="835" w:type="dxa"/>
                  <w:tcBorders>
                    <w:tl2br w:val="nil"/>
                    <w:tr2bl w:val="nil"/>
                  </w:tcBorders>
                  <w:vAlign w:val="center"/>
                </w:tcPr>
                <w:p w14:paraId="72A43748">
                  <w:pPr>
                    <w:jc w:val="center"/>
                    <w:rPr>
                      <w:rFonts w:hint="eastAsia" w:eastAsia="宋体"/>
                      <w:sz w:val="15"/>
                      <w:szCs w:val="15"/>
                      <w:lang w:val="zh-CN" w:eastAsia="zh-CN"/>
                    </w:rPr>
                  </w:pPr>
                  <w:r>
                    <w:rPr>
                      <w:rFonts w:hint="eastAsia"/>
                      <w:sz w:val="18"/>
                      <w:szCs w:val="18"/>
                      <w:lang w:val="en-US" w:eastAsia="zh-CN"/>
                    </w:rPr>
                    <w:t>符合</w:t>
                  </w:r>
                </w:p>
              </w:tc>
            </w:tr>
            <w:tr w14:paraId="676A1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3699F165">
                  <w:pPr>
                    <w:jc w:val="center"/>
                    <w:rPr>
                      <w:sz w:val="18"/>
                      <w:szCs w:val="18"/>
                      <w:lang w:val="zh-CN"/>
                    </w:rPr>
                  </w:pPr>
                  <w:r>
                    <w:rPr>
                      <w:rFonts w:hint="eastAsia"/>
                      <w:sz w:val="18"/>
                      <w:szCs w:val="18"/>
                      <w:lang w:val="zh-CN"/>
                    </w:rPr>
                    <w:t>第二十九条</w:t>
                  </w:r>
                </w:p>
              </w:tc>
              <w:tc>
                <w:tcPr>
                  <w:tcW w:w="4512" w:type="dxa"/>
                  <w:tcBorders>
                    <w:tl2br w:val="nil"/>
                    <w:tr2bl w:val="nil"/>
                  </w:tcBorders>
                  <w:vAlign w:val="center"/>
                </w:tcPr>
                <w:p w14:paraId="781326B5">
                  <w:pPr>
                    <w:rPr>
                      <w:sz w:val="18"/>
                      <w:szCs w:val="18"/>
                      <w:lang w:val="zh-CN"/>
                    </w:rPr>
                  </w:pPr>
                  <w:r>
                    <w:rPr>
                      <w:rFonts w:hint="eastAsia"/>
                      <w:sz w:val="18"/>
                      <w:szCs w:val="18"/>
                      <w:lang w:val="zh-CN"/>
                    </w:rPr>
                    <w:t>新孟河、望虞河以外的其他主要入太湖河道，自河口1万米上溯至5万米河道岸线内及其岸线两侧各1000米范围内，禁止下列行为：(一)新建、扩建化工、医药生产项目；(二)新建、扩建污水集中处理设施排污口以外的排污口；(三)扩大水产养殖规模。</w:t>
                  </w:r>
                </w:p>
              </w:tc>
              <w:tc>
                <w:tcPr>
                  <w:tcW w:w="1924" w:type="dxa"/>
                  <w:tcBorders>
                    <w:tl2br w:val="nil"/>
                    <w:tr2bl w:val="nil"/>
                  </w:tcBorders>
                  <w:vAlign w:val="center"/>
                </w:tcPr>
                <w:p w14:paraId="1B814F8F">
                  <w:pPr>
                    <w:rPr>
                      <w:sz w:val="18"/>
                      <w:szCs w:val="18"/>
                      <w:lang w:val="zh-CN"/>
                    </w:rPr>
                  </w:pPr>
                  <w:r>
                    <w:rPr>
                      <w:rFonts w:hint="eastAsia"/>
                      <w:sz w:val="18"/>
                      <w:szCs w:val="18"/>
                      <w:lang w:val="zh-CN"/>
                    </w:rPr>
                    <w:t>项目不在河道岸线内及其岸线两侧各1000米范围内。项目</w:t>
                  </w:r>
                  <w:r>
                    <w:rPr>
                      <w:rFonts w:hint="eastAsia"/>
                      <w:sz w:val="18"/>
                      <w:szCs w:val="18"/>
                    </w:rPr>
                    <w:t>不属于</w:t>
                  </w:r>
                  <w:r>
                    <w:rPr>
                      <w:rFonts w:hint="eastAsia"/>
                      <w:sz w:val="18"/>
                      <w:szCs w:val="18"/>
                      <w:lang w:val="zh-CN"/>
                    </w:rPr>
                    <w:t>第二十九条</w:t>
                  </w:r>
                  <w:r>
                    <w:rPr>
                      <w:rFonts w:hint="eastAsia"/>
                      <w:sz w:val="18"/>
                      <w:szCs w:val="18"/>
                    </w:rPr>
                    <w:t>所列行业</w:t>
                  </w:r>
                  <w:r>
                    <w:rPr>
                      <w:rFonts w:hint="eastAsia"/>
                      <w:sz w:val="18"/>
                      <w:szCs w:val="18"/>
                      <w:lang w:val="zh-CN"/>
                    </w:rPr>
                    <w:t>。</w:t>
                  </w:r>
                </w:p>
              </w:tc>
              <w:tc>
                <w:tcPr>
                  <w:tcW w:w="835" w:type="dxa"/>
                  <w:tcBorders>
                    <w:tl2br w:val="nil"/>
                    <w:tr2bl w:val="nil"/>
                  </w:tcBorders>
                  <w:vAlign w:val="center"/>
                </w:tcPr>
                <w:p w14:paraId="24591AE9">
                  <w:pPr>
                    <w:jc w:val="center"/>
                    <w:rPr>
                      <w:rFonts w:hint="eastAsia" w:eastAsia="宋体"/>
                      <w:sz w:val="18"/>
                      <w:szCs w:val="18"/>
                      <w:lang w:val="zh-CN" w:eastAsia="zh-CN"/>
                    </w:rPr>
                  </w:pPr>
                  <w:r>
                    <w:rPr>
                      <w:rFonts w:hint="eastAsia"/>
                      <w:sz w:val="18"/>
                      <w:szCs w:val="18"/>
                      <w:lang w:val="en-US" w:eastAsia="zh-CN"/>
                    </w:rPr>
                    <w:t>符合</w:t>
                  </w:r>
                </w:p>
              </w:tc>
            </w:tr>
            <w:tr w14:paraId="1B05F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048249BD">
                  <w:pPr>
                    <w:jc w:val="center"/>
                    <w:rPr>
                      <w:sz w:val="18"/>
                      <w:szCs w:val="18"/>
                      <w:lang w:val="zh-CN"/>
                    </w:rPr>
                  </w:pPr>
                  <w:r>
                    <w:rPr>
                      <w:rFonts w:hint="eastAsia"/>
                      <w:sz w:val="18"/>
                      <w:szCs w:val="18"/>
                      <w:lang w:val="zh-CN"/>
                    </w:rPr>
                    <w:t>第三十条</w:t>
                  </w:r>
                </w:p>
              </w:tc>
              <w:tc>
                <w:tcPr>
                  <w:tcW w:w="4512" w:type="dxa"/>
                  <w:tcBorders>
                    <w:tl2br w:val="nil"/>
                    <w:tr2bl w:val="nil"/>
                  </w:tcBorders>
                  <w:vAlign w:val="center"/>
                </w:tcPr>
                <w:p w14:paraId="03AD86BD">
                  <w:pPr>
                    <w:rPr>
                      <w:sz w:val="18"/>
                      <w:szCs w:val="18"/>
                      <w:lang w:val="zh-CN"/>
                    </w:rPr>
                  </w:pPr>
                  <w:r>
                    <w:rPr>
                      <w:rFonts w:hint="eastAsia"/>
                      <w:sz w:val="18"/>
                      <w:szCs w:val="18"/>
                      <w:lang w:val="zh-CN"/>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一)设置剧毒物质、危险化学品的贮存、输送设施和废物回收场、垃圾场；(二)设置水上餐饮经营设施；(三)新建、扩建高尔夫球场;(四)新建、扩建畜禽养殖场；(五)新建、扩建向水体排放污染物的建设项目；(六)本条例第二十九条规定的行为。</w:t>
                  </w:r>
                </w:p>
              </w:tc>
              <w:tc>
                <w:tcPr>
                  <w:tcW w:w="1924" w:type="dxa"/>
                  <w:tcBorders>
                    <w:tl2br w:val="nil"/>
                    <w:tr2bl w:val="nil"/>
                  </w:tcBorders>
                  <w:vAlign w:val="center"/>
                </w:tcPr>
                <w:p w14:paraId="7908C3F6">
                  <w:pPr>
                    <w:rPr>
                      <w:sz w:val="18"/>
                      <w:szCs w:val="18"/>
                      <w:lang w:val="zh-CN"/>
                    </w:rPr>
                  </w:pPr>
                  <w:r>
                    <w:rPr>
                      <w:rFonts w:hint="eastAsia"/>
                      <w:sz w:val="18"/>
                      <w:szCs w:val="18"/>
                      <w:lang w:val="zh-CN"/>
                    </w:rPr>
                    <w:t>项目不在上述水体及周边范围内。项目不涉及第三十条所列行业。</w:t>
                  </w:r>
                </w:p>
              </w:tc>
              <w:tc>
                <w:tcPr>
                  <w:tcW w:w="835" w:type="dxa"/>
                  <w:tcBorders>
                    <w:tl2br w:val="nil"/>
                    <w:tr2bl w:val="nil"/>
                  </w:tcBorders>
                  <w:vAlign w:val="center"/>
                </w:tcPr>
                <w:p w14:paraId="79D471F6">
                  <w:pPr>
                    <w:jc w:val="center"/>
                    <w:rPr>
                      <w:rFonts w:hint="eastAsia" w:eastAsia="宋体"/>
                      <w:sz w:val="18"/>
                      <w:szCs w:val="18"/>
                      <w:lang w:val="zh-CN" w:eastAsia="zh-CN"/>
                    </w:rPr>
                  </w:pPr>
                  <w:r>
                    <w:rPr>
                      <w:rFonts w:hint="eastAsia"/>
                      <w:sz w:val="18"/>
                      <w:szCs w:val="18"/>
                      <w:lang w:val="en-US" w:eastAsia="zh-CN"/>
                    </w:rPr>
                    <w:t>符合</w:t>
                  </w:r>
                </w:p>
              </w:tc>
            </w:tr>
          </w:tbl>
          <w:p w14:paraId="660ACB14">
            <w:pPr>
              <w:spacing w:line="360" w:lineRule="auto"/>
              <w:ind w:firstLine="420" w:firstLineChars="200"/>
              <w:rPr>
                <w:bCs/>
                <w:szCs w:val="21"/>
              </w:rPr>
            </w:pPr>
            <w:r>
              <w:rPr>
                <w:rFonts w:hint="eastAsia"/>
                <w:bCs/>
                <w:szCs w:val="21"/>
              </w:rPr>
              <w:t>综上，本项目符合《太湖流域管理条例》有关要求。</w:t>
            </w:r>
          </w:p>
          <w:p w14:paraId="28D60790">
            <w:pPr>
              <w:spacing w:line="360" w:lineRule="auto"/>
              <w:outlineLvl w:val="2"/>
              <w:rPr>
                <w:b/>
                <w:bCs/>
                <w:sz w:val="22"/>
                <w:szCs w:val="22"/>
              </w:rPr>
            </w:pPr>
            <w:r>
              <w:rPr>
                <w:b/>
                <w:sz w:val="22"/>
                <w:szCs w:val="22"/>
              </w:rPr>
              <w:t xml:space="preserve">1.4.2 </w:t>
            </w:r>
            <w:r>
              <w:rPr>
                <w:rFonts w:hint="eastAsia"/>
                <w:b/>
                <w:sz w:val="22"/>
                <w:szCs w:val="22"/>
              </w:rPr>
              <w:t xml:space="preserve"> 《关于落实&lt;水污染防治行动计划&gt;实施区域差别化环境准入的指导意见》（环环评〔2016〕190号）符合性分析</w:t>
            </w:r>
          </w:p>
          <w:p w14:paraId="4B0CF137">
            <w:pPr>
              <w:spacing w:line="360" w:lineRule="auto"/>
              <w:ind w:firstLine="420" w:firstLineChars="200"/>
              <w:rPr>
                <w:szCs w:val="21"/>
              </w:rPr>
            </w:pPr>
            <w:r>
              <w:rPr>
                <w:rFonts w:hint="eastAsia"/>
                <w:szCs w:val="21"/>
              </w:rPr>
              <w:t>项目与相关文件的符合性分析如</w:t>
            </w:r>
            <w:r>
              <w:rPr>
                <w:rFonts w:hint="eastAsia"/>
                <w:szCs w:val="21"/>
                <w:lang w:val="en-US" w:eastAsia="zh-CN"/>
              </w:rPr>
              <w:t>下表</w:t>
            </w:r>
            <w:r>
              <w:rPr>
                <w:rFonts w:hint="eastAsia"/>
                <w:szCs w:val="21"/>
              </w:rPr>
              <w:t>所示。</w:t>
            </w:r>
          </w:p>
          <w:p w14:paraId="2EC1A737">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r>
              <w:rPr>
                <w:rFonts w:hint="eastAsia" w:ascii="黑体" w:hAnsi="黑体" w:eastAsia="黑体" w:cs="黑体"/>
                <w:szCs w:val="21"/>
                <w:lang w:val="zh-CN"/>
              </w:rPr>
              <w:t>项目与</w:t>
            </w:r>
            <w:r>
              <w:rPr>
                <w:rFonts w:hint="eastAsia" w:ascii="黑体" w:hAnsi="黑体" w:eastAsia="黑体" w:cs="黑体"/>
                <w:szCs w:val="21"/>
              </w:rPr>
              <w:t>《关于落实&lt;水污染防治行动计划&gt;实施区域差别化环境准入的指导意见》</w:t>
            </w:r>
            <w:r>
              <w:rPr>
                <w:rFonts w:hint="eastAsia" w:ascii="黑体" w:hAnsi="黑体" w:eastAsia="黑体" w:cs="黑体"/>
                <w:szCs w:val="21"/>
                <w:lang w:val="zh-CN"/>
              </w:rPr>
              <w:t>有关内容符合性分析</w:t>
            </w:r>
          </w:p>
          <w:tbl>
            <w:tblPr>
              <w:tblStyle w:val="26"/>
              <w:tblW w:w="499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320"/>
              <w:gridCol w:w="4937"/>
              <w:gridCol w:w="1246"/>
              <w:gridCol w:w="884"/>
            </w:tblGrid>
            <w:tr w14:paraId="6250F3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786" w:type="pct"/>
                  <w:tcBorders>
                    <w:tl2br w:val="nil"/>
                    <w:tr2bl w:val="nil"/>
                  </w:tcBorders>
                  <w:vAlign w:val="center"/>
                </w:tcPr>
                <w:p w14:paraId="434F505A">
                  <w:pPr>
                    <w:jc w:val="center"/>
                    <w:rPr>
                      <w:sz w:val="18"/>
                      <w:szCs w:val="18"/>
                    </w:rPr>
                  </w:pPr>
                  <w:r>
                    <w:rPr>
                      <w:rFonts w:hint="eastAsia"/>
                      <w:sz w:val="18"/>
                      <w:szCs w:val="18"/>
                    </w:rPr>
                    <w:t>条款</w:t>
                  </w:r>
                </w:p>
              </w:tc>
              <w:tc>
                <w:tcPr>
                  <w:tcW w:w="2942" w:type="pct"/>
                  <w:tcBorders>
                    <w:tl2br w:val="nil"/>
                    <w:tr2bl w:val="nil"/>
                  </w:tcBorders>
                  <w:vAlign w:val="center"/>
                </w:tcPr>
                <w:p w14:paraId="78876EC7">
                  <w:pPr>
                    <w:jc w:val="center"/>
                    <w:rPr>
                      <w:sz w:val="18"/>
                      <w:szCs w:val="18"/>
                    </w:rPr>
                  </w:pPr>
                  <w:r>
                    <w:rPr>
                      <w:rFonts w:hint="eastAsia"/>
                      <w:sz w:val="18"/>
                      <w:szCs w:val="18"/>
                    </w:rPr>
                    <w:t>有关要求</w:t>
                  </w:r>
                </w:p>
              </w:tc>
              <w:tc>
                <w:tcPr>
                  <w:tcW w:w="743" w:type="pct"/>
                  <w:tcBorders>
                    <w:tl2br w:val="nil"/>
                    <w:tr2bl w:val="nil"/>
                  </w:tcBorders>
                  <w:vAlign w:val="center"/>
                </w:tcPr>
                <w:p w14:paraId="28AA8043">
                  <w:pPr>
                    <w:jc w:val="center"/>
                    <w:rPr>
                      <w:sz w:val="18"/>
                      <w:szCs w:val="18"/>
                    </w:rPr>
                  </w:pPr>
                  <w:r>
                    <w:rPr>
                      <w:rFonts w:hint="eastAsia"/>
                      <w:sz w:val="18"/>
                      <w:szCs w:val="18"/>
                    </w:rPr>
                    <w:t>本项目情况</w:t>
                  </w:r>
                </w:p>
              </w:tc>
              <w:tc>
                <w:tcPr>
                  <w:tcW w:w="527" w:type="pct"/>
                  <w:tcBorders>
                    <w:tl2br w:val="nil"/>
                    <w:tr2bl w:val="nil"/>
                  </w:tcBorders>
                  <w:vAlign w:val="center"/>
                </w:tcPr>
                <w:p w14:paraId="6DD5EE6D">
                  <w:pPr>
                    <w:jc w:val="center"/>
                    <w:rPr>
                      <w:sz w:val="18"/>
                      <w:szCs w:val="18"/>
                    </w:rPr>
                  </w:pPr>
                  <w:r>
                    <w:rPr>
                      <w:rFonts w:hint="eastAsia"/>
                      <w:sz w:val="18"/>
                      <w:szCs w:val="18"/>
                    </w:rPr>
                    <w:t>符合性</w:t>
                  </w:r>
                </w:p>
              </w:tc>
            </w:tr>
            <w:tr w14:paraId="07CCE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786" w:type="pct"/>
                  <w:tcBorders>
                    <w:tl2br w:val="nil"/>
                    <w:tr2bl w:val="nil"/>
                  </w:tcBorders>
                  <w:vAlign w:val="center"/>
                </w:tcPr>
                <w:p w14:paraId="24142842">
                  <w:pPr>
                    <w:jc w:val="left"/>
                    <w:rPr>
                      <w:sz w:val="18"/>
                      <w:szCs w:val="18"/>
                    </w:rPr>
                  </w:pPr>
                  <w:r>
                    <w:rPr>
                      <w:rFonts w:hint="eastAsia"/>
                      <w:sz w:val="18"/>
                      <w:szCs w:val="18"/>
                    </w:rPr>
                    <w:t>三、不同区域差别化环境准入的指导意见；（五）优化开发区。</w:t>
                  </w:r>
                </w:p>
              </w:tc>
              <w:tc>
                <w:tcPr>
                  <w:tcW w:w="2942" w:type="pct"/>
                  <w:tcBorders>
                    <w:tl2br w:val="nil"/>
                    <w:tr2bl w:val="nil"/>
                  </w:tcBorders>
                  <w:vAlign w:val="center"/>
                </w:tcPr>
                <w:p w14:paraId="3D9EE8A7">
                  <w:pPr>
                    <w:rPr>
                      <w:sz w:val="18"/>
                      <w:szCs w:val="18"/>
                    </w:rPr>
                  </w:pPr>
                  <w:r>
                    <w:rPr>
                      <w:rFonts w:hint="eastAsia"/>
                      <w:sz w:val="18"/>
                      <w:szCs w:val="18"/>
                    </w:rPr>
                    <w:t>长江三角洲地区。落实《长江经济带取水口排污口和应急水源布局规划》，沿江地区进一步严格石化、化工、印染、造纸等项目环境准入，对干流两岸一定范围内新建相关重污染项目不予环境准入，推进石化化工企业向尚有一定环境容量的沿海地区集中、绿色发展。对太湖流域新建原料化工、燃料、颜料及排放氮磷污染物的工业项目，不予环境准入；实施江、湖一体的氮、磷污染控制，防范和治理江、湖富营养化。严格沿江港口码头项目环境准入，强化环境风险防范措施。</w:t>
                  </w:r>
                </w:p>
              </w:tc>
              <w:tc>
                <w:tcPr>
                  <w:tcW w:w="743" w:type="pct"/>
                  <w:tcBorders>
                    <w:tl2br w:val="nil"/>
                    <w:tr2bl w:val="nil"/>
                  </w:tcBorders>
                  <w:vAlign w:val="center"/>
                </w:tcPr>
                <w:p w14:paraId="0A0336EC">
                  <w:pPr>
                    <w:rPr>
                      <w:sz w:val="18"/>
                      <w:szCs w:val="18"/>
                    </w:rPr>
                  </w:pPr>
                  <w:r>
                    <w:rPr>
                      <w:rFonts w:hint="eastAsia"/>
                      <w:sz w:val="18"/>
                      <w:szCs w:val="18"/>
                    </w:rPr>
                    <w:t>本项目</w:t>
                  </w:r>
                  <w:r>
                    <w:rPr>
                      <w:rFonts w:hint="eastAsia"/>
                      <w:sz w:val="18"/>
                      <w:szCs w:val="18"/>
                      <w:lang w:val="en-US" w:eastAsia="zh-CN"/>
                    </w:rPr>
                    <w:t>使用不含氮磷的洗涤剂，</w:t>
                  </w:r>
                  <w:r>
                    <w:rPr>
                      <w:rFonts w:hint="eastAsia"/>
                      <w:sz w:val="18"/>
                      <w:szCs w:val="18"/>
                    </w:rPr>
                    <w:t>不涉及氮磷工业废水排放。</w:t>
                  </w:r>
                </w:p>
              </w:tc>
              <w:tc>
                <w:tcPr>
                  <w:tcW w:w="527" w:type="pct"/>
                  <w:tcBorders>
                    <w:tl2br w:val="nil"/>
                    <w:tr2bl w:val="nil"/>
                  </w:tcBorders>
                  <w:vAlign w:val="center"/>
                </w:tcPr>
                <w:p w14:paraId="6832A575">
                  <w:pPr>
                    <w:jc w:val="center"/>
                    <w:rPr>
                      <w:sz w:val="18"/>
                      <w:szCs w:val="18"/>
                    </w:rPr>
                  </w:pPr>
                  <w:r>
                    <w:rPr>
                      <w:rFonts w:hint="eastAsia"/>
                      <w:sz w:val="18"/>
                      <w:szCs w:val="18"/>
                    </w:rPr>
                    <w:t>符合</w:t>
                  </w:r>
                </w:p>
              </w:tc>
            </w:tr>
          </w:tbl>
          <w:p w14:paraId="43CEC3AC">
            <w:pPr>
              <w:spacing w:line="360" w:lineRule="auto"/>
              <w:ind w:firstLine="420" w:firstLineChars="200"/>
              <w:rPr>
                <w:szCs w:val="21"/>
              </w:rPr>
            </w:pPr>
            <w:r>
              <w:rPr>
                <w:rFonts w:hint="eastAsia"/>
                <w:bCs/>
              </w:rPr>
              <w:t>综上，项目符合《关于落实&lt;水污染防治行动计划&gt;实施区域差别化环境准入的指导意见》有关要求。</w:t>
            </w:r>
          </w:p>
          <w:p w14:paraId="33EE9281">
            <w:pPr>
              <w:spacing w:line="360" w:lineRule="auto"/>
              <w:outlineLvl w:val="2"/>
              <w:rPr>
                <w:b/>
                <w:bCs/>
                <w:sz w:val="22"/>
                <w:szCs w:val="22"/>
              </w:rPr>
            </w:pPr>
            <w:r>
              <w:rPr>
                <w:rFonts w:hint="eastAsia"/>
                <w:b/>
                <w:bCs/>
                <w:sz w:val="22"/>
                <w:szCs w:val="22"/>
              </w:rPr>
              <w:t>1.4.3  《太湖流域水环境综合治理总体方案》符合性分析</w:t>
            </w:r>
          </w:p>
          <w:p w14:paraId="3674486D">
            <w:pPr>
              <w:spacing w:line="360" w:lineRule="auto"/>
              <w:ind w:firstLine="420" w:firstLineChars="200"/>
              <w:rPr>
                <w:szCs w:val="21"/>
              </w:rPr>
            </w:pPr>
            <w:r>
              <w:rPr>
                <w:rFonts w:hint="eastAsia"/>
                <w:szCs w:val="21"/>
              </w:rPr>
              <w:t>2022年7月，国家发展改革委、自然资源部、生态环境部、住房和城乡建设部、水利部、农业农村部等六部门联合印发新一轮《太湖流域水环境综合治理总体方案》(发改地区〔</w:t>
            </w:r>
            <w:r>
              <w:rPr>
                <w:szCs w:val="21"/>
              </w:rPr>
              <w:t>2022</w:t>
            </w:r>
            <w:r>
              <w:rPr>
                <w:rFonts w:hint="eastAsia"/>
                <w:szCs w:val="21"/>
              </w:rPr>
              <w:t>〕959号)。本项目与其中相关要求的符合性分析</w:t>
            </w:r>
            <w:r>
              <w:rPr>
                <w:rFonts w:hint="eastAsia"/>
                <w:szCs w:val="21"/>
                <w:lang w:val="en-US" w:eastAsia="zh-CN"/>
              </w:rPr>
              <w:t>如下表</w:t>
            </w:r>
            <w:r>
              <w:rPr>
                <w:rFonts w:hint="eastAsia"/>
                <w:szCs w:val="21"/>
              </w:rPr>
              <w:t>所示。</w:t>
            </w:r>
          </w:p>
          <w:p w14:paraId="41CD0225">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lang w:val="zh-CN"/>
              </w:rPr>
            </w:pPr>
            <w:bookmarkStart w:id="13" w:name="_Toc115077733"/>
            <w:bookmarkStart w:id="14" w:name="_Toc115077436"/>
            <w:r>
              <w:rPr>
                <w:rFonts w:hint="eastAsia" w:ascii="黑体" w:hAnsi="黑体" w:eastAsia="黑体" w:cs="黑体"/>
                <w:kern w:val="0"/>
                <w:szCs w:val="21"/>
                <w:lang w:val="zh-CN"/>
              </w:rPr>
              <w:t>项目与《太湖流域水环境综合治理总体方案》</w:t>
            </w:r>
            <w:r>
              <w:rPr>
                <w:rFonts w:hint="eastAsia" w:ascii="黑体" w:hAnsi="黑体" w:eastAsia="黑体" w:cs="黑体"/>
                <w:kern w:val="0"/>
                <w:szCs w:val="21"/>
              </w:rPr>
              <w:t>有关内容</w:t>
            </w:r>
            <w:r>
              <w:rPr>
                <w:rFonts w:hint="eastAsia" w:ascii="黑体" w:hAnsi="黑体" w:eastAsia="黑体" w:cs="黑体"/>
                <w:kern w:val="0"/>
                <w:szCs w:val="21"/>
                <w:lang w:val="zh-CN"/>
              </w:rPr>
              <w:t>符合性分析</w:t>
            </w:r>
            <w:bookmarkEnd w:id="13"/>
            <w:bookmarkEnd w:id="14"/>
          </w:p>
          <w:tbl>
            <w:tblPr>
              <w:tblStyle w:val="2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101"/>
              <w:gridCol w:w="4581"/>
              <w:gridCol w:w="1827"/>
              <w:gridCol w:w="888"/>
            </w:tblGrid>
            <w:tr w14:paraId="2916F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55" w:type="pct"/>
                  <w:tcBorders>
                    <w:tl2br w:val="nil"/>
                    <w:tr2bl w:val="nil"/>
                  </w:tcBorders>
                  <w:vAlign w:val="center"/>
                </w:tcPr>
                <w:p w14:paraId="4CE279E3">
                  <w:pPr>
                    <w:jc w:val="center"/>
                    <w:rPr>
                      <w:sz w:val="18"/>
                      <w:szCs w:val="18"/>
                    </w:rPr>
                  </w:pPr>
                  <w:r>
                    <w:rPr>
                      <w:rFonts w:hint="eastAsia"/>
                      <w:sz w:val="18"/>
                      <w:szCs w:val="18"/>
                    </w:rPr>
                    <w:t>类型</w:t>
                  </w:r>
                </w:p>
              </w:tc>
              <w:tc>
                <w:tcPr>
                  <w:tcW w:w="2726" w:type="pct"/>
                  <w:tcBorders>
                    <w:tl2br w:val="nil"/>
                    <w:tr2bl w:val="nil"/>
                  </w:tcBorders>
                  <w:vAlign w:val="center"/>
                </w:tcPr>
                <w:p w14:paraId="40F9BBD1">
                  <w:pPr>
                    <w:jc w:val="center"/>
                    <w:rPr>
                      <w:sz w:val="18"/>
                      <w:szCs w:val="18"/>
                    </w:rPr>
                  </w:pPr>
                  <w:r>
                    <w:rPr>
                      <w:rFonts w:hint="eastAsia"/>
                      <w:sz w:val="18"/>
                      <w:szCs w:val="18"/>
                    </w:rPr>
                    <w:t>有关要求</w:t>
                  </w:r>
                </w:p>
              </w:tc>
              <w:tc>
                <w:tcPr>
                  <w:tcW w:w="1088" w:type="pct"/>
                  <w:tcBorders>
                    <w:tl2br w:val="nil"/>
                    <w:tr2bl w:val="nil"/>
                  </w:tcBorders>
                  <w:vAlign w:val="center"/>
                </w:tcPr>
                <w:p w14:paraId="17E39DC9">
                  <w:pPr>
                    <w:jc w:val="center"/>
                    <w:rPr>
                      <w:sz w:val="18"/>
                      <w:szCs w:val="18"/>
                    </w:rPr>
                  </w:pPr>
                  <w:r>
                    <w:rPr>
                      <w:rFonts w:hint="eastAsia"/>
                      <w:sz w:val="18"/>
                      <w:szCs w:val="18"/>
                    </w:rPr>
                    <w:t>本项目情况</w:t>
                  </w:r>
                </w:p>
              </w:tc>
              <w:tc>
                <w:tcPr>
                  <w:tcW w:w="529" w:type="pct"/>
                  <w:tcBorders>
                    <w:tl2br w:val="nil"/>
                    <w:tr2bl w:val="nil"/>
                  </w:tcBorders>
                  <w:vAlign w:val="center"/>
                </w:tcPr>
                <w:p w14:paraId="07C95BEF">
                  <w:pPr>
                    <w:jc w:val="center"/>
                    <w:rPr>
                      <w:sz w:val="18"/>
                      <w:szCs w:val="18"/>
                    </w:rPr>
                  </w:pPr>
                  <w:r>
                    <w:rPr>
                      <w:rFonts w:hint="eastAsia"/>
                      <w:sz w:val="18"/>
                      <w:szCs w:val="18"/>
                    </w:rPr>
                    <w:t>符合性</w:t>
                  </w:r>
                </w:p>
              </w:tc>
            </w:tr>
            <w:tr w14:paraId="15F5B3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55" w:type="pct"/>
                  <w:vMerge w:val="restart"/>
                  <w:tcBorders>
                    <w:tl2br w:val="nil"/>
                    <w:tr2bl w:val="nil"/>
                  </w:tcBorders>
                  <w:vAlign w:val="center"/>
                </w:tcPr>
                <w:p w14:paraId="3610C749">
                  <w:pPr>
                    <w:jc w:val="center"/>
                    <w:rPr>
                      <w:sz w:val="18"/>
                      <w:szCs w:val="18"/>
                    </w:rPr>
                  </w:pPr>
                  <w:r>
                    <w:rPr>
                      <w:rFonts w:hint="eastAsia"/>
                      <w:sz w:val="18"/>
                      <w:szCs w:val="18"/>
                    </w:rPr>
                    <w:t>深化工业污染治理</w:t>
                  </w:r>
                </w:p>
              </w:tc>
              <w:tc>
                <w:tcPr>
                  <w:tcW w:w="2726" w:type="pct"/>
                  <w:tcBorders>
                    <w:tl2br w:val="nil"/>
                    <w:tr2bl w:val="nil"/>
                  </w:tcBorders>
                  <w:vAlign w:val="center"/>
                </w:tcPr>
                <w:p w14:paraId="7209BC3C">
                  <w:pPr>
                    <w:rPr>
                      <w:sz w:val="18"/>
                      <w:szCs w:val="18"/>
                    </w:rPr>
                  </w:pPr>
                  <w:r>
                    <w:rPr>
                      <w:rFonts w:hint="eastAsia"/>
                      <w:sz w:val="18"/>
                      <w:szCs w:val="18"/>
                    </w:rPr>
                    <w:t>督促企业依法持证排污、按证排污，严格落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一企一管、明管输送、实时监测。</w:t>
                  </w:r>
                </w:p>
              </w:tc>
              <w:tc>
                <w:tcPr>
                  <w:tcW w:w="1088" w:type="pct"/>
                  <w:tcBorders>
                    <w:tl2br w:val="nil"/>
                    <w:tr2bl w:val="nil"/>
                  </w:tcBorders>
                  <w:vAlign w:val="center"/>
                </w:tcPr>
                <w:p w14:paraId="26699B17">
                  <w:pPr>
                    <w:rPr>
                      <w:sz w:val="18"/>
                      <w:szCs w:val="18"/>
                    </w:rPr>
                  </w:pPr>
                  <w:r>
                    <w:rPr>
                      <w:rFonts w:hint="eastAsia"/>
                      <w:sz w:val="18"/>
                      <w:szCs w:val="18"/>
                    </w:rPr>
                    <w:t>本项目建成后企业需持证排污、按证排污，严格执行排污许可证制度；项目不属于水污染物重点行业企业，厂区实行雨污分流，外排废水经预处理后</w:t>
                  </w:r>
                  <w:r>
                    <w:rPr>
                      <w:rFonts w:hint="eastAsia"/>
                      <w:kern w:val="0"/>
                      <w:sz w:val="18"/>
                      <w:szCs w:val="18"/>
                    </w:rPr>
                    <w:t>纳管排放。</w:t>
                  </w:r>
                </w:p>
              </w:tc>
              <w:tc>
                <w:tcPr>
                  <w:tcW w:w="529" w:type="pct"/>
                  <w:tcBorders>
                    <w:tl2br w:val="nil"/>
                    <w:tr2bl w:val="nil"/>
                  </w:tcBorders>
                  <w:vAlign w:val="center"/>
                </w:tcPr>
                <w:p w14:paraId="1BDC7474">
                  <w:pPr>
                    <w:jc w:val="center"/>
                    <w:rPr>
                      <w:sz w:val="18"/>
                      <w:szCs w:val="18"/>
                    </w:rPr>
                  </w:pPr>
                  <w:r>
                    <w:rPr>
                      <w:rFonts w:hint="eastAsia"/>
                      <w:sz w:val="18"/>
                      <w:szCs w:val="18"/>
                    </w:rPr>
                    <w:t>符合</w:t>
                  </w:r>
                </w:p>
              </w:tc>
            </w:tr>
            <w:tr w14:paraId="36E305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55" w:type="pct"/>
                  <w:vMerge w:val="continue"/>
                  <w:tcBorders>
                    <w:tl2br w:val="nil"/>
                    <w:tr2bl w:val="nil"/>
                  </w:tcBorders>
                  <w:vAlign w:val="center"/>
                </w:tcPr>
                <w:p w14:paraId="4B4E8752">
                  <w:pPr>
                    <w:jc w:val="center"/>
                    <w:rPr>
                      <w:sz w:val="18"/>
                      <w:szCs w:val="18"/>
                    </w:rPr>
                  </w:pPr>
                </w:p>
              </w:tc>
              <w:tc>
                <w:tcPr>
                  <w:tcW w:w="2726" w:type="pct"/>
                  <w:tcBorders>
                    <w:tl2br w:val="nil"/>
                    <w:tr2bl w:val="nil"/>
                  </w:tcBorders>
                  <w:vAlign w:val="center"/>
                </w:tcPr>
                <w:p w14:paraId="170334B3">
                  <w:pPr>
                    <w:rPr>
                      <w:sz w:val="18"/>
                      <w:szCs w:val="18"/>
                    </w:rPr>
                  </w:pPr>
                  <w:r>
                    <w:rPr>
                      <w:rFonts w:hint="eastAsia"/>
                      <w:sz w:val="18"/>
                      <w:szCs w:val="18"/>
                    </w:rPr>
                    <w:t>推进企业内部工业用水循环利用、园区内企业间用水系统集成优化，推动工业废水资源化利用。积极推进清洁生产，引导工业园区、开发区尤其是耗水量大的企业新建中水回用设施和环保循环设施，推行尾水循环再生利用。开展造纸、印染等高耗水行业工业废水循环利用示范，率先在纺织印染、化工材料等工业园区探索建设“污水零直排区”，实施环境信息依法披露、生态环境损害赔偿、环境污染责任保险等制度。</w:t>
                  </w:r>
                </w:p>
              </w:tc>
              <w:tc>
                <w:tcPr>
                  <w:tcW w:w="1088" w:type="pct"/>
                  <w:tcBorders>
                    <w:tl2br w:val="nil"/>
                    <w:tr2bl w:val="nil"/>
                  </w:tcBorders>
                  <w:vAlign w:val="center"/>
                </w:tcPr>
                <w:p w14:paraId="407771A5">
                  <w:pPr>
                    <w:rPr>
                      <w:sz w:val="18"/>
                      <w:szCs w:val="18"/>
                    </w:rPr>
                  </w:pPr>
                  <w:r>
                    <w:rPr>
                      <w:rFonts w:hint="eastAsia"/>
                      <w:sz w:val="18"/>
                      <w:szCs w:val="18"/>
                    </w:rPr>
                    <w:t>本项目耗水量</w:t>
                  </w:r>
                  <w:r>
                    <w:rPr>
                      <w:rFonts w:hint="eastAsia"/>
                      <w:sz w:val="18"/>
                      <w:szCs w:val="18"/>
                      <w:lang w:val="en-US" w:eastAsia="zh-CN"/>
                    </w:rPr>
                    <w:t>为1055.07 t/a</w:t>
                  </w:r>
                  <w:r>
                    <w:rPr>
                      <w:rFonts w:hint="eastAsia"/>
                      <w:sz w:val="18"/>
                      <w:szCs w:val="18"/>
                    </w:rPr>
                    <w:t>，生产废水经预处理后与经化粪池预处理的生活污水一并纳管排放。</w:t>
                  </w:r>
                </w:p>
              </w:tc>
              <w:tc>
                <w:tcPr>
                  <w:tcW w:w="529" w:type="pct"/>
                  <w:tcBorders>
                    <w:tl2br w:val="nil"/>
                    <w:tr2bl w:val="nil"/>
                  </w:tcBorders>
                  <w:vAlign w:val="center"/>
                </w:tcPr>
                <w:p w14:paraId="19DB96D4">
                  <w:pPr>
                    <w:jc w:val="center"/>
                    <w:rPr>
                      <w:sz w:val="18"/>
                      <w:szCs w:val="18"/>
                    </w:rPr>
                  </w:pPr>
                  <w:r>
                    <w:rPr>
                      <w:rFonts w:hint="eastAsia"/>
                      <w:sz w:val="18"/>
                      <w:szCs w:val="18"/>
                    </w:rPr>
                    <w:t>符合</w:t>
                  </w:r>
                </w:p>
              </w:tc>
            </w:tr>
            <w:tr w14:paraId="4182F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55" w:type="pct"/>
                  <w:tcBorders>
                    <w:tl2br w:val="nil"/>
                    <w:tr2bl w:val="nil"/>
                  </w:tcBorders>
                  <w:vAlign w:val="center"/>
                </w:tcPr>
                <w:p w14:paraId="6DF5DAD4">
                  <w:pPr>
                    <w:jc w:val="center"/>
                    <w:rPr>
                      <w:sz w:val="18"/>
                      <w:szCs w:val="18"/>
                    </w:rPr>
                  </w:pPr>
                  <w:r>
                    <w:rPr>
                      <w:rFonts w:hint="eastAsia"/>
                      <w:sz w:val="18"/>
                      <w:szCs w:val="18"/>
                    </w:rPr>
                    <w:t>推动流域高质量发展</w:t>
                  </w:r>
                </w:p>
              </w:tc>
              <w:tc>
                <w:tcPr>
                  <w:tcW w:w="2726" w:type="pct"/>
                  <w:tcBorders>
                    <w:tl2br w:val="nil"/>
                    <w:tr2bl w:val="nil"/>
                  </w:tcBorders>
                  <w:vAlign w:val="center"/>
                </w:tcPr>
                <w:p w14:paraId="7CAB3C27">
                  <w:pPr>
                    <w:rPr>
                      <w:sz w:val="18"/>
                      <w:szCs w:val="18"/>
                    </w:rPr>
                  </w:pPr>
                  <w:r>
                    <w:rPr>
                      <w:rFonts w:hint="eastAsia"/>
                      <w:sz w:val="18"/>
                      <w:szCs w:val="18"/>
                    </w:rPr>
                    <w:t>除战略新兴产业项目外，太湖流域原则上不再审批其他生产性新增氮磷污染物的工业类建设项目。</w:t>
                  </w:r>
                </w:p>
              </w:tc>
              <w:tc>
                <w:tcPr>
                  <w:tcW w:w="1088" w:type="pct"/>
                  <w:tcBorders>
                    <w:tl2br w:val="nil"/>
                    <w:tr2bl w:val="nil"/>
                  </w:tcBorders>
                  <w:vAlign w:val="center"/>
                </w:tcPr>
                <w:p w14:paraId="6A4F22AD">
                  <w:pPr>
                    <w:rPr>
                      <w:sz w:val="18"/>
                      <w:szCs w:val="18"/>
                    </w:rPr>
                  </w:pPr>
                  <w:r>
                    <w:rPr>
                      <w:rFonts w:hint="eastAsia"/>
                      <w:sz w:val="18"/>
                      <w:szCs w:val="18"/>
                    </w:rPr>
                    <w:t>本项目不涉及</w:t>
                  </w:r>
                  <w:r>
                    <w:rPr>
                      <w:rFonts w:hint="eastAsia"/>
                      <w:sz w:val="18"/>
                      <w:szCs w:val="18"/>
                      <w:lang w:val="en-US" w:eastAsia="zh-CN"/>
                    </w:rPr>
                    <w:t>含</w:t>
                  </w:r>
                  <w:r>
                    <w:rPr>
                      <w:rFonts w:hint="eastAsia"/>
                      <w:sz w:val="18"/>
                      <w:szCs w:val="18"/>
                    </w:rPr>
                    <w:t>氮磷</w:t>
                  </w:r>
                  <w:r>
                    <w:rPr>
                      <w:rFonts w:hint="eastAsia"/>
                      <w:sz w:val="18"/>
                      <w:szCs w:val="18"/>
                      <w:lang w:val="en-US" w:eastAsia="zh-CN"/>
                    </w:rPr>
                    <w:t>生产</w:t>
                  </w:r>
                  <w:r>
                    <w:rPr>
                      <w:rFonts w:hint="eastAsia"/>
                      <w:sz w:val="18"/>
                      <w:szCs w:val="18"/>
                    </w:rPr>
                    <w:t>废水排放。</w:t>
                  </w:r>
                </w:p>
              </w:tc>
              <w:tc>
                <w:tcPr>
                  <w:tcW w:w="529" w:type="pct"/>
                  <w:tcBorders>
                    <w:tl2br w:val="nil"/>
                    <w:tr2bl w:val="nil"/>
                  </w:tcBorders>
                  <w:vAlign w:val="center"/>
                </w:tcPr>
                <w:p w14:paraId="77AFF7C0">
                  <w:pPr>
                    <w:jc w:val="center"/>
                    <w:rPr>
                      <w:sz w:val="18"/>
                      <w:szCs w:val="18"/>
                    </w:rPr>
                  </w:pPr>
                  <w:r>
                    <w:rPr>
                      <w:rFonts w:hint="eastAsia"/>
                      <w:sz w:val="18"/>
                      <w:szCs w:val="18"/>
                    </w:rPr>
                    <w:t>符合</w:t>
                  </w:r>
                </w:p>
              </w:tc>
            </w:tr>
          </w:tbl>
          <w:p w14:paraId="4EF292D8">
            <w:pPr>
              <w:spacing w:line="360" w:lineRule="auto"/>
              <w:ind w:firstLine="420" w:firstLineChars="200"/>
              <w:rPr>
                <w:szCs w:val="21"/>
              </w:rPr>
            </w:pPr>
            <w:r>
              <w:rPr>
                <w:rFonts w:hint="eastAsia"/>
                <w:szCs w:val="21"/>
              </w:rPr>
              <w:t>综上，本项目符合《太湖流域水环境综合治理总体方案》中相关要求。</w:t>
            </w:r>
          </w:p>
          <w:p w14:paraId="4F4A8F3F">
            <w:pPr>
              <w:spacing w:line="360" w:lineRule="auto"/>
              <w:outlineLvl w:val="1"/>
              <w:rPr>
                <w:b/>
                <w:bCs/>
                <w:sz w:val="24"/>
              </w:rPr>
            </w:pPr>
            <w:r>
              <w:rPr>
                <w:rFonts w:hint="eastAsia"/>
                <w:b/>
                <w:bCs/>
                <w:sz w:val="24"/>
              </w:rPr>
              <w:t>1.5  与《浙江省“十四五”挥发性有机物综合治理方案》符合性分析</w:t>
            </w:r>
          </w:p>
          <w:p w14:paraId="373645EB">
            <w:pPr>
              <w:spacing w:line="360" w:lineRule="auto"/>
              <w:ind w:firstLine="420" w:firstLineChars="200"/>
              <w:rPr>
                <w:szCs w:val="21"/>
              </w:rPr>
            </w:pPr>
            <w:r>
              <w:rPr>
                <w:rFonts w:hint="eastAsia"/>
                <w:szCs w:val="21"/>
              </w:rPr>
              <w:t>经对照分析，本项目符合《浙江省“十四五”挥发性有机物综合治理方案》（浙环发〔</w:t>
            </w:r>
            <w:r>
              <w:rPr>
                <w:szCs w:val="21"/>
              </w:rPr>
              <w:t>202</w:t>
            </w:r>
            <w:r>
              <w:rPr>
                <w:rFonts w:hint="eastAsia"/>
                <w:szCs w:val="21"/>
              </w:rPr>
              <w:t>1〕10号）的相关要求，符合性分析如</w:t>
            </w:r>
            <w:r>
              <w:rPr>
                <w:rFonts w:hint="eastAsia"/>
                <w:szCs w:val="21"/>
                <w:lang w:val="en-US" w:eastAsia="zh-CN"/>
              </w:rPr>
              <w:t>下表</w:t>
            </w:r>
            <w:r>
              <w:rPr>
                <w:rFonts w:hint="eastAsia"/>
                <w:szCs w:val="21"/>
              </w:rPr>
              <w:t>所示：</w:t>
            </w:r>
          </w:p>
          <w:p w14:paraId="3639C5BD">
            <w:pPr>
              <w:keepNext/>
              <w:keepLines/>
              <w:widowControl/>
              <w:numPr>
                <w:ilvl w:val="0"/>
                <w:numId w:val="2"/>
              </w:numPr>
              <w:tabs>
                <w:tab w:val="left" w:pos="0"/>
              </w:tabs>
              <w:spacing w:line="360" w:lineRule="auto"/>
              <w:jc w:val="center"/>
              <w:outlineLvl w:val="3"/>
              <w:rPr>
                <w:szCs w:val="21"/>
              </w:rPr>
            </w:pPr>
            <w:r>
              <w:rPr>
                <w:rFonts w:hint="eastAsia" w:ascii="黑体" w:hAnsi="黑体" w:eastAsia="黑体" w:cs="黑体"/>
                <w:kern w:val="0"/>
                <w:szCs w:val="21"/>
                <w:lang w:val="zh-CN"/>
              </w:rPr>
              <w:t>项目与《浙江省“十四五”挥发性有机物综合治理方案》</w:t>
            </w:r>
            <w:r>
              <w:rPr>
                <w:rFonts w:hint="eastAsia" w:ascii="黑体" w:hAnsi="黑体" w:eastAsia="黑体" w:cs="黑体"/>
                <w:kern w:val="0"/>
                <w:szCs w:val="21"/>
              </w:rPr>
              <w:t>有关内容</w:t>
            </w:r>
            <w:r>
              <w:rPr>
                <w:rFonts w:hint="eastAsia" w:ascii="黑体" w:hAnsi="黑体" w:eastAsia="黑体" w:cs="黑体"/>
                <w:kern w:val="0"/>
                <w:szCs w:val="21"/>
                <w:lang w:val="zh-CN"/>
              </w:rPr>
              <w:t>符合性分析</w:t>
            </w:r>
          </w:p>
          <w:tbl>
            <w:tblPr>
              <w:tblStyle w:val="2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1" w:type="dxa"/>
                <w:bottom w:w="0" w:type="dxa"/>
                <w:right w:w="51" w:type="dxa"/>
              </w:tblCellMar>
            </w:tblPr>
            <w:tblGrid>
              <w:gridCol w:w="593"/>
              <w:gridCol w:w="4598"/>
              <w:gridCol w:w="2359"/>
              <w:gridCol w:w="844"/>
            </w:tblGrid>
            <w:tr w14:paraId="46365E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trHeight w:val="56" w:hRule="atLeast"/>
                <w:tblHeader/>
                <w:jc w:val="center"/>
              </w:trPr>
              <w:tc>
                <w:tcPr>
                  <w:tcW w:w="3091" w:type="pct"/>
                  <w:gridSpan w:val="2"/>
                  <w:tcBorders>
                    <w:tl2br w:val="nil"/>
                    <w:tr2bl w:val="nil"/>
                  </w:tcBorders>
                  <w:vAlign w:val="center"/>
                </w:tcPr>
                <w:p w14:paraId="2B5D98B6">
                  <w:pPr>
                    <w:spacing w:line="270" w:lineRule="exact"/>
                    <w:jc w:val="center"/>
                    <w:rPr>
                      <w:b/>
                      <w:kern w:val="0"/>
                      <w:sz w:val="18"/>
                      <w:szCs w:val="18"/>
                    </w:rPr>
                  </w:pPr>
                  <w:r>
                    <w:rPr>
                      <w:rFonts w:hint="eastAsia"/>
                      <w:kern w:val="0"/>
                      <w:sz w:val="18"/>
                      <w:szCs w:val="18"/>
                    </w:rPr>
                    <w:t>相关条例要求</w:t>
                  </w:r>
                </w:p>
              </w:tc>
              <w:tc>
                <w:tcPr>
                  <w:tcW w:w="1405" w:type="pct"/>
                  <w:tcBorders>
                    <w:tl2br w:val="nil"/>
                    <w:tr2bl w:val="nil"/>
                  </w:tcBorders>
                  <w:vAlign w:val="center"/>
                </w:tcPr>
                <w:p w14:paraId="1C429B5E">
                  <w:pPr>
                    <w:spacing w:line="270" w:lineRule="exact"/>
                    <w:jc w:val="center"/>
                    <w:rPr>
                      <w:kern w:val="0"/>
                      <w:sz w:val="18"/>
                      <w:szCs w:val="18"/>
                    </w:rPr>
                  </w:pPr>
                  <w:r>
                    <w:rPr>
                      <w:rFonts w:hint="eastAsia"/>
                      <w:kern w:val="0"/>
                      <w:sz w:val="18"/>
                      <w:szCs w:val="18"/>
                    </w:rPr>
                    <w:t>本项目情况</w:t>
                  </w:r>
                </w:p>
              </w:tc>
              <w:tc>
                <w:tcPr>
                  <w:tcW w:w="502" w:type="pct"/>
                  <w:tcBorders>
                    <w:tl2br w:val="nil"/>
                    <w:tr2bl w:val="nil"/>
                  </w:tcBorders>
                  <w:vAlign w:val="center"/>
                </w:tcPr>
                <w:p w14:paraId="3C9BA27E">
                  <w:pPr>
                    <w:spacing w:line="270" w:lineRule="exact"/>
                    <w:jc w:val="center"/>
                    <w:rPr>
                      <w:kern w:val="0"/>
                      <w:sz w:val="18"/>
                      <w:szCs w:val="18"/>
                    </w:rPr>
                  </w:pPr>
                  <w:r>
                    <w:rPr>
                      <w:rFonts w:hint="eastAsia"/>
                      <w:kern w:val="0"/>
                      <w:sz w:val="18"/>
                      <w:szCs w:val="18"/>
                    </w:rPr>
                    <w:t>符合性</w:t>
                  </w:r>
                </w:p>
              </w:tc>
            </w:tr>
            <w:tr w14:paraId="20B31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jc w:val="center"/>
              </w:trPr>
              <w:tc>
                <w:tcPr>
                  <w:tcW w:w="353" w:type="pct"/>
                  <w:vMerge w:val="restart"/>
                  <w:tcBorders>
                    <w:tl2br w:val="nil"/>
                    <w:tr2bl w:val="nil"/>
                  </w:tcBorders>
                  <w:vAlign w:val="center"/>
                </w:tcPr>
                <w:p w14:paraId="1BECE533">
                  <w:pPr>
                    <w:spacing w:line="270" w:lineRule="exact"/>
                    <w:jc w:val="center"/>
                    <w:rPr>
                      <w:kern w:val="0"/>
                      <w:sz w:val="18"/>
                      <w:szCs w:val="18"/>
                    </w:rPr>
                  </w:pPr>
                  <w:r>
                    <w:rPr>
                      <w:rFonts w:hint="eastAsia"/>
                      <w:kern w:val="0"/>
                      <w:sz w:val="18"/>
                      <w:szCs w:val="18"/>
                    </w:rPr>
                    <w:t>推动产业结构调整，助力绿色发展</w:t>
                  </w:r>
                </w:p>
              </w:tc>
              <w:tc>
                <w:tcPr>
                  <w:tcW w:w="2738" w:type="pct"/>
                  <w:tcBorders>
                    <w:tl2br w:val="nil"/>
                    <w:tr2bl w:val="nil"/>
                  </w:tcBorders>
                  <w:vAlign w:val="center"/>
                </w:tcPr>
                <w:p w14:paraId="125BD0BA">
                  <w:pPr>
                    <w:spacing w:line="270" w:lineRule="exact"/>
                    <w:rPr>
                      <w:kern w:val="0"/>
                      <w:sz w:val="18"/>
                      <w:szCs w:val="18"/>
                    </w:rPr>
                  </w:pPr>
                  <w:r>
                    <w:rPr>
                      <w:rFonts w:hint="eastAsia"/>
                      <w:kern w:val="0"/>
                      <w:sz w:val="18"/>
                      <w:szCs w:val="18"/>
                    </w:rPr>
                    <w:t>优化产业结构。引导石化、化工、工业涂装、包装印刷、合成革、化纤、纺织印染等重点行业合理布局，限制高VOCs排放化工类建设项目，禁止建设生产和使用VOCs含量限值不符合国家标准的涂料、油墨、胶粘剂、清洗剂等项目。贯彻落实《产业结构调整指导目录》《国家鼓励的有毒有害原料（产品）替代品目录》，依法依规淘汰涉VOCs排放工艺和装备，加大引导退出限制类工艺和装备力度，从源头减少涉VOCs污染物产生。</w:t>
                  </w:r>
                </w:p>
              </w:tc>
              <w:tc>
                <w:tcPr>
                  <w:tcW w:w="1405" w:type="pct"/>
                  <w:tcBorders>
                    <w:tl2br w:val="nil"/>
                    <w:tr2bl w:val="nil"/>
                  </w:tcBorders>
                  <w:vAlign w:val="center"/>
                </w:tcPr>
                <w:p w14:paraId="088829F4">
                  <w:pPr>
                    <w:widowControl/>
                    <w:rPr>
                      <w:kern w:val="0"/>
                      <w:sz w:val="18"/>
                      <w:szCs w:val="18"/>
                    </w:rPr>
                  </w:pPr>
                  <w:r>
                    <w:rPr>
                      <w:rFonts w:hint="eastAsia"/>
                      <w:kern w:val="0"/>
                      <w:sz w:val="18"/>
                      <w:szCs w:val="18"/>
                    </w:rPr>
                    <w:t>本项目</w:t>
                  </w:r>
                  <w:r>
                    <w:rPr>
                      <w:rFonts w:hint="eastAsia"/>
                      <w:sz w:val="18"/>
                      <w:szCs w:val="18"/>
                    </w:rPr>
                    <w:t>UV胶符合《胶粘剂挥发性有机化合物限量》</w:t>
                  </w:r>
                  <w:r>
                    <w:rPr>
                      <w:rFonts w:hint="eastAsia"/>
                      <w:sz w:val="18"/>
                      <w:szCs w:val="18"/>
                      <w:lang w:val="en-US" w:eastAsia="zh-CN"/>
                    </w:rPr>
                    <w:t>(</w:t>
                  </w:r>
                  <w:r>
                    <w:rPr>
                      <w:rFonts w:hint="eastAsia"/>
                      <w:sz w:val="18"/>
                      <w:szCs w:val="18"/>
                    </w:rPr>
                    <w:t>GB 33372-2020</w:t>
                  </w:r>
                  <w:r>
                    <w:rPr>
                      <w:rFonts w:hint="eastAsia"/>
                      <w:sz w:val="18"/>
                      <w:szCs w:val="18"/>
                      <w:lang w:val="en-US" w:eastAsia="zh-CN"/>
                    </w:rPr>
                    <w:t>)</w:t>
                  </w:r>
                  <w:r>
                    <w:rPr>
                      <w:rFonts w:hint="eastAsia"/>
                      <w:kern w:val="0"/>
                      <w:sz w:val="18"/>
                      <w:szCs w:val="18"/>
                    </w:rPr>
                    <w:t>的要求</w:t>
                  </w:r>
                  <w:r>
                    <w:rPr>
                      <w:rFonts w:hint="eastAsia"/>
                      <w:kern w:val="0"/>
                      <w:sz w:val="18"/>
                      <w:szCs w:val="18"/>
                      <w:lang w:eastAsia="zh-CN"/>
                    </w:rPr>
                    <w:t>；</w:t>
                  </w:r>
                  <w:r>
                    <w:rPr>
                      <w:rFonts w:hint="eastAsia"/>
                      <w:kern w:val="0"/>
                      <w:sz w:val="18"/>
                      <w:szCs w:val="18"/>
                      <w:lang w:val="en-US" w:eastAsia="zh-CN"/>
                    </w:rPr>
                    <w:t>油墨符合《油墨中可挥发性有机化合物(VOCs)含量的限值》(GB 38507-2020)的要求</w:t>
                  </w:r>
                  <w:r>
                    <w:rPr>
                      <w:rFonts w:hint="eastAsia"/>
                      <w:kern w:val="0"/>
                      <w:sz w:val="18"/>
                      <w:szCs w:val="18"/>
                    </w:rPr>
                    <w:t>。对照《产业结构调整指导目录》、《国家鼓励的有毒有害原料（产品）替代品目录》，本项目不涉及淘汰、限制类。</w:t>
                  </w:r>
                </w:p>
              </w:tc>
              <w:tc>
                <w:tcPr>
                  <w:tcW w:w="502" w:type="pct"/>
                  <w:tcBorders>
                    <w:tl2br w:val="nil"/>
                    <w:tr2bl w:val="nil"/>
                  </w:tcBorders>
                  <w:vAlign w:val="center"/>
                </w:tcPr>
                <w:p w14:paraId="55D2B643">
                  <w:pPr>
                    <w:spacing w:line="270" w:lineRule="exact"/>
                    <w:jc w:val="center"/>
                    <w:rPr>
                      <w:kern w:val="0"/>
                      <w:sz w:val="18"/>
                      <w:szCs w:val="18"/>
                    </w:rPr>
                  </w:pPr>
                  <w:r>
                    <w:rPr>
                      <w:rFonts w:hint="eastAsia"/>
                      <w:kern w:val="0"/>
                      <w:sz w:val="18"/>
                      <w:szCs w:val="18"/>
                    </w:rPr>
                    <w:t>符合</w:t>
                  </w:r>
                </w:p>
              </w:tc>
            </w:tr>
            <w:tr w14:paraId="616F85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jc w:val="center"/>
              </w:trPr>
              <w:tc>
                <w:tcPr>
                  <w:tcW w:w="353" w:type="pct"/>
                  <w:vMerge w:val="continue"/>
                  <w:tcBorders>
                    <w:tl2br w:val="nil"/>
                    <w:tr2bl w:val="nil"/>
                  </w:tcBorders>
                  <w:vAlign w:val="center"/>
                </w:tcPr>
                <w:p w14:paraId="3020AECA">
                  <w:pPr>
                    <w:spacing w:line="270" w:lineRule="exact"/>
                    <w:jc w:val="center"/>
                    <w:rPr>
                      <w:kern w:val="0"/>
                      <w:sz w:val="18"/>
                      <w:szCs w:val="18"/>
                    </w:rPr>
                  </w:pPr>
                </w:p>
              </w:tc>
              <w:tc>
                <w:tcPr>
                  <w:tcW w:w="2738" w:type="pct"/>
                  <w:tcBorders>
                    <w:tl2br w:val="nil"/>
                    <w:tr2bl w:val="nil"/>
                  </w:tcBorders>
                  <w:vAlign w:val="center"/>
                </w:tcPr>
                <w:p w14:paraId="13487A13">
                  <w:pPr>
                    <w:spacing w:line="270" w:lineRule="exact"/>
                    <w:rPr>
                      <w:kern w:val="0"/>
                      <w:sz w:val="18"/>
                      <w:szCs w:val="18"/>
                    </w:rPr>
                  </w:pPr>
                  <w:r>
                    <w:rPr>
                      <w:rFonts w:hint="eastAsia"/>
                      <w:kern w:val="0"/>
                      <w:sz w:val="18"/>
                      <w:szCs w:val="18"/>
                    </w:rPr>
                    <w:t>严格环境准入。严格执行“三线一单”为核心的生态环境分区管控体系，制（修）订纺织印染（数码喷印）等行业绿色准入指导意见。严格执行建设项目新增VOCs排放量区域削减替代规定，削减措施原则上应优先来源于纳入排污许可管理的排污单位采取的治理措施，并与建设项目位于同一设区市。上一年度环境空气质量达标的区域，对石化等行业的建设项目VOCs排放量实行等量削减；上一年度环境空气质量不达标的区域，对石化等行业的建设项目VOCs排放量实行2倍量削减，直至达标后的下一年再恢复等量削减。</w:t>
                  </w:r>
                </w:p>
              </w:tc>
              <w:tc>
                <w:tcPr>
                  <w:tcW w:w="1405" w:type="pct"/>
                  <w:tcBorders>
                    <w:tl2br w:val="nil"/>
                    <w:tr2bl w:val="nil"/>
                  </w:tcBorders>
                  <w:vAlign w:val="center"/>
                </w:tcPr>
                <w:p w14:paraId="1D42129D">
                  <w:pPr>
                    <w:widowControl/>
                    <w:rPr>
                      <w:kern w:val="0"/>
                      <w:sz w:val="18"/>
                      <w:szCs w:val="18"/>
                    </w:rPr>
                  </w:pPr>
                  <w:r>
                    <w:rPr>
                      <w:rFonts w:hint="eastAsia"/>
                      <w:kern w:val="0"/>
                      <w:sz w:val="18"/>
                      <w:szCs w:val="18"/>
                    </w:rPr>
                    <w:t>项目符合《杭州市生态环境分区管控动态更新方案》相关要求；项目新增VOCs总量区域内</w:t>
                  </w:r>
                  <w:r>
                    <w:rPr>
                      <w:rFonts w:hint="eastAsia"/>
                      <w:kern w:val="0"/>
                      <w:sz w:val="18"/>
                      <w:szCs w:val="18"/>
                      <w:lang w:val="en-US" w:eastAsia="zh-CN"/>
                    </w:rPr>
                    <w:t>实行2倍</w:t>
                  </w:r>
                  <w:r>
                    <w:rPr>
                      <w:rFonts w:hint="eastAsia"/>
                      <w:kern w:val="0"/>
                      <w:sz w:val="18"/>
                      <w:szCs w:val="18"/>
                    </w:rPr>
                    <w:t>削减替代。</w:t>
                  </w:r>
                </w:p>
              </w:tc>
              <w:tc>
                <w:tcPr>
                  <w:tcW w:w="502" w:type="pct"/>
                  <w:tcBorders>
                    <w:tl2br w:val="nil"/>
                    <w:tr2bl w:val="nil"/>
                  </w:tcBorders>
                  <w:vAlign w:val="center"/>
                </w:tcPr>
                <w:p w14:paraId="6A282F79">
                  <w:pPr>
                    <w:spacing w:line="270" w:lineRule="exact"/>
                    <w:jc w:val="center"/>
                    <w:rPr>
                      <w:kern w:val="0"/>
                      <w:sz w:val="18"/>
                      <w:szCs w:val="18"/>
                    </w:rPr>
                  </w:pPr>
                  <w:r>
                    <w:rPr>
                      <w:rFonts w:hint="eastAsia"/>
                      <w:kern w:val="0"/>
                      <w:sz w:val="18"/>
                      <w:szCs w:val="18"/>
                    </w:rPr>
                    <w:t>符合</w:t>
                  </w:r>
                </w:p>
              </w:tc>
            </w:tr>
            <w:tr w14:paraId="2F1E9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353" w:type="pct"/>
                  <w:tcBorders>
                    <w:tl2br w:val="nil"/>
                    <w:tr2bl w:val="nil"/>
                  </w:tcBorders>
                  <w:vAlign w:val="center"/>
                </w:tcPr>
                <w:p w14:paraId="37FDF880">
                  <w:pPr>
                    <w:spacing w:line="270" w:lineRule="exact"/>
                    <w:rPr>
                      <w:kern w:val="0"/>
                      <w:sz w:val="18"/>
                      <w:szCs w:val="18"/>
                    </w:rPr>
                  </w:pPr>
                  <w:r>
                    <w:rPr>
                      <w:rFonts w:hint="eastAsia"/>
                      <w:kern w:val="0"/>
                      <w:sz w:val="18"/>
                      <w:szCs w:val="18"/>
                    </w:rPr>
                    <w:t>大力推进</w:t>
                  </w:r>
                  <w:r>
                    <w:rPr>
                      <w:rFonts w:hint="eastAsia" w:cs="宋体"/>
                      <w:kern w:val="0"/>
                      <w:sz w:val="18"/>
                      <w:szCs w:val="18"/>
                    </w:rPr>
                    <w:t>绿色生产，强化源头控</w:t>
                  </w:r>
                  <w:r>
                    <w:rPr>
                      <w:rFonts w:hint="eastAsia"/>
                      <w:kern w:val="0"/>
                      <w:sz w:val="18"/>
                      <w:szCs w:val="18"/>
                    </w:rPr>
                    <w:t>制</w:t>
                  </w:r>
                </w:p>
              </w:tc>
              <w:tc>
                <w:tcPr>
                  <w:tcW w:w="2738" w:type="pct"/>
                  <w:tcBorders>
                    <w:tl2br w:val="nil"/>
                    <w:tr2bl w:val="nil"/>
                  </w:tcBorders>
                  <w:vAlign w:val="center"/>
                </w:tcPr>
                <w:p w14:paraId="7DD38C2B">
                  <w:pPr>
                    <w:spacing w:line="270" w:lineRule="exact"/>
                    <w:rPr>
                      <w:kern w:val="0"/>
                      <w:sz w:val="18"/>
                      <w:szCs w:val="18"/>
                    </w:rPr>
                  </w:pPr>
                  <w:r>
                    <w:rPr>
                      <w:rFonts w:hint="eastAsia"/>
                      <w:kern w:val="0"/>
                      <w:sz w:val="18"/>
                      <w:szCs w:val="18"/>
                    </w:rPr>
                    <w:t>全面提升生产工艺绿色化水平。石化、化工等行业应采用原辅材料利用率高、废弃物产生量少的生产工艺，提升生产装备水平，采用密闭化、连续化、自动化、管道化等生产技术，鼓励工艺装置采取重力流布置，推广采用油品在线调和技术、密闭式循环水冷却系统等。工业涂装行业重点推进使用紧凑式涂装工艺，推广采用辊涂、静电喷涂、高压无气喷涂、空气辅助无气喷涂、热喷涂、超临界二氧化碳喷涂等技术，鼓励企业采用自动化、智能化喷涂设备替代人工喷涂，减少使用空气喷涂技术。包装印刷行业推广使用无溶剂复合、共挤出复合技术，鼓励采用水性凹印、醇水凹印、辐射固化凹印、柔版印刷、无水胶印等印刷工艺。鼓励生产工艺装备落后、在既有基础上整改困难的企业推倒重建，从车间布局、工艺装备等方面全面提升治理水平。</w:t>
                  </w:r>
                </w:p>
              </w:tc>
              <w:tc>
                <w:tcPr>
                  <w:tcW w:w="1405" w:type="pct"/>
                  <w:tcBorders>
                    <w:tl2br w:val="nil"/>
                    <w:tr2bl w:val="nil"/>
                  </w:tcBorders>
                  <w:vAlign w:val="center"/>
                </w:tcPr>
                <w:p w14:paraId="6CA6FCE9">
                  <w:pPr>
                    <w:widowControl/>
                    <w:rPr>
                      <w:rFonts w:cs="宋体"/>
                      <w:kern w:val="0"/>
                      <w:sz w:val="18"/>
                      <w:szCs w:val="18"/>
                    </w:rPr>
                  </w:pPr>
                  <w:r>
                    <w:rPr>
                      <w:rFonts w:hint="eastAsia" w:cs="宋体"/>
                      <w:kern w:val="0"/>
                      <w:sz w:val="18"/>
                      <w:szCs w:val="18"/>
                    </w:rPr>
                    <w:t>项目采用自动亲水涂层机等自动化、智能化设备进行涂覆工序；项目产品涂覆面积小，亲水涂层</w:t>
                  </w:r>
                  <w:r>
                    <w:rPr>
                      <w:rFonts w:hint="eastAsia" w:cs="宋体"/>
                      <w:kern w:val="0"/>
                      <w:sz w:val="18"/>
                      <w:szCs w:val="18"/>
                      <w:lang w:val="en-US" w:eastAsia="zh-CN"/>
                    </w:rPr>
                    <w:t>使用</w:t>
                  </w:r>
                  <w:r>
                    <w:rPr>
                      <w:rFonts w:hint="eastAsia" w:cs="宋体"/>
                      <w:kern w:val="0"/>
                      <w:sz w:val="18"/>
                      <w:szCs w:val="18"/>
                    </w:rPr>
                    <w:t>量小。</w:t>
                  </w:r>
                </w:p>
                <w:p w14:paraId="2CF58708">
                  <w:pPr>
                    <w:widowControl/>
                    <w:rPr>
                      <w:kern w:val="0"/>
                      <w:sz w:val="18"/>
                      <w:szCs w:val="18"/>
                    </w:rPr>
                  </w:pPr>
                </w:p>
              </w:tc>
              <w:tc>
                <w:tcPr>
                  <w:tcW w:w="502" w:type="pct"/>
                  <w:tcBorders>
                    <w:tl2br w:val="nil"/>
                    <w:tr2bl w:val="nil"/>
                  </w:tcBorders>
                  <w:vAlign w:val="center"/>
                </w:tcPr>
                <w:p w14:paraId="6E405BCB">
                  <w:pPr>
                    <w:spacing w:line="270" w:lineRule="exact"/>
                    <w:jc w:val="center"/>
                    <w:rPr>
                      <w:kern w:val="0"/>
                      <w:sz w:val="18"/>
                      <w:szCs w:val="18"/>
                    </w:rPr>
                  </w:pPr>
                  <w:r>
                    <w:rPr>
                      <w:rFonts w:hint="eastAsia"/>
                      <w:kern w:val="0"/>
                      <w:sz w:val="18"/>
                      <w:szCs w:val="18"/>
                    </w:rPr>
                    <w:t>符合</w:t>
                  </w:r>
                </w:p>
              </w:tc>
            </w:tr>
            <w:tr w14:paraId="18913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trHeight w:val="4070" w:hRule="atLeast"/>
                <w:jc w:val="center"/>
              </w:trPr>
              <w:tc>
                <w:tcPr>
                  <w:tcW w:w="353" w:type="pct"/>
                  <w:tcBorders>
                    <w:tl2br w:val="nil"/>
                    <w:tr2bl w:val="nil"/>
                  </w:tcBorders>
                  <w:vAlign w:val="center"/>
                </w:tcPr>
                <w:p w14:paraId="6FA895B6">
                  <w:pPr>
                    <w:spacing w:line="270" w:lineRule="exact"/>
                    <w:rPr>
                      <w:kern w:val="0"/>
                      <w:sz w:val="18"/>
                      <w:szCs w:val="18"/>
                    </w:rPr>
                  </w:pPr>
                  <w:r>
                    <w:rPr>
                      <w:rFonts w:hint="eastAsia"/>
                      <w:kern w:val="0"/>
                      <w:sz w:val="18"/>
                      <w:szCs w:val="18"/>
                    </w:rPr>
                    <w:t>严格控制无组织排放，减少过程泄漏</w:t>
                  </w:r>
                </w:p>
              </w:tc>
              <w:tc>
                <w:tcPr>
                  <w:tcW w:w="2738" w:type="pct"/>
                  <w:tcBorders>
                    <w:tl2br w:val="nil"/>
                    <w:tr2bl w:val="nil"/>
                  </w:tcBorders>
                  <w:vAlign w:val="center"/>
                </w:tcPr>
                <w:p w14:paraId="2327403D">
                  <w:pPr>
                    <w:spacing w:line="270" w:lineRule="exact"/>
                    <w:rPr>
                      <w:kern w:val="0"/>
                      <w:sz w:val="18"/>
                      <w:szCs w:val="18"/>
                    </w:rPr>
                  </w:pPr>
                  <w:r>
                    <w:rPr>
                      <w:rFonts w:hint="eastAsia"/>
                      <w:kern w:val="0"/>
                      <w:sz w:val="18"/>
                      <w:szCs w:val="18"/>
                    </w:rPr>
                    <w:t>严格控制无组织排放。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1405" w:type="pct"/>
                  <w:tcBorders>
                    <w:tl2br w:val="nil"/>
                    <w:tr2bl w:val="nil"/>
                  </w:tcBorders>
                  <w:vAlign w:val="center"/>
                </w:tcPr>
                <w:p w14:paraId="1F9C6DAD">
                  <w:pPr>
                    <w:spacing w:line="270" w:lineRule="exact"/>
                    <w:rPr>
                      <w:kern w:val="0"/>
                      <w:sz w:val="18"/>
                      <w:szCs w:val="18"/>
                    </w:rPr>
                  </w:pPr>
                  <w:r>
                    <w:rPr>
                      <w:rFonts w:hint="eastAsia"/>
                      <w:kern w:val="0"/>
                      <w:sz w:val="18"/>
                      <w:szCs w:val="18"/>
                    </w:rPr>
                    <w:t>本项目生产采用密闭设备和在密闭空间中操作的方式，并根据相关规范合理设置通风量。</w:t>
                  </w:r>
                </w:p>
              </w:tc>
              <w:tc>
                <w:tcPr>
                  <w:tcW w:w="502" w:type="pct"/>
                  <w:tcBorders>
                    <w:tl2br w:val="nil"/>
                    <w:tr2bl w:val="nil"/>
                  </w:tcBorders>
                  <w:vAlign w:val="center"/>
                </w:tcPr>
                <w:p w14:paraId="63AD1319">
                  <w:pPr>
                    <w:spacing w:line="270" w:lineRule="exact"/>
                    <w:jc w:val="center"/>
                    <w:rPr>
                      <w:kern w:val="0"/>
                      <w:sz w:val="18"/>
                      <w:szCs w:val="18"/>
                    </w:rPr>
                  </w:pPr>
                  <w:r>
                    <w:rPr>
                      <w:rFonts w:hint="eastAsia"/>
                      <w:kern w:val="0"/>
                      <w:sz w:val="18"/>
                      <w:szCs w:val="18"/>
                    </w:rPr>
                    <w:t>符合</w:t>
                  </w:r>
                </w:p>
              </w:tc>
            </w:tr>
            <w:tr w14:paraId="2754C9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353" w:type="pct"/>
                  <w:vMerge w:val="restart"/>
                  <w:tcBorders>
                    <w:tl2br w:val="nil"/>
                    <w:tr2bl w:val="nil"/>
                  </w:tcBorders>
                  <w:vAlign w:val="center"/>
                </w:tcPr>
                <w:p w14:paraId="3AE7A794">
                  <w:pPr>
                    <w:spacing w:line="270" w:lineRule="exact"/>
                    <w:rPr>
                      <w:kern w:val="0"/>
                      <w:sz w:val="18"/>
                      <w:szCs w:val="18"/>
                    </w:rPr>
                  </w:pPr>
                  <w:r>
                    <w:rPr>
                      <w:rFonts w:hint="eastAsia"/>
                      <w:kern w:val="0"/>
                      <w:sz w:val="18"/>
                      <w:szCs w:val="18"/>
                    </w:rPr>
                    <w:t>升级改造治理设施，实施高效治理</w:t>
                  </w:r>
                </w:p>
              </w:tc>
              <w:tc>
                <w:tcPr>
                  <w:tcW w:w="2738" w:type="pct"/>
                  <w:tcBorders>
                    <w:tl2br w:val="nil"/>
                    <w:tr2bl w:val="nil"/>
                  </w:tcBorders>
                  <w:vAlign w:val="center"/>
                </w:tcPr>
                <w:p w14:paraId="50C07BD9">
                  <w:pPr>
                    <w:spacing w:line="270" w:lineRule="exact"/>
                    <w:rPr>
                      <w:kern w:val="0"/>
                      <w:sz w:val="18"/>
                      <w:szCs w:val="18"/>
                    </w:rPr>
                  </w:pPr>
                  <w:r>
                    <w:rPr>
                      <w:rFonts w:hint="eastAsia"/>
                      <w:kern w:val="0"/>
                      <w:sz w:val="18"/>
                      <w:szCs w:val="18"/>
                    </w:rPr>
                    <w:t>建设适宜高效的治理设施。企业新建治理设施或对现有治理设施实施改造，应结合排放VOCs产生特征、生产工况等合理选择治理技术，对治理难度大、单一治理工艺难以稳定达标的，要采用多种技术的组合工艺。采用活性炭吸附技术的，吸附装置和活性炭应符合相关技术要求，并按要求足量添加、定期更换活性炭。组织开展使用光催化、光氧化、低温等离子、一次性活性炭或上述组合技术等VOCs治理设施排查，对达不到要求的，应当更换或升级改造，实现稳定达标排放。到2025 年，完成5000家低效VOCs 治理设施改造升级，石化行业的 VOCs 综合去除效率达到70%以上，化工、工业涂装、包装印刷、合成革等行业的 VOCs 综合去除效率达到 60% 以上。</w:t>
                  </w:r>
                </w:p>
              </w:tc>
              <w:tc>
                <w:tcPr>
                  <w:tcW w:w="1405" w:type="pct"/>
                  <w:tcBorders>
                    <w:tl2br w:val="nil"/>
                    <w:tr2bl w:val="nil"/>
                  </w:tcBorders>
                  <w:vAlign w:val="center"/>
                </w:tcPr>
                <w:p w14:paraId="7AF29681">
                  <w:pPr>
                    <w:spacing w:line="270" w:lineRule="exact"/>
                    <w:rPr>
                      <w:rFonts w:hint="default" w:eastAsia="宋体"/>
                      <w:kern w:val="0"/>
                      <w:sz w:val="18"/>
                      <w:szCs w:val="18"/>
                      <w:lang w:val="en-US" w:eastAsia="zh-CN"/>
                    </w:rPr>
                  </w:pPr>
                  <w:r>
                    <w:rPr>
                      <w:rFonts w:hint="eastAsia"/>
                      <w:sz w:val="18"/>
                      <w:szCs w:val="18"/>
                    </w:rPr>
                    <w:t>本项</w:t>
                  </w:r>
                  <w:r>
                    <w:rPr>
                      <w:rFonts w:hint="eastAsia"/>
                      <w:kern w:val="0"/>
                      <w:sz w:val="18"/>
                      <w:szCs w:val="18"/>
                    </w:rPr>
                    <w:t>目产生的非甲烷总烃</w:t>
                  </w:r>
                  <w:r>
                    <w:rPr>
                      <w:rFonts w:hint="eastAsia"/>
                      <w:kern w:val="0"/>
                      <w:sz w:val="18"/>
                      <w:szCs w:val="18"/>
                      <w:lang w:val="en-US" w:eastAsia="zh-CN"/>
                    </w:rPr>
                    <w:t>，通过密闭车间收集、通风橱收集等方式收集，经过一级活性炭吸附后，通过多个15 m高排气筒排放。少量无收集条件车间，加强车间通风。</w:t>
                  </w:r>
                </w:p>
              </w:tc>
              <w:tc>
                <w:tcPr>
                  <w:tcW w:w="502" w:type="pct"/>
                  <w:tcBorders>
                    <w:tl2br w:val="nil"/>
                    <w:tr2bl w:val="nil"/>
                  </w:tcBorders>
                  <w:vAlign w:val="center"/>
                </w:tcPr>
                <w:p w14:paraId="3B4F9B3A">
                  <w:pPr>
                    <w:spacing w:line="270" w:lineRule="exact"/>
                    <w:jc w:val="center"/>
                    <w:rPr>
                      <w:kern w:val="0"/>
                      <w:sz w:val="18"/>
                      <w:szCs w:val="18"/>
                    </w:rPr>
                  </w:pPr>
                  <w:r>
                    <w:rPr>
                      <w:rFonts w:hint="eastAsia"/>
                      <w:kern w:val="0"/>
                      <w:sz w:val="18"/>
                      <w:szCs w:val="18"/>
                    </w:rPr>
                    <w:t>符合</w:t>
                  </w:r>
                </w:p>
              </w:tc>
            </w:tr>
            <w:tr w14:paraId="52DBBD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1" w:type="dxa"/>
                  <w:bottom w:w="0" w:type="dxa"/>
                  <w:right w:w="51" w:type="dxa"/>
                </w:tblCellMar>
              </w:tblPrEx>
              <w:trPr>
                <w:jc w:val="center"/>
              </w:trPr>
              <w:tc>
                <w:tcPr>
                  <w:tcW w:w="353" w:type="pct"/>
                  <w:vMerge w:val="continue"/>
                  <w:tcBorders>
                    <w:tl2br w:val="nil"/>
                    <w:tr2bl w:val="nil"/>
                  </w:tcBorders>
                  <w:vAlign w:val="center"/>
                </w:tcPr>
                <w:p w14:paraId="08F4CE2D">
                  <w:pPr>
                    <w:spacing w:line="270" w:lineRule="exact"/>
                    <w:rPr>
                      <w:kern w:val="0"/>
                      <w:sz w:val="18"/>
                      <w:szCs w:val="18"/>
                    </w:rPr>
                  </w:pPr>
                </w:p>
              </w:tc>
              <w:tc>
                <w:tcPr>
                  <w:tcW w:w="2738" w:type="pct"/>
                  <w:tcBorders>
                    <w:tl2br w:val="nil"/>
                    <w:tr2bl w:val="nil"/>
                  </w:tcBorders>
                  <w:vAlign w:val="center"/>
                </w:tcPr>
                <w:p w14:paraId="58CE47FA">
                  <w:pPr>
                    <w:spacing w:line="270" w:lineRule="exact"/>
                    <w:rPr>
                      <w:kern w:val="0"/>
                      <w:sz w:val="18"/>
                      <w:szCs w:val="18"/>
                    </w:rPr>
                  </w:pPr>
                  <w:r>
                    <w:rPr>
                      <w:rFonts w:hint="eastAsia"/>
                      <w:kern w:val="0"/>
                      <w:sz w:val="18"/>
                      <w:szCs w:val="18"/>
                    </w:rPr>
                    <w:t>加强治理设施运行管理。按照治理设施较生产设备“先启后停”的原则提升治理设施投运率。根据处理工艺要求，在治理设施达到正常运行条件后方可启动生产设备，在生产设备停止、残留 VOCs 收集处理完毕后，方可停运治理设施。VOCs 治理设施发生故障或检修时，对应生产设备应停止运行，待检修完毕后投入使用；因安全等因素生产设备不能停止或不能及时停止运行的，应设置废气应急处理设施或采取其他替代措施。</w:t>
                  </w:r>
                </w:p>
              </w:tc>
              <w:tc>
                <w:tcPr>
                  <w:tcW w:w="1405" w:type="pct"/>
                  <w:tcBorders>
                    <w:tl2br w:val="nil"/>
                    <w:tr2bl w:val="nil"/>
                  </w:tcBorders>
                  <w:vAlign w:val="center"/>
                </w:tcPr>
                <w:p w14:paraId="2792BC62">
                  <w:pPr>
                    <w:spacing w:line="270" w:lineRule="exact"/>
                    <w:rPr>
                      <w:kern w:val="0"/>
                      <w:sz w:val="18"/>
                      <w:szCs w:val="18"/>
                    </w:rPr>
                  </w:pPr>
                  <w:r>
                    <w:rPr>
                      <w:rFonts w:hint="eastAsia"/>
                      <w:kern w:val="0"/>
                      <w:sz w:val="18"/>
                      <w:szCs w:val="18"/>
                    </w:rPr>
                    <w:t>本项目将加强设施运行管理，建立监控和应急响应机制，确保故障及时发现及时检修。</w:t>
                  </w:r>
                </w:p>
              </w:tc>
              <w:tc>
                <w:tcPr>
                  <w:tcW w:w="502" w:type="pct"/>
                  <w:tcBorders>
                    <w:tl2br w:val="nil"/>
                    <w:tr2bl w:val="nil"/>
                  </w:tcBorders>
                  <w:vAlign w:val="center"/>
                </w:tcPr>
                <w:p w14:paraId="48572A35">
                  <w:pPr>
                    <w:spacing w:line="270" w:lineRule="exact"/>
                    <w:jc w:val="center"/>
                    <w:rPr>
                      <w:kern w:val="0"/>
                      <w:sz w:val="18"/>
                      <w:szCs w:val="18"/>
                    </w:rPr>
                  </w:pPr>
                  <w:r>
                    <w:rPr>
                      <w:rFonts w:hint="eastAsia"/>
                      <w:kern w:val="0"/>
                      <w:sz w:val="18"/>
                      <w:szCs w:val="18"/>
                    </w:rPr>
                    <w:t>符合</w:t>
                  </w:r>
                </w:p>
              </w:tc>
            </w:tr>
          </w:tbl>
          <w:p w14:paraId="118F4B32">
            <w:pPr>
              <w:spacing w:line="360" w:lineRule="auto"/>
              <w:outlineLvl w:val="1"/>
              <w:rPr>
                <w:b/>
                <w:sz w:val="24"/>
              </w:rPr>
            </w:pPr>
            <w:r>
              <w:rPr>
                <w:b/>
                <w:sz w:val="24"/>
              </w:rPr>
              <w:t>1.</w:t>
            </w:r>
            <w:r>
              <w:rPr>
                <w:rFonts w:hint="default"/>
                <w:b/>
                <w:sz w:val="24"/>
              </w:rPr>
              <w:t>6</w:t>
            </w:r>
            <w:r>
              <w:rPr>
                <w:b/>
                <w:sz w:val="24"/>
              </w:rPr>
              <w:t xml:space="preserve">  </w:t>
            </w:r>
            <w:r>
              <w:rPr>
                <w:rFonts w:hint="eastAsia" w:cs="Times New Roman"/>
                <w:b/>
                <w:bCs w:val="0"/>
                <w:color w:val="auto"/>
                <w:sz w:val="24"/>
                <w:szCs w:val="24"/>
                <w:lang w:val="en-US" w:eastAsia="zh-CN"/>
              </w:rPr>
              <w:t>《关于加强重点行业涉新污染物建设项目环境影响评价工作的意见》（环环评〔2025〕28号）符合性分析</w:t>
            </w:r>
          </w:p>
          <w:p w14:paraId="57EC6558">
            <w:pPr>
              <w:spacing w:line="360" w:lineRule="auto"/>
              <w:ind w:firstLine="420" w:firstLineChars="200"/>
              <w:outlineLvl w:val="1"/>
              <w:rPr>
                <w:rFonts w:hint="default" w:ascii="Times New Roman" w:hAnsi="Times New Roman"/>
                <w:lang w:val="en-US" w:eastAsia="zh-CN"/>
              </w:rPr>
            </w:pPr>
            <w:r>
              <w:rPr>
                <w:rFonts w:hint="default" w:ascii="Times New Roman" w:hAnsi="Times New Roman"/>
                <w:lang w:val="en-US" w:eastAsia="zh-CN"/>
              </w:rPr>
              <w:t>本项目不属于重点行业，且不在不予审批环评的项目类别范围内</w:t>
            </w:r>
            <w:r>
              <w:rPr>
                <w:rFonts w:hint="eastAsia" w:ascii="Times New Roman" w:hAnsi="Times New Roman"/>
              </w:rPr>
              <w:t>。</w:t>
            </w:r>
            <w:r>
              <w:rPr>
                <w:rFonts w:hint="default" w:ascii="Times New Roman" w:hAnsi="Times New Roman"/>
                <w:lang w:val="en-US" w:eastAsia="zh-CN"/>
              </w:rPr>
              <w:t>综上，不执行上述意见的要求。</w:t>
            </w:r>
          </w:p>
          <w:p w14:paraId="1F052EEE">
            <w:pPr>
              <w:spacing w:line="360" w:lineRule="auto"/>
              <w:outlineLvl w:val="1"/>
              <w:rPr>
                <w:rFonts w:ascii="Times New Roman" w:hAnsi="Times New Roman" w:eastAsia="宋体" w:cs="Times New Roman"/>
                <w:b/>
                <w:sz w:val="24"/>
              </w:rPr>
            </w:pPr>
            <w:r>
              <w:rPr>
                <w:rFonts w:ascii="Times New Roman" w:hAnsi="Times New Roman" w:eastAsia="宋体" w:cs="Times New Roman"/>
                <w:b/>
                <w:sz w:val="24"/>
              </w:rPr>
              <w:t>1.</w:t>
            </w:r>
            <w:r>
              <w:rPr>
                <w:rFonts w:hint="eastAsia" w:ascii="Times New Roman" w:hAnsi="Times New Roman" w:eastAsia="宋体" w:cs="Times New Roman"/>
                <w:b/>
                <w:sz w:val="24"/>
                <w:lang w:val="en-US" w:eastAsia="zh-CN"/>
              </w:rPr>
              <w:t>7</w:t>
            </w:r>
            <w:r>
              <w:rPr>
                <w:rFonts w:ascii="Times New Roman" w:hAnsi="Times New Roman" w:eastAsia="宋体" w:cs="Times New Roman"/>
                <w:b/>
                <w:sz w:val="24"/>
              </w:rPr>
              <w:t xml:space="preserve">  </w:t>
            </w:r>
            <w:r>
              <w:rPr>
                <w:rFonts w:hint="eastAsia" w:ascii="Times New Roman" w:hAnsi="Times New Roman" w:eastAsia="宋体" w:cs="Times New Roman"/>
                <w:b/>
                <w:bCs w:val="0"/>
                <w:sz w:val="24"/>
                <w:szCs w:val="24"/>
                <w:lang w:val="en-US" w:eastAsia="zh-CN"/>
              </w:rPr>
              <w:t>《浙江省“十五五”空气质量改善规划》（环环评〔2026〕13号）符合性分析</w:t>
            </w:r>
          </w:p>
          <w:p w14:paraId="36578F73">
            <w:pPr>
              <w:spacing w:line="360" w:lineRule="auto"/>
              <w:ind w:firstLine="420" w:firstLineChars="200"/>
              <w:outlineLvl w:val="1"/>
              <w:rPr>
                <w:rFonts w:hint="default" w:ascii="Times New Roman" w:hAnsi="Times New Roman"/>
                <w:lang w:val="en-US" w:eastAsia="zh-CN"/>
              </w:rPr>
            </w:pPr>
            <w:r>
              <w:rPr>
                <w:rFonts w:hint="default" w:ascii="Times New Roman" w:hAnsi="Times New Roman"/>
                <w:lang w:val="en-US" w:eastAsia="zh-CN"/>
              </w:rPr>
              <w:t>本项目不属于重点行业，</w:t>
            </w:r>
            <w:r>
              <w:rPr>
                <w:rFonts w:hint="eastAsia" w:ascii="Times New Roman" w:hAnsi="Times New Roman"/>
                <w:lang w:val="en-US" w:eastAsia="zh-CN"/>
              </w:rPr>
              <w:t>所使用的胶粘剂为符合国家标准的低VOCs含量产品，符合</w:t>
            </w:r>
            <w:r>
              <w:rPr>
                <w:rFonts w:hint="default" w:ascii="Times New Roman" w:hAnsi="Times New Roman"/>
                <w:lang w:val="en-US" w:eastAsia="zh-CN"/>
              </w:rPr>
              <w:t>上述意见的要求。</w:t>
            </w:r>
          </w:p>
          <w:p w14:paraId="3D858A5E">
            <w:pPr>
              <w:spacing w:line="360" w:lineRule="auto"/>
              <w:outlineLvl w:val="1"/>
              <w:rPr>
                <w:rFonts w:ascii="Times New Roman" w:hAnsi="Times New Roman" w:eastAsia="宋体" w:cs="Times New Roman"/>
                <w:b/>
                <w:sz w:val="24"/>
              </w:rPr>
            </w:pPr>
            <w:r>
              <w:rPr>
                <w:rFonts w:ascii="Times New Roman" w:hAnsi="Times New Roman" w:eastAsia="宋体" w:cs="Times New Roman"/>
                <w:b/>
                <w:sz w:val="24"/>
              </w:rPr>
              <w:t>1.</w:t>
            </w:r>
            <w:r>
              <w:rPr>
                <w:rFonts w:hint="eastAsia" w:ascii="Times New Roman" w:hAnsi="Times New Roman" w:eastAsia="宋体" w:cs="Times New Roman"/>
                <w:b/>
                <w:sz w:val="24"/>
                <w:lang w:val="en-US" w:eastAsia="zh-CN"/>
              </w:rPr>
              <w:t>8</w:t>
            </w:r>
            <w:r>
              <w:rPr>
                <w:rFonts w:ascii="Times New Roman" w:hAnsi="Times New Roman" w:eastAsia="宋体" w:cs="Times New Roman"/>
                <w:b/>
                <w:sz w:val="24"/>
              </w:rPr>
              <w:t xml:space="preserve">  </w:t>
            </w:r>
            <w:r>
              <w:rPr>
                <w:rFonts w:hint="eastAsia" w:ascii="Times New Roman" w:hAnsi="Times New Roman" w:eastAsia="宋体" w:cs="Times New Roman"/>
                <w:b/>
                <w:bCs w:val="0"/>
                <w:sz w:val="24"/>
                <w:szCs w:val="24"/>
                <w:lang w:val="en-US" w:eastAsia="zh-CN"/>
              </w:rPr>
              <w:t>《浙江省2026年空气质量持续改善行动计划》（浙美丽办〔2026〕21号）符合性分析</w:t>
            </w:r>
          </w:p>
          <w:p w14:paraId="1A68466E">
            <w:pPr>
              <w:spacing w:line="360" w:lineRule="auto"/>
              <w:ind w:firstLine="420" w:firstLineChars="200"/>
              <w:outlineLvl w:val="1"/>
              <w:rPr>
                <w:rFonts w:hint="default" w:ascii="Times New Roman" w:hAnsi="Times New Roman"/>
                <w:lang w:val="en-US" w:eastAsia="zh-CN"/>
              </w:rPr>
            </w:pPr>
            <w:r>
              <w:rPr>
                <w:rFonts w:hint="default" w:ascii="Times New Roman" w:hAnsi="Times New Roman"/>
                <w:lang w:val="en-US" w:eastAsia="zh-CN"/>
              </w:rPr>
              <w:t>本项目</w:t>
            </w:r>
            <w:r>
              <w:rPr>
                <w:rFonts w:hint="eastAsia" w:ascii="Times New Roman" w:hAnsi="Times New Roman"/>
                <w:lang w:val="en-US" w:eastAsia="zh-CN"/>
              </w:rPr>
              <w:t>所使用的胶粘剂为符合国家标准的低VOCs含量产品，符合</w:t>
            </w:r>
            <w:r>
              <w:rPr>
                <w:rFonts w:hint="default" w:ascii="Times New Roman" w:hAnsi="Times New Roman"/>
                <w:lang w:val="en-US" w:eastAsia="zh-CN"/>
              </w:rPr>
              <w:t>上述意见的要求。</w:t>
            </w:r>
          </w:p>
          <w:p w14:paraId="55ECD970">
            <w:pPr>
              <w:spacing w:line="360" w:lineRule="auto"/>
              <w:outlineLvl w:val="1"/>
              <w:rPr>
                <w:b/>
                <w:sz w:val="24"/>
              </w:rPr>
            </w:pPr>
            <w:r>
              <w:rPr>
                <w:b/>
                <w:sz w:val="24"/>
              </w:rPr>
              <w:t>1.</w:t>
            </w:r>
            <w:r>
              <w:rPr>
                <w:rFonts w:hint="eastAsia"/>
                <w:b/>
                <w:sz w:val="24"/>
                <w:lang w:val="en-US" w:eastAsia="zh-CN"/>
              </w:rPr>
              <w:t>9</w:t>
            </w:r>
            <w:r>
              <w:rPr>
                <w:rFonts w:hint="eastAsia"/>
                <w:b/>
                <w:sz w:val="24"/>
              </w:rPr>
              <w:t xml:space="preserve">  “四性五不批”符合性分析</w:t>
            </w:r>
          </w:p>
          <w:p w14:paraId="775E79EF">
            <w:pPr>
              <w:pStyle w:val="82"/>
              <w:snapToGrid w:val="0"/>
              <w:spacing w:line="360" w:lineRule="auto"/>
              <w:ind w:firstLine="420" w:firstLineChars="200"/>
              <w:jc w:val="both"/>
              <w:rPr>
                <w:rFonts w:ascii="Times New Roman" w:cs="Times New Roman"/>
                <w:bCs/>
                <w:sz w:val="21"/>
                <w:szCs w:val="21"/>
              </w:rPr>
            </w:pPr>
            <w:r>
              <w:rPr>
                <w:rFonts w:hint="eastAsia" w:ascii="Times New Roman" w:cs="Times New Roman"/>
                <w:color w:val="auto"/>
                <w:sz w:val="21"/>
                <w:szCs w:val="21"/>
              </w:rPr>
              <w:t>根据《建设项目环境保护管理条例》（中华人民共和国国务院令第682号），</w:t>
            </w:r>
            <w:r>
              <w:rPr>
                <w:rFonts w:hint="eastAsia" w:ascii="Times New Roman" w:cs="Times New Roman"/>
                <w:bCs/>
                <w:color w:val="auto"/>
                <w:sz w:val="21"/>
                <w:szCs w:val="21"/>
              </w:rPr>
              <w:t>本项目“四性五不批”符合性</w:t>
            </w:r>
            <w:r>
              <w:rPr>
                <w:rFonts w:hint="eastAsia" w:ascii="Times New Roman" w:cs="Times New Roman"/>
                <w:color w:val="auto"/>
                <w:sz w:val="21"/>
                <w:szCs w:val="21"/>
              </w:rPr>
              <w:t>分析如</w:t>
            </w:r>
            <w:r>
              <w:rPr>
                <w:rFonts w:hint="eastAsia" w:ascii="Times New Roman" w:cs="Times New Roman"/>
                <w:color w:val="auto"/>
                <w:sz w:val="21"/>
                <w:szCs w:val="21"/>
                <w:lang w:val="en-US" w:eastAsia="zh-CN"/>
              </w:rPr>
              <w:t>下表所</w:t>
            </w:r>
            <w:r>
              <w:rPr>
                <w:rFonts w:hint="eastAsia" w:ascii="Times New Roman" w:cs="Times New Roman"/>
                <w:color w:val="auto"/>
                <w:sz w:val="21"/>
                <w:szCs w:val="21"/>
              </w:rPr>
              <w:t>示。</w:t>
            </w:r>
          </w:p>
          <w:p w14:paraId="0C7FEF60">
            <w:pPr>
              <w:keepNext/>
              <w:keepLines/>
              <w:widowControl/>
              <w:numPr>
                <w:ilvl w:val="0"/>
                <w:numId w:val="2"/>
              </w:numPr>
              <w:tabs>
                <w:tab w:val="left" w:pos="0"/>
              </w:tabs>
              <w:spacing w:line="360" w:lineRule="auto"/>
              <w:jc w:val="center"/>
              <w:outlineLvl w:val="3"/>
              <w:rPr>
                <w:rFonts w:hint="eastAsia" w:ascii="黑体" w:hAnsi="黑体" w:eastAsia="黑体" w:cs="黑体"/>
                <w:kern w:val="0"/>
                <w:szCs w:val="21"/>
              </w:rPr>
            </w:pPr>
            <w:r>
              <w:rPr>
                <w:rFonts w:hint="eastAsia" w:ascii="黑体" w:hAnsi="黑体" w:eastAsia="黑体" w:cs="黑体"/>
                <w:kern w:val="0"/>
                <w:szCs w:val="21"/>
              </w:rPr>
              <w:t>项目与“</w:t>
            </w:r>
            <w:r>
              <w:rPr>
                <w:rFonts w:hint="eastAsia" w:ascii="黑体" w:hAnsi="黑体" w:eastAsia="黑体" w:cs="黑体"/>
                <w:kern w:val="0"/>
                <w:szCs w:val="21"/>
                <w:lang w:val="zh-CN"/>
              </w:rPr>
              <w:t>四性五不批</w:t>
            </w:r>
            <w:r>
              <w:rPr>
                <w:rFonts w:hint="eastAsia" w:ascii="黑体" w:hAnsi="黑体" w:eastAsia="黑体" w:cs="黑体"/>
                <w:kern w:val="0"/>
                <w:szCs w:val="21"/>
              </w:rPr>
              <w:t>”</w:t>
            </w:r>
            <w:r>
              <w:rPr>
                <w:rFonts w:hint="eastAsia" w:ascii="黑体" w:hAnsi="黑体" w:eastAsia="黑体" w:cs="黑体"/>
                <w:kern w:val="0"/>
                <w:szCs w:val="21"/>
                <w:lang w:val="zh-CN"/>
              </w:rPr>
              <w:t>符合性分析</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07"/>
              <w:gridCol w:w="3026"/>
              <w:gridCol w:w="4177"/>
              <w:gridCol w:w="686"/>
            </w:tblGrid>
            <w:tr w14:paraId="6A1C9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104" w:type="pct"/>
                  <w:gridSpan w:val="2"/>
                  <w:tcBorders>
                    <w:tl2br w:val="nil"/>
                    <w:tr2bl w:val="nil"/>
                  </w:tcBorders>
                  <w:vAlign w:val="center"/>
                </w:tcPr>
                <w:p w14:paraId="2BD5472A">
                  <w:pPr>
                    <w:widowControl/>
                    <w:jc w:val="center"/>
                    <w:rPr>
                      <w:kern w:val="0"/>
                      <w:sz w:val="18"/>
                      <w:szCs w:val="18"/>
                    </w:rPr>
                  </w:pPr>
                  <w:r>
                    <w:rPr>
                      <w:rFonts w:hint="eastAsia"/>
                      <w:kern w:val="0"/>
                      <w:sz w:val="18"/>
                      <w:szCs w:val="18"/>
                    </w:rPr>
                    <w:t>建设项目环境保护管理条例</w:t>
                  </w:r>
                </w:p>
              </w:tc>
              <w:tc>
                <w:tcPr>
                  <w:tcW w:w="2487" w:type="pct"/>
                  <w:tcBorders>
                    <w:tl2br w:val="nil"/>
                    <w:tr2bl w:val="nil"/>
                  </w:tcBorders>
                  <w:vAlign w:val="center"/>
                </w:tcPr>
                <w:p w14:paraId="22FD0E1E">
                  <w:pPr>
                    <w:widowControl/>
                    <w:jc w:val="center"/>
                    <w:rPr>
                      <w:kern w:val="0"/>
                      <w:sz w:val="18"/>
                      <w:szCs w:val="18"/>
                    </w:rPr>
                  </w:pPr>
                  <w:r>
                    <w:rPr>
                      <w:rFonts w:hint="eastAsia"/>
                      <w:kern w:val="0"/>
                      <w:sz w:val="18"/>
                      <w:szCs w:val="18"/>
                    </w:rPr>
                    <w:t>项目情况</w:t>
                  </w:r>
                </w:p>
              </w:tc>
              <w:tc>
                <w:tcPr>
                  <w:tcW w:w="409" w:type="pct"/>
                  <w:tcBorders>
                    <w:tl2br w:val="nil"/>
                    <w:tr2bl w:val="nil"/>
                  </w:tcBorders>
                  <w:vAlign w:val="center"/>
                </w:tcPr>
                <w:p w14:paraId="46795F1C">
                  <w:pPr>
                    <w:widowControl/>
                    <w:jc w:val="center"/>
                    <w:rPr>
                      <w:kern w:val="0"/>
                      <w:sz w:val="18"/>
                      <w:szCs w:val="18"/>
                    </w:rPr>
                  </w:pPr>
                  <w:r>
                    <w:rPr>
                      <w:rFonts w:hint="eastAsia"/>
                      <w:kern w:val="0"/>
                      <w:sz w:val="18"/>
                      <w:szCs w:val="18"/>
                    </w:rPr>
                    <w:t>符合性</w:t>
                  </w:r>
                </w:p>
              </w:tc>
            </w:tr>
            <w:tr w14:paraId="2617D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restart"/>
                  <w:tcBorders>
                    <w:tl2br w:val="nil"/>
                    <w:tr2bl w:val="nil"/>
                  </w:tcBorders>
                  <w:vAlign w:val="center"/>
                </w:tcPr>
                <w:p w14:paraId="531B16D0">
                  <w:pPr>
                    <w:widowControl/>
                    <w:jc w:val="center"/>
                    <w:rPr>
                      <w:kern w:val="0"/>
                      <w:sz w:val="18"/>
                      <w:szCs w:val="18"/>
                    </w:rPr>
                  </w:pPr>
                  <w:r>
                    <w:rPr>
                      <w:rFonts w:hint="eastAsia"/>
                      <w:kern w:val="0"/>
                      <w:sz w:val="18"/>
                      <w:szCs w:val="18"/>
                    </w:rPr>
                    <w:t>四性</w:t>
                  </w:r>
                </w:p>
              </w:tc>
              <w:tc>
                <w:tcPr>
                  <w:tcW w:w="1802" w:type="pct"/>
                  <w:tcBorders>
                    <w:tl2br w:val="nil"/>
                    <w:tr2bl w:val="nil"/>
                  </w:tcBorders>
                  <w:vAlign w:val="center"/>
                </w:tcPr>
                <w:p w14:paraId="7A34C631">
                  <w:pPr>
                    <w:widowControl/>
                    <w:rPr>
                      <w:kern w:val="0"/>
                      <w:sz w:val="18"/>
                      <w:szCs w:val="18"/>
                    </w:rPr>
                  </w:pPr>
                  <w:r>
                    <w:rPr>
                      <w:rFonts w:hint="eastAsia"/>
                      <w:kern w:val="0"/>
                      <w:sz w:val="18"/>
                      <w:szCs w:val="18"/>
                    </w:rPr>
                    <w:t>建设项目的环境可行性</w:t>
                  </w:r>
                </w:p>
              </w:tc>
              <w:tc>
                <w:tcPr>
                  <w:tcW w:w="2487" w:type="pct"/>
                  <w:tcBorders>
                    <w:tl2br w:val="nil"/>
                    <w:tr2bl w:val="nil"/>
                  </w:tcBorders>
                  <w:vAlign w:val="center"/>
                </w:tcPr>
                <w:p w14:paraId="3E4280AE">
                  <w:pPr>
                    <w:widowControl/>
                    <w:rPr>
                      <w:kern w:val="0"/>
                      <w:sz w:val="18"/>
                      <w:szCs w:val="18"/>
                    </w:rPr>
                  </w:pPr>
                  <w:r>
                    <w:rPr>
                      <w:rFonts w:hint="eastAsia"/>
                      <w:kern w:val="0"/>
                      <w:sz w:val="18"/>
                      <w:szCs w:val="18"/>
                    </w:rPr>
                    <w:t>本项目符合产业政策、达标排放、用地规划、“三线一单”生态环境分区管控要求、总量控制原则及环境质量要求等，从环保角度看，本项目的建设满足环境可行性要求。</w:t>
                  </w:r>
                </w:p>
              </w:tc>
              <w:tc>
                <w:tcPr>
                  <w:tcW w:w="409" w:type="pct"/>
                  <w:tcBorders>
                    <w:tl2br w:val="nil"/>
                    <w:tr2bl w:val="nil"/>
                  </w:tcBorders>
                  <w:vAlign w:val="center"/>
                </w:tcPr>
                <w:p w14:paraId="6FBA5A49">
                  <w:pPr>
                    <w:widowControl/>
                    <w:jc w:val="center"/>
                    <w:rPr>
                      <w:kern w:val="0"/>
                      <w:sz w:val="18"/>
                      <w:szCs w:val="18"/>
                    </w:rPr>
                  </w:pPr>
                  <w:r>
                    <w:rPr>
                      <w:rFonts w:hint="eastAsia"/>
                      <w:kern w:val="0"/>
                      <w:sz w:val="18"/>
                      <w:szCs w:val="18"/>
                    </w:rPr>
                    <w:t>符合</w:t>
                  </w:r>
                </w:p>
              </w:tc>
            </w:tr>
            <w:tr w14:paraId="6A8A7E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345291F5">
                  <w:pPr>
                    <w:widowControl/>
                    <w:jc w:val="center"/>
                    <w:rPr>
                      <w:kern w:val="0"/>
                      <w:sz w:val="18"/>
                      <w:szCs w:val="18"/>
                    </w:rPr>
                  </w:pPr>
                </w:p>
              </w:tc>
              <w:tc>
                <w:tcPr>
                  <w:tcW w:w="1802" w:type="pct"/>
                  <w:tcBorders>
                    <w:tl2br w:val="nil"/>
                    <w:tr2bl w:val="nil"/>
                  </w:tcBorders>
                  <w:vAlign w:val="center"/>
                </w:tcPr>
                <w:p w14:paraId="38EF1963">
                  <w:pPr>
                    <w:widowControl/>
                    <w:rPr>
                      <w:kern w:val="0"/>
                      <w:sz w:val="18"/>
                      <w:szCs w:val="18"/>
                    </w:rPr>
                  </w:pPr>
                  <w:r>
                    <w:rPr>
                      <w:rFonts w:hint="eastAsia"/>
                      <w:kern w:val="0"/>
                      <w:sz w:val="18"/>
                      <w:szCs w:val="18"/>
                    </w:rPr>
                    <w:t>环境影响分析预测评估的可靠性</w:t>
                  </w:r>
                </w:p>
              </w:tc>
              <w:tc>
                <w:tcPr>
                  <w:tcW w:w="2487" w:type="pct"/>
                  <w:tcBorders>
                    <w:tl2br w:val="nil"/>
                    <w:tr2bl w:val="nil"/>
                  </w:tcBorders>
                  <w:vAlign w:val="center"/>
                </w:tcPr>
                <w:p w14:paraId="4AEAF026">
                  <w:pPr>
                    <w:widowControl/>
                    <w:rPr>
                      <w:kern w:val="0"/>
                      <w:sz w:val="18"/>
                      <w:szCs w:val="18"/>
                    </w:rPr>
                  </w:pPr>
                  <w:r>
                    <w:rPr>
                      <w:rFonts w:hint="eastAsia"/>
                      <w:kern w:val="0"/>
                      <w:sz w:val="18"/>
                      <w:szCs w:val="18"/>
                    </w:rPr>
                    <w:t>本评价严格遵循相关国家法律、相关地方法规、相关技术规范、相关产业政策，从实际出发，环境影响分析预测评估是可靠的。</w:t>
                  </w:r>
                </w:p>
              </w:tc>
              <w:tc>
                <w:tcPr>
                  <w:tcW w:w="409" w:type="pct"/>
                  <w:tcBorders>
                    <w:tl2br w:val="nil"/>
                    <w:tr2bl w:val="nil"/>
                  </w:tcBorders>
                  <w:vAlign w:val="center"/>
                </w:tcPr>
                <w:p w14:paraId="2A7CF118">
                  <w:pPr>
                    <w:widowControl/>
                    <w:jc w:val="center"/>
                    <w:rPr>
                      <w:kern w:val="0"/>
                      <w:sz w:val="18"/>
                      <w:szCs w:val="18"/>
                    </w:rPr>
                  </w:pPr>
                  <w:r>
                    <w:rPr>
                      <w:rFonts w:hint="eastAsia"/>
                      <w:kern w:val="0"/>
                      <w:sz w:val="18"/>
                      <w:szCs w:val="18"/>
                    </w:rPr>
                    <w:t>符合</w:t>
                  </w:r>
                </w:p>
              </w:tc>
            </w:tr>
            <w:tr w14:paraId="678AF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7730A565">
                  <w:pPr>
                    <w:widowControl/>
                    <w:jc w:val="center"/>
                    <w:rPr>
                      <w:kern w:val="0"/>
                      <w:sz w:val="18"/>
                      <w:szCs w:val="18"/>
                    </w:rPr>
                  </w:pPr>
                </w:p>
              </w:tc>
              <w:tc>
                <w:tcPr>
                  <w:tcW w:w="1802" w:type="pct"/>
                  <w:tcBorders>
                    <w:tl2br w:val="nil"/>
                    <w:tr2bl w:val="nil"/>
                  </w:tcBorders>
                  <w:vAlign w:val="center"/>
                </w:tcPr>
                <w:p w14:paraId="19D2D115">
                  <w:pPr>
                    <w:widowControl/>
                    <w:rPr>
                      <w:kern w:val="0"/>
                      <w:sz w:val="18"/>
                      <w:szCs w:val="18"/>
                    </w:rPr>
                  </w:pPr>
                  <w:r>
                    <w:rPr>
                      <w:rFonts w:hint="eastAsia"/>
                      <w:kern w:val="0"/>
                      <w:sz w:val="18"/>
                      <w:szCs w:val="18"/>
                    </w:rPr>
                    <w:t>环境保护措施的有效性</w:t>
                  </w:r>
                </w:p>
              </w:tc>
              <w:tc>
                <w:tcPr>
                  <w:tcW w:w="2487" w:type="pct"/>
                  <w:tcBorders>
                    <w:tl2br w:val="nil"/>
                    <w:tr2bl w:val="nil"/>
                  </w:tcBorders>
                  <w:vAlign w:val="center"/>
                </w:tcPr>
                <w:p w14:paraId="2E3D959D">
                  <w:pPr>
                    <w:widowControl/>
                    <w:rPr>
                      <w:kern w:val="0"/>
                      <w:sz w:val="18"/>
                      <w:szCs w:val="18"/>
                    </w:rPr>
                  </w:pPr>
                  <w:r>
                    <w:rPr>
                      <w:rFonts w:hint="eastAsia"/>
                      <w:sz w:val="18"/>
                      <w:szCs w:val="18"/>
                    </w:rPr>
                    <w:t>本项目建成后，只要切实落实本环评报告提出的各项污染防治措施，各类污染物均可得到有效控制并能做到达标排放，因此其环境保护措施是可靠合理的</w:t>
                  </w:r>
                </w:p>
              </w:tc>
              <w:tc>
                <w:tcPr>
                  <w:tcW w:w="409" w:type="pct"/>
                  <w:tcBorders>
                    <w:tl2br w:val="nil"/>
                    <w:tr2bl w:val="nil"/>
                  </w:tcBorders>
                  <w:vAlign w:val="center"/>
                </w:tcPr>
                <w:p w14:paraId="71EEB875">
                  <w:pPr>
                    <w:widowControl/>
                    <w:jc w:val="center"/>
                    <w:rPr>
                      <w:kern w:val="0"/>
                      <w:sz w:val="18"/>
                      <w:szCs w:val="18"/>
                    </w:rPr>
                  </w:pPr>
                  <w:r>
                    <w:rPr>
                      <w:rFonts w:hint="eastAsia"/>
                      <w:kern w:val="0"/>
                      <w:sz w:val="18"/>
                      <w:szCs w:val="18"/>
                    </w:rPr>
                    <w:t>符合</w:t>
                  </w:r>
                </w:p>
              </w:tc>
            </w:tr>
            <w:tr w14:paraId="4DBAC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7963E5BE">
                  <w:pPr>
                    <w:widowControl/>
                    <w:jc w:val="center"/>
                    <w:rPr>
                      <w:kern w:val="0"/>
                      <w:sz w:val="18"/>
                      <w:szCs w:val="18"/>
                    </w:rPr>
                  </w:pPr>
                </w:p>
              </w:tc>
              <w:tc>
                <w:tcPr>
                  <w:tcW w:w="1802" w:type="pct"/>
                  <w:tcBorders>
                    <w:tl2br w:val="nil"/>
                    <w:tr2bl w:val="nil"/>
                  </w:tcBorders>
                  <w:vAlign w:val="center"/>
                </w:tcPr>
                <w:p w14:paraId="55D27EA6">
                  <w:pPr>
                    <w:widowControl/>
                    <w:rPr>
                      <w:kern w:val="0"/>
                      <w:sz w:val="18"/>
                      <w:szCs w:val="18"/>
                    </w:rPr>
                  </w:pPr>
                  <w:r>
                    <w:rPr>
                      <w:rFonts w:hint="eastAsia"/>
                      <w:kern w:val="0"/>
                      <w:sz w:val="18"/>
                      <w:szCs w:val="18"/>
                    </w:rPr>
                    <w:t>环境影响评价结论的科学性</w:t>
                  </w:r>
                </w:p>
              </w:tc>
              <w:tc>
                <w:tcPr>
                  <w:tcW w:w="2487" w:type="pct"/>
                  <w:tcBorders>
                    <w:tl2br w:val="nil"/>
                    <w:tr2bl w:val="nil"/>
                  </w:tcBorders>
                  <w:vAlign w:val="center"/>
                </w:tcPr>
                <w:p w14:paraId="1BDF207B">
                  <w:pPr>
                    <w:widowControl/>
                    <w:rPr>
                      <w:kern w:val="0"/>
                      <w:sz w:val="18"/>
                      <w:szCs w:val="18"/>
                    </w:rPr>
                  </w:pPr>
                  <w:r>
                    <w:rPr>
                      <w:rFonts w:hint="eastAsia"/>
                      <w:kern w:val="0"/>
                      <w:sz w:val="18"/>
                      <w:szCs w:val="18"/>
                    </w:rPr>
                    <w:t>本环评结论客观、过程公开、评价公正，并综合考虑建设项目实施后对各种环境因素可能造成的影响，环境结论是科学的。</w:t>
                  </w:r>
                </w:p>
              </w:tc>
              <w:tc>
                <w:tcPr>
                  <w:tcW w:w="409" w:type="pct"/>
                  <w:tcBorders>
                    <w:tl2br w:val="nil"/>
                    <w:tr2bl w:val="nil"/>
                  </w:tcBorders>
                  <w:vAlign w:val="center"/>
                </w:tcPr>
                <w:p w14:paraId="43E871E4">
                  <w:pPr>
                    <w:widowControl/>
                    <w:jc w:val="center"/>
                    <w:rPr>
                      <w:kern w:val="0"/>
                      <w:sz w:val="18"/>
                      <w:szCs w:val="18"/>
                    </w:rPr>
                  </w:pPr>
                  <w:r>
                    <w:rPr>
                      <w:rFonts w:hint="eastAsia"/>
                      <w:kern w:val="0"/>
                      <w:sz w:val="18"/>
                      <w:szCs w:val="18"/>
                    </w:rPr>
                    <w:t>符合</w:t>
                  </w:r>
                </w:p>
              </w:tc>
            </w:tr>
            <w:tr w14:paraId="2D815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restart"/>
                  <w:tcBorders>
                    <w:tl2br w:val="nil"/>
                    <w:tr2bl w:val="nil"/>
                  </w:tcBorders>
                  <w:vAlign w:val="center"/>
                </w:tcPr>
                <w:p w14:paraId="2C96F65D">
                  <w:pPr>
                    <w:widowControl/>
                    <w:jc w:val="center"/>
                    <w:rPr>
                      <w:kern w:val="0"/>
                      <w:sz w:val="18"/>
                      <w:szCs w:val="18"/>
                    </w:rPr>
                  </w:pPr>
                  <w:r>
                    <w:rPr>
                      <w:rFonts w:hint="eastAsia"/>
                      <w:kern w:val="0"/>
                      <w:sz w:val="18"/>
                      <w:szCs w:val="18"/>
                    </w:rPr>
                    <w:t>五不批</w:t>
                  </w:r>
                </w:p>
              </w:tc>
              <w:tc>
                <w:tcPr>
                  <w:tcW w:w="1802" w:type="pct"/>
                  <w:tcBorders>
                    <w:tl2br w:val="nil"/>
                    <w:tr2bl w:val="nil"/>
                  </w:tcBorders>
                  <w:vAlign w:val="center"/>
                </w:tcPr>
                <w:p w14:paraId="66ACE4CD">
                  <w:pPr>
                    <w:widowControl/>
                    <w:rPr>
                      <w:kern w:val="0"/>
                      <w:sz w:val="18"/>
                      <w:szCs w:val="18"/>
                    </w:rPr>
                  </w:pPr>
                  <w:r>
                    <w:rPr>
                      <w:rFonts w:hint="eastAsia"/>
                      <w:kern w:val="0"/>
                      <w:sz w:val="18"/>
                      <w:szCs w:val="18"/>
                    </w:rPr>
                    <w:t>建设项目类型及其选址、布局、规模等不符合环境保护法律法规和相关法定规划</w:t>
                  </w:r>
                </w:p>
              </w:tc>
              <w:tc>
                <w:tcPr>
                  <w:tcW w:w="2487" w:type="pct"/>
                  <w:tcBorders>
                    <w:tl2br w:val="nil"/>
                    <w:tr2bl w:val="nil"/>
                  </w:tcBorders>
                  <w:vAlign w:val="center"/>
                </w:tcPr>
                <w:p w14:paraId="7A54A471">
                  <w:pPr>
                    <w:widowControl/>
                    <w:rPr>
                      <w:kern w:val="0"/>
                      <w:sz w:val="18"/>
                      <w:szCs w:val="18"/>
                    </w:rPr>
                  </w:pPr>
                  <w:r>
                    <w:rPr>
                      <w:rFonts w:hint="eastAsia"/>
                      <w:kern w:val="0"/>
                      <w:sz w:val="18"/>
                      <w:szCs w:val="18"/>
                    </w:rPr>
                    <w:t>本项目的建设符合当地总体规划，符合国家、地方产业政策，各类污染物均可得到有效控制并能做到达标排放或者不对外直接排放，对环境影响不大，环境风险较小，项目实施不会改变所在地的环境质量水平和环境功能，可实现经济效益、社会效益、环境效益的统一，符合环境保护法律法规和相关法定规划。</w:t>
                  </w:r>
                </w:p>
              </w:tc>
              <w:tc>
                <w:tcPr>
                  <w:tcW w:w="409" w:type="pct"/>
                  <w:tcBorders>
                    <w:tl2br w:val="nil"/>
                    <w:tr2bl w:val="nil"/>
                  </w:tcBorders>
                  <w:vAlign w:val="center"/>
                </w:tcPr>
                <w:p w14:paraId="129614E8">
                  <w:pPr>
                    <w:widowControl/>
                    <w:jc w:val="center"/>
                    <w:rPr>
                      <w:kern w:val="0"/>
                      <w:sz w:val="18"/>
                      <w:szCs w:val="18"/>
                    </w:rPr>
                  </w:pPr>
                  <w:r>
                    <w:rPr>
                      <w:rFonts w:hint="eastAsia"/>
                      <w:kern w:val="0"/>
                      <w:sz w:val="18"/>
                      <w:szCs w:val="18"/>
                    </w:rPr>
                    <w:t>符合</w:t>
                  </w:r>
                </w:p>
              </w:tc>
            </w:tr>
            <w:tr w14:paraId="39F61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66BAB5FF">
                  <w:pPr>
                    <w:widowControl/>
                    <w:jc w:val="center"/>
                    <w:rPr>
                      <w:kern w:val="0"/>
                      <w:sz w:val="18"/>
                      <w:szCs w:val="18"/>
                    </w:rPr>
                  </w:pPr>
                </w:p>
              </w:tc>
              <w:tc>
                <w:tcPr>
                  <w:tcW w:w="1802" w:type="pct"/>
                  <w:tcBorders>
                    <w:tl2br w:val="nil"/>
                    <w:tr2bl w:val="nil"/>
                  </w:tcBorders>
                  <w:vAlign w:val="center"/>
                </w:tcPr>
                <w:p w14:paraId="010F88AA">
                  <w:pPr>
                    <w:widowControl/>
                    <w:rPr>
                      <w:kern w:val="0"/>
                      <w:sz w:val="18"/>
                      <w:szCs w:val="18"/>
                    </w:rPr>
                  </w:pPr>
                  <w:r>
                    <w:rPr>
                      <w:rFonts w:hint="eastAsia"/>
                      <w:kern w:val="0"/>
                      <w:sz w:val="18"/>
                      <w:szCs w:val="18"/>
                    </w:rPr>
                    <w:t>所在区域环境质量未达到国家或者地方环境质量标准，且建设项目拟采取的措施不能满足区域环境质量改善目标管理要求</w:t>
                  </w:r>
                </w:p>
              </w:tc>
              <w:tc>
                <w:tcPr>
                  <w:tcW w:w="2487" w:type="pct"/>
                  <w:tcBorders>
                    <w:tl2br w:val="nil"/>
                    <w:tr2bl w:val="nil"/>
                  </w:tcBorders>
                  <w:vAlign w:val="center"/>
                </w:tcPr>
                <w:p w14:paraId="6177A95F">
                  <w:pPr>
                    <w:widowControl/>
                    <w:rPr>
                      <w:kern w:val="0"/>
                      <w:sz w:val="18"/>
                      <w:szCs w:val="18"/>
                    </w:rPr>
                  </w:pPr>
                  <w:r>
                    <w:rPr>
                      <w:rFonts w:hint="eastAsia"/>
                      <w:kern w:val="0"/>
                      <w:sz w:val="18"/>
                      <w:szCs w:val="18"/>
                    </w:rPr>
                    <w:t>本项目拟采取的措施能够满足区域环境质量改善目标管理要求。</w:t>
                  </w:r>
                </w:p>
              </w:tc>
              <w:tc>
                <w:tcPr>
                  <w:tcW w:w="409" w:type="pct"/>
                  <w:tcBorders>
                    <w:tl2br w:val="nil"/>
                    <w:tr2bl w:val="nil"/>
                  </w:tcBorders>
                  <w:vAlign w:val="center"/>
                </w:tcPr>
                <w:p w14:paraId="2C3201FC">
                  <w:pPr>
                    <w:widowControl/>
                    <w:jc w:val="center"/>
                    <w:rPr>
                      <w:kern w:val="0"/>
                      <w:sz w:val="18"/>
                      <w:szCs w:val="18"/>
                    </w:rPr>
                  </w:pPr>
                  <w:r>
                    <w:rPr>
                      <w:rFonts w:hint="eastAsia"/>
                      <w:kern w:val="0"/>
                      <w:sz w:val="18"/>
                      <w:szCs w:val="18"/>
                    </w:rPr>
                    <w:t>符合</w:t>
                  </w:r>
                </w:p>
              </w:tc>
            </w:tr>
            <w:tr w14:paraId="4B089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1782D65E">
                  <w:pPr>
                    <w:widowControl/>
                    <w:jc w:val="center"/>
                    <w:rPr>
                      <w:kern w:val="0"/>
                      <w:sz w:val="18"/>
                      <w:szCs w:val="18"/>
                    </w:rPr>
                  </w:pPr>
                </w:p>
              </w:tc>
              <w:tc>
                <w:tcPr>
                  <w:tcW w:w="1802" w:type="pct"/>
                  <w:tcBorders>
                    <w:tl2br w:val="nil"/>
                    <w:tr2bl w:val="nil"/>
                  </w:tcBorders>
                  <w:vAlign w:val="center"/>
                </w:tcPr>
                <w:p w14:paraId="0AC021F5">
                  <w:pPr>
                    <w:widowControl/>
                    <w:rPr>
                      <w:kern w:val="0"/>
                      <w:sz w:val="18"/>
                      <w:szCs w:val="18"/>
                    </w:rPr>
                  </w:pPr>
                  <w:r>
                    <w:rPr>
                      <w:rFonts w:hint="eastAsia"/>
                      <w:kern w:val="0"/>
                      <w:sz w:val="18"/>
                      <w:szCs w:val="18"/>
                    </w:rPr>
                    <w:t>建设项目采取的污染防治措施无法确保污染物排放达到国家和地方排放标准，或者未采取必要措施预防和控制生态破坏</w:t>
                  </w:r>
                </w:p>
              </w:tc>
              <w:tc>
                <w:tcPr>
                  <w:tcW w:w="2487" w:type="pct"/>
                  <w:tcBorders>
                    <w:tl2br w:val="nil"/>
                    <w:tr2bl w:val="nil"/>
                  </w:tcBorders>
                  <w:vAlign w:val="center"/>
                </w:tcPr>
                <w:p w14:paraId="4A85893D">
                  <w:pPr>
                    <w:widowControl/>
                    <w:rPr>
                      <w:kern w:val="0"/>
                      <w:sz w:val="18"/>
                      <w:szCs w:val="18"/>
                    </w:rPr>
                  </w:pPr>
                  <w:r>
                    <w:rPr>
                      <w:rFonts w:hint="eastAsia"/>
                      <w:kern w:val="0"/>
                      <w:sz w:val="18"/>
                      <w:szCs w:val="18"/>
                    </w:rPr>
                    <w:t>只要切实落实环评报告提出的各项污染防治措施，各类污染物均可得到有限控制并能做到达标排放或不对外直接排放。</w:t>
                  </w:r>
                </w:p>
              </w:tc>
              <w:tc>
                <w:tcPr>
                  <w:tcW w:w="409" w:type="pct"/>
                  <w:tcBorders>
                    <w:tl2br w:val="nil"/>
                    <w:tr2bl w:val="nil"/>
                  </w:tcBorders>
                  <w:vAlign w:val="center"/>
                </w:tcPr>
                <w:p w14:paraId="533F7B64">
                  <w:pPr>
                    <w:widowControl/>
                    <w:jc w:val="center"/>
                    <w:rPr>
                      <w:kern w:val="0"/>
                      <w:sz w:val="18"/>
                      <w:szCs w:val="18"/>
                    </w:rPr>
                  </w:pPr>
                  <w:r>
                    <w:rPr>
                      <w:rFonts w:hint="eastAsia"/>
                      <w:kern w:val="0"/>
                      <w:sz w:val="18"/>
                      <w:szCs w:val="18"/>
                    </w:rPr>
                    <w:t>符合</w:t>
                  </w:r>
                </w:p>
              </w:tc>
            </w:tr>
            <w:tr w14:paraId="65E586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7307CA7C">
                  <w:pPr>
                    <w:widowControl/>
                    <w:jc w:val="center"/>
                    <w:rPr>
                      <w:kern w:val="0"/>
                      <w:sz w:val="18"/>
                      <w:szCs w:val="18"/>
                    </w:rPr>
                  </w:pPr>
                </w:p>
              </w:tc>
              <w:tc>
                <w:tcPr>
                  <w:tcW w:w="1802" w:type="pct"/>
                  <w:tcBorders>
                    <w:tl2br w:val="nil"/>
                    <w:tr2bl w:val="nil"/>
                  </w:tcBorders>
                  <w:vAlign w:val="center"/>
                </w:tcPr>
                <w:p w14:paraId="13827B1A">
                  <w:pPr>
                    <w:widowControl/>
                    <w:rPr>
                      <w:kern w:val="0"/>
                      <w:sz w:val="18"/>
                      <w:szCs w:val="18"/>
                    </w:rPr>
                  </w:pPr>
                  <w:r>
                    <w:rPr>
                      <w:rFonts w:hint="eastAsia"/>
                      <w:kern w:val="0"/>
                      <w:sz w:val="18"/>
                      <w:szCs w:val="18"/>
                    </w:rPr>
                    <w:t>改建、扩建和技术改造项目，未针对项目原有环境污染和生态破坏提出有效防治措施</w:t>
                  </w:r>
                </w:p>
              </w:tc>
              <w:tc>
                <w:tcPr>
                  <w:tcW w:w="2487" w:type="pct"/>
                  <w:tcBorders>
                    <w:tl2br w:val="nil"/>
                    <w:tr2bl w:val="nil"/>
                  </w:tcBorders>
                  <w:vAlign w:val="center"/>
                </w:tcPr>
                <w:p w14:paraId="2389E0AD">
                  <w:pPr>
                    <w:widowControl/>
                    <w:rPr>
                      <w:kern w:val="0"/>
                      <w:sz w:val="18"/>
                      <w:szCs w:val="18"/>
                    </w:rPr>
                  </w:pPr>
                  <w:r>
                    <w:rPr>
                      <w:rFonts w:hint="eastAsia"/>
                      <w:sz w:val="18"/>
                      <w:szCs w:val="18"/>
                    </w:rPr>
                    <w:t>本项目为新建项目，无项目原有环境污染和生态破坏问题。</w:t>
                  </w:r>
                </w:p>
              </w:tc>
              <w:tc>
                <w:tcPr>
                  <w:tcW w:w="409" w:type="pct"/>
                  <w:tcBorders>
                    <w:tl2br w:val="nil"/>
                    <w:tr2bl w:val="nil"/>
                  </w:tcBorders>
                  <w:vAlign w:val="center"/>
                </w:tcPr>
                <w:p w14:paraId="142820D8">
                  <w:pPr>
                    <w:widowControl/>
                    <w:jc w:val="center"/>
                    <w:rPr>
                      <w:kern w:val="0"/>
                      <w:sz w:val="18"/>
                      <w:szCs w:val="18"/>
                    </w:rPr>
                  </w:pPr>
                  <w:r>
                    <w:rPr>
                      <w:rFonts w:hint="eastAsia"/>
                      <w:kern w:val="0"/>
                      <w:sz w:val="18"/>
                      <w:szCs w:val="18"/>
                    </w:rPr>
                    <w:t>符合</w:t>
                  </w:r>
                </w:p>
              </w:tc>
            </w:tr>
            <w:tr w14:paraId="19CE2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11DEA3F0">
                  <w:pPr>
                    <w:widowControl/>
                    <w:jc w:val="center"/>
                    <w:rPr>
                      <w:kern w:val="0"/>
                      <w:sz w:val="18"/>
                      <w:szCs w:val="18"/>
                    </w:rPr>
                  </w:pPr>
                </w:p>
              </w:tc>
              <w:tc>
                <w:tcPr>
                  <w:tcW w:w="1802" w:type="pct"/>
                  <w:tcBorders>
                    <w:tl2br w:val="nil"/>
                    <w:tr2bl w:val="nil"/>
                  </w:tcBorders>
                  <w:vAlign w:val="center"/>
                </w:tcPr>
                <w:p w14:paraId="0864E18C">
                  <w:pPr>
                    <w:widowControl/>
                    <w:rPr>
                      <w:kern w:val="0"/>
                      <w:sz w:val="18"/>
                      <w:szCs w:val="18"/>
                    </w:rPr>
                  </w:pPr>
                  <w:r>
                    <w:rPr>
                      <w:rFonts w:hint="eastAsia"/>
                      <w:kern w:val="0"/>
                      <w:sz w:val="18"/>
                      <w:szCs w:val="18"/>
                    </w:rPr>
                    <w:t>建设项目的环境影响报告书、环境影响报告表的基础资料数据明显不实，内容存在重大缺陷、遗漏，或者环境影响评价结论不明确、不合理</w:t>
                  </w:r>
                </w:p>
              </w:tc>
              <w:tc>
                <w:tcPr>
                  <w:tcW w:w="2487" w:type="pct"/>
                  <w:tcBorders>
                    <w:tl2br w:val="nil"/>
                    <w:tr2bl w:val="nil"/>
                  </w:tcBorders>
                  <w:vAlign w:val="center"/>
                </w:tcPr>
                <w:p w14:paraId="33EE0166">
                  <w:pPr>
                    <w:widowControl/>
                    <w:rPr>
                      <w:kern w:val="0"/>
                      <w:sz w:val="18"/>
                      <w:szCs w:val="18"/>
                    </w:rPr>
                  </w:pPr>
                  <w:r>
                    <w:rPr>
                      <w:rFonts w:hint="eastAsia"/>
                      <w:kern w:val="0"/>
                      <w:sz w:val="18"/>
                      <w:szCs w:val="18"/>
                    </w:rPr>
                    <w:t>建设项目环境影响报告表的基础资料数据真实可靠，内容不存在缺陷、遗漏，环境影响评价结论明确、合理。</w:t>
                  </w:r>
                </w:p>
              </w:tc>
              <w:tc>
                <w:tcPr>
                  <w:tcW w:w="409" w:type="pct"/>
                  <w:tcBorders>
                    <w:tl2br w:val="nil"/>
                    <w:tr2bl w:val="nil"/>
                  </w:tcBorders>
                  <w:vAlign w:val="center"/>
                </w:tcPr>
                <w:p w14:paraId="7BC798A2">
                  <w:pPr>
                    <w:widowControl/>
                    <w:jc w:val="center"/>
                    <w:rPr>
                      <w:kern w:val="0"/>
                      <w:sz w:val="18"/>
                      <w:szCs w:val="18"/>
                    </w:rPr>
                  </w:pPr>
                  <w:r>
                    <w:rPr>
                      <w:rFonts w:hint="eastAsia"/>
                      <w:kern w:val="0"/>
                      <w:sz w:val="18"/>
                      <w:szCs w:val="18"/>
                    </w:rPr>
                    <w:t>符合</w:t>
                  </w:r>
                </w:p>
              </w:tc>
            </w:tr>
          </w:tbl>
          <w:p w14:paraId="2051BF6E">
            <w:pPr>
              <w:spacing w:line="360" w:lineRule="auto"/>
              <w:ind w:firstLine="420" w:firstLineChars="200"/>
              <w:rPr>
                <w:kern w:val="0"/>
                <w:szCs w:val="21"/>
              </w:rPr>
            </w:pPr>
            <w:r>
              <w:rPr>
                <w:rFonts w:hint="eastAsia"/>
                <w:szCs w:val="21"/>
              </w:rPr>
              <w:t>综上分析可知，本项目符合“四性五不批”要求。</w:t>
            </w:r>
          </w:p>
        </w:tc>
      </w:tr>
    </w:tbl>
    <w:p w14:paraId="40D557C8">
      <w:pPr>
        <w:spacing w:line="360" w:lineRule="auto"/>
        <w:outlineLvl w:val="0"/>
        <w:rPr>
          <w:rFonts w:eastAsia="黑体"/>
          <w:sz w:val="30"/>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0900B36">
      <w:pPr>
        <w:pStyle w:val="22"/>
        <w:jc w:val="center"/>
        <w:outlineLvl w:val="0"/>
        <w:rPr>
          <w:rFonts w:ascii="Times New Roman" w:hAnsi="Times New Roman" w:eastAsia="黑体"/>
          <w:snapToGrid w:val="0"/>
          <w:sz w:val="30"/>
          <w:szCs w:val="30"/>
        </w:rPr>
      </w:pPr>
      <w:bookmarkStart w:id="15" w:name="_Toc21212"/>
      <w:bookmarkStart w:id="16" w:name="_Toc11756"/>
      <w:bookmarkStart w:id="17" w:name="_Toc16315"/>
      <w:bookmarkStart w:id="18" w:name="_Toc10769"/>
      <w:bookmarkStart w:id="19" w:name="_Toc9246"/>
      <w:r>
        <w:rPr>
          <w:rFonts w:hint="eastAsia" w:ascii="Times New Roman" w:hAnsi="Times New Roman" w:eastAsia="黑体"/>
          <w:snapToGrid w:val="0"/>
          <w:sz w:val="30"/>
          <w:szCs w:val="30"/>
        </w:rPr>
        <w:t>二、建设项目工程分析</w:t>
      </w:r>
      <w:bookmarkEnd w:id="15"/>
      <w:bookmarkEnd w:id="16"/>
      <w:bookmarkEnd w:id="17"/>
      <w:bookmarkEnd w:id="18"/>
      <w:bookmarkEnd w:id="19"/>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55"/>
        <w:gridCol w:w="8269"/>
      </w:tblGrid>
      <w:tr w14:paraId="1C17E6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555" w:type="dxa"/>
            <w:vAlign w:val="center"/>
          </w:tcPr>
          <w:p w14:paraId="730B58DB">
            <w:pPr>
              <w:pStyle w:val="22"/>
              <w:adjustRightInd w:val="0"/>
              <w:snapToGrid w:val="0"/>
              <w:spacing w:before="0" w:beforeAutospacing="0" w:after="0" w:afterAutospacing="0"/>
              <w:jc w:val="center"/>
              <w:rPr>
                <w:rFonts w:ascii="Times New Roman" w:hAnsi="Times New Roman"/>
                <w:sz w:val="21"/>
                <w:szCs w:val="21"/>
              </w:rPr>
            </w:pPr>
            <w:r>
              <w:rPr>
                <w:rFonts w:hint="eastAsia" w:ascii="Times New Roman" w:hAnsi="Times New Roman"/>
                <w:sz w:val="21"/>
                <w:szCs w:val="21"/>
              </w:rPr>
              <w:t>建设内容</w:t>
            </w:r>
          </w:p>
        </w:tc>
        <w:tc>
          <w:tcPr>
            <w:tcW w:w="8269" w:type="dxa"/>
            <w:tcBorders>
              <w:top w:val="single" w:color="auto" w:sz="4" w:space="0"/>
              <w:bottom w:val="single" w:color="auto" w:sz="4" w:space="0"/>
              <w:right w:val="single" w:color="auto" w:sz="4" w:space="0"/>
            </w:tcBorders>
          </w:tcPr>
          <w:p w14:paraId="6FC92DB6">
            <w:pPr>
              <w:keepNext/>
              <w:keepLines/>
              <w:spacing w:line="360" w:lineRule="auto"/>
              <w:outlineLvl w:val="1"/>
              <w:rPr>
                <w:b/>
                <w:bCs/>
                <w:sz w:val="24"/>
              </w:rPr>
            </w:pPr>
            <w:bookmarkStart w:id="20" w:name="_Toc11604"/>
            <w:bookmarkStart w:id="21" w:name="_Toc26869"/>
            <w:r>
              <w:rPr>
                <w:b/>
                <w:bCs/>
                <w:sz w:val="24"/>
              </w:rPr>
              <w:t>2.1</w:t>
            </w:r>
            <w:r>
              <w:rPr>
                <w:rFonts w:hint="eastAsia"/>
                <w:b/>
                <w:bCs/>
                <w:sz w:val="24"/>
              </w:rPr>
              <w:t xml:space="preserve">  建设内容</w:t>
            </w:r>
            <w:bookmarkEnd w:id="20"/>
            <w:bookmarkEnd w:id="21"/>
          </w:p>
          <w:p w14:paraId="7C980674">
            <w:pPr>
              <w:keepNext/>
              <w:keepLines/>
              <w:spacing w:line="360" w:lineRule="auto"/>
              <w:outlineLvl w:val="2"/>
              <w:rPr>
                <w:b/>
                <w:bCs/>
                <w:sz w:val="22"/>
                <w:szCs w:val="22"/>
              </w:rPr>
            </w:pPr>
            <w:r>
              <w:rPr>
                <w:rFonts w:hint="eastAsia"/>
                <w:b/>
                <w:bCs/>
                <w:sz w:val="22"/>
                <w:szCs w:val="22"/>
              </w:rPr>
              <w:t>2.1.1  项目由来</w:t>
            </w:r>
          </w:p>
          <w:p w14:paraId="60CC3F5E">
            <w:pPr>
              <w:pStyle w:val="16"/>
              <w:spacing w:line="360" w:lineRule="auto"/>
              <w:ind w:firstLine="420" w:firstLineChars="200"/>
              <w:rPr>
                <w:rFonts w:hint="default" w:hAnsi="宋体" w:eastAsia="宋体" w:cs="宋体"/>
                <w:u w:val="none"/>
                <w:lang w:val="en-US" w:eastAsia="zh-CN"/>
              </w:rPr>
            </w:pPr>
            <w:bookmarkStart w:id="22" w:name="OLE_LINK196"/>
            <w:bookmarkStart w:id="23" w:name="OLE_LINK197"/>
            <w:r>
              <w:rPr>
                <w:rFonts w:hint="default" w:ascii="Times New Roman" w:hAnsi="Times New Roman" w:cs="Times New Roman"/>
                <w:lang w:val="en-US" w:eastAsia="zh-CN"/>
              </w:rPr>
              <w:t>杭州矩正医疗科技有限公司成立于2021年8月3日，主要从事第二类、第三类医疗器械生产销</w:t>
            </w:r>
            <w:r>
              <w:rPr>
                <w:rFonts w:hint="default" w:ascii="Times New Roman" w:hAnsi="Times New Roman" w:cs="Times New Roman"/>
                <w:u w:val="none"/>
                <w:lang w:val="en-US" w:eastAsia="zh-CN"/>
              </w:rPr>
              <w:t>售。企业现有项目位于</w:t>
            </w:r>
            <w:r>
              <w:rPr>
                <w:rFonts w:hint="default" w:ascii="Times New Roman" w:hAnsi="Times New Roman" w:cs="Times New Roman"/>
                <w:bCs/>
                <w:szCs w:val="21"/>
                <w:u w:val="none"/>
              </w:rPr>
              <w:t>浙江省杭州市余杭区仓前街道余杭塘路2622号5幢2层201室</w:t>
            </w:r>
            <w:r>
              <w:rPr>
                <w:rFonts w:hint="default" w:ascii="Times New Roman" w:hAnsi="Times New Roman" w:cs="Times New Roman"/>
                <w:bCs/>
                <w:szCs w:val="21"/>
                <w:u w:val="none"/>
                <w:lang w:eastAsia="zh-CN"/>
              </w:rPr>
              <w:t>，</w:t>
            </w:r>
            <w:r>
              <w:rPr>
                <w:rFonts w:hint="default" w:ascii="Times New Roman" w:hAnsi="Times New Roman" w:cs="Times New Roman"/>
                <w:bCs/>
                <w:szCs w:val="21"/>
                <w:u w:val="none"/>
                <w:lang w:val="en-US" w:eastAsia="zh-CN"/>
              </w:rPr>
              <w:t>因所在厂区拆迁，计划整体搬迁至</w:t>
            </w:r>
            <w:r>
              <w:rPr>
                <w:rFonts w:hint="eastAsia" w:ascii="Times New Roman" w:hAnsi="Times New Roman" w:cs="Times New Roman"/>
                <w:szCs w:val="21"/>
                <w:u w:val="none"/>
              </w:rPr>
              <w:t>浙江省杭州市余杭区</w:t>
            </w:r>
            <w:r>
              <w:rPr>
                <w:rFonts w:hint="default" w:ascii="Times New Roman" w:hAnsi="Times New Roman" w:cs="Times New Roman"/>
                <w:szCs w:val="21"/>
                <w:u w:val="none"/>
              </w:rPr>
              <w:t>中泰</w:t>
            </w:r>
            <w:r>
              <w:rPr>
                <w:rFonts w:hint="eastAsia" w:ascii="Times New Roman" w:hAnsi="Times New Roman" w:cs="Times New Roman"/>
                <w:szCs w:val="21"/>
                <w:u w:val="none"/>
              </w:rPr>
              <w:t>街道</w:t>
            </w:r>
            <w:r>
              <w:rPr>
                <w:rFonts w:hint="default" w:ascii="Times New Roman" w:hAnsi="Times New Roman" w:cs="Times New Roman"/>
                <w:szCs w:val="21"/>
                <w:u w:val="none"/>
              </w:rPr>
              <w:t>铜山溪路2号南湖未来科学院5号楼301-302室</w:t>
            </w:r>
            <w:r>
              <w:rPr>
                <w:rFonts w:hint="default" w:ascii="Times New Roman" w:hAnsi="Times New Roman" w:cs="Times New Roman"/>
                <w:szCs w:val="21"/>
                <w:u w:val="none"/>
                <w:lang w:eastAsia="zh-CN"/>
              </w:rPr>
              <w:t>。</w:t>
            </w:r>
            <w:r>
              <w:rPr>
                <w:rFonts w:hint="default" w:ascii="Times New Roman" w:hAnsi="Times New Roman" w:cs="Times New Roman"/>
                <w:szCs w:val="21"/>
                <w:u w:val="none"/>
                <w:lang w:val="en-US" w:eastAsia="zh-CN"/>
              </w:rPr>
              <w:t>现有项目的生产能力为年产球囊导管10万套。目前，</w:t>
            </w:r>
            <w:r>
              <w:rPr>
                <w:rFonts w:hint="eastAsia" w:ascii="Times New Roman" w:hAnsi="Times New Roman" w:cs="Times New Roman"/>
                <w:szCs w:val="21"/>
                <w:u w:val="none"/>
                <w:lang w:val="en-US" w:eastAsia="zh-CN"/>
              </w:rPr>
              <w:t>现有</w:t>
            </w:r>
            <w:r>
              <w:rPr>
                <w:rFonts w:hint="default" w:ascii="Times New Roman" w:hAnsi="Times New Roman" w:cs="Times New Roman"/>
                <w:szCs w:val="21"/>
                <w:u w:val="none"/>
                <w:lang w:val="en-US" w:eastAsia="zh-CN"/>
              </w:rPr>
              <w:t>项目已全面</w:t>
            </w:r>
            <w:r>
              <w:rPr>
                <w:rFonts w:hint="eastAsia" w:ascii="Times New Roman" w:hAnsi="Times New Roman" w:cs="Times New Roman"/>
                <w:szCs w:val="21"/>
                <w:u w:val="none"/>
                <w:lang w:val="en-US" w:eastAsia="zh-CN"/>
              </w:rPr>
              <w:t>拆迁</w:t>
            </w:r>
            <w:r>
              <w:rPr>
                <w:rFonts w:hint="default" w:ascii="Times New Roman" w:hAnsi="Times New Roman" w:cs="Times New Roman"/>
                <w:szCs w:val="21"/>
                <w:u w:val="none"/>
                <w:lang w:val="en-US" w:eastAsia="zh-CN"/>
              </w:rPr>
              <w:t>关停。</w:t>
            </w:r>
          </w:p>
          <w:p w14:paraId="2D3FCD5A">
            <w:pPr>
              <w:pStyle w:val="16"/>
              <w:spacing w:line="360" w:lineRule="auto"/>
              <w:ind w:firstLine="420" w:firstLineChars="200"/>
              <w:rPr>
                <w:rFonts w:hint="default" w:ascii="Times New Roman" w:hAnsi="Times New Roman" w:cs="Times New Roman"/>
              </w:rPr>
            </w:pPr>
            <w:r>
              <w:rPr>
                <w:rFonts w:hint="eastAsia" w:hAnsi="宋体" w:cs="宋体"/>
                <w:lang w:val="en-US" w:eastAsia="zh-CN"/>
              </w:rPr>
              <w:t>因搬迁要求和企业自身发展需要，</w:t>
            </w:r>
            <w:r>
              <w:rPr>
                <w:rFonts w:hint="default" w:ascii="Times New Roman" w:hAnsi="Times New Roman" w:cs="Times New Roman"/>
              </w:rPr>
              <w:t>企业拟投资1464.91万</w:t>
            </w:r>
            <w:r>
              <w:rPr>
                <w:rFonts w:hint="eastAsia" w:ascii="Times New Roman" w:hAnsi="Times New Roman" w:cs="Times New Roman"/>
                <w:lang w:val="en-US" w:eastAsia="zh-CN"/>
              </w:rPr>
              <w:t>元</w:t>
            </w:r>
            <w:r>
              <w:rPr>
                <w:rFonts w:hint="default" w:ascii="Times New Roman" w:hAnsi="Times New Roman" w:cs="Times New Roman"/>
              </w:rPr>
              <w:t>，租用传嘉科技（杭州）有限公司闲置厂房，</w:t>
            </w:r>
            <w:r>
              <w:rPr>
                <w:rFonts w:hint="eastAsia" w:ascii="Times New Roman" w:hAnsi="Times New Roman" w:cs="Times New Roman"/>
                <w:lang w:val="en-US" w:eastAsia="zh-CN"/>
              </w:rPr>
              <w:t>更换、</w:t>
            </w:r>
            <w:r>
              <w:rPr>
                <w:rFonts w:hint="default" w:ascii="Times New Roman" w:hAnsi="Times New Roman" w:cs="Times New Roman"/>
              </w:rPr>
              <w:t>购置球囊成型机、拉伸机、焊接机、亲水涂层机等设备，项目建成后计划年产封堵止血器30万套以及球囊导管15万套，并进行球囊导管项目、封堵止血器的</w:t>
            </w:r>
            <w:r>
              <w:rPr>
                <w:rFonts w:hint="eastAsia" w:ascii="Times New Roman" w:hAnsi="Times New Roman" w:cs="Times New Roman"/>
                <w:lang w:val="en-US" w:eastAsia="zh-CN"/>
              </w:rPr>
              <w:t>生产工艺参数的试验</w:t>
            </w:r>
            <w:r>
              <w:rPr>
                <w:rFonts w:hint="default" w:ascii="Times New Roman" w:hAnsi="Times New Roman" w:cs="Times New Roman"/>
              </w:rPr>
              <w:t>研发工作。</w:t>
            </w:r>
          </w:p>
          <w:p w14:paraId="570EC164">
            <w:pPr>
              <w:widowControl/>
              <w:adjustRightInd/>
              <w:snapToGrid/>
              <w:spacing w:line="360" w:lineRule="auto"/>
              <w:ind w:firstLine="420" w:firstLineChars="200"/>
              <w:jc w:val="left"/>
              <w:rPr>
                <w:szCs w:val="21"/>
              </w:rPr>
            </w:pPr>
            <w:r>
              <w:rPr>
                <w:rFonts w:hint="default" w:ascii="Times New Roman" w:hAnsi="Times New Roman" w:cs="Times New Roman"/>
                <w:bCs/>
                <w:szCs w:val="21"/>
              </w:rPr>
              <w:t>依照《中华人民共和国</w:t>
            </w:r>
            <w:r>
              <w:rPr>
                <w:rFonts w:hint="eastAsia" w:cs="Times New Roman"/>
                <w:bCs/>
                <w:szCs w:val="21"/>
                <w:lang w:val="en-US" w:eastAsia="zh-CN"/>
              </w:rPr>
              <w:t>生态环境法典</w:t>
            </w:r>
            <w:r>
              <w:rPr>
                <w:rFonts w:hint="default" w:ascii="Times New Roman" w:hAnsi="Times New Roman" w:cs="Times New Roman"/>
                <w:bCs/>
                <w:szCs w:val="21"/>
              </w:rPr>
              <w:t>》和《建设项目环境保护管理条例》中有关规定，本项目需进行环境影响评价。</w:t>
            </w:r>
            <w:r>
              <w:rPr>
                <w:rFonts w:hint="default" w:ascii="Times New Roman" w:hAnsi="Times New Roman" w:cs="Times New Roman"/>
                <w:szCs w:val="21"/>
              </w:rPr>
              <w:t>根据国民经济行业分类(GB/T 4754-2017)，本项目属于“C3589 其他医疗设备及器械制造”；对照《建</w:t>
            </w:r>
            <w:r>
              <w:rPr>
                <w:rFonts w:hint="eastAsia"/>
                <w:szCs w:val="21"/>
              </w:rPr>
              <w:t>设项目环境影响评价分类管理名录》（2021年版），本项目</w:t>
            </w:r>
            <w:r>
              <w:rPr>
                <w:rFonts w:hint="eastAsia"/>
                <w:szCs w:val="21"/>
                <w:lang w:val="en-US" w:eastAsia="zh-CN"/>
              </w:rPr>
              <w:t>包括</w:t>
            </w:r>
            <w:r>
              <w:rPr>
                <w:szCs w:val="21"/>
              </w:rPr>
              <w:t>“</w:t>
            </w:r>
            <w:r>
              <w:rPr>
                <w:rFonts w:hint="eastAsia"/>
                <w:szCs w:val="21"/>
              </w:rPr>
              <w:t>三十二、专用设备制造业 35；医疗仪器设备及器械制造 358；其他”，</w:t>
            </w:r>
            <w:r>
              <w:rPr>
                <w:rFonts w:hint="eastAsia"/>
                <w:szCs w:val="21"/>
                <w:lang w:val="en-US" w:eastAsia="zh-CN"/>
              </w:rPr>
              <w:t>以及“四十五、研究和试验发展；专业实验室、研发（试验）基地；其他”。</w:t>
            </w:r>
            <w:r>
              <w:rPr>
                <w:rFonts w:hint="eastAsia" w:ascii="宋体" w:hAnsi="宋体" w:cs="宋体"/>
                <w:lang w:val="en-US" w:eastAsia="zh-CN"/>
              </w:rPr>
              <w:t>本项目涉及新污染物，不纳入《杭州市产业园区规划环评与项目环评联动改革实施方案(修订)》，需要编制生态环境影响报告表。</w:t>
            </w:r>
            <w:r>
              <w:rPr>
                <w:rFonts w:hint="eastAsia"/>
                <w:szCs w:val="21"/>
              </w:rPr>
              <w:t>判定情况如</w:t>
            </w:r>
            <w:r>
              <w:rPr>
                <w:rFonts w:hint="eastAsia"/>
                <w:szCs w:val="21"/>
                <w:lang w:val="en-US" w:eastAsia="zh-CN"/>
              </w:rPr>
              <w:t>下表</w:t>
            </w:r>
            <w:r>
              <w:rPr>
                <w:rFonts w:hint="eastAsia"/>
                <w:szCs w:val="21"/>
              </w:rPr>
              <w:t>所示。</w:t>
            </w:r>
          </w:p>
          <w:p w14:paraId="7BBF9A1D">
            <w:pPr>
              <w:pStyle w:val="139"/>
              <w:numPr>
                <w:ilvl w:val="0"/>
                <w:numId w:val="4"/>
              </w:numPr>
              <w:adjustRightInd w:val="0"/>
              <w:snapToGrid w:val="0"/>
              <w:spacing w:line="360" w:lineRule="auto"/>
              <w:ind w:left="420" w:firstLineChars="0"/>
              <w:jc w:val="center"/>
              <w:rPr>
                <w:rFonts w:hint="eastAsia" w:ascii="黑体" w:hAnsi="黑体" w:eastAsia="黑体" w:cs="黑体"/>
                <w:szCs w:val="21"/>
              </w:rPr>
            </w:pPr>
            <w:r>
              <w:rPr>
                <w:rFonts w:hint="eastAsia" w:ascii="黑体" w:hAnsi="黑体" w:eastAsia="黑体" w:cs="黑体"/>
                <w:szCs w:val="21"/>
              </w:rPr>
              <w:t>环评类别判定表</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95"/>
              <w:gridCol w:w="1400"/>
              <w:gridCol w:w="1855"/>
              <w:gridCol w:w="1852"/>
              <w:gridCol w:w="961"/>
            </w:tblGrid>
            <w:tr w14:paraId="198BE5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6" w:type="pct"/>
                  <w:gridSpan w:val="4"/>
                  <w:tcBorders>
                    <w:tl2br w:val="nil"/>
                    <w:tr2bl w:val="nil"/>
                  </w:tcBorders>
                  <w:vAlign w:val="center"/>
                </w:tcPr>
                <w:p w14:paraId="6F37285B">
                  <w:pPr>
                    <w:pStyle w:val="22"/>
                    <w:jc w:val="center"/>
                    <w:rPr>
                      <w:rFonts w:ascii="Times New Roman" w:hAnsi="Times New Roman"/>
                      <w:sz w:val="18"/>
                      <w:szCs w:val="18"/>
                    </w:rPr>
                  </w:pPr>
                  <w:r>
                    <w:rPr>
                      <w:rFonts w:hint="eastAsia" w:ascii="Times New Roman" w:hAnsi="Times New Roman" w:cs="宋体"/>
                      <w:sz w:val="18"/>
                      <w:szCs w:val="18"/>
                    </w:rPr>
                    <w:t>文件要求</w:t>
                  </w:r>
                </w:p>
              </w:tc>
              <w:tc>
                <w:tcPr>
                  <w:tcW w:w="1154" w:type="pct"/>
                  <w:tcBorders>
                    <w:tl2br w:val="nil"/>
                    <w:tr2bl w:val="nil"/>
                  </w:tcBorders>
                  <w:vAlign w:val="center"/>
                </w:tcPr>
                <w:p w14:paraId="12DA4436">
                  <w:pPr>
                    <w:pStyle w:val="22"/>
                    <w:jc w:val="center"/>
                    <w:rPr>
                      <w:rFonts w:ascii="Times New Roman" w:hAnsi="Times New Roman"/>
                      <w:sz w:val="18"/>
                      <w:szCs w:val="18"/>
                    </w:rPr>
                  </w:pPr>
                  <w:r>
                    <w:rPr>
                      <w:rFonts w:hint="eastAsia" w:ascii="Times New Roman" w:hAnsi="Times New Roman" w:cs="宋体"/>
                      <w:sz w:val="18"/>
                      <w:szCs w:val="18"/>
                    </w:rPr>
                    <w:t>本项目情况</w:t>
                  </w:r>
                </w:p>
              </w:tc>
              <w:tc>
                <w:tcPr>
                  <w:tcW w:w="599" w:type="pct"/>
                  <w:tcBorders>
                    <w:tl2br w:val="nil"/>
                    <w:tr2bl w:val="nil"/>
                  </w:tcBorders>
                  <w:vAlign w:val="center"/>
                </w:tcPr>
                <w:p w14:paraId="5FD187B0">
                  <w:pPr>
                    <w:pStyle w:val="22"/>
                    <w:jc w:val="center"/>
                    <w:rPr>
                      <w:rFonts w:ascii="Times New Roman" w:hAnsi="Times New Roman"/>
                      <w:sz w:val="18"/>
                      <w:szCs w:val="18"/>
                    </w:rPr>
                  </w:pPr>
                  <w:r>
                    <w:rPr>
                      <w:rFonts w:hint="eastAsia" w:ascii="Times New Roman" w:hAnsi="Times New Roman" w:cs="宋体"/>
                      <w:sz w:val="18"/>
                      <w:szCs w:val="18"/>
                    </w:rPr>
                    <w:t>本项目环评类别</w:t>
                  </w:r>
                </w:p>
              </w:tc>
            </w:tr>
            <w:tr w14:paraId="27B93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8" w:type="pct"/>
                  <w:gridSpan w:val="2"/>
                  <w:tcBorders>
                    <w:tl2br w:val="nil"/>
                    <w:tr2bl w:val="nil"/>
                  </w:tcBorders>
                  <w:vAlign w:val="center"/>
                </w:tcPr>
                <w:p w14:paraId="444D470D">
                  <w:pPr>
                    <w:pStyle w:val="22"/>
                    <w:jc w:val="center"/>
                    <w:rPr>
                      <w:rFonts w:ascii="Times New Roman" w:hAnsi="Times New Roman"/>
                      <w:sz w:val="18"/>
                      <w:szCs w:val="18"/>
                    </w:rPr>
                  </w:pPr>
                  <w:r>
                    <w:rPr>
                      <w:rFonts w:hint="eastAsia" w:ascii="Times New Roman" w:hAnsi="Times New Roman" w:cs="宋体"/>
                      <w:sz w:val="18"/>
                      <w:szCs w:val="18"/>
                    </w:rPr>
                    <w:t>项目类别</w:t>
                  </w:r>
                </w:p>
              </w:tc>
              <w:tc>
                <w:tcPr>
                  <w:tcW w:w="872" w:type="pct"/>
                  <w:tcBorders>
                    <w:tl2br w:val="nil"/>
                    <w:tr2bl w:val="nil"/>
                  </w:tcBorders>
                  <w:vAlign w:val="center"/>
                </w:tcPr>
                <w:p w14:paraId="3B5F7823">
                  <w:pPr>
                    <w:pStyle w:val="22"/>
                    <w:jc w:val="center"/>
                    <w:rPr>
                      <w:rFonts w:ascii="Times New Roman" w:hAnsi="Times New Roman"/>
                      <w:sz w:val="18"/>
                      <w:szCs w:val="18"/>
                    </w:rPr>
                  </w:pPr>
                  <w:r>
                    <w:rPr>
                      <w:rFonts w:hint="eastAsia" w:ascii="Times New Roman" w:hAnsi="Times New Roman" w:cs="宋体"/>
                      <w:sz w:val="18"/>
                      <w:szCs w:val="18"/>
                    </w:rPr>
                    <w:t>报告书</w:t>
                  </w:r>
                </w:p>
              </w:tc>
              <w:tc>
                <w:tcPr>
                  <w:tcW w:w="1155" w:type="pct"/>
                  <w:tcBorders>
                    <w:tl2br w:val="nil"/>
                    <w:tr2bl w:val="nil"/>
                  </w:tcBorders>
                  <w:vAlign w:val="center"/>
                </w:tcPr>
                <w:p w14:paraId="163F5AA7">
                  <w:pPr>
                    <w:pStyle w:val="22"/>
                    <w:jc w:val="center"/>
                    <w:rPr>
                      <w:rFonts w:ascii="Times New Roman" w:hAnsi="Times New Roman"/>
                      <w:sz w:val="18"/>
                      <w:szCs w:val="18"/>
                    </w:rPr>
                  </w:pPr>
                  <w:r>
                    <w:rPr>
                      <w:rFonts w:hint="eastAsia" w:ascii="Times New Roman" w:hAnsi="Times New Roman" w:cs="宋体"/>
                      <w:sz w:val="18"/>
                      <w:szCs w:val="18"/>
                    </w:rPr>
                    <w:t>报告表</w:t>
                  </w:r>
                </w:p>
              </w:tc>
              <w:tc>
                <w:tcPr>
                  <w:tcW w:w="1154" w:type="pct"/>
                  <w:tcBorders>
                    <w:tl2br w:val="nil"/>
                    <w:tr2bl w:val="nil"/>
                  </w:tcBorders>
                  <w:vAlign w:val="center"/>
                </w:tcPr>
                <w:p w14:paraId="4642E467">
                  <w:pPr>
                    <w:rPr>
                      <w:sz w:val="20"/>
                      <w:szCs w:val="20"/>
                    </w:rPr>
                  </w:pPr>
                </w:p>
              </w:tc>
              <w:tc>
                <w:tcPr>
                  <w:tcW w:w="599" w:type="pct"/>
                  <w:tcBorders>
                    <w:tl2br w:val="nil"/>
                    <w:tr2bl w:val="nil"/>
                  </w:tcBorders>
                  <w:vAlign w:val="center"/>
                </w:tcPr>
                <w:p w14:paraId="456F544D">
                  <w:pPr>
                    <w:rPr>
                      <w:sz w:val="20"/>
                      <w:szCs w:val="20"/>
                    </w:rPr>
                  </w:pPr>
                </w:p>
              </w:tc>
            </w:tr>
            <w:tr w14:paraId="283FF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8" w:type="pct"/>
                  <w:tcBorders>
                    <w:tl2br w:val="nil"/>
                    <w:tr2bl w:val="nil"/>
                  </w:tcBorders>
                  <w:vAlign w:val="center"/>
                </w:tcPr>
                <w:p w14:paraId="4B93CD60">
                  <w:pPr>
                    <w:pStyle w:val="85"/>
                    <w:widowControl/>
                    <w:spacing w:line="240" w:lineRule="auto"/>
                    <w:ind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rPr>
                    <w:t>三十二、专用设备制造业 35</w:t>
                  </w:r>
                </w:p>
              </w:tc>
              <w:tc>
                <w:tcPr>
                  <w:tcW w:w="620" w:type="pct"/>
                  <w:tcBorders>
                    <w:tl2br w:val="nil"/>
                    <w:tr2bl w:val="nil"/>
                  </w:tcBorders>
                  <w:vAlign w:val="center"/>
                </w:tcPr>
                <w:p w14:paraId="72E804A0">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bidi="ar"/>
                    </w:rPr>
                    <w:t>医疗仪器设备及器械制造 358</w:t>
                  </w:r>
                </w:p>
              </w:tc>
              <w:tc>
                <w:tcPr>
                  <w:tcW w:w="872" w:type="pct"/>
                  <w:tcBorders>
                    <w:tl2br w:val="nil"/>
                    <w:tr2bl w:val="nil"/>
                  </w:tcBorders>
                  <w:vAlign w:val="center"/>
                </w:tcPr>
                <w:p w14:paraId="5667CFC7">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有电镀工艺的；年用溶剂型涂料（含稀 释剂）10吨及以上的</w:t>
                  </w:r>
                </w:p>
              </w:tc>
              <w:tc>
                <w:tcPr>
                  <w:tcW w:w="1155" w:type="pct"/>
                  <w:tcBorders>
                    <w:tl2br w:val="nil"/>
                    <w:tr2bl w:val="nil"/>
                  </w:tcBorders>
                  <w:vAlign w:val="center"/>
                </w:tcPr>
                <w:p w14:paraId="7CD06C5B">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其他（仅分割、焊接、组装的除外；年用非溶剂型低VOCs含量涂料10吨以下的除外）</w:t>
                  </w:r>
                </w:p>
              </w:tc>
              <w:tc>
                <w:tcPr>
                  <w:tcW w:w="1154" w:type="pct"/>
                  <w:tcBorders>
                    <w:tl2br w:val="nil"/>
                    <w:tr2bl w:val="nil"/>
                  </w:tcBorders>
                  <w:vAlign w:val="center"/>
                </w:tcPr>
                <w:p w14:paraId="1DC3C02E">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 xml:space="preserve">不含电镀工艺；年用溶剂型涂料（含稀 </w:t>
                  </w:r>
                </w:p>
                <w:p w14:paraId="046F7134">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释剂）低于10吨</w:t>
                  </w:r>
                </w:p>
              </w:tc>
              <w:tc>
                <w:tcPr>
                  <w:tcW w:w="599" w:type="pct"/>
                  <w:tcBorders>
                    <w:tl2br w:val="nil"/>
                    <w:tr2bl w:val="nil"/>
                  </w:tcBorders>
                  <w:vAlign w:val="center"/>
                </w:tcPr>
                <w:p w14:paraId="705133A2">
                  <w:pPr>
                    <w:autoSpaceDE w:val="0"/>
                    <w:autoSpaceDN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报告表</w:t>
                  </w:r>
                </w:p>
              </w:tc>
            </w:tr>
            <w:tr w14:paraId="4AA99B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8" w:type="pct"/>
                  <w:tcBorders>
                    <w:tl2br w:val="nil"/>
                    <w:tr2bl w:val="nil"/>
                  </w:tcBorders>
                  <w:vAlign w:val="center"/>
                </w:tcPr>
                <w:p w14:paraId="7DBBDBE6">
                  <w:pPr>
                    <w:pStyle w:val="85"/>
                    <w:widowControl/>
                    <w:spacing w:line="240" w:lineRule="auto"/>
                    <w:ind w:firstLine="0" w:firstLineChars="0"/>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四十五、研究和试验发展</w:t>
                  </w:r>
                </w:p>
              </w:tc>
              <w:tc>
                <w:tcPr>
                  <w:tcW w:w="620" w:type="pct"/>
                  <w:tcBorders>
                    <w:tl2br w:val="nil"/>
                    <w:tr2bl w:val="nil"/>
                  </w:tcBorders>
                  <w:vAlign w:val="center"/>
                </w:tcPr>
                <w:p w14:paraId="0C3C4ABC">
                  <w:pPr>
                    <w:autoSpaceDE w:val="0"/>
                    <w:autoSpaceDN w:val="0"/>
                    <w:jc w:val="center"/>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专业实验室、研发（试验）基地</w:t>
                  </w:r>
                </w:p>
              </w:tc>
              <w:tc>
                <w:tcPr>
                  <w:tcW w:w="872" w:type="pct"/>
                  <w:tcBorders>
                    <w:tl2br w:val="nil"/>
                    <w:tr2bl w:val="nil"/>
                  </w:tcBorders>
                  <w:vAlign w:val="center"/>
                </w:tcPr>
                <w:p w14:paraId="6B466D84">
                  <w:pPr>
                    <w:widowControl/>
                    <w:autoSpaceDE/>
                    <w:autoSpaceDN/>
                    <w:jc w:val="center"/>
                    <w:rPr>
                      <w:rFonts w:hint="default" w:ascii="Times New Roman" w:hAnsi="Times New Roman" w:eastAsia="宋体" w:cs="Times New Roman"/>
                      <w:sz w:val="18"/>
                      <w:szCs w:val="18"/>
                    </w:rPr>
                  </w:pPr>
                  <w:r>
                    <w:rPr>
                      <w:rFonts w:hint="default" w:ascii="Times New Roman" w:hAnsi="Times New Roman" w:eastAsia="宋体" w:cs="Times New Roman"/>
                      <w:color w:val="000000"/>
                      <w:kern w:val="0"/>
                      <w:sz w:val="18"/>
                      <w:szCs w:val="18"/>
                      <w:lang w:val="en-US" w:eastAsia="zh-CN" w:bidi="ar"/>
                    </w:rPr>
                    <w:t>P3、P4生物安全实验室；转基因实验室</w:t>
                  </w:r>
                </w:p>
              </w:tc>
              <w:tc>
                <w:tcPr>
                  <w:tcW w:w="1155" w:type="pct"/>
                  <w:tcBorders>
                    <w:tl2br w:val="nil"/>
                    <w:tr2bl w:val="nil"/>
                  </w:tcBorders>
                  <w:vAlign w:val="center"/>
                </w:tcPr>
                <w:p w14:paraId="11CBAE20">
                  <w:pPr>
                    <w:widowControl/>
                    <w:autoSpaceDE/>
                    <w:autoSpaceDN/>
                    <w:jc w:val="center"/>
                    <w:rPr>
                      <w:rFonts w:hint="default" w:ascii="Times New Roman" w:hAnsi="Times New Roman" w:eastAsia="宋体" w:cs="Times New Roman"/>
                      <w:sz w:val="18"/>
                      <w:szCs w:val="18"/>
                    </w:rPr>
                  </w:pPr>
                  <w:r>
                    <w:rPr>
                      <w:rFonts w:hint="eastAsia" w:ascii="宋体" w:hAnsi="宋体" w:eastAsia="宋体" w:cs="宋体"/>
                      <w:color w:val="000000"/>
                      <w:kern w:val="0"/>
                      <w:sz w:val="18"/>
                      <w:szCs w:val="18"/>
                      <w:lang w:val="en-US" w:eastAsia="zh-CN" w:bidi="ar"/>
                    </w:rPr>
                    <w:t>其他（不产生实验废气、废水、危险废物的除外）</w:t>
                  </w:r>
                </w:p>
              </w:tc>
              <w:tc>
                <w:tcPr>
                  <w:tcW w:w="1154" w:type="pct"/>
                  <w:tcBorders>
                    <w:tl2br w:val="nil"/>
                    <w:tr2bl w:val="nil"/>
                  </w:tcBorders>
                  <w:vAlign w:val="center"/>
                </w:tcPr>
                <w:p w14:paraId="2E74AE7D">
                  <w:pPr>
                    <w:autoSpaceDE w:val="0"/>
                    <w:autoSpaceDN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不属于P3、P4和转基因实验室</w:t>
                  </w:r>
                </w:p>
              </w:tc>
              <w:tc>
                <w:tcPr>
                  <w:tcW w:w="599" w:type="pct"/>
                  <w:tcBorders>
                    <w:tl2br w:val="nil"/>
                    <w:tr2bl w:val="nil"/>
                  </w:tcBorders>
                  <w:vAlign w:val="center"/>
                </w:tcPr>
                <w:p w14:paraId="0AF5BEC5">
                  <w:pPr>
                    <w:autoSpaceDE w:val="0"/>
                    <w:autoSpaceDN w:val="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报告表</w:t>
                  </w:r>
                </w:p>
              </w:tc>
            </w:tr>
          </w:tbl>
          <w:p w14:paraId="10CFF651">
            <w:pPr>
              <w:widowControl/>
              <w:spacing w:line="360" w:lineRule="auto"/>
              <w:ind w:firstLine="420" w:firstLineChars="200"/>
              <w:jc w:val="left"/>
              <w:rPr>
                <w:rFonts w:hint="eastAsia" w:ascii="宋体" w:hAnsi="宋体" w:cs="宋体"/>
              </w:rPr>
            </w:pPr>
            <w:r>
              <w:rPr>
                <w:rFonts w:hint="eastAsia" w:ascii="宋体" w:hAnsi="宋体" w:cs="宋体"/>
              </w:rPr>
              <w:t>受建设单位委托，浙江百诺数智环境科技股份有限公司承担了本项目的环境影响评价工作。我单位在现场踏勘、监测和资料收集等的基础上，根据环评技术导则及其他相关文件，编制了本项目的</w:t>
            </w:r>
            <w:r>
              <w:rPr>
                <w:rFonts w:hint="eastAsia" w:ascii="宋体" w:hAnsi="宋体" w:cs="宋体"/>
                <w:lang w:val="en-US" w:eastAsia="zh-CN"/>
              </w:rPr>
              <w:t>生态</w:t>
            </w:r>
            <w:r>
              <w:rPr>
                <w:rFonts w:hint="eastAsia" w:ascii="宋体" w:hAnsi="宋体" w:cs="宋体"/>
              </w:rPr>
              <w:t>环境影响报告表，并交由项目建设单位报请生态环境主管部门审批</w:t>
            </w:r>
            <w:bookmarkEnd w:id="22"/>
            <w:bookmarkEnd w:id="23"/>
            <w:bookmarkStart w:id="24" w:name="_Toc17504"/>
            <w:bookmarkStart w:id="25" w:name="_Toc21169"/>
            <w:r>
              <w:rPr>
                <w:rFonts w:hint="eastAsia" w:ascii="宋体" w:hAnsi="宋体" w:cs="宋体"/>
              </w:rPr>
              <w:t>。</w:t>
            </w:r>
          </w:p>
          <w:p w14:paraId="40C928FC">
            <w:pPr>
              <w:keepNext/>
              <w:keepLines/>
              <w:spacing w:line="360" w:lineRule="auto"/>
              <w:rPr>
                <w:b/>
                <w:bCs/>
                <w:sz w:val="22"/>
                <w:szCs w:val="22"/>
              </w:rPr>
            </w:pPr>
            <w:r>
              <w:rPr>
                <w:b/>
                <w:bCs/>
                <w:sz w:val="22"/>
                <w:szCs w:val="22"/>
              </w:rPr>
              <w:t>2.</w:t>
            </w:r>
            <w:r>
              <w:rPr>
                <w:rFonts w:hint="eastAsia"/>
                <w:b/>
                <w:bCs/>
                <w:sz w:val="22"/>
                <w:szCs w:val="22"/>
              </w:rPr>
              <w:t>1.</w:t>
            </w:r>
            <w:r>
              <w:rPr>
                <w:b/>
                <w:bCs/>
                <w:sz w:val="22"/>
                <w:szCs w:val="22"/>
              </w:rPr>
              <w:t>2</w:t>
            </w:r>
            <w:r>
              <w:rPr>
                <w:rFonts w:hint="eastAsia"/>
                <w:b/>
                <w:bCs/>
                <w:sz w:val="22"/>
                <w:szCs w:val="22"/>
              </w:rPr>
              <w:t xml:space="preserve">  项目组成</w:t>
            </w:r>
            <w:bookmarkEnd w:id="24"/>
            <w:bookmarkEnd w:id="25"/>
          </w:p>
          <w:p w14:paraId="5841ED1F">
            <w:pPr>
              <w:adjustRightInd w:val="0"/>
              <w:snapToGrid w:val="0"/>
              <w:spacing w:line="360" w:lineRule="auto"/>
              <w:ind w:firstLine="420" w:firstLineChars="200"/>
              <w:rPr>
                <w:bCs/>
                <w:szCs w:val="21"/>
              </w:rPr>
            </w:pPr>
            <w:r>
              <w:rPr>
                <w:rFonts w:hint="eastAsia"/>
                <w:bCs/>
                <w:szCs w:val="21"/>
              </w:rPr>
              <w:t>本项目基本情况见</w:t>
            </w:r>
            <w:r>
              <w:rPr>
                <w:rFonts w:hint="eastAsia"/>
                <w:bCs/>
                <w:szCs w:val="21"/>
                <w:lang w:val="en-US" w:eastAsia="zh-CN"/>
              </w:rPr>
              <w:t>下表</w:t>
            </w:r>
            <w:r>
              <w:rPr>
                <w:rFonts w:hint="eastAsia"/>
                <w:bCs/>
                <w:szCs w:val="21"/>
              </w:rPr>
              <w:t>。</w:t>
            </w:r>
          </w:p>
          <w:p w14:paraId="11D274EC">
            <w:pPr>
              <w:pStyle w:val="139"/>
              <w:numPr>
                <w:ilvl w:val="0"/>
                <w:numId w:val="4"/>
              </w:numPr>
              <w:adjustRightInd w:val="0"/>
              <w:snapToGrid w:val="0"/>
              <w:spacing w:line="360" w:lineRule="auto"/>
              <w:ind w:left="0" w:firstLine="0" w:firstLineChars="0"/>
              <w:jc w:val="center"/>
              <w:rPr>
                <w:b/>
                <w:bCs/>
                <w:szCs w:val="21"/>
              </w:rPr>
            </w:pPr>
            <w:r>
              <w:rPr>
                <w:rFonts w:hint="eastAsia"/>
                <w:b/>
                <w:bCs/>
                <w:szCs w:val="21"/>
              </w:rPr>
              <w:t>项目工程组成一览表</w:t>
            </w:r>
            <w:bookmarkStart w:id="26" w:name="_Toc24353"/>
            <w:bookmarkStart w:id="27" w:name="_Toc23848"/>
          </w:p>
          <w:tbl>
            <w:tblPr>
              <w:tblStyle w:val="2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480"/>
              <w:gridCol w:w="1460"/>
              <w:gridCol w:w="5552"/>
            </w:tblGrid>
            <w:tr w14:paraId="5A96F9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78DAFAC3">
                  <w:pPr>
                    <w:widowControl/>
                    <w:jc w:val="center"/>
                    <w:textAlignment w:val="center"/>
                    <w:rPr>
                      <w:color w:val="000000"/>
                      <w:sz w:val="18"/>
                      <w:szCs w:val="18"/>
                    </w:rPr>
                  </w:pPr>
                  <w:r>
                    <w:rPr>
                      <w:rFonts w:hint="eastAsia"/>
                      <w:color w:val="000000"/>
                      <w:kern w:val="0"/>
                      <w:sz w:val="18"/>
                      <w:szCs w:val="18"/>
                      <w:lang w:bidi="ar"/>
                    </w:rPr>
                    <w:t>序号</w:t>
                  </w:r>
                </w:p>
              </w:tc>
              <w:tc>
                <w:tcPr>
                  <w:tcW w:w="1209" w:type="pct"/>
                  <w:gridSpan w:val="2"/>
                  <w:tcBorders>
                    <w:tl2br w:val="nil"/>
                    <w:tr2bl w:val="nil"/>
                  </w:tcBorders>
                  <w:noWrap/>
                  <w:vAlign w:val="center"/>
                </w:tcPr>
                <w:p w14:paraId="4E725290">
                  <w:pPr>
                    <w:widowControl/>
                    <w:jc w:val="center"/>
                    <w:textAlignment w:val="center"/>
                    <w:rPr>
                      <w:color w:val="000000"/>
                      <w:sz w:val="18"/>
                      <w:szCs w:val="18"/>
                    </w:rPr>
                  </w:pPr>
                  <w:r>
                    <w:rPr>
                      <w:rFonts w:hint="eastAsia"/>
                      <w:color w:val="000000"/>
                      <w:kern w:val="0"/>
                      <w:sz w:val="18"/>
                      <w:szCs w:val="18"/>
                      <w:lang w:bidi="ar"/>
                    </w:rPr>
                    <w:t>工程类别</w:t>
                  </w:r>
                </w:p>
              </w:tc>
              <w:tc>
                <w:tcPr>
                  <w:tcW w:w="3460" w:type="pct"/>
                  <w:tcBorders>
                    <w:tl2br w:val="nil"/>
                    <w:tr2bl w:val="nil"/>
                  </w:tcBorders>
                  <w:noWrap/>
                  <w:vAlign w:val="center"/>
                </w:tcPr>
                <w:p w14:paraId="128D6262">
                  <w:pPr>
                    <w:widowControl/>
                    <w:jc w:val="center"/>
                    <w:textAlignment w:val="center"/>
                    <w:rPr>
                      <w:color w:val="000000"/>
                      <w:sz w:val="18"/>
                      <w:szCs w:val="18"/>
                    </w:rPr>
                  </w:pPr>
                  <w:r>
                    <w:rPr>
                      <w:rFonts w:hint="eastAsia"/>
                      <w:color w:val="000000"/>
                      <w:kern w:val="0"/>
                      <w:sz w:val="18"/>
                      <w:szCs w:val="18"/>
                      <w:lang w:bidi="ar"/>
                    </w:rPr>
                    <w:t>建设内容</w:t>
                  </w:r>
                </w:p>
              </w:tc>
            </w:tr>
            <w:tr w14:paraId="5A5AD3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53A07C59">
                  <w:pPr>
                    <w:widowControl/>
                    <w:jc w:val="center"/>
                    <w:textAlignment w:val="center"/>
                    <w:rPr>
                      <w:color w:val="000000"/>
                      <w:sz w:val="18"/>
                      <w:szCs w:val="18"/>
                    </w:rPr>
                  </w:pPr>
                  <w:r>
                    <w:rPr>
                      <w:color w:val="000000"/>
                      <w:kern w:val="0"/>
                      <w:sz w:val="18"/>
                      <w:szCs w:val="18"/>
                      <w:lang w:bidi="ar"/>
                    </w:rPr>
                    <w:t>1</w:t>
                  </w:r>
                </w:p>
              </w:tc>
              <w:tc>
                <w:tcPr>
                  <w:tcW w:w="299" w:type="pct"/>
                  <w:vMerge w:val="restart"/>
                  <w:tcBorders>
                    <w:tl2br w:val="nil"/>
                    <w:tr2bl w:val="nil"/>
                  </w:tcBorders>
                  <w:noWrap/>
                  <w:vAlign w:val="center"/>
                </w:tcPr>
                <w:p w14:paraId="0E058430">
                  <w:pPr>
                    <w:widowControl/>
                    <w:jc w:val="center"/>
                    <w:textAlignment w:val="center"/>
                    <w:rPr>
                      <w:color w:val="000000"/>
                      <w:sz w:val="18"/>
                      <w:szCs w:val="18"/>
                    </w:rPr>
                  </w:pPr>
                  <w:r>
                    <w:rPr>
                      <w:rFonts w:hint="eastAsia"/>
                      <w:color w:val="000000"/>
                      <w:kern w:val="0"/>
                      <w:sz w:val="18"/>
                      <w:szCs w:val="18"/>
                      <w:lang w:bidi="ar"/>
                    </w:rPr>
                    <w:t>主体工程</w:t>
                  </w:r>
                </w:p>
              </w:tc>
              <w:tc>
                <w:tcPr>
                  <w:tcW w:w="909" w:type="pct"/>
                  <w:tcBorders>
                    <w:tl2br w:val="nil"/>
                    <w:tr2bl w:val="nil"/>
                  </w:tcBorders>
                  <w:noWrap/>
                  <w:vAlign w:val="center"/>
                </w:tcPr>
                <w:p w14:paraId="3AF77C7D">
                  <w:pPr>
                    <w:widowControl/>
                    <w:jc w:val="center"/>
                    <w:textAlignment w:val="center"/>
                    <w:rPr>
                      <w:color w:val="000000"/>
                      <w:sz w:val="18"/>
                      <w:szCs w:val="18"/>
                    </w:rPr>
                  </w:pPr>
                  <w:r>
                    <w:rPr>
                      <w:rFonts w:hint="eastAsia"/>
                      <w:color w:val="000000"/>
                      <w:kern w:val="0"/>
                      <w:sz w:val="18"/>
                      <w:szCs w:val="18"/>
                      <w:lang w:bidi="ar"/>
                    </w:rPr>
                    <w:t>生产车间</w:t>
                  </w:r>
                </w:p>
              </w:tc>
              <w:tc>
                <w:tcPr>
                  <w:tcW w:w="3460" w:type="pct"/>
                  <w:tcBorders>
                    <w:tl2br w:val="nil"/>
                    <w:tr2bl w:val="nil"/>
                  </w:tcBorders>
                  <w:noWrap/>
                  <w:vAlign w:val="center"/>
                </w:tcPr>
                <w:p w14:paraId="37E498C7">
                  <w:pPr>
                    <w:widowControl/>
                    <w:jc w:val="left"/>
                    <w:textAlignment w:val="center"/>
                    <w:rPr>
                      <w:color w:val="000000"/>
                      <w:sz w:val="18"/>
                      <w:szCs w:val="18"/>
                    </w:rPr>
                  </w:pPr>
                  <w:r>
                    <w:rPr>
                      <w:rFonts w:hint="eastAsia"/>
                      <w:color w:val="000000"/>
                      <w:kern w:val="0"/>
                      <w:sz w:val="18"/>
                      <w:szCs w:val="18"/>
                      <w:lang w:bidi="ar"/>
                    </w:rPr>
                    <w:t>建筑面积约800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m，主要布置组装车间、涂层车间、冻干室等。</w:t>
                  </w:r>
                </w:p>
              </w:tc>
            </w:tr>
            <w:tr w14:paraId="243676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44508913">
                  <w:pPr>
                    <w:widowControl/>
                    <w:jc w:val="center"/>
                    <w:textAlignment w:val="center"/>
                    <w:rPr>
                      <w:color w:val="000000"/>
                      <w:sz w:val="18"/>
                      <w:szCs w:val="18"/>
                    </w:rPr>
                  </w:pPr>
                  <w:r>
                    <w:rPr>
                      <w:color w:val="000000"/>
                      <w:kern w:val="0"/>
                      <w:sz w:val="18"/>
                      <w:szCs w:val="18"/>
                      <w:lang w:bidi="ar"/>
                    </w:rPr>
                    <w:t>2</w:t>
                  </w:r>
                </w:p>
              </w:tc>
              <w:tc>
                <w:tcPr>
                  <w:tcW w:w="299" w:type="pct"/>
                  <w:vMerge w:val="continue"/>
                  <w:tcBorders>
                    <w:tl2br w:val="nil"/>
                    <w:tr2bl w:val="nil"/>
                  </w:tcBorders>
                  <w:noWrap/>
                  <w:vAlign w:val="center"/>
                </w:tcPr>
                <w:p w14:paraId="7FBF41D0">
                  <w:pPr>
                    <w:jc w:val="center"/>
                    <w:rPr>
                      <w:color w:val="000000"/>
                      <w:sz w:val="18"/>
                      <w:szCs w:val="18"/>
                    </w:rPr>
                  </w:pPr>
                </w:p>
              </w:tc>
              <w:tc>
                <w:tcPr>
                  <w:tcW w:w="909" w:type="pct"/>
                  <w:tcBorders>
                    <w:tl2br w:val="nil"/>
                    <w:tr2bl w:val="nil"/>
                  </w:tcBorders>
                  <w:noWrap/>
                  <w:vAlign w:val="center"/>
                </w:tcPr>
                <w:p w14:paraId="5E58C376">
                  <w:pPr>
                    <w:widowControl/>
                    <w:jc w:val="center"/>
                    <w:textAlignment w:val="center"/>
                    <w:rPr>
                      <w:color w:val="000000"/>
                      <w:sz w:val="18"/>
                      <w:szCs w:val="18"/>
                    </w:rPr>
                  </w:pPr>
                  <w:r>
                    <w:rPr>
                      <w:rFonts w:hint="eastAsia"/>
                      <w:color w:val="000000"/>
                      <w:kern w:val="0"/>
                      <w:sz w:val="18"/>
                      <w:szCs w:val="18"/>
                      <w:lang w:bidi="ar"/>
                    </w:rPr>
                    <w:t>检测实验室</w:t>
                  </w:r>
                </w:p>
              </w:tc>
              <w:tc>
                <w:tcPr>
                  <w:tcW w:w="3460" w:type="pct"/>
                  <w:tcBorders>
                    <w:tl2br w:val="nil"/>
                    <w:tr2bl w:val="nil"/>
                  </w:tcBorders>
                  <w:noWrap/>
                  <w:vAlign w:val="center"/>
                </w:tcPr>
                <w:p w14:paraId="4B3E4794">
                  <w:pPr>
                    <w:widowControl/>
                    <w:jc w:val="left"/>
                    <w:textAlignment w:val="center"/>
                    <w:rPr>
                      <w:color w:val="000000"/>
                      <w:sz w:val="18"/>
                      <w:szCs w:val="18"/>
                    </w:rPr>
                  </w:pPr>
                  <w:r>
                    <w:rPr>
                      <w:rFonts w:hint="eastAsia"/>
                      <w:color w:val="000000"/>
                      <w:kern w:val="0"/>
                      <w:sz w:val="18"/>
                      <w:szCs w:val="18"/>
                      <w:lang w:bidi="ar"/>
                    </w:rPr>
                    <w:t>建筑面积约240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m，主要布置微生物培养室、无菌室、阳性对照室、理化检测室、更衣室等。</w:t>
                  </w:r>
                </w:p>
              </w:tc>
            </w:tr>
            <w:tr w14:paraId="423B45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61E12113">
                  <w:pPr>
                    <w:widowControl/>
                    <w:jc w:val="center"/>
                    <w:textAlignment w:val="center"/>
                    <w:rPr>
                      <w:color w:val="000000"/>
                      <w:sz w:val="18"/>
                      <w:szCs w:val="18"/>
                    </w:rPr>
                  </w:pPr>
                  <w:r>
                    <w:rPr>
                      <w:color w:val="000000"/>
                      <w:kern w:val="0"/>
                      <w:sz w:val="18"/>
                      <w:szCs w:val="18"/>
                      <w:lang w:bidi="ar"/>
                    </w:rPr>
                    <w:t>3</w:t>
                  </w:r>
                </w:p>
              </w:tc>
              <w:tc>
                <w:tcPr>
                  <w:tcW w:w="299" w:type="pct"/>
                  <w:vMerge w:val="restart"/>
                  <w:tcBorders>
                    <w:tl2br w:val="nil"/>
                    <w:tr2bl w:val="nil"/>
                  </w:tcBorders>
                  <w:noWrap/>
                  <w:vAlign w:val="center"/>
                </w:tcPr>
                <w:p w14:paraId="6828FE5F">
                  <w:pPr>
                    <w:widowControl/>
                    <w:jc w:val="center"/>
                    <w:textAlignment w:val="center"/>
                    <w:rPr>
                      <w:color w:val="000000"/>
                      <w:sz w:val="18"/>
                      <w:szCs w:val="18"/>
                    </w:rPr>
                  </w:pPr>
                  <w:r>
                    <w:rPr>
                      <w:rFonts w:hint="eastAsia"/>
                      <w:color w:val="000000"/>
                      <w:kern w:val="0"/>
                      <w:sz w:val="18"/>
                      <w:szCs w:val="18"/>
                      <w:lang w:bidi="ar"/>
                    </w:rPr>
                    <w:t>辅助工程</w:t>
                  </w:r>
                </w:p>
              </w:tc>
              <w:tc>
                <w:tcPr>
                  <w:tcW w:w="909" w:type="pct"/>
                  <w:tcBorders>
                    <w:tl2br w:val="nil"/>
                    <w:tr2bl w:val="nil"/>
                  </w:tcBorders>
                  <w:noWrap/>
                  <w:vAlign w:val="center"/>
                </w:tcPr>
                <w:p w14:paraId="1F09B0B5">
                  <w:pPr>
                    <w:widowControl/>
                    <w:jc w:val="center"/>
                    <w:textAlignment w:val="center"/>
                    <w:rPr>
                      <w:color w:val="000000"/>
                      <w:sz w:val="18"/>
                      <w:szCs w:val="18"/>
                    </w:rPr>
                  </w:pPr>
                  <w:r>
                    <w:rPr>
                      <w:rFonts w:hint="eastAsia"/>
                      <w:color w:val="000000"/>
                      <w:kern w:val="0"/>
                      <w:sz w:val="18"/>
                      <w:szCs w:val="18"/>
                      <w:lang w:bidi="ar"/>
                    </w:rPr>
                    <w:t>办公区</w:t>
                  </w:r>
                </w:p>
              </w:tc>
              <w:tc>
                <w:tcPr>
                  <w:tcW w:w="3460" w:type="pct"/>
                  <w:tcBorders>
                    <w:tl2br w:val="nil"/>
                    <w:tr2bl w:val="nil"/>
                  </w:tcBorders>
                  <w:noWrap/>
                  <w:vAlign w:val="center"/>
                </w:tcPr>
                <w:p w14:paraId="24F78795">
                  <w:pPr>
                    <w:widowControl/>
                    <w:jc w:val="left"/>
                    <w:textAlignment w:val="center"/>
                    <w:rPr>
                      <w:color w:val="000000"/>
                      <w:sz w:val="18"/>
                      <w:szCs w:val="18"/>
                    </w:rPr>
                  </w:pPr>
                  <w:r>
                    <w:rPr>
                      <w:rFonts w:hint="eastAsia"/>
                      <w:color w:val="000000"/>
                      <w:kern w:val="0"/>
                      <w:sz w:val="18"/>
                      <w:szCs w:val="18"/>
                      <w:lang w:bidi="ar"/>
                    </w:rPr>
                    <w:t>建筑面积约480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m，主要布置办公室、会议室、休息区等。</w:t>
                  </w:r>
                </w:p>
              </w:tc>
            </w:tr>
            <w:tr w14:paraId="41AE4C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0B763729">
                  <w:pPr>
                    <w:widowControl/>
                    <w:jc w:val="center"/>
                    <w:textAlignment w:val="center"/>
                    <w:rPr>
                      <w:color w:val="000000"/>
                      <w:sz w:val="18"/>
                      <w:szCs w:val="18"/>
                    </w:rPr>
                  </w:pPr>
                  <w:r>
                    <w:rPr>
                      <w:color w:val="000000"/>
                      <w:kern w:val="0"/>
                      <w:sz w:val="18"/>
                      <w:szCs w:val="18"/>
                      <w:lang w:bidi="ar"/>
                    </w:rPr>
                    <w:t>4</w:t>
                  </w:r>
                </w:p>
              </w:tc>
              <w:tc>
                <w:tcPr>
                  <w:tcW w:w="299" w:type="pct"/>
                  <w:vMerge w:val="continue"/>
                  <w:tcBorders>
                    <w:tl2br w:val="nil"/>
                    <w:tr2bl w:val="nil"/>
                  </w:tcBorders>
                  <w:noWrap/>
                  <w:vAlign w:val="center"/>
                </w:tcPr>
                <w:p w14:paraId="25E4F788">
                  <w:pPr>
                    <w:jc w:val="center"/>
                    <w:rPr>
                      <w:color w:val="000000"/>
                      <w:sz w:val="18"/>
                      <w:szCs w:val="18"/>
                    </w:rPr>
                  </w:pPr>
                </w:p>
              </w:tc>
              <w:tc>
                <w:tcPr>
                  <w:tcW w:w="909" w:type="pct"/>
                  <w:tcBorders>
                    <w:tl2br w:val="nil"/>
                    <w:tr2bl w:val="nil"/>
                  </w:tcBorders>
                  <w:noWrap/>
                  <w:vAlign w:val="center"/>
                </w:tcPr>
                <w:p w14:paraId="228BCB0D">
                  <w:pPr>
                    <w:widowControl/>
                    <w:jc w:val="center"/>
                    <w:textAlignment w:val="center"/>
                    <w:rPr>
                      <w:color w:val="000000"/>
                      <w:sz w:val="18"/>
                      <w:szCs w:val="18"/>
                    </w:rPr>
                  </w:pPr>
                  <w:r>
                    <w:rPr>
                      <w:rFonts w:hint="eastAsia"/>
                      <w:color w:val="000000"/>
                      <w:kern w:val="0"/>
                      <w:sz w:val="18"/>
                      <w:szCs w:val="18"/>
                      <w:lang w:bidi="ar"/>
                    </w:rPr>
                    <w:t>原料库</w:t>
                  </w:r>
                </w:p>
              </w:tc>
              <w:tc>
                <w:tcPr>
                  <w:tcW w:w="3460" w:type="pct"/>
                  <w:tcBorders>
                    <w:tl2br w:val="nil"/>
                    <w:tr2bl w:val="nil"/>
                  </w:tcBorders>
                  <w:noWrap/>
                  <w:vAlign w:val="center"/>
                </w:tcPr>
                <w:p w14:paraId="358D23C2">
                  <w:pPr>
                    <w:widowControl/>
                    <w:jc w:val="left"/>
                    <w:textAlignment w:val="center"/>
                    <w:rPr>
                      <w:color w:val="000000"/>
                      <w:sz w:val="18"/>
                      <w:szCs w:val="18"/>
                    </w:rPr>
                  </w:pPr>
                  <w:r>
                    <w:rPr>
                      <w:rFonts w:hint="eastAsia"/>
                      <w:color w:val="000000"/>
                      <w:kern w:val="0"/>
                      <w:sz w:val="18"/>
                      <w:szCs w:val="18"/>
                      <w:lang w:bidi="ar"/>
                    </w:rPr>
                    <w:t>建筑面积约100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m，主要储存生产原辅料</w:t>
                  </w:r>
                </w:p>
              </w:tc>
            </w:tr>
            <w:tr w14:paraId="34EF35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16B9B9B6">
                  <w:pPr>
                    <w:widowControl/>
                    <w:jc w:val="center"/>
                    <w:textAlignment w:val="center"/>
                    <w:rPr>
                      <w:color w:val="000000"/>
                      <w:sz w:val="18"/>
                      <w:szCs w:val="18"/>
                    </w:rPr>
                  </w:pPr>
                  <w:r>
                    <w:rPr>
                      <w:color w:val="000000"/>
                      <w:kern w:val="0"/>
                      <w:sz w:val="18"/>
                      <w:szCs w:val="18"/>
                      <w:lang w:bidi="ar"/>
                    </w:rPr>
                    <w:t>5</w:t>
                  </w:r>
                </w:p>
              </w:tc>
              <w:tc>
                <w:tcPr>
                  <w:tcW w:w="299" w:type="pct"/>
                  <w:vMerge w:val="continue"/>
                  <w:tcBorders>
                    <w:tl2br w:val="nil"/>
                    <w:tr2bl w:val="nil"/>
                  </w:tcBorders>
                  <w:noWrap/>
                  <w:vAlign w:val="center"/>
                </w:tcPr>
                <w:p w14:paraId="5DE868E0">
                  <w:pPr>
                    <w:jc w:val="center"/>
                    <w:rPr>
                      <w:color w:val="000000"/>
                      <w:sz w:val="18"/>
                      <w:szCs w:val="18"/>
                    </w:rPr>
                  </w:pPr>
                </w:p>
              </w:tc>
              <w:tc>
                <w:tcPr>
                  <w:tcW w:w="909" w:type="pct"/>
                  <w:tcBorders>
                    <w:tl2br w:val="nil"/>
                    <w:tr2bl w:val="nil"/>
                  </w:tcBorders>
                  <w:noWrap/>
                  <w:vAlign w:val="center"/>
                </w:tcPr>
                <w:p w14:paraId="6CFFAC4A">
                  <w:pPr>
                    <w:widowControl/>
                    <w:jc w:val="center"/>
                    <w:textAlignment w:val="center"/>
                    <w:rPr>
                      <w:color w:val="000000"/>
                      <w:sz w:val="18"/>
                      <w:szCs w:val="18"/>
                    </w:rPr>
                  </w:pPr>
                  <w:r>
                    <w:rPr>
                      <w:rFonts w:hint="eastAsia"/>
                      <w:color w:val="000000"/>
                      <w:kern w:val="0"/>
                      <w:sz w:val="18"/>
                      <w:szCs w:val="18"/>
                      <w:lang w:bidi="ar"/>
                    </w:rPr>
                    <w:t>包材库</w:t>
                  </w:r>
                </w:p>
              </w:tc>
              <w:tc>
                <w:tcPr>
                  <w:tcW w:w="3460" w:type="pct"/>
                  <w:tcBorders>
                    <w:tl2br w:val="nil"/>
                    <w:tr2bl w:val="nil"/>
                  </w:tcBorders>
                  <w:noWrap/>
                  <w:vAlign w:val="center"/>
                </w:tcPr>
                <w:p w14:paraId="0DFB32E9">
                  <w:pPr>
                    <w:widowControl/>
                    <w:jc w:val="left"/>
                    <w:textAlignment w:val="center"/>
                    <w:rPr>
                      <w:color w:val="000000"/>
                      <w:sz w:val="18"/>
                      <w:szCs w:val="18"/>
                    </w:rPr>
                  </w:pPr>
                  <w:r>
                    <w:rPr>
                      <w:rFonts w:hint="eastAsia"/>
                      <w:color w:val="000000"/>
                      <w:kern w:val="0"/>
                      <w:sz w:val="18"/>
                      <w:szCs w:val="18"/>
                      <w:lang w:bidi="ar"/>
                    </w:rPr>
                    <w:t>建筑面积约100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m，主要储存包装材料</w:t>
                  </w:r>
                </w:p>
              </w:tc>
            </w:tr>
            <w:tr w14:paraId="459B45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620F7EE5">
                  <w:pPr>
                    <w:widowControl/>
                    <w:jc w:val="center"/>
                    <w:textAlignment w:val="center"/>
                    <w:rPr>
                      <w:color w:val="000000"/>
                      <w:sz w:val="18"/>
                      <w:szCs w:val="18"/>
                    </w:rPr>
                  </w:pPr>
                  <w:r>
                    <w:rPr>
                      <w:color w:val="000000"/>
                      <w:kern w:val="0"/>
                      <w:sz w:val="18"/>
                      <w:szCs w:val="18"/>
                      <w:lang w:bidi="ar"/>
                    </w:rPr>
                    <w:t>6</w:t>
                  </w:r>
                </w:p>
              </w:tc>
              <w:tc>
                <w:tcPr>
                  <w:tcW w:w="299" w:type="pct"/>
                  <w:vMerge w:val="continue"/>
                  <w:tcBorders>
                    <w:tl2br w:val="nil"/>
                    <w:tr2bl w:val="nil"/>
                  </w:tcBorders>
                  <w:noWrap/>
                  <w:vAlign w:val="center"/>
                </w:tcPr>
                <w:p w14:paraId="3CF5DCCE">
                  <w:pPr>
                    <w:jc w:val="center"/>
                    <w:rPr>
                      <w:color w:val="000000"/>
                      <w:sz w:val="18"/>
                      <w:szCs w:val="18"/>
                    </w:rPr>
                  </w:pPr>
                </w:p>
              </w:tc>
              <w:tc>
                <w:tcPr>
                  <w:tcW w:w="909" w:type="pct"/>
                  <w:tcBorders>
                    <w:tl2br w:val="nil"/>
                    <w:tr2bl w:val="nil"/>
                  </w:tcBorders>
                  <w:noWrap/>
                  <w:vAlign w:val="center"/>
                </w:tcPr>
                <w:p w14:paraId="717F02C9">
                  <w:pPr>
                    <w:widowControl/>
                    <w:jc w:val="center"/>
                    <w:textAlignment w:val="center"/>
                    <w:rPr>
                      <w:color w:val="000000"/>
                      <w:sz w:val="18"/>
                      <w:szCs w:val="18"/>
                    </w:rPr>
                  </w:pPr>
                  <w:r>
                    <w:rPr>
                      <w:rFonts w:hint="eastAsia"/>
                      <w:color w:val="000000"/>
                      <w:kern w:val="0"/>
                      <w:sz w:val="18"/>
                      <w:szCs w:val="18"/>
                      <w:lang w:bidi="ar"/>
                    </w:rPr>
                    <w:t>成品库</w:t>
                  </w:r>
                </w:p>
              </w:tc>
              <w:tc>
                <w:tcPr>
                  <w:tcW w:w="3460" w:type="pct"/>
                  <w:tcBorders>
                    <w:tl2br w:val="nil"/>
                    <w:tr2bl w:val="nil"/>
                  </w:tcBorders>
                  <w:noWrap/>
                  <w:vAlign w:val="center"/>
                </w:tcPr>
                <w:p w14:paraId="7CB0930C">
                  <w:pPr>
                    <w:widowControl/>
                    <w:jc w:val="left"/>
                    <w:textAlignment w:val="center"/>
                    <w:rPr>
                      <w:color w:val="000000"/>
                      <w:sz w:val="18"/>
                      <w:szCs w:val="18"/>
                    </w:rPr>
                  </w:pPr>
                  <w:r>
                    <w:rPr>
                      <w:rFonts w:hint="eastAsia"/>
                      <w:color w:val="000000"/>
                      <w:kern w:val="0"/>
                      <w:sz w:val="18"/>
                      <w:szCs w:val="18"/>
                      <w:lang w:bidi="ar"/>
                    </w:rPr>
                    <w:t>建筑面积约130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m，主要储存产品。</w:t>
                  </w:r>
                </w:p>
              </w:tc>
            </w:tr>
            <w:tr w14:paraId="6EA996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729F26A7">
                  <w:pPr>
                    <w:widowControl/>
                    <w:jc w:val="center"/>
                    <w:textAlignment w:val="center"/>
                    <w:rPr>
                      <w:color w:val="000000"/>
                      <w:sz w:val="18"/>
                      <w:szCs w:val="18"/>
                    </w:rPr>
                  </w:pPr>
                  <w:r>
                    <w:rPr>
                      <w:color w:val="000000"/>
                      <w:kern w:val="0"/>
                      <w:sz w:val="18"/>
                      <w:szCs w:val="18"/>
                      <w:lang w:bidi="ar"/>
                    </w:rPr>
                    <w:t>7</w:t>
                  </w:r>
                </w:p>
              </w:tc>
              <w:tc>
                <w:tcPr>
                  <w:tcW w:w="299" w:type="pct"/>
                  <w:vMerge w:val="continue"/>
                  <w:tcBorders>
                    <w:tl2br w:val="nil"/>
                    <w:tr2bl w:val="nil"/>
                  </w:tcBorders>
                  <w:noWrap/>
                  <w:vAlign w:val="center"/>
                </w:tcPr>
                <w:p w14:paraId="42858565">
                  <w:pPr>
                    <w:jc w:val="center"/>
                    <w:rPr>
                      <w:color w:val="000000"/>
                      <w:sz w:val="18"/>
                      <w:szCs w:val="18"/>
                    </w:rPr>
                  </w:pPr>
                </w:p>
              </w:tc>
              <w:tc>
                <w:tcPr>
                  <w:tcW w:w="909" w:type="pct"/>
                  <w:tcBorders>
                    <w:tl2br w:val="nil"/>
                    <w:tr2bl w:val="nil"/>
                  </w:tcBorders>
                  <w:noWrap/>
                  <w:vAlign w:val="center"/>
                </w:tcPr>
                <w:p w14:paraId="5B2C7C05">
                  <w:pPr>
                    <w:widowControl/>
                    <w:jc w:val="center"/>
                    <w:textAlignment w:val="center"/>
                    <w:rPr>
                      <w:color w:val="000000"/>
                      <w:sz w:val="18"/>
                      <w:szCs w:val="18"/>
                    </w:rPr>
                  </w:pPr>
                  <w:r>
                    <w:rPr>
                      <w:rFonts w:hint="eastAsia"/>
                      <w:color w:val="000000"/>
                      <w:kern w:val="0"/>
                      <w:sz w:val="18"/>
                      <w:szCs w:val="18"/>
                      <w:lang w:bidi="ar"/>
                    </w:rPr>
                    <w:t>其他物品库</w:t>
                  </w:r>
                </w:p>
              </w:tc>
              <w:tc>
                <w:tcPr>
                  <w:tcW w:w="3460" w:type="pct"/>
                  <w:tcBorders>
                    <w:tl2br w:val="nil"/>
                    <w:tr2bl w:val="nil"/>
                  </w:tcBorders>
                  <w:noWrap/>
                  <w:vAlign w:val="center"/>
                </w:tcPr>
                <w:p w14:paraId="0AD78B7B">
                  <w:pPr>
                    <w:widowControl/>
                    <w:jc w:val="left"/>
                    <w:textAlignment w:val="center"/>
                    <w:rPr>
                      <w:color w:val="000000"/>
                      <w:sz w:val="18"/>
                      <w:szCs w:val="18"/>
                    </w:rPr>
                  </w:pPr>
                  <w:r>
                    <w:rPr>
                      <w:rFonts w:hint="eastAsia"/>
                      <w:color w:val="000000"/>
                      <w:kern w:val="0"/>
                      <w:sz w:val="18"/>
                      <w:szCs w:val="18"/>
                      <w:lang w:bidi="ar"/>
                    </w:rPr>
                    <w:t>建筑面积约120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m，主要布置样品库、文件库等。</w:t>
                  </w:r>
                </w:p>
              </w:tc>
            </w:tr>
            <w:tr w14:paraId="11F5B1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53A32B95">
                  <w:pPr>
                    <w:widowControl/>
                    <w:jc w:val="center"/>
                    <w:textAlignment w:val="center"/>
                    <w:rPr>
                      <w:color w:val="000000"/>
                      <w:sz w:val="18"/>
                      <w:szCs w:val="18"/>
                    </w:rPr>
                  </w:pPr>
                  <w:r>
                    <w:rPr>
                      <w:color w:val="000000"/>
                      <w:kern w:val="0"/>
                      <w:sz w:val="18"/>
                      <w:szCs w:val="18"/>
                      <w:lang w:bidi="ar"/>
                    </w:rPr>
                    <w:t>8</w:t>
                  </w:r>
                </w:p>
              </w:tc>
              <w:tc>
                <w:tcPr>
                  <w:tcW w:w="299" w:type="pct"/>
                  <w:vMerge w:val="continue"/>
                  <w:tcBorders>
                    <w:tl2br w:val="nil"/>
                    <w:tr2bl w:val="nil"/>
                  </w:tcBorders>
                  <w:noWrap/>
                  <w:vAlign w:val="center"/>
                </w:tcPr>
                <w:p w14:paraId="224B898E">
                  <w:pPr>
                    <w:jc w:val="center"/>
                    <w:rPr>
                      <w:color w:val="000000"/>
                      <w:sz w:val="18"/>
                      <w:szCs w:val="18"/>
                    </w:rPr>
                  </w:pPr>
                </w:p>
              </w:tc>
              <w:tc>
                <w:tcPr>
                  <w:tcW w:w="909" w:type="pct"/>
                  <w:tcBorders>
                    <w:tl2br w:val="nil"/>
                    <w:tr2bl w:val="nil"/>
                  </w:tcBorders>
                  <w:noWrap/>
                  <w:vAlign w:val="center"/>
                </w:tcPr>
                <w:p w14:paraId="1C1639FF">
                  <w:pPr>
                    <w:widowControl/>
                    <w:jc w:val="center"/>
                    <w:textAlignment w:val="center"/>
                    <w:rPr>
                      <w:color w:val="000000"/>
                      <w:sz w:val="18"/>
                      <w:szCs w:val="18"/>
                    </w:rPr>
                  </w:pPr>
                  <w:r>
                    <w:rPr>
                      <w:rFonts w:hint="eastAsia"/>
                      <w:color w:val="000000"/>
                      <w:kern w:val="0"/>
                      <w:sz w:val="18"/>
                      <w:szCs w:val="18"/>
                      <w:lang w:bidi="ar"/>
                    </w:rPr>
                    <w:t>化学品库</w:t>
                  </w:r>
                </w:p>
              </w:tc>
              <w:tc>
                <w:tcPr>
                  <w:tcW w:w="3460" w:type="pct"/>
                  <w:tcBorders>
                    <w:tl2br w:val="nil"/>
                    <w:tr2bl w:val="nil"/>
                  </w:tcBorders>
                  <w:noWrap/>
                  <w:vAlign w:val="center"/>
                </w:tcPr>
                <w:p w14:paraId="17CDB056">
                  <w:pPr>
                    <w:widowControl/>
                    <w:jc w:val="left"/>
                    <w:textAlignment w:val="center"/>
                    <w:rPr>
                      <w:color w:val="000000"/>
                      <w:sz w:val="18"/>
                      <w:szCs w:val="18"/>
                    </w:rPr>
                  </w:pPr>
                  <w:r>
                    <w:rPr>
                      <w:rFonts w:hint="eastAsia"/>
                      <w:color w:val="000000"/>
                      <w:kern w:val="0"/>
                      <w:sz w:val="18"/>
                      <w:szCs w:val="18"/>
                      <w:lang w:bidi="ar"/>
                    </w:rPr>
                    <w:t>建筑面积约12 m</w:t>
                  </w:r>
                  <w:r>
                    <w:rPr>
                      <w:color w:val="000000"/>
                      <w:kern w:val="0"/>
                      <w:sz w:val="18"/>
                      <w:szCs w:val="18"/>
                      <w:vertAlign w:val="superscript"/>
                      <w:lang w:bidi="ar"/>
                    </w:rPr>
                    <w:t>2</w:t>
                  </w:r>
                  <w:r>
                    <w:rPr>
                      <w:rFonts w:hint="eastAsia"/>
                      <w:color w:val="000000"/>
                      <w:kern w:val="0"/>
                      <w:sz w:val="18"/>
                      <w:szCs w:val="18"/>
                      <w:lang w:bidi="ar"/>
                    </w:rPr>
                    <w:t>，位于三楼，</w:t>
                  </w:r>
                  <w:r>
                    <w:rPr>
                      <w:rFonts w:hint="eastAsia"/>
                      <w:color w:val="000000"/>
                      <w:kern w:val="0"/>
                      <w:sz w:val="18"/>
                      <w:szCs w:val="18"/>
                      <w:lang w:val="en-US" w:eastAsia="zh-CN" w:bidi="ar"/>
                    </w:rPr>
                    <w:t>层高</w:t>
                  </w:r>
                  <w:r>
                    <w:rPr>
                      <w:rFonts w:hint="eastAsia"/>
                      <w:color w:val="000000"/>
                      <w:kern w:val="0"/>
                      <w:sz w:val="18"/>
                      <w:szCs w:val="18"/>
                      <w:lang w:bidi="ar"/>
                    </w:rPr>
                    <w:t>5 m，主要储存生产和检测所需化学品。</w:t>
                  </w:r>
                </w:p>
              </w:tc>
            </w:tr>
            <w:tr w14:paraId="2AA70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2AE935FA">
                  <w:pPr>
                    <w:widowControl/>
                    <w:jc w:val="center"/>
                    <w:textAlignment w:val="center"/>
                    <w:rPr>
                      <w:color w:val="000000"/>
                      <w:sz w:val="18"/>
                      <w:szCs w:val="18"/>
                    </w:rPr>
                  </w:pPr>
                  <w:r>
                    <w:rPr>
                      <w:color w:val="000000"/>
                      <w:kern w:val="0"/>
                      <w:sz w:val="18"/>
                      <w:szCs w:val="18"/>
                      <w:lang w:bidi="ar"/>
                    </w:rPr>
                    <w:t>9</w:t>
                  </w:r>
                </w:p>
              </w:tc>
              <w:tc>
                <w:tcPr>
                  <w:tcW w:w="299" w:type="pct"/>
                  <w:vMerge w:val="restart"/>
                  <w:tcBorders>
                    <w:tl2br w:val="nil"/>
                    <w:tr2bl w:val="nil"/>
                  </w:tcBorders>
                  <w:noWrap/>
                  <w:vAlign w:val="center"/>
                </w:tcPr>
                <w:p w14:paraId="663246AC">
                  <w:pPr>
                    <w:widowControl/>
                    <w:jc w:val="center"/>
                    <w:textAlignment w:val="center"/>
                    <w:rPr>
                      <w:color w:val="000000"/>
                      <w:sz w:val="18"/>
                      <w:szCs w:val="18"/>
                    </w:rPr>
                  </w:pPr>
                  <w:r>
                    <w:rPr>
                      <w:rFonts w:hint="eastAsia"/>
                      <w:color w:val="000000"/>
                      <w:kern w:val="0"/>
                      <w:sz w:val="18"/>
                      <w:szCs w:val="18"/>
                      <w:lang w:bidi="ar"/>
                    </w:rPr>
                    <w:t>公用工程</w:t>
                  </w:r>
                </w:p>
              </w:tc>
              <w:tc>
                <w:tcPr>
                  <w:tcW w:w="909" w:type="pct"/>
                  <w:tcBorders>
                    <w:tl2br w:val="nil"/>
                    <w:tr2bl w:val="nil"/>
                  </w:tcBorders>
                  <w:noWrap/>
                  <w:vAlign w:val="center"/>
                </w:tcPr>
                <w:p w14:paraId="343A2D81">
                  <w:pPr>
                    <w:widowControl/>
                    <w:jc w:val="center"/>
                    <w:textAlignment w:val="center"/>
                    <w:rPr>
                      <w:color w:val="000000"/>
                      <w:sz w:val="18"/>
                      <w:szCs w:val="18"/>
                    </w:rPr>
                  </w:pPr>
                  <w:r>
                    <w:rPr>
                      <w:rFonts w:hint="eastAsia"/>
                      <w:color w:val="000000"/>
                      <w:kern w:val="0"/>
                      <w:sz w:val="18"/>
                      <w:szCs w:val="18"/>
                      <w:lang w:bidi="ar"/>
                    </w:rPr>
                    <w:t>供水</w:t>
                  </w:r>
                </w:p>
              </w:tc>
              <w:tc>
                <w:tcPr>
                  <w:tcW w:w="3460" w:type="pct"/>
                  <w:tcBorders>
                    <w:tl2br w:val="nil"/>
                    <w:tr2bl w:val="nil"/>
                  </w:tcBorders>
                  <w:noWrap/>
                  <w:vAlign w:val="center"/>
                </w:tcPr>
                <w:p w14:paraId="1D2B42E2">
                  <w:pPr>
                    <w:widowControl/>
                    <w:jc w:val="left"/>
                    <w:textAlignment w:val="center"/>
                    <w:rPr>
                      <w:color w:val="000000"/>
                      <w:sz w:val="18"/>
                      <w:szCs w:val="18"/>
                    </w:rPr>
                  </w:pPr>
                  <w:r>
                    <w:rPr>
                      <w:rFonts w:hint="eastAsia"/>
                      <w:color w:val="000000"/>
                      <w:kern w:val="0"/>
                      <w:sz w:val="18"/>
                      <w:szCs w:val="18"/>
                      <w:lang w:bidi="ar"/>
                    </w:rPr>
                    <w:t>由市政供水管网提供，供生产生活使用。</w:t>
                  </w:r>
                </w:p>
              </w:tc>
            </w:tr>
            <w:tr w14:paraId="6B50A2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7A17D591">
                  <w:pPr>
                    <w:widowControl/>
                    <w:jc w:val="center"/>
                    <w:textAlignment w:val="center"/>
                    <w:rPr>
                      <w:color w:val="000000"/>
                      <w:sz w:val="18"/>
                      <w:szCs w:val="18"/>
                    </w:rPr>
                  </w:pPr>
                  <w:r>
                    <w:rPr>
                      <w:color w:val="000000"/>
                      <w:kern w:val="0"/>
                      <w:sz w:val="18"/>
                      <w:szCs w:val="18"/>
                      <w:lang w:bidi="ar"/>
                    </w:rPr>
                    <w:t>10</w:t>
                  </w:r>
                </w:p>
              </w:tc>
              <w:tc>
                <w:tcPr>
                  <w:tcW w:w="299" w:type="pct"/>
                  <w:vMerge w:val="continue"/>
                  <w:tcBorders>
                    <w:tl2br w:val="nil"/>
                    <w:tr2bl w:val="nil"/>
                  </w:tcBorders>
                  <w:noWrap/>
                  <w:vAlign w:val="center"/>
                </w:tcPr>
                <w:p w14:paraId="41214CCB">
                  <w:pPr>
                    <w:jc w:val="center"/>
                    <w:rPr>
                      <w:color w:val="000000"/>
                      <w:sz w:val="18"/>
                      <w:szCs w:val="18"/>
                    </w:rPr>
                  </w:pPr>
                </w:p>
              </w:tc>
              <w:tc>
                <w:tcPr>
                  <w:tcW w:w="909" w:type="pct"/>
                  <w:tcBorders>
                    <w:tl2br w:val="nil"/>
                    <w:tr2bl w:val="nil"/>
                  </w:tcBorders>
                  <w:noWrap/>
                  <w:vAlign w:val="center"/>
                </w:tcPr>
                <w:p w14:paraId="0E6CFAAD">
                  <w:pPr>
                    <w:widowControl/>
                    <w:jc w:val="center"/>
                    <w:textAlignment w:val="center"/>
                    <w:rPr>
                      <w:color w:val="000000"/>
                      <w:sz w:val="18"/>
                      <w:szCs w:val="18"/>
                    </w:rPr>
                  </w:pPr>
                  <w:r>
                    <w:rPr>
                      <w:rFonts w:hint="eastAsia"/>
                      <w:color w:val="000000"/>
                      <w:kern w:val="0"/>
                      <w:sz w:val="18"/>
                      <w:szCs w:val="18"/>
                      <w:lang w:bidi="ar"/>
                    </w:rPr>
                    <w:t>纯水制备系统</w:t>
                  </w:r>
                </w:p>
              </w:tc>
              <w:tc>
                <w:tcPr>
                  <w:tcW w:w="3460" w:type="pct"/>
                  <w:tcBorders>
                    <w:tl2br w:val="nil"/>
                    <w:tr2bl w:val="nil"/>
                  </w:tcBorders>
                  <w:noWrap/>
                  <w:vAlign w:val="center"/>
                </w:tcPr>
                <w:p w14:paraId="15413FD5">
                  <w:pPr>
                    <w:widowControl/>
                    <w:jc w:val="left"/>
                    <w:textAlignment w:val="center"/>
                    <w:rPr>
                      <w:color w:val="000000"/>
                      <w:sz w:val="18"/>
                      <w:szCs w:val="18"/>
                    </w:rPr>
                  </w:pPr>
                  <w:r>
                    <w:rPr>
                      <w:rFonts w:hint="eastAsia"/>
                      <w:color w:val="000000"/>
                      <w:kern w:val="0"/>
                      <w:sz w:val="18"/>
                      <w:szCs w:val="18"/>
                      <w:lang w:bidi="ar"/>
                    </w:rPr>
                    <w:t>项目设置两套</w:t>
                  </w:r>
                  <w:r>
                    <w:rPr>
                      <w:rFonts w:hint="eastAsia"/>
                      <w:color w:val="000000"/>
                      <w:kern w:val="0"/>
                      <w:sz w:val="18"/>
                      <w:szCs w:val="18"/>
                      <w:lang w:val="en-US" w:eastAsia="zh-CN" w:bidi="ar"/>
                    </w:rPr>
                    <w:t>RO</w:t>
                  </w:r>
                  <w:r>
                    <w:rPr>
                      <w:rFonts w:hint="eastAsia"/>
                      <w:color w:val="000000"/>
                      <w:kern w:val="0"/>
                      <w:sz w:val="18"/>
                      <w:szCs w:val="18"/>
                      <w:lang w:bidi="ar"/>
                    </w:rPr>
                    <w:t>纯水系统</w:t>
                  </w:r>
                  <w:r>
                    <w:rPr>
                      <w:rFonts w:hint="eastAsia"/>
                      <w:lang w:eastAsia="zh-CN"/>
                    </w:rPr>
                    <w:t>：</w:t>
                  </w:r>
                  <w:r>
                    <w:rPr>
                      <w:rFonts w:hint="eastAsia"/>
                      <w:color w:val="000000"/>
                      <w:kern w:val="0"/>
                      <w:sz w:val="18"/>
                      <w:szCs w:val="18"/>
                      <w:lang w:val="en-US" w:eastAsia="zh-CN" w:bidi="ar"/>
                    </w:rPr>
                    <w:t>实验室用</w:t>
                  </w:r>
                  <w:r>
                    <w:rPr>
                      <w:rFonts w:hint="eastAsia"/>
                      <w:color w:val="000000"/>
                      <w:kern w:val="0"/>
                      <w:sz w:val="18"/>
                      <w:szCs w:val="18"/>
                      <w:lang w:bidi="ar"/>
                    </w:rPr>
                    <w:t>产量0.05 t/h，运行100 h/a；</w:t>
                  </w:r>
                  <w:r>
                    <w:rPr>
                      <w:rFonts w:hint="eastAsia"/>
                      <w:color w:val="000000"/>
                      <w:kern w:val="0"/>
                      <w:sz w:val="18"/>
                      <w:szCs w:val="18"/>
                      <w:lang w:val="en-US" w:eastAsia="zh-CN" w:bidi="ar"/>
                    </w:rPr>
                    <w:t>车间用</w:t>
                  </w:r>
                  <w:r>
                    <w:rPr>
                      <w:rFonts w:hint="eastAsia"/>
                      <w:color w:val="000000"/>
                      <w:kern w:val="0"/>
                      <w:sz w:val="18"/>
                      <w:szCs w:val="18"/>
                      <w:lang w:bidi="ar"/>
                    </w:rPr>
                    <w:t>产量0.5 t/h，运行300 h/a。</w:t>
                  </w:r>
                </w:p>
              </w:tc>
            </w:tr>
            <w:tr w14:paraId="6FBEE0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3F9A9498">
                  <w:pPr>
                    <w:widowControl/>
                    <w:jc w:val="center"/>
                    <w:textAlignment w:val="center"/>
                    <w:rPr>
                      <w:color w:val="000000"/>
                      <w:kern w:val="0"/>
                      <w:sz w:val="18"/>
                      <w:szCs w:val="18"/>
                      <w:lang w:bidi="ar"/>
                    </w:rPr>
                  </w:pPr>
                  <w:r>
                    <w:rPr>
                      <w:rFonts w:hint="eastAsia"/>
                      <w:color w:val="000000"/>
                      <w:kern w:val="0"/>
                      <w:sz w:val="18"/>
                      <w:szCs w:val="18"/>
                      <w:lang w:bidi="ar"/>
                    </w:rPr>
                    <w:t>11</w:t>
                  </w:r>
                </w:p>
              </w:tc>
              <w:tc>
                <w:tcPr>
                  <w:tcW w:w="299" w:type="pct"/>
                  <w:vMerge w:val="continue"/>
                  <w:tcBorders>
                    <w:tl2br w:val="nil"/>
                    <w:tr2bl w:val="nil"/>
                  </w:tcBorders>
                  <w:noWrap/>
                  <w:vAlign w:val="center"/>
                </w:tcPr>
                <w:p w14:paraId="2619CB38">
                  <w:pPr>
                    <w:jc w:val="center"/>
                    <w:rPr>
                      <w:color w:val="000000"/>
                      <w:sz w:val="18"/>
                      <w:szCs w:val="18"/>
                    </w:rPr>
                  </w:pPr>
                </w:p>
              </w:tc>
              <w:tc>
                <w:tcPr>
                  <w:tcW w:w="909" w:type="pct"/>
                  <w:tcBorders>
                    <w:tl2br w:val="nil"/>
                    <w:tr2bl w:val="nil"/>
                  </w:tcBorders>
                  <w:noWrap/>
                  <w:vAlign w:val="center"/>
                </w:tcPr>
                <w:p w14:paraId="711FCD3F">
                  <w:pPr>
                    <w:widowControl/>
                    <w:jc w:val="center"/>
                    <w:textAlignment w:val="center"/>
                    <w:rPr>
                      <w:color w:val="000000"/>
                      <w:kern w:val="0"/>
                      <w:sz w:val="18"/>
                      <w:szCs w:val="18"/>
                      <w:lang w:bidi="ar"/>
                    </w:rPr>
                  </w:pPr>
                  <w:r>
                    <w:rPr>
                      <w:rFonts w:hint="eastAsia"/>
                      <w:color w:val="000000"/>
                      <w:kern w:val="0"/>
                      <w:sz w:val="18"/>
                      <w:szCs w:val="18"/>
                      <w:lang w:bidi="ar"/>
                    </w:rPr>
                    <w:t>循环冷却系统</w:t>
                  </w:r>
                </w:p>
              </w:tc>
              <w:tc>
                <w:tcPr>
                  <w:tcW w:w="3460" w:type="pct"/>
                  <w:tcBorders>
                    <w:tl2br w:val="nil"/>
                    <w:tr2bl w:val="nil"/>
                  </w:tcBorders>
                  <w:noWrap/>
                  <w:vAlign w:val="center"/>
                </w:tcPr>
                <w:p w14:paraId="48DE2C25">
                  <w:pPr>
                    <w:widowControl/>
                    <w:jc w:val="left"/>
                    <w:textAlignment w:val="center"/>
                    <w:rPr>
                      <w:color w:val="000000"/>
                      <w:kern w:val="0"/>
                      <w:sz w:val="18"/>
                      <w:szCs w:val="18"/>
                      <w:lang w:bidi="ar"/>
                    </w:rPr>
                  </w:pPr>
                  <w:r>
                    <w:rPr>
                      <w:rFonts w:hint="eastAsia"/>
                      <w:color w:val="000000"/>
                      <w:kern w:val="0"/>
                      <w:sz w:val="18"/>
                      <w:szCs w:val="18"/>
                      <w:lang w:bidi="ar"/>
                    </w:rPr>
                    <w:t>项目设置5台冷水机，总循环流量为4.6 m</w:t>
                  </w:r>
                  <w:r>
                    <w:rPr>
                      <w:rFonts w:hint="eastAsia"/>
                      <w:color w:val="000000"/>
                      <w:kern w:val="0"/>
                      <w:sz w:val="18"/>
                      <w:szCs w:val="18"/>
                      <w:vertAlign w:val="superscript"/>
                      <w:lang w:bidi="ar"/>
                    </w:rPr>
                    <w:t>3</w:t>
                  </w:r>
                  <w:r>
                    <w:rPr>
                      <w:rFonts w:hint="eastAsia"/>
                      <w:color w:val="000000"/>
                      <w:kern w:val="0"/>
                      <w:sz w:val="18"/>
                      <w:szCs w:val="18"/>
                      <w:lang w:bidi="ar"/>
                    </w:rPr>
                    <w:t>/h，运行2000 h/a。</w:t>
                  </w:r>
                </w:p>
              </w:tc>
            </w:tr>
            <w:tr w14:paraId="28D90A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5A9A95F5">
                  <w:pPr>
                    <w:widowControl/>
                    <w:jc w:val="center"/>
                    <w:textAlignment w:val="center"/>
                    <w:rPr>
                      <w:color w:val="000000"/>
                      <w:sz w:val="18"/>
                      <w:szCs w:val="18"/>
                    </w:rPr>
                  </w:pPr>
                  <w:r>
                    <w:rPr>
                      <w:color w:val="000000"/>
                      <w:kern w:val="0"/>
                      <w:sz w:val="18"/>
                      <w:szCs w:val="18"/>
                      <w:lang w:bidi="ar"/>
                    </w:rPr>
                    <w:t>1</w:t>
                  </w:r>
                  <w:r>
                    <w:rPr>
                      <w:rFonts w:hint="eastAsia"/>
                      <w:color w:val="000000"/>
                      <w:kern w:val="0"/>
                      <w:sz w:val="18"/>
                      <w:szCs w:val="18"/>
                      <w:lang w:bidi="ar"/>
                    </w:rPr>
                    <w:t>2</w:t>
                  </w:r>
                </w:p>
              </w:tc>
              <w:tc>
                <w:tcPr>
                  <w:tcW w:w="299" w:type="pct"/>
                  <w:vMerge w:val="continue"/>
                  <w:tcBorders>
                    <w:tl2br w:val="nil"/>
                    <w:tr2bl w:val="nil"/>
                  </w:tcBorders>
                  <w:noWrap/>
                  <w:vAlign w:val="center"/>
                </w:tcPr>
                <w:p w14:paraId="448B2D69">
                  <w:pPr>
                    <w:jc w:val="center"/>
                    <w:rPr>
                      <w:color w:val="000000"/>
                      <w:sz w:val="18"/>
                      <w:szCs w:val="18"/>
                    </w:rPr>
                  </w:pPr>
                </w:p>
              </w:tc>
              <w:tc>
                <w:tcPr>
                  <w:tcW w:w="909" w:type="pct"/>
                  <w:tcBorders>
                    <w:tl2br w:val="nil"/>
                    <w:tr2bl w:val="nil"/>
                  </w:tcBorders>
                  <w:noWrap/>
                  <w:vAlign w:val="center"/>
                </w:tcPr>
                <w:p w14:paraId="1FAB3D79">
                  <w:pPr>
                    <w:widowControl/>
                    <w:jc w:val="center"/>
                    <w:textAlignment w:val="center"/>
                    <w:rPr>
                      <w:color w:val="000000"/>
                      <w:sz w:val="18"/>
                      <w:szCs w:val="18"/>
                    </w:rPr>
                  </w:pPr>
                  <w:r>
                    <w:rPr>
                      <w:rFonts w:hint="eastAsia"/>
                      <w:color w:val="000000"/>
                      <w:kern w:val="0"/>
                      <w:sz w:val="18"/>
                      <w:szCs w:val="18"/>
                      <w:lang w:bidi="ar"/>
                    </w:rPr>
                    <w:t>排水</w:t>
                  </w:r>
                </w:p>
              </w:tc>
              <w:tc>
                <w:tcPr>
                  <w:tcW w:w="3460" w:type="pct"/>
                  <w:tcBorders>
                    <w:tl2br w:val="nil"/>
                    <w:tr2bl w:val="nil"/>
                  </w:tcBorders>
                  <w:noWrap/>
                  <w:vAlign w:val="center"/>
                </w:tcPr>
                <w:p w14:paraId="101B0408">
                  <w:pPr>
                    <w:widowControl/>
                    <w:jc w:val="left"/>
                    <w:textAlignment w:val="center"/>
                    <w:rPr>
                      <w:color w:val="000000"/>
                      <w:sz w:val="18"/>
                      <w:szCs w:val="18"/>
                    </w:rPr>
                  </w:pPr>
                  <w:r>
                    <w:rPr>
                      <w:rFonts w:hint="eastAsia"/>
                      <w:color w:val="000000"/>
                      <w:kern w:val="0"/>
                      <w:sz w:val="18"/>
                      <w:szCs w:val="18"/>
                      <w:lang w:bidi="ar"/>
                    </w:rPr>
                    <w:t>雨污分流，生活污水经化粪池预处理后通过市政污水管网排放至余杭污水处理厂。</w:t>
                  </w:r>
                </w:p>
              </w:tc>
            </w:tr>
            <w:tr w14:paraId="41B666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5810CB37">
                  <w:pPr>
                    <w:widowControl/>
                    <w:jc w:val="center"/>
                    <w:textAlignment w:val="center"/>
                    <w:rPr>
                      <w:color w:val="000000"/>
                      <w:sz w:val="18"/>
                      <w:szCs w:val="18"/>
                    </w:rPr>
                  </w:pPr>
                  <w:r>
                    <w:rPr>
                      <w:rFonts w:hint="eastAsia"/>
                      <w:color w:val="000000"/>
                      <w:kern w:val="0"/>
                      <w:sz w:val="18"/>
                      <w:szCs w:val="18"/>
                      <w:lang w:bidi="ar"/>
                    </w:rPr>
                    <w:t>13</w:t>
                  </w:r>
                </w:p>
              </w:tc>
              <w:tc>
                <w:tcPr>
                  <w:tcW w:w="299" w:type="pct"/>
                  <w:vMerge w:val="continue"/>
                  <w:tcBorders>
                    <w:tl2br w:val="nil"/>
                    <w:tr2bl w:val="nil"/>
                  </w:tcBorders>
                  <w:noWrap/>
                  <w:vAlign w:val="center"/>
                </w:tcPr>
                <w:p w14:paraId="392AF6E7">
                  <w:pPr>
                    <w:jc w:val="center"/>
                    <w:rPr>
                      <w:color w:val="000000"/>
                      <w:sz w:val="18"/>
                      <w:szCs w:val="18"/>
                    </w:rPr>
                  </w:pPr>
                </w:p>
              </w:tc>
              <w:tc>
                <w:tcPr>
                  <w:tcW w:w="909" w:type="pct"/>
                  <w:tcBorders>
                    <w:tl2br w:val="nil"/>
                    <w:tr2bl w:val="nil"/>
                  </w:tcBorders>
                  <w:noWrap/>
                  <w:vAlign w:val="center"/>
                </w:tcPr>
                <w:p w14:paraId="42DA69D8">
                  <w:pPr>
                    <w:widowControl/>
                    <w:jc w:val="center"/>
                    <w:textAlignment w:val="center"/>
                    <w:rPr>
                      <w:color w:val="000000"/>
                      <w:sz w:val="18"/>
                      <w:szCs w:val="18"/>
                    </w:rPr>
                  </w:pPr>
                  <w:r>
                    <w:rPr>
                      <w:rFonts w:hint="eastAsia"/>
                      <w:color w:val="000000"/>
                      <w:kern w:val="0"/>
                      <w:sz w:val="18"/>
                      <w:szCs w:val="18"/>
                      <w:lang w:bidi="ar"/>
                    </w:rPr>
                    <w:t>供电</w:t>
                  </w:r>
                </w:p>
              </w:tc>
              <w:tc>
                <w:tcPr>
                  <w:tcW w:w="3460" w:type="pct"/>
                  <w:tcBorders>
                    <w:tl2br w:val="nil"/>
                    <w:tr2bl w:val="nil"/>
                  </w:tcBorders>
                  <w:noWrap/>
                  <w:vAlign w:val="center"/>
                </w:tcPr>
                <w:p w14:paraId="30EA9288">
                  <w:pPr>
                    <w:widowControl/>
                    <w:jc w:val="left"/>
                    <w:textAlignment w:val="center"/>
                    <w:rPr>
                      <w:color w:val="000000"/>
                      <w:sz w:val="18"/>
                      <w:szCs w:val="18"/>
                    </w:rPr>
                  </w:pPr>
                  <w:r>
                    <w:rPr>
                      <w:rFonts w:hint="eastAsia"/>
                      <w:color w:val="000000"/>
                      <w:kern w:val="0"/>
                      <w:sz w:val="18"/>
                      <w:szCs w:val="18"/>
                      <w:lang w:bidi="ar"/>
                    </w:rPr>
                    <w:t>由园区电网供给。</w:t>
                  </w:r>
                </w:p>
              </w:tc>
            </w:tr>
            <w:tr w14:paraId="05BD98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559EE44D">
                  <w:pPr>
                    <w:widowControl/>
                    <w:jc w:val="center"/>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14</w:t>
                  </w:r>
                </w:p>
              </w:tc>
              <w:tc>
                <w:tcPr>
                  <w:tcW w:w="299" w:type="pct"/>
                  <w:vMerge w:val="continue"/>
                  <w:tcBorders>
                    <w:tl2br w:val="nil"/>
                    <w:tr2bl w:val="nil"/>
                  </w:tcBorders>
                  <w:noWrap/>
                  <w:vAlign w:val="center"/>
                </w:tcPr>
                <w:p w14:paraId="6131FC83">
                  <w:pPr>
                    <w:jc w:val="center"/>
                    <w:rPr>
                      <w:color w:val="000000"/>
                      <w:sz w:val="18"/>
                      <w:szCs w:val="18"/>
                    </w:rPr>
                  </w:pPr>
                </w:p>
              </w:tc>
              <w:tc>
                <w:tcPr>
                  <w:tcW w:w="909" w:type="pct"/>
                  <w:tcBorders>
                    <w:tl2br w:val="nil"/>
                    <w:tr2bl w:val="nil"/>
                  </w:tcBorders>
                  <w:noWrap/>
                  <w:vAlign w:val="center"/>
                </w:tcPr>
                <w:p w14:paraId="0EB2EE48">
                  <w:pPr>
                    <w:widowControl/>
                    <w:jc w:val="center"/>
                    <w:textAlignment w:val="center"/>
                    <w:rPr>
                      <w:rFonts w:hint="eastAsia" w:eastAsia="宋体"/>
                      <w:color w:val="000000"/>
                      <w:kern w:val="0"/>
                      <w:sz w:val="18"/>
                      <w:szCs w:val="18"/>
                      <w:lang w:val="en-US" w:eastAsia="zh-CN" w:bidi="ar"/>
                    </w:rPr>
                  </w:pPr>
                  <w:r>
                    <w:rPr>
                      <w:rFonts w:hint="eastAsia"/>
                      <w:color w:val="000000"/>
                      <w:kern w:val="0"/>
                      <w:sz w:val="18"/>
                      <w:szCs w:val="18"/>
                      <w:lang w:val="en-US" w:eastAsia="zh-CN" w:bidi="ar"/>
                    </w:rPr>
                    <w:t>供热</w:t>
                  </w:r>
                </w:p>
              </w:tc>
              <w:tc>
                <w:tcPr>
                  <w:tcW w:w="3460" w:type="pct"/>
                  <w:tcBorders>
                    <w:tl2br w:val="nil"/>
                    <w:tr2bl w:val="nil"/>
                  </w:tcBorders>
                  <w:noWrap/>
                  <w:vAlign w:val="center"/>
                </w:tcPr>
                <w:p w14:paraId="2894E4D0">
                  <w:pPr>
                    <w:widowControl/>
                    <w:jc w:val="left"/>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由空调统一供热。</w:t>
                  </w:r>
                </w:p>
              </w:tc>
            </w:tr>
            <w:tr w14:paraId="31F42D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0A5D8FE4">
                  <w:pPr>
                    <w:widowControl/>
                    <w:jc w:val="center"/>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15</w:t>
                  </w:r>
                </w:p>
              </w:tc>
              <w:tc>
                <w:tcPr>
                  <w:tcW w:w="299" w:type="pct"/>
                  <w:vMerge w:val="continue"/>
                  <w:tcBorders>
                    <w:tl2br w:val="nil"/>
                    <w:tr2bl w:val="nil"/>
                  </w:tcBorders>
                  <w:noWrap/>
                  <w:vAlign w:val="center"/>
                </w:tcPr>
                <w:p w14:paraId="203EF9BF">
                  <w:pPr>
                    <w:jc w:val="center"/>
                    <w:rPr>
                      <w:color w:val="000000"/>
                      <w:sz w:val="18"/>
                      <w:szCs w:val="18"/>
                    </w:rPr>
                  </w:pPr>
                </w:p>
              </w:tc>
              <w:tc>
                <w:tcPr>
                  <w:tcW w:w="909" w:type="pct"/>
                  <w:tcBorders>
                    <w:tl2br w:val="nil"/>
                    <w:tr2bl w:val="nil"/>
                  </w:tcBorders>
                  <w:noWrap/>
                  <w:vAlign w:val="center"/>
                </w:tcPr>
                <w:p w14:paraId="54FC0687">
                  <w:pPr>
                    <w:widowControl/>
                    <w:jc w:val="center"/>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通风系统</w:t>
                  </w:r>
                </w:p>
              </w:tc>
              <w:tc>
                <w:tcPr>
                  <w:tcW w:w="3460" w:type="pct"/>
                  <w:tcBorders>
                    <w:tl2br w:val="nil"/>
                    <w:tr2bl w:val="nil"/>
                  </w:tcBorders>
                  <w:noWrap/>
                  <w:vAlign w:val="center"/>
                </w:tcPr>
                <w:p w14:paraId="49B09D50">
                  <w:pPr>
                    <w:widowControl/>
                    <w:jc w:val="left"/>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本项目设置洁净车间，外界空气经过滤后由高效送风口送入，新风比例约占15%，车间循环空气被抽往楼顶通风井排放。</w:t>
                  </w:r>
                </w:p>
              </w:tc>
            </w:tr>
            <w:tr w14:paraId="6D16CD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694AF8CB">
                  <w:pPr>
                    <w:widowControl/>
                    <w:jc w:val="center"/>
                    <w:textAlignment w:val="center"/>
                    <w:rPr>
                      <w:rFonts w:hint="default"/>
                      <w:color w:val="000000"/>
                      <w:kern w:val="0"/>
                      <w:sz w:val="18"/>
                      <w:szCs w:val="18"/>
                      <w:lang w:val="en-US" w:eastAsia="zh-CN" w:bidi="ar"/>
                    </w:rPr>
                  </w:pPr>
                  <w:r>
                    <w:rPr>
                      <w:rFonts w:hint="eastAsia"/>
                      <w:color w:val="000000"/>
                      <w:kern w:val="0"/>
                      <w:sz w:val="18"/>
                      <w:szCs w:val="18"/>
                      <w:lang w:val="en-US" w:eastAsia="zh-CN" w:bidi="ar"/>
                    </w:rPr>
                    <w:t>16</w:t>
                  </w:r>
                </w:p>
              </w:tc>
              <w:tc>
                <w:tcPr>
                  <w:tcW w:w="299" w:type="pct"/>
                  <w:vMerge w:val="continue"/>
                  <w:tcBorders>
                    <w:tl2br w:val="nil"/>
                    <w:tr2bl w:val="nil"/>
                  </w:tcBorders>
                  <w:noWrap/>
                  <w:vAlign w:val="center"/>
                </w:tcPr>
                <w:p w14:paraId="50E36100">
                  <w:pPr>
                    <w:jc w:val="center"/>
                    <w:rPr>
                      <w:color w:val="000000"/>
                      <w:sz w:val="18"/>
                      <w:szCs w:val="18"/>
                    </w:rPr>
                  </w:pPr>
                </w:p>
              </w:tc>
              <w:tc>
                <w:tcPr>
                  <w:tcW w:w="909" w:type="pct"/>
                  <w:tcBorders>
                    <w:tl2br w:val="nil"/>
                    <w:tr2bl w:val="nil"/>
                  </w:tcBorders>
                  <w:noWrap/>
                  <w:vAlign w:val="center"/>
                </w:tcPr>
                <w:p w14:paraId="6EC3865E">
                  <w:pPr>
                    <w:widowControl/>
                    <w:jc w:val="center"/>
                    <w:textAlignment w:val="center"/>
                    <w:rPr>
                      <w:rFonts w:hint="default"/>
                      <w:color w:val="000000"/>
                      <w:kern w:val="0"/>
                      <w:sz w:val="18"/>
                      <w:szCs w:val="18"/>
                      <w:lang w:val="en-US" w:eastAsia="zh-CN" w:bidi="ar"/>
                    </w:rPr>
                  </w:pPr>
                  <w:r>
                    <w:rPr>
                      <w:rFonts w:hint="eastAsia"/>
                      <w:color w:val="000000"/>
                      <w:kern w:val="0"/>
                      <w:sz w:val="18"/>
                      <w:szCs w:val="18"/>
                      <w:lang w:val="en-US" w:eastAsia="zh-CN" w:bidi="ar"/>
                    </w:rPr>
                    <w:t>压缩空气系统</w:t>
                  </w:r>
                </w:p>
              </w:tc>
              <w:tc>
                <w:tcPr>
                  <w:tcW w:w="3460" w:type="pct"/>
                  <w:tcBorders>
                    <w:tl2br w:val="nil"/>
                    <w:tr2bl w:val="nil"/>
                  </w:tcBorders>
                  <w:noWrap/>
                  <w:vAlign w:val="center"/>
                </w:tcPr>
                <w:p w14:paraId="0F7F8A25">
                  <w:pPr>
                    <w:widowControl/>
                    <w:jc w:val="left"/>
                    <w:textAlignment w:val="center"/>
                    <w:rPr>
                      <w:rFonts w:hint="default"/>
                      <w:color w:val="000000"/>
                      <w:kern w:val="0"/>
                      <w:sz w:val="18"/>
                      <w:szCs w:val="18"/>
                      <w:lang w:val="en-US" w:eastAsia="zh-CN" w:bidi="ar"/>
                    </w:rPr>
                  </w:pPr>
                  <w:r>
                    <w:rPr>
                      <w:rFonts w:hint="eastAsia"/>
                      <w:color w:val="000000"/>
                      <w:kern w:val="0"/>
                      <w:sz w:val="18"/>
                      <w:szCs w:val="18"/>
                      <w:lang w:val="en-US" w:eastAsia="zh-CN" w:bidi="ar"/>
                    </w:rPr>
                    <w:t>设置一台DH07VSD-8A 无油水润滑变频螺杆空压机，功率为8 kW。</w:t>
                  </w:r>
                </w:p>
              </w:tc>
            </w:tr>
            <w:tr w14:paraId="278F48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358680A6">
                  <w:pPr>
                    <w:widowControl/>
                    <w:jc w:val="center"/>
                    <w:textAlignment w:val="center"/>
                    <w:rPr>
                      <w:color w:val="000000"/>
                      <w:sz w:val="18"/>
                      <w:szCs w:val="18"/>
                    </w:rPr>
                  </w:pPr>
                  <w:r>
                    <w:rPr>
                      <w:rFonts w:hint="eastAsia"/>
                      <w:color w:val="000000"/>
                      <w:kern w:val="0"/>
                      <w:sz w:val="18"/>
                      <w:szCs w:val="18"/>
                      <w:lang w:val="en-US" w:eastAsia="zh-CN" w:bidi="ar"/>
                    </w:rPr>
                    <w:t>17</w:t>
                  </w:r>
                </w:p>
              </w:tc>
              <w:tc>
                <w:tcPr>
                  <w:tcW w:w="299" w:type="pct"/>
                  <w:vMerge w:val="restart"/>
                  <w:tcBorders>
                    <w:tl2br w:val="nil"/>
                    <w:tr2bl w:val="nil"/>
                  </w:tcBorders>
                  <w:noWrap/>
                  <w:vAlign w:val="center"/>
                </w:tcPr>
                <w:p w14:paraId="1F001F5E">
                  <w:pPr>
                    <w:widowControl/>
                    <w:jc w:val="center"/>
                    <w:textAlignment w:val="center"/>
                    <w:rPr>
                      <w:color w:val="000000"/>
                      <w:sz w:val="18"/>
                      <w:szCs w:val="18"/>
                    </w:rPr>
                  </w:pPr>
                  <w:r>
                    <w:rPr>
                      <w:rFonts w:hint="eastAsia"/>
                      <w:color w:val="000000"/>
                      <w:kern w:val="0"/>
                      <w:sz w:val="18"/>
                      <w:szCs w:val="18"/>
                      <w:lang w:bidi="ar"/>
                    </w:rPr>
                    <w:t>环保工程</w:t>
                  </w:r>
                </w:p>
              </w:tc>
              <w:tc>
                <w:tcPr>
                  <w:tcW w:w="909" w:type="pct"/>
                  <w:vMerge w:val="restart"/>
                  <w:tcBorders>
                    <w:tl2br w:val="nil"/>
                    <w:tr2bl w:val="nil"/>
                  </w:tcBorders>
                  <w:noWrap/>
                  <w:vAlign w:val="center"/>
                </w:tcPr>
                <w:p w14:paraId="68B26F34">
                  <w:pPr>
                    <w:widowControl/>
                    <w:jc w:val="center"/>
                    <w:textAlignment w:val="center"/>
                    <w:rPr>
                      <w:color w:val="000000"/>
                      <w:sz w:val="18"/>
                      <w:szCs w:val="18"/>
                    </w:rPr>
                  </w:pPr>
                  <w:r>
                    <w:rPr>
                      <w:rFonts w:hint="eastAsia"/>
                      <w:color w:val="000000"/>
                      <w:kern w:val="0"/>
                      <w:sz w:val="18"/>
                      <w:szCs w:val="18"/>
                      <w:lang w:bidi="ar"/>
                    </w:rPr>
                    <w:t>废气</w:t>
                  </w:r>
                </w:p>
              </w:tc>
              <w:tc>
                <w:tcPr>
                  <w:tcW w:w="3460" w:type="pct"/>
                  <w:tcBorders>
                    <w:tl2br w:val="nil"/>
                    <w:tr2bl w:val="nil"/>
                  </w:tcBorders>
                  <w:noWrap/>
                  <w:vAlign w:val="center"/>
                </w:tcPr>
                <w:p w14:paraId="3D17EC34">
                  <w:pPr>
                    <w:widowControl/>
                    <w:jc w:val="left"/>
                    <w:textAlignment w:val="center"/>
                    <w:rPr>
                      <w:rFonts w:hint="default" w:eastAsia="宋体"/>
                      <w:color w:val="000000"/>
                      <w:sz w:val="18"/>
                      <w:szCs w:val="18"/>
                      <w:lang w:val="en-US" w:eastAsia="zh-CN"/>
                    </w:rPr>
                  </w:pPr>
                  <w:r>
                    <w:rPr>
                      <w:rFonts w:hint="eastAsia"/>
                      <w:color w:val="000000"/>
                      <w:kern w:val="0"/>
                      <w:sz w:val="18"/>
                      <w:szCs w:val="18"/>
                      <w:lang w:val="en-US" w:eastAsia="zh-CN" w:bidi="ar"/>
                    </w:rPr>
                    <w:t>亲水涂层、药物涂层</w:t>
                  </w:r>
                  <w:r>
                    <w:rPr>
                      <w:rFonts w:hint="eastAsia"/>
                      <w:color w:val="000000"/>
                      <w:kern w:val="0"/>
                      <w:sz w:val="18"/>
                      <w:szCs w:val="18"/>
                      <w:lang w:bidi="ar"/>
                    </w:rPr>
                    <w:t>生产车间废气</w:t>
                  </w:r>
                  <w:r>
                    <w:rPr>
                      <w:rFonts w:hint="eastAsia"/>
                      <w:color w:val="000000"/>
                      <w:kern w:val="0"/>
                      <w:sz w:val="18"/>
                      <w:szCs w:val="18"/>
                      <w:lang w:val="en-US" w:eastAsia="zh-CN" w:bidi="ar"/>
                    </w:rPr>
                    <w:t>在</w:t>
                  </w:r>
                  <w:r>
                    <w:rPr>
                      <w:rFonts w:hint="eastAsia"/>
                      <w:color w:val="000000"/>
                      <w:kern w:val="0"/>
                      <w:sz w:val="18"/>
                      <w:szCs w:val="18"/>
                      <w:lang w:bidi="ar"/>
                    </w:rPr>
                    <w:t>封闭</w:t>
                  </w:r>
                  <w:r>
                    <w:rPr>
                      <w:rFonts w:hint="eastAsia"/>
                      <w:color w:val="000000"/>
                      <w:kern w:val="0"/>
                      <w:sz w:val="18"/>
                      <w:szCs w:val="18"/>
                      <w:lang w:val="en-US" w:eastAsia="zh-CN" w:bidi="ar"/>
                    </w:rPr>
                    <w:t>洁净车间</w:t>
                  </w:r>
                  <w:r>
                    <w:rPr>
                      <w:rFonts w:hint="eastAsia"/>
                      <w:color w:val="000000"/>
                      <w:kern w:val="0"/>
                      <w:sz w:val="18"/>
                      <w:szCs w:val="18"/>
                      <w:lang w:bidi="ar"/>
                    </w:rPr>
                    <w:t>收集，</w:t>
                  </w:r>
                  <w:r>
                    <w:rPr>
                      <w:rFonts w:hint="eastAsia"/>
                      <w:color w:val="000000"/>
                      <w:kern w:val="0"/>
                      <w:sz w:val="18"/>
                      <w:szCs w:val="18"/>
                      <w:lang w:val="en-US" w:eastAsia="zh-CN" w:bidi="ar"/>
                    </w:rPr>
                    <w:t>经过1套一级活性炭吸附后，通过15 m高排气筒排放。</w:t>
                  </w:r>
                </w:p>
              </w:tc>
            </w:tr>
            <w:tr w14:paraId="469A1C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30" w:type="pct"/>
                  <w:tcBorders>
                    <w:tl2br w:val="nil"/>
                    <w:tr2bl w:val="nil"/>
                  </w:tcBorders>
                  <w:noWrap/>
                  <w:vAlign w:val="center"/>
                </w:tcPr>
                <w:p w14:paraId="388D4EF7">
                  <w:pPr>
                    <w:widowControl/>
                    <w:jc w:val="center"/>
                    <w:textAlignment w:val="center"/>
                    <w:rPr>
                      <w:color w:val="000000"/>
                      <w:sz w:val="18"/>
                      <w:szCs w:val="18"/>
                    </w:rPr>
                  </w:pPr>
                  <w:r>
                    <w:rPr>
                      <w:color w:val="000000"/>
                      <w:kern w:val="0"/>
                      <w:sz w:val="18"/>
                      <w:szCs w:val="18"/>
                      <w:lang w:bidi="ar"/>
                    </w:rPr>
                    <w:t>1</w:t>
                  </w:r>
                  <w:r>
                    <w:rPr>
                      <w:rFonts w:hint="eastAsia"/>
                      <w:color w:val="000000"/>
                      <w:kern w:val="0"/>
                      <w:sz w:val="18"/>
                      <w:szCs w:val="18"/>
                      <w:lang w:val="en-US" w:eastAsia="zh-CN" w:bidi="ar"/>
                    </w:rPr>
                    <w:t>8</w:t>
                  </w:r>
                </w:p>
              </w:tc>
              <w:tc>
                <w:tcPr>
                  <w:tcW w:w="299" w:type="pct"/>
                  <w:vMerge w:val="continue"/>
                  <w:tcBorders>
                    <w:tl2br w:val="nil"/>
                    <w:tr2bl w:val="nil"/>
                  </w:tcBorders>
                  <w:noWrap/>
                  <w:vAlign w:val="center"/>
                </w:tcPr>
                <w:p w14:paraId="1B9441D6">
                  <w:pPr>
                    <w:jc w:val="center"/>
                    <w:rPr>
                      <w:color w:val="000000"/>
                      <w:sz w:val="18"/>
                      <w:szCs w:val="18"/>
                    </w:rPr>
                  </w:pPr>
                </w:p>
              </w:tc>
              <w:tc>
                <w:tcPr>
                  <w:tcW w:w="909" w:type="pct"/>
                  <w:vMerge w:val="continue"/>
                  <w:tcBorders>
                    <w:tl2br w:val="nil"/>
                    <w:tr2bl w:val="nil"/>
                  </w:tcBorders>
                  <w:noWrap/>
                  <w:vAlign w:val="center"/>
                </w:tcPr>
                <w:p w14:paraId="6B9C4567">
                  <w:pPr>
                    <w:jc w:val="center"/>
                    <w:rPr>
                      <w:color w:val="000000"/>
                      <w:sz w:val="18"/>
                      <w:szCs w:val="18"/>
                    </w:rPr>
                  </w:pPr>
                </w:p>
              </w:tc>
              <w:tc>
                <w:tcPr>
                  <w:tcW w:w="3460" w:type="pct"/>
                  <w:tcBorders>
                    <w:tl2br w:val="nil"/>
                    <w:tr2bl w:val="nil"/>
                  </w:tcBorders>
                  <w:noWrap/>
                  <w:vAlign w:val="center"/>
                </w:tcPr>
                <w:p w14:paraId="3686E394">
                  <w:pPr>
                    <w:widowControl/>
                    <w:jc w:val="left"/>
                    <w:textAlignment w:val="center"/>
                    <w:rPr>
                      <w:rFonts w:hint="default" w:eastAsia="宋体"/>
                      <w:color w:val="000000"/>
                      <w:sz w:val="18"/>
                      <w:szCs w:val="18"/>
                      <w:lang w:val="en-US" w:eastAsia="zh-CN"/>
                    </w:rPr>
                  </w:pPr>
                  <w:r>
                    <w:rPr>
                      <w:rFonts w:hint="eastAsia"/>
                      <w:color w:val="000000"/>
                      <w:kern w:val="0"/>
                      <w:sz w:val="18"/>
                      <w:szCs w:val="18"/>
                      <w:lang w:val="en-US" w:eastAsia="zh-CN" w:bidi="ar"/>
                    </w:rPr>
                    <w:t>两个</w:t>
                  </w:r>
                  <w:r>
                    <w:rPr>
                      <w:rFonts w:hint="eastAsia"/>
                      <w:color w:val="000000"/>
                      <w:kern w:val="0"/>
                      <w:sz w:val="18"/>
                      <w:szCs w:val="18"/>
                      <w:lang w:bidi="ar"/>
                    </w:rPr>
                    <w:t>实验室废气</w:t>
                  </w:r>
                  <w:r>
                    <w:rPr>
                      <w:rFonts w:hint="eastAsia"/>
                      <w:color w:val="000000"/>
                      <w:kern w:val="0"/>
                      <w:sz w:val="18"/>
                      <w:szCs w:val="18"/>
                      <w:lang w:eastAsia="zh-CN" w:bidi="ar"/>
                    </w:rPr>
                    <w:t>，</w:t>
                  </w:r>
                  <w:r>
                    <w:rPr>
                      <w:rFonts w:hint="eastAsia"/>
                      <w:color w:val="000000"/>
                      <w:kern w:val="0"/>
                      <w:sz w:val="18"/>
                      <w:szCs w:val="18"/>
                      <w:lang w:val="en-US" w:eastAsia="zh-CN" w:bidi="ar"/>
                    </w:rPr>
                    <w:t>分别通过</w:t>
                  </w:r>
                  <w:r>
                    <w:rPr>
                      <w:rFonts w:hint="eastAsia"/>
                      <w:color w:val="000000"/>
                      <w:kern w:val="0"/>
                      <w:sz w:val="18"/>
                      <w:szCs w:val="18"/>
                      <w:lang w:bidi="ar"/>
                    </w:rPr>
                    <w:t>通风橱</w:t>
                  </w:r>
                  <w:r>
                    <w:rPr>
                      <w:rFonts w:hint="eastAsia"/>
                      <w:color w:val="000000"/>
                      <w:kern w:val="0"/>
                      <w:sz w:val="18"/>
                      <w:szCs w:val="18"/>
                      <w:lang w:eastAsia="zh-CN" w:bidi="ar"/>
                    </w:rPr>
                    <w:t>、</w:t>
                  </w:r>
                  <w:r>
                    <w:rPr>
                      <w:rFonts w:hint="eastAsia"/>
                      <w:color w:val="000000"/>
                      <w:kern w:val="0"/>
                      <w:sz w:val="18"/>
                      <w:szCs w:val="18"/>
                      <w:lang w:val="en-US" w:eastAsia="zh-CN" w:bidi="ar"/>
                    </w:rPr>
                    <w:t>密闭车间整体</w:t>
                  </w:r>
                  <w:r>
                    <w:rPr>
                      <w:rFonts w:hint="eastAsia"/>
                      <w:color w:val="000000"/>
                      <w:kern w:val="0"/>
                      <w:sz w:val="18"/>
                      <w:szCs w:val="18"/>
                      <w:lang w:bidi="ar"/>
                    </w:rPr>
                    <w:t>收集</w:t>
                  </w:r>
                  <w:r>
                    <w:rPr>
                      <w:rFonts w:hint="eastAsia"/>
                      <w:color w:val="000000"/>
                      <w:kern w:val="0"/>
                      <w:sz w:val="18"/>
                      <w:szCs w:val="18"/>
                      <w:lang w:val="en-US" w:eastAsia="zh-CN" w:bidi="ar"/>
                    </w:rPr>
                    <w:t>后，再分别经过1套一级活性炭吸附后，分别通过15 m高排气筒排放</w:t>
                  </w:r>
                  <w:r>
                    <w:rPr>
                      <w:rFonts w:hint="eastAsia"/>
                      <w:color w:val="000000"/>
                      <w:kern w:val="0"/>
                      <w:sz w:val="18"/>
                      <w:szCs w:val="18"/>
                      <w:lang w:eastAsia="zh-CN" w:bidi="ar"/>
                    </w:rPr>
                    <w:t>；</w:t>
                  </w:r>
                  <w:r>
                    <w:rPr>
                      <w:rFonts w:hint="eastAsia"/>
                      <w:color w:val="000000"/>
                      <w:kern w:val="0"/>
                      <w:sz w:val="18"/>
                      <w:szCs w:val="18"/>
                      <w:lang w:val="en-US" w:eastAsia="zh-CN" w:bidi="ar"/>
                    </w:rPr>
                    <w:t>微生物气溶胶经过生物安全柜收集，经过1套HEPA高效过滤器去除，通过15 m高排气筒排放。危化品仓库和化学品仓库废气在</w:t>
                  </w:r>
                  <w:r>
                    <w:rPr>
                      <w:rFonts w:hint="eastAsia"/>
                      <w:color w:val="000000"/>
                      <w:kern w:val="0"/>
                      <w:sz w:val="18"/>
                      <w:szCs w:val="18"/>
                      <w:lang w:bidi="ar"/>
                    </w:rPr>
                    <w:t>封闭</w:t>
                  </w:r>
                  <w:r>
                    <w:rPr>
                      <w:rFonts w:hint="eastAsia"/>
                      <w:color w:val="000000"/>
                      <w:kern w:val="0"/>
                      <w:sz w:val="18"/>
                      <w:szCs w:val="18"/>
                      <w:lang w:val="en-US" w:eastAsia="zh-CN" w:bidi="ar"/>
                    </w:rPr>
                    <w:t>房间</w:t>
                  </w:r>
                  <w:r>
                    <w:rPr>
                      <w:rFonts w:hint="eastAsia"/>
                      <w:color w:val="000000"/>
                      <w:kern w:val="0"/>
                      <w:sz w:val="18"/>
                      <w:szCs w:val="18"/>
                      <w:lang w:bidi="ar"/>
                    </w:rPr>
                    <w:t>收集，</w:t>
                  </w:r>
                  <w:r>
                    <w:rPr>
                      <w:rFonts w:hint="eastAsia"/>
                      <w:color w:val="000000"/>
                      <w:kern w:val="0"/>
                      <w:sz w:val="18"/>
                      <w:szCs w:val="18"/>
                      <w:lang w:val="en-US" w:eastAsia="zh-CN" w:bidi="ar"/>
                    </w:rPr>
                    <w:t>经过1套一级活性炭吸附后，通过15 m高排气筒排放。</w:t>
                  </w:r>
                </w:p>
              </w:tc>
            </w:tr>
            <w:tr w14:paraId="7809F2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05A82E2E">
                  <w:pPr>
                    <w:widowControl/>
                    <w:jc w:val="center"/>
                    <w:textAlignment w:val="center"/>
                    <w:rPr>
                      <w:color w:val="000000"/>
                      <w:sz w:val="18"/>
                      <w:szCs w:val="18"/>
                    </w:rPr>
                  </w:pPr>
                  <w:r>
                    <w:rPr>
                      <w:color w:val="000000"/>
                      <w:kern w:val="0"/>
                      <w:sz w:val="18"/>
                      <w:szCs w:val="18"/>
                      <w:lang w:bidi="ar"/>
                    </w:rPr>
                    <w:t>1</w:t>
                  </w:r>
                  <w:r>
                    <w:rPr>
                      <w:rFonts w:hint="eastAsia"/>
                      <w:color w:val="000000"/>
                      <w:kern w:val="0"/>
                      <w:sz w:val="18"/>
                      <w:szCs w:val="18"/>
                      <w:lang w:val="en-US" w:eastAsia="zh-CN" w:bidi="ar"/>
                    </w:rPr>
                    <w:t>9</w:t>
                  </w:r>
                </w:p>
              </w:tc>
              <w:tc>
                <w:tcPr>
                  <w:tcW w:w="299" w:type="pct"/>
                  <w:vMerge w:val="continue"/>
                  <w:tcBorders>
                    <w:tl2br w:val="nil"/>
                    <w:tr2bl w:val="nil"/>
                  </w:tcBorders>
                  <w:noWrap/>
                  <w:vAlign w:val="center"/>
                </w:tcPr>
                <w:p w14:paraId="30A3B2C5">
                  <w:pPr>
                    <w:jc w:val="center"/>
                    <w:rPr>
                      <w:color w:val="000000"/>
                      <w:sz w:val="18"/>
                      <w:szCs w:val="18"/>
                    </w:rPr>
                  </w:pPr>
                </w:p>
              </w:tc>
              <w:tc>
                <w:tcPr>
                  <w:tcW w:w="909" w:type="pct"/>
                  <w:tcBorders>
                    <w:tl2br w:val="nil"/>
                    <w:tr2bl w:val="nil"/>
                  </w:tcBorders>
                  <w:noWrap/>
                  <w:vAlign w:val="center"/>
                </w:tcPr>
                <w:p w14:paraId="2604EBA5">
                  <w:pPr>
                    <w:widowControl/>
                    <w:jc w:val="center"/>
                    <w:textAlignment w:val="center"/>
                    <w:rPr>
                      <w:color w:val="000000"/>
                      <w:sz w:val="18"/>
                      <w:szCs w:val="18"/>
                    </w:rPr>
                  </w:pPr>
                  <w:r>
                    <w:rPr>
                      <w:rFonts w:hint="eastAsia"/>
                      <w:color w:val="000000"/>
                      <w:kern w:val="0"/>
                      <w:sz w:val="18"/>
                      <w:szCs w:val="18"/>
                      <w:lang w:bidi="ar"/>
                    </w:rPr>
                    <w:t>废水</w:t>
                  </w:r>
                </w:p>
              </w:tc>
              <w:tc>
                <w:tcPr>
                  <w:tcW w:w="3460" w:type="pct"/>
                  <w:tcBorders>
                    <w:tl2br w:val="nil"/>
                    <w:tr2bl w:val="nil"/>
                  </w:tcBorders>
                  <w:noWrap/>
                  <w:vAlign w:val="center"/>
                </w:tcPr>
                <w:p w14:paraId="7FE88E95">
                  <w:pPr>
                    <w:widowControl/>
                    <w:jc w:val="left"/>
                    <w:textAlignment w:val="center"/>
                    <w:rPr>
                      <w:color w:val="000000"/>
                      <w:sz w:val="18"/>
                      <w:szCs w:val="18"/>
                    </w:rPr>
                  </w:pPr>
                  <w:r>
                    <w:rPr>
                      <w:rFonts w:hint="eastAsia"/>
                      <w:color w:val="000000"/>
                      <w:kern w:val="0"/>
                      <w:sz w:val="18"/>
                      <w:szCs w:val="18"/>
                      <w:lang w:bidi="ar"/>
                    </w:rPr>
                    <w:t>生活污水经化粪池预处理后，与生产废水一同纳管至余杭污水处理厂。</w:t>
                  </w:r>
                </w:p>
              </w:tc>
            </w:tr>
            <w:tr w14:paraId="7E1F01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0A8D16AE">
                  <w:pPr>
                    <w:widowControl/>
                    <w:jc w:val="center"/>
                    <w:textAlignment w:val="center"/>
                    <w:rPr>
                      <w:rFonts w:hint="default" w:eastAsia="宋体"/>
                      <w:color w:val="000000"/>
                      <w:sz w:val="18"/>
                      <w:szCs w:val="18"/>
                      <w:lang w:val="en-US" w:eastAsia="zh-CN"/>
                    </w:rPr>
                  </w:pPr>
                  <w:r>
                    <w:rPr>
                      <w:rFonts w:hint="eastAsia"/>
                      <w:color w:val="000000"/>
                      <w:kern w:val="0"/>
                      <w:sz w:val="18"/>
                      <w:szCs w:val="18"/>
                      <w:lang w:val="en-US" w:eastAsia="zh-CN" w:bidi="ar"/>
                    </w:rPr>
                    <w:t>20</w:t>
                  </w:r>
                </w:p>
              </w:tc>
              <w:tc>
                <w:tcPr>
                  <w:tcW w:w="299" w:type="pct"/>
                  <w:vMerge w:val="continue"/>
                  <w:tcBorders>
                    <w:tl2br w:val="nil"/>
                    <w:tr2bl w:val="nil"/>
                  </w:tcBorders>
                  <w:noWrap/>
                  <w:vAlign w:val="center"/>
                </w:tcPr>
                <w:p w14:paraId="26397326">
                  <w:pPr>
                    <w:jc w:val="center"/>
                    <w:rPr>
                      <w:color w:val="000000"/>
                      <w:sz w:val="18"/>
                      <w:szCs w:val="18"/>
                    </w:rPr>
                  </w:pPr>
                </w:p>
              </w:tc>
              <w:tc>
                <w:tcPr>
                  <w:tcW w:w="909" w:type="pct"/>
                  <w:vMerge w:val="restart"/>
                  <w:tcBorders>
                    <w:tl2br w:val="nil"/>
                    <w:tr2bl w:val="nil"/>
                  </w:tcBorders>
                  <w:noWrap/>
                  <w:vAlign w:val="center"/>
                </w:tcPr>
                <w:p w14:paraId="47E95923">
                  <w:pPr>
                    <w:widowControl/>
                    <w:jc w:val="center"/>
                    <w:textAlignment w:val="center"/>
                    <w:rPr>
                      <w:color w:val="000000"/>
                      <w:sz w:val="18"/>
                      <w:szCs w:val="18"/>
                    </w:rPr>
                  </w:pPr>
                  <w:r>
                    <w:rPr>
                      <w:rFonts w:hint="eastAsia"/>
                      <w:color w:val="000000"/>
                      <w:kern w:val="0"/>
                      <w:sz w:val="18"/>
                      <w:szCs w:val="18"/>
                      <w:lang w:bidi="ar"/>
                    </w:rPr>
                    <w:t>固废</w:t>
                  </w:r>
                </w:p>
              </w:tc>
              <w:tc>
                <w:tcPr>
                  <w:tcW w:w="3460" w:type="pct"/>
                  <w:tcBorders>
                    <w:tl2br w:val="nil"/>
                    <w:tr2bl w:val="nil"/>
                  </w:tcBorders>
                  <w:noWrap/>
                  <w:vAlign w:val="center"/>
                </w:tcPr>
                <w:p w14:paraId="2ABEE920">
                  <w:pPr>
                    <w:widowControl/>
                    <w:jc w:val="left"/>
                    <w:textAlignment w:val="center"/>
                    <w:rPr>
                      <w:color w:val="000000"/>
                      <w:sz w:val="18"/>
                      <w:szCs w:val="18"/>
                    </w:rPr>
                  </w:pPr>
                  <w:r>
                    <w:rPr>
                      <w:rFonts w:hint="eastAsia"/>
                      <w:color w:val="000000"/>
                      <w:kern w:val="0"/>
                      <w:sz w:val="18"/>
                      <w:szCs w:val="18"/>
                      <w:lang w:bidi="ar"/>
                    </w:rPr>
                    <w:t>一般工业固废暂存间占地面积约20 m</w:t>
                  </w:r>
                  <w:r>
                    <w:rPr>
                      <w:color w:val="000000"/>
                      <w:kern w:val="0"/>
                      <w:sz w:val="18"/>
                      <w:szCs w:val="18"/>
                      <w:vertAlign w:val="superscript"/>
                      <w:lang w:bidi="ar"/>
                    </w:rPr>
                    <w:t>2</w:t>
                  </w:r>
                  <w:r>
                    <w:rPr>
                      <w:rFonts w:hint="eastAsia"/>
                      <w:color w:val="000000"/>
                      <w:kern w:val="0"/>
                      <w:sz w:val="18"/>
                      <w:szCs w:val="18"/>
                      <w:lang w:bidi="ar"/>
                    </w:rPr>
                    <w:t>，存放废包装材料等。</w:t>
                  </w:r>
                </w:p>
              </w:tc>
            </w:tr>
            <w:tr w14:paraId="291DF9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0" w:type="pct"/>
                  <w:tcBorders>
                    <w:tl2br w:val="nil"/>
                    <w:tr2bl w:val="nil"/>
                  </w:tcBorders>
                  <w:noWrap/>
                  <w:vAlign w:val="center"/>
                </w:tcPr>
                <w:p w14:paraId="7002F69B">
                  <w:pPr>
                    <w:widowControl/>
                    <w:jc w:val="center"/>
                    <w:textAlignment w:val="center"/>
                    <w:rPr>
                      <w:rFonts w:hint="default"/>
                      <w:color w:val="000000"/>
                      <w:sz w:val="18"/>
                      <w:szCs w:val="18"/>
                      <w:lang w:val="en-US"/>
                    </w:rPr>
                  </w:pPr>
                  <w:r>
                    <w:rPr>
                      <w:rFonts w:hint="eastAsia"/>
                      <w:color w:val="000000"/>
                      <w:kern w:val="0"/>
                      <w:sz w:val="18"/>
                      <w:szCs w:val="18"/>
                      <w:lang w:val="en-US" w:eastAsia="zh-CN" w:bidi="ar"/>
                    </w:rPr>
                    <w:t>21</w:t>
                  </w:r>
                </w:p>
              </w:tc>
              <w:tc>
                <w:tcPr>
                  <w:tcW w:w="299" w:type="pct"/>
                  <w:vMerge w:val="continue"/>
                  <w:tcBorders>
                    <w:tl2br w:val="nil"/>
                    <w:tr2bl w:val="nil"/>
                  </w:tcBorders>
                  <w:noWrap/>
                  <w:vAlign w:val="center"/>
                </w:tcPr>
                <w:p w14:paraId="205000DE">
                  <w:pPr>
                    <w:jc w:val="center"/>
                    <w:rPr>
                      <w:color w:val="000000"/>
                      <w:sz w:val="18"/>
                      <w:szCs w:val="18"/>
                    </w:rPr>
                  </w:pPr>
                </w:p>
              </w:tc>
              <w:tc>
                <w:tcPr>
                  <w:tcW w:w="909" w:type="pct"/>
                  <w:vMerge w:val="continue"/>
                  <w:tcBorders>
                    <w:tl2br w:val="nil"/>
                    <w:tr2bl w:val="nil"/>
                  </w:tcBorders>
                  <w:noWrap/>
                  <w:vAlign w:val="center"/>
                </w:tcPr>
                <w:p w14:paraId="401ED6DC">
                  <w:pPr>
                    <w:jc w:val="center"/>
                    <w:rPr>
                      <w:color w:val="000000"/>
                      <w:sz w:val="18"/>
                      <w:szCs w:val="18"/>
                    </w:rPr>
                  </w:pPr>
                </w:p>
              </w:tc>
              <w:tc>
                <w:tcPr>
                  <w:tcW w:w="3460" w:type="pct"/>
                  <w:tcBorders>
                    <w:tl2br w:val="nil"/>
                    <w:tr2bl w:val="nil"/>
                  </w:tcBorders>
                  <w:noWrap/>
                  <w:vAlign w:val="center"/>
                </w:tcPr>
                <w:p w14:paraId="70233292">
                  <w:pPr>
                    <w:widowControl/>
                    <w:jc w:val="left"/>
                    <w:textAlignment w:val="center"/>
                    <w:rPr>
                      <w:color w:val="000000"/>
                      <w:sz w:val="18"/>
                      <w:szCs w:val="18"/>
                    </w:rPr>
                  </w:pPr>
                  <w:r>
                    <w:rPr>
                      <w:rFonts w:hint="eastAsia"/>
                      <w:color w:val="000000"/>
                      <w:kern w:val="0"/>
                      <w:sz w:val="18"/>
                      <w:szCs w:val="18"/>
                      <w:lang w:bidi="ar"/>
                    </w:rPr>
                    <w:t>危险仓库占地面积12 m</w:t>
                  </w:r>
                  <w:r>
                    <w:rPr>
                      <w:color w:val="000000"/>
                      <w:kern w:val="0"/>
                      <w:sz w:val="18"/>
                      <w:szCs w:val="18"/>
                      <w:vertAlign w:val="superscript"/>
                      <w:lang w:bidi="ar"/>
                    </w:rPr>
                    <w:t>2</w:t>
                  </w:r>
                  <w:r>
                    <w:rPr>
                      <w:rFonts w:hint="eastAsia"/>
                      <w:color w:val="000000"/>
                      <w:kern w:val="0"/>
                      <w:sz w:val="18"/>
                      <w:szCs w:val="18"/>
                      <w:lang w:bidi="ar"/>
                    </w:rPr>
                    <w:t>，主要用于储存</w:t>
                  </w:r>
                  <w:r>
                    <w:rPr>
                      <w:rFonts w:hint="eastAsia"/>
                      <w:color w:val="000000"/>
                      <w:kern w:val="0"/>
                      <w:sz w:val="18"/>
                      <w:szCs w:val="18"/>
                      <w:lang w:val="en-US" w:eastAsia="zh-CN" w:bidi="ar"/>
                    </w:rPr>
                    <w:t>实验废液、沾染化学品包装、废活性炭</w:t>
                  </w:r>
                  <w:r>
                    <w:rPr>
                      <w:rFonts w:hint="eastAsia"/>
                      <w:color w:val="000000"/>
                      <w:kern w:val="0"/>
                      <w:sz w:val="18"/>
                      <w:szCs w:val="18"/>
                      <w:lang w:bidi="ar"/>
                    </w:rPr>
                    <w:t>等危险废物</w:t>
                  </w:r>
                </w:p>
              </w:tc>
            </w:tr>
          </w:tbl>
          <w:p w14:paraId="0DF31CEB">
            <w:pPr>
              <w:keepNext/>
              <w:keepLines/>
              <w:spacing w:line="360" w:lineRule="auto"/>
              <w:rPr>
                <w:b/>
                <w:bCs/>
                <w:sz w:val="22"/>
                <w:szCs w:val="22"/>
              </w:rPr>
            </w:pPr>
            <w:r>
              <w:rPr>
                <w:b/>
                <w:bCs/>
                <w:sz w:val="22"/>
                <w:szCs w:val="22"/>
              </w:rPr>
              <w:t>2.</w:t>
            </w:r>
            <w:r>
              <w:rPr>
                <w:rFonts w:hint="eastAsia"/>
                <w:b/>
                <w:bCs/>
                <w:sz w:val="22"/>
                <w:szCs w:val="22"/>
              </w:rPr>
              <w:t>1.</w:t>
            </w:r>
            <w:r>
              <w:rPr>
                <w:b/>
                <w:bCs/>
                <w:sz w:val="22"/>
                <w:szCs w:val="22"/>
              </w:rPr>
              <w:t>3</w:t>
            </w:r>
            <w:bookmarkEnd w:id="26"/>
            <w:bookmarkEnd w:id="27"/>
            <w:r>
              <w:rPr>
                <w:rFonts w:hint="eastAsia"/>
                <w:b/>
                <w:bCs/>
                <w:sz w:val="22"/>
                <w:szCs w:val="22"/>
              </w:rPr>
              <w:t xml:space="preserve">  产品方案</w:t>
            </w:r>
          </w:p>
          <w:p w14:paraId="2DEBEDC9">
            <w:pPr>
              <w:keepNext/>
              <w:keepLines/>
              <w:spacing w:line="360" w:lineRule="auto"/>
              <w:ind w:firstLine="420" w:firstLineChars="200"/>
              <w:rPr>
                <w:rFonts w:hint="eastAsia"/>
                <w:szCs w:val="21"/>
                <w:lang w:val="en-US" w:eastAsia="zh-CN"/>
              </w:rPr>
            </w:pPr>
            <w:bookmarkStart w:id="28" w:name="_Toc21871"/>
            <w:bookmarkStart w:id="29" w:name="_Toc20514"/>
            <w:r>
              <w:rPr>
                <w:rFonts w:hint="eastAsia"/>
                <w:szCs w:val="21"/>
              </w:rPr>
              <w:t>本项目建成后，拟年产封堵止血器30万套以及球囊导管15万套，如</w:t>
            </w:r>
            <w:r>
              <w:rPr>
                <w:rFonts w:hint="eastAsia"/>
                <w:bCs/>
                <w:szCs w:val="21"/>
                <w:lang w:val="en-US" w:eastAsia="zh-CN"/>
              </w:rPr>
              <w:t>下表</w:t>
            </w:r>
            <w:r>
              <w:rPr>
                <w:rFonts w:hint="eastAsia"/>
                <w:szCs w:val="21"/>
              </w:rPr>
              <w:t>所示。</w:t>
            </w:r>
            <w:r>
              <w:rPr>
                <w:rFonts w:hint="eastAsia"/>
                <w:szCs w:val="21"/>
                <w:lang w:val="en-US" w:eastAsia="zh-CN"/>
              </w:rPr>
              <w:t>企业还拟根据市场需求，进行新规格球囊导管和封堵止血器的开发、工艺流程和工艺参数的优</w:t>
            </w:r>
            <w:r>
              <w:rPr>
                <w:rFonts w:hint="eastAsia"/>
                <w:szCs w:val="21"/>
                <w:highlight w:val="none"/>
                <w:lang w:val="en-US" w:eastAsia="zh-CN"/>
              </w:rPr>
              <w:t>化试验。研发规模约为200套/a，研发产品作为废边角料按一般固体废物处理。和生产规模相比</w:t>
            </w:r>
            <w:r>
              <w:rPr>
                <w:rFonts w:hint="eastAsia"/>
                <w:szCs w:val="21"/>
                <w:lang w:val="en-US" w:eastAsia="zh-CN"/>
              </w:rPr>
              <w:t>，研发过程三废产生量极小，本次环评不作定量分析。</w:t>
            </w:r>
          </w:p>
          <w:p w14:paraId="1AAB6AC6">
            <w:pPr>
              <w:keepNext/>
              <w:keepLines/>
              <w:spacing w:line="360" w:lineRule="auto"/>
              <w:ind w:firstLine="420" w:firstLineChars="200"/>
              <w:rPr>
                <w:rFonts w:hint="default"/>
                <w:szCs w:val="21"/>
                <w:lang w:val="en-US" w:eastAsia="zh-CN"/>
              </w:rPr>
            </w:pPr>
          </w:p>
          <w:p w14:paraId="2267DEAA">
            <w:pPr>
              <w:pStyle w:val="139"/>
              <w:numPr>
                <w:ilvl w:val="0"/>
                <w:numId w:val="4"/>
              </w:numPr>
              <w:adjustRightInd w:val="0"/>
              <w:snapToGrid w:val="0"/>
              <w:spacing w:line="360" w:lineRule="auto"/>
              <w:ind w:left="420" w:firstLineChars="0"/>
              <w:jc w:val="center"/>
              <w:rPr>
                <w:rFonts w:hint="eastAsia" w:ascii="黑体" w:hAnsi="黑体" w:eastAsia="黑体" w:cs="黑体"/>
                <w:szCs w:val="21"/>
              </w:rPr>
            </w:pPr>
            <w:r>
              <w:rPr>
                <w:rFonts w:hint="eastAsia" w:ascii="黑体" w:hAnsi="黑体" w:eastAsia="黑体" w:cs="黑体"/>
                <w:szCs w:val="21"/>
              </w:rPr>
              <w:t>项目产品方案一览表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1268"/>
              <w:gridCol w:w="1250"/>
              <w:gridCol w:w="1120"/>
              <w:gridCol w:w="3657"/>
            </w:tblGrid>
            <w:tr w14:paraId="5E5DBA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52" w:type="pct"/>
                  <w:tcBorders>
                    <w:tl2br w:val="nil"/>
                    <w:tr2bl w:val="nil"/>
                  </w:tcBorders>
                  <w:vAlign w:val="center"/>
                </w:tcPr>
                <w:p w14:paraId="0A8967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序号</w:t>
                  </w:r>
                </w:p>
              </w:tc>
              <w:tc>
                <w:tcPr>
                  <w:tcW w:w="790" w:type="pct"/>
                  <w:tcBorders>
                    <w:tl2br w:val="nil"/>
                    <w:tr2bl w:val="nil"/>
                  </w:tcBorders>
                  <w:vAlign w:val="center"/>
                </w:tcPr>
                <w:p w14:paraId="44952E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产品名称</w:t>
                  </w:r>
                </w:p>
              </w:tc>
              <w:tc>
                <w:tcPr>
                  <w:tcW w:w="779" w:type="pct"/>
                  <w:tcBorders>
                    <w:tl2br w:val="nil"/>
                    <w:tr2bl w:val="nil"/>
                  </w:tcBorders>
                  <w:vAlign w:val="center"/>
                </w:tcPr>
                <w:p w14:paraId="4BC318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w:t>
                  </w:r>
                </w:p>
              </w:tc>
              <w:tc>
                <w:tcPr>
                  <w:tcW w:w="698" w:type="pct"/>
                  <w:tcBorders>
                    <w:tl2br w:val="nil"/>
                    <w:tr2bl w:val="nil"/>
                  </w:tcBorders>
                  <w:vAlign w:val="center"/>
                </w:tcPr>
                <w:p w14:paraId="5CB3AF80">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产量</w:t>
                  </w:r>
                </w:p>
              </w:tc>
              <w:tc>
                <w:tcPr>
                  <w:tcW w:w="2279" w:type="pct"/>
                  <w:tcBorders>
                    <w:tl2br w:val="nil"/>
                    <w:tr2bl w:val="nil"/>
                  </w:tcBorders>
                  <w:vAlign w:val="center"/>
                </w:tcPr>
                <w:p w14:paraId="31EC7444">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规格</w:t>
                  </w:r>
                </w:p>
              </w:tc>
            </w:tr>
            <w:tr w14:paraId="04F346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52" w:type="pct"/>
                  <w:tcBorders>
                    <w:tl2br w:val="nil"/>
                    <w:tr2bl w:val="nil"/>
                  </w:tcBorders>
                  <w:vAlign w:val="center"/>
                </w:tcPr>
                <w:p w14:paraId="29557C4D">
                  <w:pPr>
                    <w:widowControl/>
                    <w:jc w:val="center"/>
                    <w:textAlignment w:val="center"/>
                    <w:rPr>
                      <w:color w:val="000000"/>
                      <w:sz w:val="18"/>
                      <w:szCs w:val="18"/>
                    </w:rPr>
                  </w:pPr>
                  <w:r>
                    <w:rPr>
                      <w:color w:val="000000"/>
                      <w:kern w:val="0"/>
                      <w:sz w:val="18"/>
                      <w:szCs w:val="18"/>
                      <w:lang w:bidi="ar"/>
                    </w:rPr>
                    <w:t>1</w:t>
                  </w:r>
                </w:p>
              </w:tc>
              <w:tc>
                <w:tcPr>
                  <w:tcW w:w="790" w:type="pct"/>
                  <w:tcBorders>
                    <w:tl2br w:val="nil"/>
                    <w:tr2bl w:val="nil"/>
                  </w:tcBorders>
                  <w:vAlign w:val="center"/>
                </w:tcPr>
                <w:p w14:paraId="2230EBE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封堵止血器</w:t>
                  </w:r>
                </w:p>
              </w:tc>
              <w:tc>
                <w:tcPr>
                  <w:tcW w:w="779" w:type="pct"/>
                  <w:tcBorders>
                    <w:tl2br w:val="nil"/>
                    <w:tr2bl w:val="nil"/>
                  </w:tcBorders>
                  <w:vAlign w:val="center"/>
                </w:tcPr>
                <w:p w14:paraId="2B40F649">
                  <w:pPr>
                    <w:widowControl/>
                    <w:jc w:val="center"/>
                    <w:textAlignment w:val="center"/>
                    <w:rPr>
                      <w:color w:val="000000"/>
                      <w:sz w:val="18"/>
                      <w:szCs w:val="18"/>
                    </w:rPr>
                  </w:pPr>
                  <w:r>
                    <w:rPr>
                      <w:rFonts w:hint="eastAsia"/>
                      <w:color w:val="000000"/>
                      <w:kern w:val="0"/>
                      <w:sz w:val="18"/>
                      <w:szCs w:val="18"/>
                      <w:lang w:bidi="ar"/>
                    </w:rPr>
                    <w:t>套/年</w:t>
                  </w:r>
                </w:p>
              </w:tc>
              <w:tc>
                <w:tcPr>
                  <w:tcW w:w="698" w:type="pct"/>
                  <w:tcBorders>
                    <w:tl2br w:val="nil"/>
                    <w:tr2bl w:val="nil"/>
                  </w:tcBorders>
                  <w:vAlign w:val="center"/>
                </w:tcPr>
                <w:p w14:paraId="32E9B5BB">
                  <w:pPr>
                    <w:widowControl/>
                    <w:jc w:val="center"/>
                    <w:textAlignment w:val="center"/>
                    <w:rPr>
                      <w:color w:val="000000"/>
                      <w:kern w:val="0"/>
                      <w:sz w:val="18"/>
                      <w:szCs w:val="18"/>
                      <w:lang w:bidi="ar"/>
                    </w:rPr>
                  </w:pPr>
                  <w:r>
                    <w:rPr>
                      <w:rFonts w:hint="eastAsia"/>
                      <w:color w:val="000000"/>
                      <w:kern w:val="0"/>
                      <w:sz w:val="18"/>
                      <w:szCs w:val="18"/>
                      <w:lang w:bidi="ar"/>
                    </w:rPr>
                    <w:t>300000</w:t>
                  </w:r>
                </w:p>
              </w:tc>
              <w:tc>
                <w:tcPr>
                  <w:tcW w:w="2279" w:type="pct"/>
                  <w:tcBorders>
                    <w:tl2br w:val="nil"/>
                    <w:tr2bl w:val="nil"/>
                  </w:tcBorders>
                  <w:vAlign w:val="center"/>
                </w:tcPr>
                <w:p w14:paraId="207B3019">
                  <w:pPr>
                    <w:widowControl/>
                    <w:jc w:val="center"/>
                    <w:textAlignment w:val="center"/>
                    <w:rPr>
                      <w:rFonts w:hint="eastAsia"/>
                      <w:color w:val="000000"/>
                      <w:kern w:val="0"/>
                      <w:sz w:val="18"/>
                      <w:szCs w:val="18"/>
                      <w:lang w:bidi="ar"/>
                    </w:rPr>
                  </w:pPr>
                  <w:r>
                    <w:rPr>
                      <w:rFonts w:hint="eastAsia"/>
                      <w:color w:val="000000"/>
                      <w:kern w:val="0"/>
                      <w:sz w:val="18"/>
                      <w:szCs w:val="18"/>
                      <w:lang w:val="en-US" w:eastAsia="zh-CN" w:bidi="ar"/>
                    </w:rPr>
                    <w:t>M0505/M0567/M0508</w:t>
                  </w:r>
                </w:p>
              </w:tc>
            </w:tr>
            <w:tr w14:paraId="76AF13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52" w:type="pct"/>
                  <w:tcBorders>
                    <w:tl2br w:val="nil"/>
                    <w:tr2bl w:val="nil"/>
                  </w:tcBorders>
                  <w:vAlign w:val="center"/>
                </w:tcPr>
                <w:p w14:paraId="7FBDB3B0">
                  <w:pPr>
                    <w:widowControl/>
                    <w:jc w:val="center"/>
                    <w:textAlignment w:val="center"/>
                    <w:rPr>
                      <w:color w:val="000000"/>
                      <w:sz w:val="18"/>
                      <w:szCs w:val="18"/>
                    </w:rPr>
                  </w:pPr>
                  <w:r>
                    <w:rPr>
                      <w:color w:val="000000"/>
                      <w:kern w:val="0"/>
                      <w:sz w:val="18"/>
                      <w:szCs w:val="18"/>
                      <w:lang w:bidi="ar"/>
                    </w:rPr>
                    <w:t>2</w:t>
                  </w:r>
                </w:p>
              </w:tc>
              <w:tc>
                <w:tcPr>
                  <w:tcW w:w="790" w:type="pct"/>
                  <w:tcBorders>
                    <w:tl2br w:val="nil"/>
                    <w:tr2bl w:val="nil"/>
                  </w:tcBorders>
                  <w:vAlign w:val="center"/>
                </w:tcPr>
                <w:p w14:paraId="4F46F38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球囊导管</w:t>
                  </w:r>
                </w:p>
              </w:tc>
              <w:tc>
                <w:tcPr>
                  <w:tcW w:w="779" w:type="pct"/>
                  <w:tcBorders>
                    <w:tl2br w:val="nil"/>
                    <w:tr2bl w:val="nil"/>
                  </w:tcBorders>
                  <w:vAlign w:val="center"/>
                </w:tcPr>
                <w:p w14:paraId="40CBAD1E">
                  <w:pPr>
                    <w:widowControl/>
                    <w:jc w:val="center"/>
                    <w:textAlignment w:val="center"/>
                    <w:rPr>
                      <w:color w:val="000000"/>
                      <w:sz w:val="18"/>
                      <w:szCs w:val="18"/>
                    </w:rPr>
                  </w:pPr>
                  <w:r>
                    <w:rPr>
                      <w:rFonts w:hint="eastAsia"/>
                      <w:color w:val="000000"/>
                      <w:kern w:val="0"/>
                      <w:sz w:val="18"/>
                      <w:szCs w:val="18"/>
                      <w:lang w:bidi="ar"/>
                    </w:rPr>
                    <w:t>套/年</w:t>
                  </w:r>
                </w:p>
              </w:tc>
              <w:tc>
                <w:tcPr>
                  <w:tcW w:w="698" w:type="pct"/>
                  <w:tcBorders>
                    <w:tl2br w:val="nil"/>
                    <w:tr2bl w:val="nil"/>
                  </w:tcBorders>
                  <w:vAlign w:val="center"/>
                </w:tcPr>
                <w:p w14:paraId="4F215C9B">
                  <w:pPr>
                    <w:widowControl/>
                    <w:jc w:val="center"/>
                    <w:textAlignment w:val="center"/>
                    <w:rPr>
                      <w:color w:val="000000"/>
                      <w:kern w:val="0"/>
                      <w:sz w:val="18"/>
                      <w:szCs w:val="18"/>
                      <w:lang w:bidi="ar"/>
                    </w:rPr>
                  </w:pPr>
                  <w:r>
                    <w:rPr>
                      <w:rFonts w:hint="eastAsia"/>
                      <w:color w:val="000000"/>
                      <w:kern w:val="0"/>
                      <w:sz w:val="18"/>
                      <w:szCs w:val="18"/>
                      <w:lang w:bidi="ar"/>
                    </w:rPr>
                    <w:t>150000</w:t>
                  </w:r>
                </w:p>
              </w:tc>
              <w:tc>
                <w:tcPr>
                  <w:tcW w:w="2279" w:type="pct"/>
                  <w:tcBorders>
                    <w:tl2br w:val="nil"/>
                    <w:tr2bl w:val="nil"/>
                  </w:tcBorders>
                  <w:vAlign w:val="center"/>
                </w:tcPr>
                <w:p w14:paraId="110298EC">
                  <w:pPr>
                    <w:widowControl/>
                    <w:jc w:val="center"/>
                    <w:textAlignment w:val="center"/>
                    <w:rPr>
                      <w:rFonts w:hint="eastAsia"/>
                      <w:color w:val="000000"/>
                      <w:kern w:val="0"/>
                      <w:sz w:val="18"/>
                      <w:szCs w:val="18"/>
                      <w:lang w:val="en-US" w:eastAsia="zh-CN" w:bidi="ar"/>
                    </w:rPr>
                  </w:pPr>
                  <w:r>
                    <w:rPr>
                      <w:rFonts w:hint="eastAsia"/>
                      <w:color w:val="000000"/>
                      <w:kern w:val="0"/>
                      <w:sz w:val="18"/>
                      <w:szCs w:val="18"/>
                      <w:lang w:val="en-US" w:eastAsia="zh-CN" w:bidi="ar"/>
                    </w:rPr>
                    <w:t>球囊直径2.50~4.00 mm</w:t>
                  </w:r>
                </w:p>
                <w:p w14:paraId="31F27816">
                  <w:pPr>
                    <w:widowControl/>
                    <w:jc w:val="center"/>
                    <w:textAlignment w:val="center"/>
                    <w:rPr>
                      <w:rFonts w:hint="default"/>
                      <w:color w:val="000000"/>
                      <w:kern w:val="0"/>
                      <w:sz w:val="18"/>
                      <w:szCs w:val="18"/>
                      <w:lang w:val="en-US" w:eastAsia="zh-CN" w:bidi="ar"/>
                    </w:rPr>
                  </w:pPr>
                  <w:r>
                    <w:rPr>
                      <w:rFonts w:hint="eastAsia"/>
                      <w:color w:val="000000"/>
                      <w:kern w:val="0"/>
                      <w:sz w:val="18"/>
                      <w:szCs w:val="18"/>
                      <w:lang w:val="en-US" w:eastAsia="zh-CN" w:bidi="ar"/>
                    </w:rPr>
                    <w:t>球囊有效长度8/12/16 mm</w:t>
                  </w:r>
                </w:p>
              </w:tc>
            </w:tr>
          </w:tbl>
          <w:p w14:paraId="5631D95E">
            <w:pPr>
              <w:pStyle w:val="139"/>
              <w:adjustRightInd w:val="0"/>
              <w:snapToGrid w:val="0"/>
              <w:spacing w:line="360" w:lineRule="auto"/>
              <w:ind w:firstLine="0" w:firstLineChars="0"/>
              <w:rPr>
                <w:b/>
                <w:bCs/>
                <w:sz w:val="22"/>
                <w:szCs w:val="22"/>
              </w:rPr>
            </w:pPr>
            <w:r>
              <w:rPr>
                <w:rFonts w:hint="eastAsia"/>
                <w:b/>
                <w:bCs/>
                <w:sz w:val="22"/>
                <w:szCs w:val="22"/>
              </w:rPr>
              <w:t>2.1.4  生产设备</w:t>
            </w:r>
          </w:p>
          <w:p w14:paraId="62B09E9C">
            <w:pPr>
              <w:spacing w:line="360" w:lineRule="auto"/>
              <w:ind w:firstLine="420" w:firstLineChars="200"/>
            </w:pPr>
            <w:r>
              <w:rPr>
                <w:rFonts w:hint="eastAsia"/>
              </w:rPr>
              <w:t>本项目生产设备如</w:t>
            </w:r>
            <w:r>
              <w:rPr>
                <w:rFonts w:hint="eastAsia"/>
                <w:bCs/>
                <w:szCs w:val="21"/>
                <w:lang w:val="en-US" w:eastAsia="zh-CN"/>
              </w:rPr>
              <w:t>下表</w:t>
            </w:r>
            <w:r>
              <w:rPr>
                <w:rFonts w:hint="eastAsia"/>
              </w:rPr>
              <w:t>所示。</w:t>
            </w:r>
          </w:p>
          <w:p w14:paraId="790C7CBA">
            <w:pPr>
              <w:pStyle w:val="139"/>
              <w:numPr>
                <w:ilvl w:val="0"/>
                <w:numId w:val="4"/>
              </w:numPr>
              <w:adjustRightInd w:val="0"/>
              <w:snapToGrid w:val="0"/>
              <w:spacing w:line="360" w:lineRule="auto"/>
              <w:ind w:left="420" w:firstLineChars="0"/>
              <w:jc w:val="center"/>
              <w:rPr>
                <w:b/>
                <w:bCs/>
                <w:szCs w:val="21"/>
              </w:rPr>
            </w:pPr>
            <w:r>
              <w:rPr>
                <w:rFonts w:hint="eastAsia" w:ascii="黑体" w:hAnsi="黑体" w:eastAsia="黑体" w:cs="黑体"/>
                <w:szCs w:val="21"/>
              </w:rPr>
              <w:t>项目生产设备一览表</w:t>
            </w:r>
          </w:p>
          <w:p w14:paraId="09AC6063">
            <w:pPr>
              <w:pStyle w:val="139"/>
              <w:adjustRightInd w:val="0"/>
              <w:snapToGrid w:val="0"/>
              <w:spacing w:line="360" w:lineRule="auto"/>
              <w:ind w:firstLine="0" w:firstLineChars="0"/>
              <w:rPr>
                <w:b/>
                <w:bCs/>
                <w:szCs w:val="21"/>
              </w:rPr>
            </w:pPr>
          </w:p>
          <w:p w14:paraId="3C41EA30">
            <w:pPr>
              <w:pStyle w:val="139"/>
              <w:adjustRightInd w:val="0"/>
              <w:snapToGrid w:val="0"/>
              <w:spacing w:line="360" w:lineRule="auto"/>
              <w:ind w:firstLine="0" w:firstLineChars="0"/>
              <w:rPr>
                <w:b/>
                <w:bCs/>
                <w:sz w:val="22"/>
                <w:szCs w:val="22"/>
              </w:rPr>
            </w:pPr>
            <w:r>
              <w:rPr>
                <w:rFonts w:hint="eastAsia"/>
                <w:b/>
                <w:bCs/>
                <w:sz w:val="22"/>
                <w:szCs w:val="22"/>
              </w:rPr>
              <w:t>2.1.5  主要原辅材料消耗</w:t>
            </w:r>
          </w:p>
          <w:p w14:paraId="51FF3802">
            <w:pPr>
              <w:pStyle w:val="139"/>
              <w:adjustRightInd w:val="0"/>
              <w:snapToGrid w:val="0"/>
              <w:spacing w:line="360" w:lineRule="auto"/>
              <w:rPr>
                <w:szCs w:val="21"/>
              </w:rPr>
            </w:pPr>
            <w:r>
              <w:rPr>
                <w:rFonts w:hint="eastAsia"/>
                <w:szCs w:val="21"/>
              </w:rPr>
              <w:t>本项目主要原辅材料消耗情况如</w:t>
            </w:r>
            <w:r>
              <w:rPr>
                <w:rFonts w:hint="eastAsia"/>
                <w:bCs/>
                <w:szCs w:val="21"/>
                <w:lang w:val="en-US" w:eastAsia="zh-CN"/>
              </w:rPr>
              <w:t>下表</w:t>
            </w:r>
            <w:r>
              <w:rPr>
                <w:rFonts w:hint="eastAsia"/>
                <w:szCs w:val="21"/>
              </w:rPr>
              <w:t>所示。</w:t>
            </w:r>
          </w:p>
          <w:bookmarkEnd w:id="28"/>
          <w:bookmarkEnd w:id="29"/>
          <w:p w14:paraId="02CE5A5C">
            <w:pPr>
              <w:pStyle w:val="139"/>
              <w:numPr>
                <w:ilvl w:val="0"/>
                <w:numId w:val="4"/>
              </w:numPr>
              <w:adjustRightInd w:val="0"/>
              <w:snapToGrid w:val="0"/>
              <w:spacing w:line="360" w:lineRule="auto"/>
              <w:ind w:left="420" w:firstLineChars="0"/>
              <w:jc w:val="center"/>
              <w:rPr>
                <w:b/>
                <w:bCs/>
                <w:szCs w:val="21"/>
              </w:rPr>
            </w:pPr>
            <w:r>
              <w:rPr>
                <w:rFonts w:hint="eastAsia" w:ascii="黑体" w:hAnsi="黑体" w:eastAsia="黑体" w:cs="黑体"/>
                <w:szCs w:val="21"/>
              </w:rPr>
              <w:t>项目主要原辅材料消耗一览表</w:t>
            </w:r>
          </w:p>
          <w:p w14:paraId="1B144139">
            <w:pPr>
              <w:pStyle w:val="139"/>
              <w:adjustRightInd w:val="0"/>
              <w:snapToGrid w:val="0"/>
              <w:spacing w:line="360" w:lineRule="auto"/>
              <w:ind w:left="0" w:leftChars="0" w:firstLine="0" w:firstLineChars="0"/>
              <w:jc w:val="center"/>
              <w:rPr>
                <w:rFonts w:hint="eastAsia"/>
                <w:szCs w:val="21"/>
              </w:rPr>
            </w:pPr>
          </w:p>
          <w:p w14:paraId="6239B36E">
            <w:pPr>
              <w:pStyle w:val="139"/>
              <w:numPr>
                <w:ilvl w:val="0"/>
                <w:numId w:val="4"/>
              </w:numPr>
              <w:adjustRightInd w:val="0"/>
              <w:snapToGrid w:val="0"/>
              <w:spacing w:line="360" w:lineRule="auto"/>
              <w:ind w:left="420" w:leftChars="0" w:firstLine="0" w:firstLineChars="0"/>
              <w:jc w:val="center"/>
              <w:rPr>
                <w:rFonts w:hint="eastAsia"/>
                <w:szCs w:val="21"/>
              </w:rPr>
            </w:pPr>
            <w:r>
              <w:rPr>
                <w:rFonts w:hint="eastAsia" w:ascii="黑体" w:hAnsi="黑体" w:eastAsia="黑体" w:cs="黑体"/>
                <w:szCs w:val="21"/>
              </w:rPr>
              <w:t>项目主要</w:t>
            </w:r>
            <w:r>
              <w:rPr>
                <w:rFonts w:hint="eastAsia" w:ascii="黑体" w:hAnsi="黑体" w:eastAsia="黑体" w:cs="黑体"/>
                <w:szCs w:val="21"/>
                <w:lang w:val="en-US" w:eastAsia="zh-CN"/>
              </w:rPr>
              <w:t>生产</w:t>
            </w:r>
            <w:r>
              <w:rPr>
                <w:rFonts w:hint="eastAsia" w:ascii="黑体" w:hAnsi="黑体" w:eastAsia="黑体" w:cs="黑体"/>
                <w:szCs w:val="21"/>
              </w:rPr>
              <w:t>原材料消耗</w:t>
            </w:r>
            <w:r>
              <w:rPr>
                <w:rFonts w:hint="eastAsia" w:ascii="黑体" w:hAnsi="黑体" w:eastAsia="黑体" w:cs="黑体"/>
                <w:szCs w:val="21"/>
                <w:lang w:val="en-US" w:eastAsia="zh-CN"/>
              </w:rPr>
              <w:t>对比</w:t>
            </w:r>
            <w:r>
              <w:rPr>
                <w:rFonts w:hint="eastAsia" w:ascii="黑体" w:hAnsi="黑体" w:eastAsia="黑体" w:cs="黑体"/>
                <w:szCs w:val="21"/>
              </w:rPr>
              <w:t>表</w:t>
            </w:r>
          </w:p>
          <w:p w14:paraId="63BBF475">
            <w:pPr>
              <w:pStyle w:val="139"/>
              <w:adjustRightInd w:val="0"/>
              <w:snapToGrid w:val="0"/>
              <w:spacing w:line="360" w:lineRule="auto"/>
              <w:ind w:left="0" w:leftChars="0" w:firstLine="0" w:firstLineChars="0"/>
              <w:jc w:val="center"/>
              <w:rPr>
                <w:rFonts w:hint="eastAsia"/>
                <w:szCs w:val="21"/>
              </w:rPr>
            </w:pPr>
          </w:p>
          <w:p w14:paraId="38830C0E">
            <w:pPr>
              <w:pStyle w:val="139"/>
              <w:adjustRightInd w:val="0"/>
              <w:snapToGrid w:val="0"/>
              <w:spacing w:line="360" w:lineRule="auto"/>
              <w:rPr>
                <w:b/>
                <w:bCs/>
                <w:szCs w:val="21"/>
              </w:rPr>
            </w:pPr>
            <w:r>
              <w:rPr>
                <w:rFonts w:hint="eastAsia"/>
                <w:szCs w:val="21"/>
              </w:rPr>
              <w:t>本项目</w:t>
            </w:r>
            <w:r>
              <w:rPr>
                <w:rFonts w:hint="eastAsia"/>
                <w:szCs w:val="21"/>
                <w:lang w:val="en-US" w:eastAsia="zh-CN"/>
              </w:rPr>
              <w:t>部分</w:t>
            </w:r>
            <w:r>
              <w:rPr>
                <w:rFonts w:hint="eastAsia"/>
                <w:szCs w:val="21"/>
              </w:rPr>
              <w:t>原辅材料</w:t>
            </w:r>
            <w:r>
              <w:rPr>
                <w:rFonts w:hint="eastAsia"/>
                <w:szCs w:val="21"/>
                <w:lang w:val="en-US" w:eastAsia="zh-CN"/>
              </w:rPr>
              <w:t>理化性质</w:t>
            </w:r>
            <w:r>
              <w:rPr>
                <w:rFonts w:hint="eastAsia"/>
                <w:szCs w:val="21"/>
              </w:rPr>
              <w:t>如</w:t>
            </w:r>
            <w:r>
              <w:rPr>
                <w:rFonts w:hint="eastAsia"/>
                <w:bCs/>
                <w:szCs w:val="21"/>
                <w:lang w:val="en-US" w:eastAsia="zh-CN"/>
              </w:rPr>
              <w:t>下表</w:t>
            </w:r>
            <w:r>
              <w:rPr>
                <w:rFonts w:hint="eastAsia"/>
                <w:szCs w:val="21"/>
              </w:rPr>
              <w:t>所示。</w:t>
            </w:r>
          </w:p>
          <w:p w14:paraId="2E5F34EF">
            <w:pPr>
              <w:pStyle w:val="139"/>
              <w:numPr>
                <w:ilvl w:val="0"/>
                <w:numId w:val="4"/>
              </w:numPr>
              <w:adjustRightInd w:val="0"/>
              <w:snapToGrid w:val="0"/>
              <w:spacing w:line="360" w:lineRule="auto"/>
              <w:ind w:left="420" w:firstLineChars="0"/>
              <w:jc w:val="center"/>
              <w:rPr>
                <w:b/>
                <w:bCs/>
                <w:szCs w:val="21"/>
              </w:rPr>
            </w:pPr>
            <w:r>
              <w:rPr>
                <w:rFonts w:hint="eastAsia" w:ascii="黑体" w:hAnsi="黑体" w:eastAsia="黑体" w:cs="黑体"/>
                <w:szCs w:val="21"/>
              </w:rPr>
              <w:t>项目</w:t>
            </w:r>
            <w:r>
              <w:rPr>
                <w:rFonts w:hint="eastAsia" w:ascii="黑体" w:hAnsi="黑体" w:eastAsia="黑体" w:cs="黑体"/>
                <w:szCs w:val="21"/>
                <w:lang w:val="en-US" w:eastAsia="zh-CN"/>
              </w:rPr>
              <w:t>部分</w:t>
            </w:r>
            <w:r>
              <w:rPr>
                <w:rFonts w:hint="eastAsia" w:ascii="黑体" w:hAnsi="黑体" w:eastAsia="黑体" w:cs="黑体"/>
                <w:szCs w:val="21"/>
              </w:rPr>
              <w:t>原辅材料</w:t>
            </w:r>
            <w:r>
              <w:rPr>
                <w:rFonts w:hint="eastAsia" w:ascii="黑体" w:hAnsi="黑体" w:eastAsia="黑体" w:cs="黑体"/>
                <w:szCs w:val="21"/>
                <w:lang w:val="en-US" w:eastAsia="zh-CN"/>
              </w:rPr>
              <w:t>理化性质</w:t>
            </w:r>
            <w:r>
              <w:rPr>
                <w:rFonts w:hint="eastAsia" w:ascii="黑体" w:hAnsi="黑体" w:eastAsia="黑体" w:cs="黑体"/>
                <w:szCs w:val="21"/>
              </w:rPr>
              <w:t>一览表</w:t>
            </w:r>
          </w:p>
          <w:tbl>
            <w:tblPr>
              <w:tblStyle w:val="26"/>
              <w:tblW w:w="5000" w:type="pct"/>
              <w:tblInd w:w="-4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88"/>
              <w:gridCol w:w="1623"/>
              <w:gridCol w:w="997"/>
              <w:gridCol w:w="5115"/>
            </w:tblGrid>
            <w:tr w14:paraId="03655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24C59C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1011" w:type="pct"/>
                  <w:tcBorders>
                    <w:tl2br w:val="nil"/>
                    <w:tr2bl w:val="nil"/>
                  </w:tcBorders>
                  <w:shd w:val="clear" w:color="auto" w:fill="auto"/>
                  <w:noWrap/>
                  <w:vAlign w:val="center"/>
                </w:tcPr>
                <w:p w14:paraId="2CAD89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名称</w:t>
                  </w:r>
                </w:p>
              </w:tc>
              <w:tc>
                <w:tcPr>
                  <w:tcW w:w="621" w:type="pct"/>
                  <w:tcBorders>
                    <w:tl2br w:val="nil"/>
                    <w:tr2bl w:val="nil"/>
                  </w:tcBorders>
                  <w:shd w:val="clear" w:color="auto" w:fill="auto"/>
                  <w:noWrap/>
                  <w:vAlign w:val="center"/>
                </w:tcPr>
                <w:p w14:paraId="4EE55D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CAS号</w:t>
                  </w:r>
                </w:p>
              </w:tc>
              <w:tc>
                <w:tcPr>
                  <w:tcW w:w="3187" w:type="pct"/>
                  <w:tcBorders>
                    <w:tl2br w:val="nil"/>
                    <w:tr2bl w:val="nil"/>
                  </w:tcBorders>
                  <w:shd w:val="clear" w:color="auto" w:fill="auto"/>
                  <w:noWrap/>
                  <w:vAlign w:val="center"/>
                </w:tcPr>
                <w:p w14:paraId="777C6B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理化性质</w:t>
                  </w:r>
                </w:p>
              </w:tc>
            </w:tr>
            <w:tr w14:paraId="34BB2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06742E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011" w:type="pct"/>
                  <w:tcBorders>
                    <w:tl2br w:val="nil"/>
                    <w:tr2bl w:val="nil"/>
                  </w:tcBorders>
                  <w:shd w:val="clear" w:color="auto" w:fill="auto"/>
                  <w:noWrap/>
                  <w:vAlign w:val="center"/>
                </w:tcPr>
                <w:p w14:paraId="632A44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紫杉醇</w:t>
                  </w:r>
                </w:p>
              </w:tc>
              <w:tc>
                <w:tcPr>
                  <w:tcW w:w="621" w:type="pct"/>
                  <w:tcBorders>
                    <w:tl2br w:val="nil"/>
                    <w:tr2bl w:val="nil"/>
                  </w:tcBorders>
                  <w:shd w:val="clear" w:color="auto" w:fill="auto"/>
                  <w:noWrap/>
                  <w:vAlign w:val="center"/>
                </w:tcPr>
                <w:p w14:paraId="0BD045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33069-62-4</w:t>
                  </w:r>
                </w:p>
              </w:tc>
              <w:tc>
                <w:tcPr>
                  <w:tcW w:w="3187" w:type="pct"/>
                  <w:tcBorders>
                    <w:tl2br w:val="nil"/>
                    <w:tr2bl w:val="nil"/>
                  </w:tcBorders>
                  <w:shd w:val="clear" w:color="auto" w:fill="auto"/>
                  <w:noWrap/>
                  <w:vAlign w:val="center"/>
                </w:tcPr>
                <w:p w14:paraId="645096AD">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白色晶体，分子式C</w:t>
                  </w:r>
                  <w:r>
                    <w:rPr>
                      <w:rFonts w:hint="eastAsia" w:ascii="Times New Roman" w:hAnsi="Times New Roman" w:eastAsia="宋体" w:cs="Times New Roman"/>
                      <w:i w:val="0"/>
                      <w:iCs w:val="0"/>
                      <w:color w:val="000000"/>
                      <w:kern w:val="0"/>
                      <w:sz w:val="18"/>
                      <w:szCs w:val="18"/>
                      <w:u w:val="none"/>
                      <w:vertAlign w:val="subscript"/>
                      <w:lang w:val="en-US" w:eastAsia="zh-CN" w:bidi="ar"/>
                    </w:rPr>
                    <w:t>47</w:t>
                  </w:r>
                  <w:r>
                    <w:rPr>
                      <w:rFonts w:hint="default" w:ascii="Times New Roman" w:hAnsi="Times New Roman" w:eastAsia="宋体" w:cs="Times New Roman"/>
                      <w:i w:val="0"/>
                      <w:iCs w:val="0"/>
                      <w:color w:val="000000"/>
                      <w:kern w:val="0"/>
                      <w:sz w:val="18"/>
                      <w:szCs w:val="18"/>
                      <w:u w:val="none"/>
                      <w:lang w:val="en-US" w:eastAsia="zh-CN" w:bidi="ar"/>
                    </w:rPr>
                    <w:t>H</w:t>
                  </w:r>
                  <w:r>
                    <w:rPr>
                      <w:rFonts w:hint="eastAsia" w:ascii="Times New Roman" w:hAnsi="Times New Roman" w:eastAsia="宋体" w:cs="Times New Roman"/>
                      <w:i w:val="0"/>
                      <w:iCs w:val="0"/>
                      <w:color w:val="000000"/>
                      <w:kern w:val="0"/>
                      <w:sz w:val="18"/>
                      <w:szCs w:val="18"/>
                      <w:u w:val="none"/>
                      <w:vertAlign w:val="subscript"/>
                      <w:lang w:val="en-US" w:eastAsia="zh-CN" w:bidi="ar"/>
                    </w:rPr>
                    <w:t>51</w:t>
                  </w:r>
                  <w:r>
                    <w:rPr>
                      <w:rFonts w:hint="default" w:ascii="Times New Roman" w:hAnsi="Times New Roman" w:eastAsia="宋体" w:cs="Times New Roman"/>
                      <w:i w:val="0"/>
                      <w:iCs w:val="0"/>
                      <w:color w:val="000000"/>
                      <w:kern w:val="0"/>
                      <w:sz w:val="18"/>
                      <w:szCs w:val="18"/>
                      <w:u w:val="none"/>
                      <w:lang w:val="en-US" w:eastAsia="zh-CN" w:bidi="ar"/>
                    </w:rPr>
                    <w:t>NO</w:t>
                  </w:r>
                  <w:r>
                    <w:rPr>
                      <w:rFonts w:hint="eastAsia" w:ascii="Times New Roman" w:hAnsi="Times New Roman" w:eastAsia="宋体" w:cs="Times New Roman"/>
                      <w:i w:val="0"/>
                      <w:iCs w:val="0"/>
                      <w:color w:val="000000"/>
                      <w:kern w:val="0"/>
                      <w:sz w:val="18"/>
                      <w:szCs w:val="18"/>
                      <w:u w:val="none"/>
                      <w:vertAlign w:val="subscript"/>
                      <w:lang w:val="en-US" w:eastAsia="zh-CN" w:bidi="ar"/>
                    </w:rPr>
                    <w:t>14</w:t>
                  </w:r>
                  <w:r>
                    <w:rPr>
                      <w:rFonts w:hint="default" w:ascii="Times New Roman" w:hAnsi="Times New Roman" w:eastAsia="宋体" w:cs="Times New Roman"/>
                      <w:i w:val="0"/>
                      <w:iCs w:val="0"/>
                      <w:color w:val="000000"/>
                      <w:kern w:val="0"/>
                      <w:sz w:val="18"/>
                      <w:szCs w:val="18"/>
                      <w:u w:val="none"/>
                      <w:lang w:val="en-US" w:eastAsia="zh-CN" w:bidi="ar"/>
                    </w:rPr>
                    <w:t>、分子量853.92。熔点：213℃，沸点：957.1℃，密度：1.39 g/cm</w:t>
                  </w:r>
                  <w:r>
                    <w:rPr>
                      <w:rFonts w:hint="eastAsia" w:ascii="Times New Roman" w:hAnsi="Times New Roman" w:eastAsia="宋体" w:cs="Times New Roman"/>
                      <w:i w:val="0"/>
                      <w:iCs w:val="0"/>
                      <w:color w:val="000000"/>
                      <w:kern w:val="0"/>
                      <w:sz w:val="18"/>
                      <w:szCs w:val="18"/>
                      <w:u w:val="none"/>
                      <w:vertAlign w:val="super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，闪点：532.6℃，水溶性：难溶于水，易溶于甲醇、乙腈、氯仿、丙酮等有机溶剂。</w:t>
                  </w:r>
                </w:p>
              </w:tc>
            </w:tr>
            <w:tr w14:paraId="6B8DC6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4E8494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011" w:type="pct"/>
                  <w:tcBorders>
                    <w:tl2br w:val="nil"/>
                    <w:tr2bl w:val="nil"/>
                  </w:tcBorders>
                  <w:shd w:val="clear" w:color="auto" w:fill="auto"/>
                  <w:noWrap/>
                  <w:vAlign w:val="center"/>
                </w:tcPr>
                <w:p w14:paraId="5C436A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雷帕霉素</w:t>
                  </w:r>
                </w:p>
              </w:tc>
              <w:tc>
                <w:tcPr>
                  <w:tcW w:w="621" w:type="pct"/>
                  <w:tcBorders>
                    <w:tl2br w:val="nil"/>
                    <w:tr2bl w:val="nil"/>
                  </w:tcBorders>
                  <w:shd w:val="clear" w:color="auto" w:fill="auto"/>
                  <w:noWrap/>
                  <w:vAlign w:val="center"/>
                </w:tcPr>
                <w:p w14:paraId="03E0BC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53123-88-9</w:t>
                  </w:r>
                </w:p>
              </w:tc>
              <w:tc>
                <w:tcPr>
                  <w:tcW w:w="3187" w:type="pct"/>
                  <w:tcBorders>
                    <w:tl2br w:val="nil"/>
                    <w:tr2bl w:val="nil"/>
                  </w:tcBorders>
                  <w:shd w:val="clear" w:color="auto" w:fill="auto"/>
                  <w:noWrap/>
                  <w:vAlign w:val="center"/>
                </w:tcPr>
                <w:p w14:paraId="3B1A6EA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白色至类白色粉末，分子式C</w:t>
                  </w:r>
                  <w:r>
                    <w:rPr>
                      <w:rFonts w:hint="eastAsia" w:ascii="Times New Roman" w:hAnsi="Times New Roman" w:eastAsia="宋体" w:cs="Times New Roman"/>
                      <w:i w:val="0"/>
                      <w:iCs w:val="0"/>
                      <w:color w:val="000000"/>
                      <w:kern w:val="0"/>
                      <w:sz w:val="18"/>
                      <w:szCs w:val="18"/>
                      <w:u w:val="none"/>
                      <w:vertAlign w:val="subscript"/>
                      <w:lang w:val="en-US" w:eastAsia="zh-CN" w:bidi="ar"/>
                    </w:rPr>
                    <w:t>51</w:t>
                  </w:r>
                  <w:r>
                    <w:rPr>
                      <w:rFonts w:hint="default" w:ascii="Times New Roman" w:hAnsi="Times New Roman" w:eastAsia="宋体" w:cs="Times New Roman"/>
                      <w:i w:val="0"/>
                      <w:iCs w:val="0"/>
                      <w:color w:val="000000"/>
                      <w:kern w:val="0"/>
                      <w:sz w:val="18"/>
                      <w:szCs w:val="18"/>
                      <w:u w:val="none"/>
                      <w:lang w:val="en-US" w:eastAsia="zh-CN" w:bidi="ar"/>
                    </w:rPr>
                    <w:t>H</w:t>
                  </w:r>
                  <w:r>
                    <w:rPr>
                      <w:rFonts w:hint="eastAsia" w:ascii="Times New Roman" w:hAnsi="Times New Roman" w:eastAsia="宋体" w:cs="Times New Roman"/>
                      <w:i w:val="0"/>
                      <w:iCs w:val="0"/>
                      <w:color w:val="000000"/>
                      <w:kern w:val="0"/>
                      <w:sz w:val="18"/>
                      <w:szCs w:val="18"/>
                      <w:u w:val="none"/>
                      <w:vertAlign w:val="subscript"/>
                      <w:lang w:val="en-US" w:eastAsia="zh-CN" w:bidi="ar"/>
                    </w:rPr>
                    <w:t>79</w:t>
                  </w:r>
                  <w:r>
                    <w:rPr>
                      <w:rFonts w:hint="default" w:ascii="Times New Roman" w:hAnsi="Times New Roman" w:eastAsia="宋体" w:cs="Times New Roman"/>
                      <w:i w:val="0"/>
                      <w:iCs w:val="0"/>
                      <w:color w:val="000000"/>
                      <w:kern w:val="0"/>
                      <w:sz w:val="18"/>
                      <w:szCs w:val="18"/>
                      <w:u w:val="none"/>
                      <w:lang w:val="en-US" w:eastAsia="zh-CN" w:bidi="ar"/>
                    </w:rPr>
                    <w:t>NO</w:t>
                  </w:r>
                  <w:r>
                    <w:rPr>
                      <w:rFonts w:hint="eastAsia" w:ascii="Times New Roman" w:hAnsi="Times New Roman" w:eastAsia="宋体" w:cs="Times New Roman"/>
                      <w:i w:val="0"/>
                      <w:iCs w:val="0"/>
                      <w:color w:val="000000"/>
                      <w:kern w:val="0"/>
                      <w:sz w:val="18"/>
                      <w:szCs w:val="18"/>
                      <w:u w:val="none"/>
                      <w:vertAlign w:val="subscript"/>
                      <w:lang w:val="en-US" w:eastAsia="zh-CN" w:bidi="ar"/>
                    </w:rPr>
                    <w:t>17</w:t>
                  </w:r>
                  <w:r>
                    <w:rPr>
                      <w:rFonts w:hint="default" w:ascii="Times New Roman" w:hAnsi="Times New Roman" w:eastAsia="宋体" w:cs="Times New Roman"/>
                      <w:i w:val="0"/>
                      <w:iCs w:val="0"/>
                      <w:color w:val="000000"/>
                      <w:kern w:val="0"/>
                      <w:sz w:val="18"/>
                      <w:szCs w:val="18"/>
                      <w:u w:val="none"/>
                      <w:lang w:val="en-US" w:eastAsia="zh-CN" w:bidi="ar"/>
                    </w:rPr>
                    <w:t>、分子量914.17。熔点：183～185℃，沸点：1009.4℃（估算值），密度：1.27 g/cm</w:t>
                  </w:r>
                  <w:r>
                    <w:rPr>
                      <w:rFonts w:hint="eastAsia" w:ascii="Times New Roman" w:hAnsi="Times New Roman" w:eastAsia="宋体" w:cs="Times New Roman"/>
                      <w:i w:val="0"/>
                      <w:iCs w:val="0"/>
                      <w:color w:val="000000"/>
                      <w:kern w:val="0"/>
                      <w:sz w:val="18"/>
                      <w:szCs w:val="18"/>
                      <w:u w:val="none"/>
                      <w:vertAlign w:val="super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，闪点：561.6℃（估算值），水溶性：极难溶于水（约2.6 μg/mL），易溶于甲醇、乙醇、丙酮、氯仿等有机溶剂。</w:t>
                  </w:r>
                </w:p>
              </w:tc>
            </w:tr>
            <w:tr w14:paraId="346B14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0" w:type="pct"/>
                  <w:vMerge w:val="restart"/>
                  <w:tcBorders>
                    <w:tl2br w:val="nil"/>
                    <w:tr2bl w:val="nil"/>
                  </w:tcBorders>
                  <w:shd w:val="clear" w:color="auto" w:fill="auto"/>
                  <w:noWrap/>
                  <w:vAlign w:val="center"/>
                </w:tcPr>
                <w:p w14:paraId="051E11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3</w:t>
                  </w:r>
                </w:p>
              </w:tc>
              <w:tc>
                <w:tcPr>
                  <w:tcW w:w="1632" w:type="pct"/>
                  <w:gridSpan w:val="2"/>
                  <w:tcBorders>
                    <w:tl2br w:val="nil"/>
                    <w:tr2bl w:val="nil"/>
                  </w:tcBorders>
                  <w:shd w:val="clear" w:color="auto" w:fill="auto"/>
                  <w:noWrap/>
                  <w:vAlign w:val="center"/>
                </w:tcPr>
                <w:p w14:paraId="51E98A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医用亲水润滑涂液</w:t>
                  </w:r>
                </w:p>
              </w:tc>
              <w:tc>
                <w:tcPr>
                  <w:tcW w:w="3187" w:type="pct"/>
                  <w:tcBorders>
                    <w:tl2br w:val="nil"/>
                    <w:tr2bl w:val="nil"/>
                  </w:tcBorders>
                  <w:shd w:val="clear" w:color="auto" w:fill="auto"/>
                  <w:noWrap/>
                  <w:vAlign w:val="center"/>
                </w:tcPr>
                <w:p w14:paraId="009FE4E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各组分含量及理化性质见下。由此可知，亲水涂层中挥发份为乙醇，体积分数约为75%。</w:t>
                  </w:r>
                </w:p>
              </w:tc>
            </w:tr>
            <w:tr w14:paraId="41479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0" w:type="pct"/>
                  <w:vMerge w:val="continue"/>
                  <w:tcBorders>
                    <w:tl2br w:val="nil"/>
                    <w:tr2bl w:val="nil"/>
                  </w:tcBorders>
                  <w:shd w:val="clear" w:color="auto" w:fill="auto"/>
                  <w:noWrap/>
                  <w:vAlign w:val="center"/>
                </w:tcPr>
                <w:p w14:paraId="65322C9D">
                  <w:pPr>
                    <w:keepNext w:val="0"/>
                    <w:keepLines w:val="0"/>
                    <w:pageBreakBefore w:val="0"/>
                    <w:widowControl/>
                    <w:suppressLineNumbers w:val="0"/>
                    <w:kinsoku/>
                    <w:wordWrap/>
                    <w:overflowPunct/>
                    <w:topLinePunct w:val="0"/>
                    <w:autoSpaceDE/>
                    <w:autoSpaceDN/>
                    <w:bidi w:val="0"/>
                    <w:adjustRightInd/>
                    <w:snapToGrid/>
                    <w:jc w:val="both"/>
                    <w:textAlignment w:val="center"/>
                  </w:pPr>
                </w:p>
              </w:tc>
              <w:tc>
                <w:tcPr>
                  <w:tcW w:w="1011" w:type="pct"/>
                  <w:tcBorders>
                    <w:tl2br w:val="nil"/>
                    <w:tr2bl w:val="nil"/>
                  </w:tcBorders>
                  <w:shd w:val="clear" w:color="auto" w:fill="auto"/>
                  <w:noWrap/>
                  <w:vAlign w:val="center"/>
                </w:tcPr>
                <w:p w14:paraId="0817B8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kern w:val="0"/>
                      <w:sz w:val="18"/>
                      <w:szCs w:val="18"/>
                      <w:u w:val="none"/>
                      <w:lang w:val="en-US" w:eastAsia="zh-CN" w:bidi="ar"/>
                    </w:rPr>
                    <w:t>聚维酮</w:t>
                  </w:r>
                </w:p>
              </w:tc>
              <w:tc>
                <w:tcPr>
                  <w:tcW w:w="621" w:type="pct"/>
                  <w:tcBorders>
                    <w:tl2br w:val="nil"/>
                    <w:tr2bl w:val="nil"/>
                  </w:tcBorders>
                  <w:shd w:val="clear" w:color="auto" w:fill="auto"/>
                  <w:noWrap/>
                  <w:vAlign w:val="center"/>
                </w:tcPr>
                <w:p w14:paraId="16D5C8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9003-39-8</w:t>
                  </w:r>
                </w:p>
              </w:tc>
              <w:tc>
                <w:tcPr>
                  <w:tcW w:w="3187" w:type="pct"/>
                  <w:tcBorders>
                    <w:tl2br w:val="nil"/>
                    <w:tr2bl w:val="nil"/>
                  </w:tcBorders>
                  <w:shd w:val="clear" w:color="auto" w:fill="auto"/>
                  <w:noWrap/>
                  <w:vAlign w:val="center"/>
                </w:tcPr>
                <w:p w14:paraId="786276A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kern w:val="0"/>
                      <w:sz w:val="18"/>
                      <w:szCs w:val="18"/>
                      <w:u w:val="none"/>
                      <w:lang w:val="en-US" w:eastAsia="zh-CN" w:bidi="ar"/>
                    </w:rPr>
                    <w:t>Polyvidone，PVP，分子式为(C</w:t>
                  </w:r>
                  <w:r>
                    <w:rPr>
                      <w:rFonts w:hint="eastAsia" w:cs="Times New Roman"/>
                      <w:i w:val="0"/>
                      <w:iCs w:val="0"/>
                      <w:color w:val="000000"/>
                      <w:kern w:val="0"/>
                      <w:sz w:val="18"/>
                      <w:szCs w:val="18"/>
                      <w:u w:val="none"/>
                      <w:vertAlign w:val="subscript"/>
                      <w:lang w:val="en-US" w:eastAsia="zh-CN" w:bidi="ar"/>
                    </w:rPr>
                    <w:t>6</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9</w:t>
                  </w:r>
                  <w:r>
                    <w:rPr>
                      <w:rFonts w:hint="eastAsia" w:cs="Times New Roman"/>
                      <w:i w:val="0"/>
                      <w:iCs w:val="0"/>
                      <w:color w:val="000000"/>
                      <w:kern w:val="0"/>
                      <w:sz w:val="18"/>
                      <w:szCs w:val="18"/>
                      <w:u w:val="none"/>
                      <w:lang w:val="en-US" w:eastAsia="zh-CN" w:bidi="ar"/>
                    </w:rPr>
                    <w:t>NO)</w:t>
                  </w:r>
                  <w:r>
                    <w:rPr>
                      <w:rFonts w:hint="eastAsia" w:cs="Times New Roman"/>
                      <w:i w:val="0"/>
                      <w:iCs w:val="0"/>
                      <w:color w:val="000000"/>
                      <w:kern w:val="0"/>
                      <w:sz w:val="18"/>
                      <w:szCs w:val="18"/>
                      <w:u w:val="none"/>
                      <w:vertAlign w:val="subscript"/>
                      <w:lang w:val="en-US" w:eastAsia="zh-CN" w:bidi="ar"/>
                    </w:rPr>
                    <w:t>n</w:t>
                  </w:r>
                  <w:r>
                    <w:rPr>
                      <w:rFonts w:hint="eastAsia" w:cs="Times New Roman"/>
                      <w:i w:val="0"/>
                      <w:iCs w:val="0"/>
                      <w:color w:val="000000"/>
                      <w:kern w:val="0"/>
                      <w:sz w:val="18"/>
                      <w:szCs w:val="18"/>
                      <w:u w:val="none"/>
                      <w:vertAlign w:val="baseline"/>
                      <w:lang w:val="en-US" w:eastAsia="zh-CN" w:bidi="ar"/>
                    </w:rPr>
                    <w:t>，白色粉末，熔点130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，化学性质稳定。</w:t>
                  </w:r>
                </w:p>
              </w:tc>
            </w:tr>
            <w:tr w14:paraId="06233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0" w:type="pct"/>
                  <w:vMerge w:val="continue"/>
                  <w:tcBorders>
                    <w:tl2br w:val="nil"/>
                    <w:tr2bl w:val="nil"/>
                  </w:tcBorders>
                  <w:shd w:val="clear" w:color="auto" w:fill="auto"/>
                  <w:noWrap/>
                  <w:vAlign w:val="center"/>
                </w:tcPr>
                <w:p w14:paraId="1FA569B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lang w:val="en-US" w:eastAsia="zh-CN"/>
                    </w:rPr>
                  </w:pPr>
                </w:p>
              </w:tc>
              <w:tc>
                <w:tcPr>
                  <w:tcW w:w="1011" w:type="pct"/>
                  <w:tcBorders>
                    <w:tl2br w:val="nil"/>
                    <w:tr2bl w:val="nil"/>
                  </w:tcBorders>
                  <w:shd w:val="clear" w:color="auto" w:fill="auto"/>
                  <w:noWrap/>
                  <w:vAlign w:val="center"/>
                </w:tcPr>
                <w:p w14:paraId="292E83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sz w:val="18"/>
                      <w:szCs w:val="18"/>
                      <w:u w:val="none"/>
                      <w:lang w:val="en-US" w:eastAsia="zh-CN"/>
                    </w:rPr>
                    <w:t>乙醇</w:t>
                  </w:r>
                </w:p>
              </w:tc>
              <w:tc>
                <w:tcPr>
                  <w:tcW w:w="621" w:type="pct"/>
                  <w:tcBorders>
                    <w:tl2br w:val="nil"/>
                    <w:tr2bl w:val="nil"/>
                  </w:tcBorders>
                  <w:shd w:val="clear" w:color="auto" w:fill="auto"/>
                  <w:noWrap/>
                  <w:vAlign w:val="center"/>
                </w:tcPr>
                <w:p w14:paraId="4D225E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sz w:val="18"/>
                      <w:szCs w:val="18"/>
                      <w:u w:val="none"/>
                      <w:lang w:val="en-US" w:eastAsia="zh-CN"/>
                    </w:rPr>
                    <w:t>64-17-5</w:t>
                  </w:r>
                </w:p>
              </w:tc>
              <w:tc>
                <w:tcPr>
                  <w:tcW w:w="3187" w:type="pct"/>
                  <w:tcBorders>
                    <w:tl2br w:val="nil"/>
                    <w:tr2bl w:val="nil"/>
                  </w:tcBorders>
                  <w:shd w:val="clear" w:color="auto" w:fill="auto"/>
                  <w:noWrap/>
                  <w:vAlign w:val="center"/>
                </w:tcPr>
                <w:p w14:paraId="30E770CD">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lang w:val="en-US" w:eastAsia="zh-CN"/>
                    </w:rPr>
                  </w:pPr>
                  <w:r>
                    <w:rPr>
                      <w:rFonts w:hint="eastAsia" w:cs="Times New Roman"/>
                      <w:i w:val="0"/>
                      <w:iCs w:val="0"/>
                      <w:color w:val="000000"/>
                      <w:sz w:val="18"/>
                      <w:szCs w:val="18"/>
                      <w:u w:val="none"/>
                      <w:lang w:val="en-US" w:eastAsia="zh-CN"/>
                    </w:rPr>
                    <w:t>作为溶剂。</w:t>
                  </w:r>
                </w:p>
              </w:tc>
            </w:tr>
            <w:tr w14:paraId="61CC4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restart"/>
                  <w:tcBorders>
                    <w:tl2br w:val="nil"/>
                    <w:tr2bl w:val="nil"/>
                  </w:tcBorders>
                  <w:shd w:val="clear" w:color="auto" w:fill="auto"/>
                  <w:noWrap/>
                  <w:vAlign w:val="center"/>
                </w:tcPr>
                <w:p w14:paraId="07A396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632" w:type="pct"/>
                  <w:gridSpan w:val="2"/>
                  <w:tcBorders>
                    <w:tl2br w:val="nil"/>
                    <w:tr2bl w:val="nil"/>
                  </w:tcBorders>
                  <w:shd w:val="clear" w:color="auto" w:fill="auto"/>
                  <w:noWrap/>
                  <w:vAlign w:val="center"/>
                </w:tcPr>
                <w:p w14:paraId="77508B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UV胶</w:t>
                  </w:r>
                </w:p>
              </w:tc>
              <w:tc>
                <w:tcPr>
                  <w:tcW w:w="3187" w:type="pct"/>
                  <w:tcBorders>
                    <w:tl2br w:val="nil"/>
                    <w:tr2bl w:val="nil"/>
                  </w:tcBorders>
                  <w:shd w:val="clear" w:color="auto" w:fill="auto"/>
                  <w:noWrap/>
                  <w:vAlign w:val="center"/>
                </w:tcPr>
                <w:p w14:paraId="7959446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各组分含量及理化性质见下。根据物料MSDS，属于本体型胶粘剂，丙烯酸酯类，VOCs含量&lt;80 g/kg</w:t>
                  </w:r>
                </w:p>
              </w:tc>
            </w:tr>
            <w:tr w14:paraId="60096B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1DCB70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7A9B85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异冰片基丙烯酸酯</w:t>
                  </w:r>
                </w:p>
              </w:tc>
              <w:tc>
                <w:tcPr>
                  <w:tcW w:w="621" w:type="pct"/>
                  <w:tcBorders>
                    <w:tl2br w:val="nil"/>
                    <w:tr2bl w:val="nil"/>
                  </w:tcBorders>
                  <w:shd w:val="clear" w:color="auto" w:fill="auto"/>
                  <w:noWrap/>
                  <w:vAlign w:val="center"/>
                </w:tcPr>
                <w:p w14:paraId="1ADB51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5888-33-5</w:t>
                  </w:r>
                </w:p>
              </w:tc>
              <w:tc>
                <w:tcPr>
                  <w:tcW w:w="3187" w:type="pct"/>
                  <w:tcBorders>
                    <w:tl2br w:val="nil"/>
                    <w:tr2bl w:val="nil"/>
                  </w:tcBorders>
                  <w:shd w:val="clear" w:color="auto" w:fill="auto"/>
                  <w:noWrap/>
                  <w:vAlign w:val="center"/>
                </w:tcPr>
                <w:p w14:paraId="351573A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含量30~50%，无色至淡黄色透明液体，分子式C</w:t>
                  </w:r>
                  <w:r>
                    <w:rPr>
                      <w:rFonts w:hint="eastAsia" w:cs="Times New Roman"/>
                      <w:i w:val="0"/>
                      <w:iCs w:val="0"/>
                      <w:color w:val="000000"/>
                      <w:kern w:val="0"/>
                      <w:sz w:val="18"/>
                      <w:szCs w:val="18"/>
                      <w:u w:val="none"/>
                      <w:vertAlign w:val="subscript"/>
                      <w:lang w:val="en-US" w:eastAsia="zh-CN" w:bidi="ar"/>
                    </w:rPr>
                    <w:t>13</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20</w:t>
                  </w:r>
                  <w:r>
                    <w:rPr>
                      <w:rFonts w:hint="eastAsia" w:cs="Times New Roman"/>
                      <w:i w:val="0"/>
                      <w:iCs w:val="0"/>
                      <w:color w:val="000000"/>
                      <w:kern w:val="0"/>
                      <w:sz w:val="18"/>
                      <w:szCs w:val="18"/>
                      <w:u w:val="none"/>
                      <w:lang w:val="en-US" w:eastAsia="zh-CN" w:bidi="ar"/>
                    </w:rPr>
                    <w:t>O</w:t>
                  </w:r>
                  <w:r>
                    <w:rPr>
                      <w:rFonts w:hint="eastAsia" w:cs="Times New Roman"/>
                      <w:i w:val="0"/>
                      <w:iCs w:val="0"/>
                      <w:color w:val="000000"/>
                      <w:kern w:val="0"/>
                      <w:sz w:val="18"/>
                      <w:szCs w:val="18"/>
                      <w:u w:val="none"/>
                      <w:vertAlign w:val="subscript"/>
                      <w:lang w:val="en-US" w:eastAsia="zh-CN" w:bidi="ar"/>
                    </w:rPr>
                    <w:t>2</w:t>
                  </w:r>
                  <w:r>
                    <w:rPr>
                      <w:rFonts w:hint="eastAsia" w:cs="Times New Roman"/>
                      <w:i w:val="0"/>
                      <w:iCs w:val="0"/>
                      <w:color w:val="000000"/>
                      <w:kern w:val="0"/>
                      <w:sz w:val="18"/>
                      <w:szCs w:val="18"/>
                      <w:u w:val="none"/>
                      <w:lang w:val="en-US" w:eastAsia="zh-CN" w:bidi="ar"/>
                    </w:rPr>
                    <w:t>，分子量208.30。熔点：约-50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，沸点：约265～270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，密度：1.006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，闪点：约105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，不溶于水，溶于有机溶剂，具有低气味、低挥发性特点。</w:t>
                  </w:r>
                </w:p>
              </w:tc>
            </w:tr>
            <w:tr w14:paraId="290D4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6D6CF8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606C6C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N,N,-二甲基丙烯酰胺</w:t>
                  </w:r>
                </w:p>
              </w:tc>
              <w:tc>
                <w:tcPr>
                  <w:tcW w:w="621" w:type="pct"/>
                  <w:tcBorders>
                    <w:tl2br w:val="nil"/>
                    <w:tr2bl w:val="nil"/>
                  </w:tcBorders>
                  <w:shd w:val="clear" w:color="auto" w:fill="auto"/>
                  <w:noWrap/>
                  <w:vAlign w:val="center"/>
                </w:tcPr>
                <w:p w14:paraId="447D58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2680-03-7</w:t>
                  </w:r>
                </w:p>
              </w:tc>
              <w:tc>
                <w:tcPr>
                  <w:tcW w:w="3187" w:type="pct"/>
                  <w:tcBorders>
                    <w:tl2br w:val="nil"/>
                    <w:tr2bl w:val="nil"/>
                  </w:tcBorders>
                  <w:shd w:val="clear" w:color="auto" w:fill="auto"/>
                  <w:noWrap/>
                  <w:vAlign w:val="center"/>
                </w:tcPr>
                <w:p w14:paraId="55282D7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含量10~20%，无色至淡黄色液体，分子式C</w:t>
                  </w:r>
                  <w:r>
                    <w:rPr>
                      <w:rFonts w:hint="eastAsia" w:cs="Times New Roman"/>
                      <w:i w:val="0"/>
                      <w:iCs w:val="0"/>
                      <w:color w:val="000000"/>
                      <w:kern w:val="0"/>
                      <w:sz w:val="18"/>
                      <w:szCs w:val="18"/>
                      <w:u w:val="none"/>
                      <w:vertAlign w:val="subscript"/>
                      <w:lang w:val="en-US" w:eastAsia="zh-CN" w:bidi="ar"/>
                    </w:rPr>
                    <w:t>5</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9</w:t>
                  </w:r>
                  <w:r>
                    <w:rPr>
                      <w:rFonts w:hint="eastAsia" w:cs="Times New Roman"/>
                      <w:i w:val="0"/>
                      <w:iCs w:val="0"/>
                      <w:color w:val="000000"/>
                      <w:kern w:val="0"/>
                      <w:sz w:val="18"/>
                      <w:szCs w:val="18"/>
                      <w:u w:val="none"/>
                      <w:lang w:val="en-US" w:eastAsia="zh-CN" w:bidi="ar"/>
                    </w:rPr>
                    <w:t>NO，分子量99.13。熔点：约-10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，沸点：约171～175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，密度：1.044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，闪点：约71</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，与水混溶，易溶于有机溶剂，具有一定刺激性。</w:t>
                  </w:r>
                </w:p>
              </w:tc>
            </w:tr>
            <w:tr w14:paraId="0DB24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008759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41012E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2,2-二甲氧基-苯基乙酮</w:t>
                  </w:r>
                </w:p>
              </w:tc>
              <w:tc>
                <w:tcPr>
                  <w:tcW w:w="621" w:type="pct"/>
                  <w:tcBorders>
                    <w:tl2br w:val="nil"/>
                    <w:tr2bl w:val="nil"/>
                  </w:tcBorders>
                  <w:shd w:val="clear" w:color="auto" w:fill="auto"/>
                  <w:noWrap/>
                  <w:vAlign w:val="center"/>
                </w:tcPr>
                <w:p w14:paraId="28D33A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24650-42-8</w:t>
                  </w:r>
                </w:p>
              </w:tc>
              <w:tc>
                <w:tcPr>
                  <w:tcW w:w="3187" w:type="pct"/>
                  <w:tcBorders>
                    <w:tl2br w:val="nil"/>
                    <w:tr2bl w:val="nil"/>
                  </w:tcBorders>
                  <w:shd w:val="clear" w:color="auto" w:fill="auto"/>
                  <w:noWrap/>
                  <w:vAlign w:val="center"/>
                </w:tcPr>
                <w:p w14:paraId="7A7A797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含量2.5~10%，白色至类白色结晶，分子式C</w:t>
                  </w:r>
                  <w:r>
                    <w:rPr>
                      <w:rFonts w:hint="eastAsia" w:cs="Times New Roman"/>
                      <w:i w:val="0"/>
                      <w:iCs w:val="0"/>
                      <w:color w:val="000000"/>
                      <w:kern w:val="0"/>
                      <w:sz w:val="18"/>
                      <w:szCs w:val="18"/>
                      <w:u w:val="none"/>
                      <w:vertAlign w:val="subscript"/>
                      <w:lang w:val="en-US" w:eastAsia="zh-CN" w:bidi="ar"/>
                    </w:rPr>
                    <w:t>16</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16</w:t>
                  </w:r>
                  <w:r>
                    <w:rPr>
                      <w:rFonts w:hint="eastAsia" w:cs="Times New Roman"/>
                      <w:i w:val="0"/>
                      <w:iCs w:val="0"/>
                      <w:color w:val="000000"/>
                      <w:kern w:val="0"/>
                      <w:sz w:val="18"/>
                      <w:szCs w:val="18"/>
                      <w:u w:val="none"/>
                      <w:lang w:val="en-US" w:eastAsia="zh-CN" w:bidi="ar"/>
                    </w:rPr>
                    <w:t>O</w:t>
                  </w:r>
                  <w:r>
                    <w:rPr>
                      <w:rFonts w:hint="eastAsia" w:cs="Times New Roman"/>
                      <w:i w:val="0"/>
                      <w:iCs w:val="0"/>
                      <w:color w:val="000000"/>
                      <w:kern w:val="0"/>
                      <w:sz w:val="18"/>
                      <w:szCs w:val="18"/>
                      <w:u w:val="none"/>
                      <w:vertAlign w:val="subscript"/>
                      <w:lang w:val="en-US" w:eastAsia="zh-CN" w:bidi="ar"/>
                    </w:rPr>
                    <w:t>3</w:t>
                  </w:r>
                  <w:r>
                    <w:rPr>
                      <w:rFonts w:hint="eastAsia" w:cs="Times New Roman"/>
                      <w:i w:val="0"/>
                      <w:iCs w:val="0"/>
                      <w:color w:val="000000"/>
                      <w:kern w:val="0"/>
                      <w:sz w:val="18"/>
                      <w:szCs w:val="18"/>
                      <w:u w:val="none"/>
                      <w:lang w:val="en-US" w:eastAsia="zh-CN" w:bidi="ar"/>
                    </w:rPr>
                    <w:t>，分子量256.30。熔点：64～67</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，沸点：约335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，密度：1.09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，闪点：约149</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，不溶于水，溶于多数有机溶剂。</w:t>
                  </w:r>
                </w:p>
              </w:tc>
            </w:tr>
            <w:tr w14:paraId="2E87C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283F85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20A317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硅烷类</w:t>
                  </w:r>
                </w:p>
              </w:tc>
              <w:tc>
                <w:tcPr>
                  <w:tcW w:w="621" w:type="pct"/>
                  <w:tcBorders>
                    <w:tl2br w:val="nil"/>
                    <w:tr2bl w:val="nil"/>
                  </w:tcBorders>
                  <w:shd w:val="clear" w:color="auto" w:fill="auto"/>
                  <w:noWrap/>
                  <w:vAlign w:val="center"/>
                </w:tcPr>
                <w:p w14:paraId="03705F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3187" w:type="pct"/>
                  <w:tcBorders>
                    <w:tl2br w:val="nil"/>
                    <w:tr2bl w:val="nil"/>
                  </w:tcBorders>
                  <w:shd w:val="clear" w:color="auto" w:fill="auto"/>
                  <w:noWrap/>
                  <w:vAlign w:val="center"/>
                </w:tcPr>
                <w:p w14:paraId="39118BB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含量1~2.5%，有机硅烷偶联剂，通常为含硅氧烷结构的有机化合物，分子量100～500，性状多为无色或淡黄色液体，密度约0.9～1.1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，沸点因具体品种不同差异较大（约100～250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），遇水易水解。</w:t>
                  </w:r>
                </w:p>
              </w:tc>
            </w:tr>
            <w:tr w14:paraId="0FA407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397B50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66BDB7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光引发剂</w:t>
                  </w:r>
                </w:p>
              </w:tc>
              <w:tc>
                <w:tcPr>
                  <w:tcW w:w="621" w:type="pct"/>
                  <w:tcBorders>
                    <w:tl2br w:val="nil"/>
                    <w:tr2bl w:val="nil"/>
                  </w:tcBorders>
                  <w:shd w:val="clear" w:color="auto" w:fill="auto"/>
                  <w:noWrap/>
                  <w:vAlign w:val="center"/>
                </w:tcPr>
                <w:p w14:paraId="0B3463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3187" w:type="pct"/>
                  <w:tcBorders>
                    <w:tl2br w:val="nil"/>
                    <w:tr2bl w:val="nil"/>
                  </w:tcBorders>
                  <w:shd w:val="clear" w:color="auto" w:fill="auto"/>
                  <w:noWrap/>
                  <w:vAlign w:val="center"/>
                </w:tcPr>
                <w:p w14:paraId="6D3FE01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含量1~2.5%，通用型UV光引发剂，具体品种未明确，通常为固体或液体，分子量200～500，沸点多在300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以上，常温挥发性普遍较低，UV照射后分解产生自由基。</w:t>
                  </w:r>
                </w:p>
              </w:tc>
            </w:tr>
            <w:tr w14:paraId="45C0D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73FB72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07E291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莰烯</w:t>
                  </w:r>
                </w:p>
              </w:tc>
              <w:tc>
                <w:tcPr>
                  <w:tcW w:w="621" w:type="pct"/>
                  <w:tcBorders>
                    <w:tl2br w:val="nil"/>
                    <w:tr2bl w:val="nil"/>
                  </w:tcBorders>
                  <w:shd w:val="clear" w:color="auto" w:fill="auto"/>
                  <w:noWrap/>
                  <w:vAlign w:val="center"/>
                </w:tcPr>
                <w:p w14:paraId="02D6F8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79-92-5</w:t>
                  </w:r>
                </w:p>
              </w:tc>
              <w:tc>
                <w:tcPr>
                  <w:tcW w:w="3187" w:type="pct"/>
                  <w:tcBorders>
                    <w:tl2br w:val="nil"/>
                    <w:tr2bl w:val="nil"/>
                  </w:tcBorders>
                  <w:shd w:val="clear" w:color="auto" w:fill="auto"/>
                  <w:noWrap/>
                  <w:vAlign w:val="center"/>
                </w:tcPr>
                <w:p w14:paraId="55E2C7F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含量0.1~0.25%，白色固态结晶，分子式C</w:t>
                  </w:r>
                  <w:r>
                    <w:rPr>
                      <w:rFonts w:hint="eastAsia" w:cs="Times New Roman"/>
                      <w:i w:val="0"/>
                      <w:iCs w:val="0"/>
                      <w:color w:val="000000"/>
                      <w:kern w:val="0"/>
                      <w:sz w:val="18"/>
                      <w:szCs w:val="18"/>
                      <w:u w:val="none"/>
                      <w:vertAlign w:val="subscript"/>
                      <w:lang w:val="en-US" w:eastAsia="zh-CN" w:bidi="ar"/>
                    </w:rPr>
                    <w:t>10</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16</w:t>
                  </w:r>
                  <w:r>
                    <w:rPr>
                      <w:rFonts w:hint="eastAsia" w:cs="Times New Roman"/>
                      <w:i w:val="0"/>
                      <w:iCs w:val="0"/>
                      <w:color w:val="000000"/>
                      <w:kern w:val="0"/>
                      <w:sz w:val="18"/>
                      <w:szCs w:val="18"/>
                      <w:u w:val="none"/>
                      <w:lang w:val="en-US" w:eastAsia="zh-CN" w:bidi="ar"/>
                    </w:rPr>
                    <w:t>，分子量136.23。熔点：48～52</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，沸点：159～160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，密度：0.842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，闪点：约35～38</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，不溶于水，溶于有机溶剂，具有松香气味，常温下具有明显升华性。</w:t>
                  </w:r>
                </w:p>
              </w:tc>
            </w:tr>
            <w:tr w14:paraId="4484C5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78F8FB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75352E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1,7,7-三甲基三环[2.2.1.02,6]庚烷</w:t>
                  </w:r>
                </w:p>
              </w:tc>
              <w:tc>
                <w:tcPr>
                  <w:tcW w:w="621" w:type="pct"/>
                  <w:tcBorders>
                    <w:tl2br w:val="nil"/>
                    <w:tr2bl w:val="nil"/>
                  </w:tcBorders>
                  <w:shd w:val="clear" w:color="auto" w:fill="auto"/>
                  <w:noWrap/>
                  <w:vAlign w:val="center"/>
                </w:tcPr>
                <w:p w14:paraId="10E725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508-32-7</w:t>
                  </w:r>
                </w:p>
              </w:tc>
              <w:tc>
                <w:tcPr>
                  <w:tcW w:w="3187" w:type="pct"/>
                  <w:tcBorders>
                    <w:tl2br w:val="nil"/>
                    <w:tr2bl w:val="nil"/>
                  </w:tcBorders>
                  <w:shd w:val="clear" w:color="auto" w:fill="auto"/>
                  <w:noWrap/>
                  <w:vAlign w:val="center"/>
                </w:tcPr>
                <w:p w14:paraId="126B547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含量0.1~0.25%，白色蜡状固体，分子式C</w:t>
                  </w:r>
                  <w:r>
                    <w:rPr>
                      <w:rFonts w:hint="eastAsia" w:cs="Times New Roman"/>
                      <w:i w:val="0"/>
                      <w:iCs w:val="0"/>
                      <w:color w:val="000000"/>
                      <w:kern w:val="0"/>
                      <w:sz w:val="18"/>
                      <w:szCs w:val="18"/>
                      <w:u w:val="none"/>
                      <w:vertAlign w:val="subscript"/>
                      <w:lang w:val="en-US" w:eastAsia="zh-CN" w:bidi="ar"/>
                    </w:rPr>
                    <w:t>10</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16</w:t>
                  </w:r>
                  <w:r>
                    <w:rPr>
                      <w:rFonts w:hint="eastAsia" w:cs="Times New Roman"/>
                      <w:i w:val="0"/>
                      <w:iCs w:val="0"/>
                      <w:color w:val="000000"/>
                      <w:kern w:val="0"/>
                      <w:sz w:val="18"/>
                      <w:szCs w:val="18"/>
                      <w:u w:val="none"/>
                      <w:lang w:val="en-US" w:eastAsia="zh-CN" w:bidi="ar"/>
                    </w:rPr>
                    <w:t>，分子量136.23。熔点：158～162</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，沸点：约175～180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，密度：约0.87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，闪点：约50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，不溶于水，溶于有机溶剂，具有类似萜烯气味。</w:t>
                  </w:r>
                </w:p>
              </w:tc>
            </w:tr>
            <w:tr w14:paraId="6CFFF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44EAC4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auto"/>
                  <w:noWrap/>
                  <w:vAlign w:val="center"/>
                </w:tcPr>
                <w:p w14:paraId="7B43FD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丙烯酸-2-羟乙基酯</w:t>
                  </w:r>
                </w:p>
              </w:tc>
              <w:tc>
                <w:tcPr>
                  <w:tcW w:w="621" w:type="pct"/>
                  <w:tcBorders>
                    <w:tl2br w:val="nil"/>
                    <w:tr2bl w:val="nil"/>
                  </w:tcBorders>
                  <w:shd w:val="clear" w:color="auto" w:fill="auto"/>
                  <w:noWrap/>
                  <w:vAlign w:val="center"/>
                </w:tcPr>
                <w:p w14:paraId="6A8E50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818-61-1</w:t>
                  </w:r>
                </w:p>
              </w:tc>
              <w:tc>
                <w:tcPr>
                  <w:tcW w:w="3187" w:type="pct"/>
                  <w:tcBorders>
                    <w:tl2br w:val="nil"/>
                    <w:tr2bl w:val="nil"/>
                  </w:tcBorders>
                  <w:shd w:val="clear" w:color="auto" w:fill="auto"/>
                  <w:noWrap/>
                  <w:vAlign w:val="center"/>
                </w:tcPr>
                <w:p w14:paraId="16DAC92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含量0.1~0.2%，无色透明液体，分子式C</w:t>
                  </w:r>
                  <w:r>
                    <w:rPr>
                      <w:rFonts w:hint="eastAsia" w:cs="Times New Roman"/>
                      <w:i w:val="0"/>
                      <w:iCs w:val="0"/>
                      <w:color w:val="000000"/>
                      <w:kern w:val="0"/>
                      <w:sz w:val="18"/>
                      <w:szCs w:val="18"/>
                      <w:u w:val="none"/>
                      <w:vertAlign w:val="subscript"/>
                      <w:lang w:val="en-US" w:eastAsia="zh-CN" w:bidi="ar"/>
                    </w:rPr>
                    <w:t>5</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8</w:t>
                  </w:r>
                  <w:r>
                    <w:rPr>
                      <w:rFonts w:hint="eastAsia" w:cs="Times New Roman"/>
                      <w:i w:val="0"/>
                      <w:iCs w:val="0"/>
                      <w:color w:val="000000"/>
                      <w:kern w:val="0"/>
                      <w:sz w:val="18"/>
                      <w:szCs w:val="18"/>
                      <w:u w:val="none"/>
                      <w:lang w:val="en-US" w:eastAsia="zh-CN" w:bidi="ar"/>
                    </w:rPr>
                    <w:t>O</w:t>
                  </w:r>
                  <w:r>
                    <w:rPr>
                      <w:rFonts w:hint="eastAsia" w:cs="Times New Roman"/>
                      <w:i w:val="0"/>
                      <w:iCs w:val="0"/>
                      <w:color w:val="000000"/>
                      <w:kern w:val="0"/>
                      <w:sz w:val="18"/>
                      <w:szCs w:val="18"/>
                      <w:u w:val="none"/>
                      <w:vertAlign w:val="subscript"/>
                      <w:lang w:val="en-US" w:eastAsia="zh-CN" w:bidi="ar"/>
                    </w:rPr>
                    <w:t>3</w:t>
                  </w:r>
                  <w:r>
                    <w:rPr>
                      <w:rFonts w:hint="eastAsia" w:cs="Times New Roman"/>
                      <w:i w:val="0"/>
                      <w:iCs w:val="0"/>
                      <w:color w:val="000000"/>
                      <w:kern w:val="0"/>
                      <w:sz w:val="18"/>
                      <w:szCs w:val="18"/>
                      <w:u w:val="none"/>
                      <w:lang w:val="en-US" w:eastAsia="zh-CN" w:bidi="ar"/>
                    </w:rPr>
                    <w:t>，分子量116.12。熔点：约-60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，沸点：约191</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，密度：1.107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，闪点：约85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，与水混溶，溶于有机溶剂，具有刺激性和皮肤致敏性，属有害物质。</w:t>
                  </w:r>
                </w:p>
              </w:tc>
            </w:tr>
            <w:tr w14:paraId="51272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0C4FA8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011" w:type="pct"/>
                  <w:tcBorders>
                    <w:tl2br w:val="nil"/>
                    <w:tr2bl w:val="nil"/>
                  </w:tcBorders>
                  <w:shd w:val="clear" w:color="auto" w:fill="FFFFFF"/>
                  <w:noWrap/>
                  <w:vAlign w:val="center"/>
                </w:tcPr>
                <w:p w14:paraId="2CDBBB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异丙醇</w:t>
                  </w:r>
                </w:p>
              </w:tc>
              <w:tc>
                <w:tcPr>
                  <w:tcW w:w="621" w:type="pct"/>
                  <w:tcBorders>
                    <w:tl2br w:val="nil"/>
                    <w:tr2bl w:val="nil"/>
                  </w:tcBorders>
                  <w:shd w:val="clear" w:color="auto" w:fill="auto"/>
                  <w:noWrap/>
                  <w:vAlign w:val="center"/>
                </w:tcPr>
                <w:p w14:paraId="231ABA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67-63-0</w:t>
                  </w:r>
                </w:p>
              </w:tc>
              <w:tc>
                <w:tcPr>
                  <w:tcW w:w="3187" w:type="pct"/>
                  <w:tcBorders>
                    <w:tl2br w:val="nil"/>
                    <w:tr2bl w:val="nil"/>
                  </w:tcBorders>
                  <w:shd w:val="clear" w:color="auto" w:fill="auto"/>
                  <w:noWrap/>
                  <w:vAlign w:val="center"/>
                </w:tcPr>
                <w:p w14:paraId="2104EC7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无色透明液体，有轻微醇香气味，分子式C₃H₈O、分子量60.10。熔点：-88℃，沸点：82.5℃，密度：0.786 g/cm³（20℃），闪点：12℃（闭杯），水溶性：与水混溶，可溶于乙醇、乙醚、氯仿等多种有机溶剂。</w:t>
                  </w:r>
                </w:p>
              </w:tc>
            </w:tr>
            <w:tr w14:paraId="07D38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2EFBFD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011" w:type="pct"/>
                  <w:tcBorders>
                    <w:tl2br w:val="nil"/>
                    <w:tr2bl w:val="nil"/>
                  </w:tcBorders>
                  <w:shd w:val="clear" w:color="auto" w:fill="FFFFFF"/>
                  <w:noWrap/>
                  <w:vAlign w:val="center"/>
                </w:tcPr>
                <w:p w14:paraId="7D59AF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无水乙醚</w:t>
                  </w:r>
                </w:p>
              </w:tc>
              <w:tc>
                <w:tcPr>
                  <w:tcW w:w="621" w:type="pct"/>
                  <w:tcBorders>
                    <w:tl2br w:val="nil"/>
                    <w:tr2bl w:val="nil"/>
                  </w:tcBorders>
                  <w:shd w:val="clear" w:color="auto" w:fill="auto"/>
                  <w:noWrap/>
                  <w:vAlign w:val="center"/>
                </w:tcPr>
                <w:p w14:paraId="42107B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60-29-7</w:t>
                  </w:r>
                </w:p>
              </w:tc>
              <w:tc>
                <w:tcPr>
                  <w:tcW w:w="3187" w:type="pct"/>
                  <w:tcBorders>
                    <w:tl2br w:val="nil"/>
                    <w:tr2bl w:val="nil"/>
                  </w:tcBorders>
                  <w:shd w:val="clear" w:color="auto" w:fill="auto"/>
                  <w:noWrap/>
                  <w:vAlign w:val="center"/>
                </w:tcPr>
                <w:p w14:paraId="0741B9D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无色透明液体，具有特殊芳香气味，分子式C₄H₁₀O、分子量74.12。熔点：-116.3℃，沸点：34.6℃，密度：0.713 g/cm³（20℃），闪点：-45℃（闭杯），水溶性：微溶于水（6.9 g/100 mL，20℃），与乙醇、苯、氯仿等有机溶剂混溶。</w:t>
                  </w:r>
                </w:p>
              </w:tc>
            </w:tr>
            <w:tr w14:paraId="292AD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7FE79B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1011" w:type="pct"/>
                  <w:tcBorders>
                    <w:tl2br w:val="nil"/>
                    <w:tr2bl w:val="nil"/>
                  </w:tcBorders>
                  <w:shd w:val="clear" w:color="auto" w:fill="FFFFFF"/>
                  <w:noWrap/>
                  <w:vAlign w:val="center"/>
                </w:tcPr>
                <w:p w14:paraId="282AD4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丙酮</w:t>
                  </w:r>
                </w:p>
              </w:tc>
              <w:tc>
                <w:tcPr>
                  <w:tcW w:w="621" w:type="pct"/>
                  <w:tcBorders>
                    <w:tl2br w:val="nil"/>
                    <w:tr2bl w:val="nil"/>
                  </w:tcBorders>
                  <w:shd w:val="clear" w:color="auto" w:fill="auto"/>
                  <w:noWrap/>
                  <w:vAlign w:val="center"/>
                </w:tcPr>
                <w:p w14:paraId="3EBCDC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67-64-1</w:t>
                  </w:r>
                </w:p>
              </w:tc>
              <w:tc>
                <w:tcPr>
                  <w:tcW w:w="3187" w:type="pct"/>
                  <w:tcBorders>
                    <w:tl2br w:val="nil"/>
                    <w:tr2bl w:val="nil"/>
                  </w:tcBorders>
                  <w:shd w:val="clear" w:color="auto" w:fill="auto"/>
                  <w:noWrap/>
                  <w:vAlign w:val="center"/>
                </w:tcPr>
                <w:p w14:paraId="0D755B0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无色透明液体，有辛辣气味，分子式C₃H₆O、分子量58.08。熔点：-94.7℃，沸点：56.1℃，密度：0.791 g/cm³（20℃），闪点：-20℃（闭杯），水溶性：与水、乙醇、乙醚等混溶。</w:t>
                  </w:r>
                </w:p>
              </w:tc>
            </w:tr>
            <w:tr w14:paraId="405A4E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28010E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011" w:type="pct"/>
                  <w:tcBorders>
                    <w:tl2br w:val="nil"/>
                    <w:tr2bl w:val="nil"/>
                  </w:tcBorders>
                  <w:shd w:val="clear" w:color="auto" w:fill="FFFFFF"/>
                  <w:noWrap/>
                  <w:vAlign w:val="center"/>
                </w:tcPr>
                <w:p w14:paraId="3DDB6D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甲苯</w:t>
                  </w:r>
                </w:p>
              </w:tc>
              <w:tc>
                <w:tcPr>
                  <w:tcW w:w="621" w:type="pct"/>
                  <w:tcBorders>
                    <w:tl2br w:val="nil"/>
                    <w:tr2bl w:val="nil"/>
                  </w:tcBorders>
                  <w:shd w:val="clear" w:color="auto" w:fill="auto"/>
                  <w:noWrap/>
                  <w:vAlign w:val="center"/>
                </w:tcPr>
                <w:p w14:paraId="767233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108-88-3</w:t>
                  </w:r>
                </w:p>
              </w:tc>
              <w:tc>
                <w:tcPr>
                  <w:tcW w:w="3187" w:type="pct"/>
                  <w:tcBorders>
                    <w:tl2br w:val="nil"/>
                    <w:tr2bl w:val="nil"/>
                  </w:tcBorders>
                  <w:shd w:val="clear" w:color="auto" w:fill="auto"/>
                  <w:noWrap/>
                  <w:vAlign w:val="center"/>
                </w:tcPr>
                <w:p w14:paraId="12C48B5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无色透明液体，有芳香气味，分子式C₇H₈、分子量92.14。熔点：-95℃，沸点：110.6℃，密度：0.867 g/cm³（20℃），闪点：4℃（闭杯），水溶性：不溶于水（0.052 g/100 mL，20℃），与乙醇、乙醚、丙酮等有机溶剂混溶。</w:t>
                  </w:r>
                </w:p>
              </w:tc>
            </w:tr>
            <w:tr w14:paraId="2987F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773E1E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1011" w:type="pct"/>
                  <w:tcBorders>
                    <w:tl2br w:val="nil"/>
                    <w:tr2bl w:val="nil"/>
                  </w:tcBorders>
                  <w:shd w:val="clear" w:color="auto" w:fill="FFFFFF"/>
                  <w:noWrap/>
                  <w:vAlign w:val="center"/>
                </w:tcPr>
                <w:p w14:paraId="163419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氯仿</w:t>
                  </w:r>
                </w:p>
              </w:tc>
              <w:tc>
                <w:tcPr>
                  <w:tcW w:w="621" w:type="pct"/>
                  <w:tcBorders>
                    <w:tl2br w:val="nil"/>
                    <w:tr2bl w:val="nil"/>
                  </w:tcBorders>
                  <w:shd w:val="clear" w:color="auto" w:fill="auto"/>
                  <w:noWrap/>
                  <w:vAlign w:val="center"/>
                </w:tcPr>
                <w:p w14:paraId="5ED666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67-66-3</w:t>
                  </w:r>
                </w:p>
              </w:tc>
              <w:tc>
                <w:tcPr>
                  <w:tcW w:w="3187" w:type="pct"/>
                  <w:tcBorders>
                    <w:tl2br w:val="nil"/>
                    <w:tr2bl w:val="nil"/>
                  </w:tcBorders>
                  <w:shd w:val="clear" w:color="auto" w:fill="auto"/>
                  <w:noWrap/>
                  <w:vAlign w:val="center"/>
                </w:tcPr>
                <w:p w14:paraId="35B7B8F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无色透明液体，有特殊甜味，分子式CHCl₃、分子量119.38。熔点：-63.5℃，沸点：61.2℃，密度：1.48 g/cm³（20℃），闪点：不可燃，无闪点，水溶性：微溶于水（0.8 g/100 mL，20℃），与乙醇、乙醚、苯、丙酮等有机溶剂混溶。</w:t>
                  </w:r>
                </w:p>
              </w:tc>
            </w:tr>
            <w:tr w14:paraId="7018A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7FD2C6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011" w:type="pct"/>
                  <w:tcBorders>
                    <w:tl2br w:val="nil"/>
                    <w:tr2bl w:val="nil"/>
                  </w:tcBorders>
                  <w:shd w:val="clear" w:color="auto" w:fill="auto"/>
                  <w:noWrap/>
                  <w:vAlign w:val="center"/>
                </w:tcPr>
                <w:p w14:paraId="599ECD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盐酸</w:t>
                  </w:r>
                </w:p>
              </w:tc>
              <w:tc>
                <w:tcPr>
                  <w:tcW w:w="621" w:type="pct"/>
                  <w:tcBorders>
                    <w:tl2br w:val="nil"/>
                    <w:tr2bl w:val="nil"/>
                  </w:tcBorders>
                  <w:shd w:val="clear" w:color="auto" w:fill="auto"/>
                  <w:noWrap/>
                  <w:vAlign w:val="center"/>
                </w:tcPr>
                <w:p w14:paraId="0DA5F2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7647-01-0</w:t>
                  </w:r>
                </w:p>
              </w:tc>
              <w:tc>
                <w:tcPr>
                  <w:tcW w:w="3187" w:type="pct"/>
                  <w:tcBorders>
                    <w:tl2br w:val="nil"/>
                    <w:tr2bl w:val="nil"/>
                  </w:tcBorders>
                  <w:shd w:val="clear" w:color="auto" w:fill="auto"/>
                  <w:noWrap/>
                  <w:vAlign w:val="center"/>
                </w:tcPr>
                <w:p w14:paraId="077BAD7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无色至淡黄色透明液体（浓盐酸），具有强烈刺激性气味，分子式HCl（气态）/HCl·H₂O（溶液），分子量36.46（HCl）。熔点：-27.32℃（38%溶液），沸点：108.6℃（20.2%恒沸溶液），密度：1.19 g/cm³（37%溶液，20℃），闪点：不可燃，无闪点，水溶性：与水混溶，极易溶于水。</w:t>
                  </w:r>
                </w:p>
              </w:tc>
            </w:tr>
            <w:tr w14:paraId="2949C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3717BE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1011" w:type="pct"/>
                  <w:tcBorders>
                    <w:tl2br w:val="nil"/>
                    <w:tr2bl w:val="nil"/>
                  </w:tcBorders>
                  <w:shd w:val="clear" w:color="auto" w:fill="FFFFFF"/>
                  <w:noWrap/>
                  <w:vAlign w:val="center"/>
                </w:tcPr>
                <w:p w14:paraId="532C12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硫酸</w:t>
                  </w:r>
                </w:p>
              </w:tc>
              <w:tc>
                <w:tcPr>
                  <w:tcW w:w="621" w:type="pct"/>
                  <w:tcBorders>
                    <w:tl2br w:val="nil"/>
                    <w:tr2bl w:val="nil"/>
                  </w:tcBorders>
                  <w:shd w:val="clear" w:color="auto" w:fill="auto"/>
                  <w:noWrap/>
                  <w:vAlign w:val="center"/>
                </w:tcPr>
                <w:p w14:paraId="7A5B55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7664-93-9</w:t>
                  </w:r>
                </w:p>
              </w:tc>
              <w:tc>
                <w:tcPr>
                  <w:tcW w:w="3187" w:type="pct"/>
                  <w:tcBorders>
                    <w:tl2br w:val="nil"/>
                    <w:tr2bl w:val="nil"/>
                  </w:tcBorders>
                  <w:shd w:val="clear" w:color="auto" w:fill="auto"/>
                  <w:noWrap/>
                  <w:vAlign w:val="center"/>
                </w:tcPr>
                <w:p w14:paraId="7ED9A32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无色至淡黄色油状液体，无气味（纯品），分子式H₂SO₄、分子量98.08。熔点：10.36℃（纯品），沸点：337℃（纯品），密度：1.84 g/cm³（98%，20℃），闪点：不可燃，无闪点，水溶性：与水任意比例混溶，溶解时放出大量热。</w:t>
                  </w:r>
                </w:p>
              </w:tc>
            </w:tr>
            <w:tr w14:paraId="50A9F9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1CA4C3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011" w:type="pct"/>
                  <w:tcBorders>
                    <w:tl2br w:val="nil"/>
                    <w:tr2bl w:val="nil"/>
                  </w:tcBorders>
                  <w:shd w:val="clear" w:color="auto" w:fill="FFFFFF"/>
                  <w:noWrap/>
                  <w:vAlign w:val="center"/>
                </w:tcPr>
                <w:p w14:paraId="5D5279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硝酸</w:t>
                  </w:r>
                </w:p>
              </w:tc>
              <w:tc>
                <w:tcPr>
                  <w:tcW w:w="621" w:type="pct"/>
                  <w:tcBorders>
                    <w:tl2br w:val="nil"/>
                    <w:tr2bl w:val="nil"/>
                  </w:tcBorders>
                  <w:shd w:val="clear" w:color="auto" w:fill="auto"/>
                  <w:noWrap/>
                  <w:vAlign w:val="center"/>
                </w:tcPr>
                <w:p w14:paraId="7DDF96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7697-37-2</w:t>
                  </w:r>
                </w:p>
              </w:tc>
              <w:tc>
                <w:tcPr>
                  <w:tcW w:w="3187" w:type="pct"/>
                  <w:tcBorders>
                    <w:tl2br w:val="nil"/>
                    <w:tr2bl w:val="nil"/>
                  </w:tcBorders>
                  <w:shd w:val="clear" w:color="auto" w:fill="auto"/>
                  <w:noWrap/>
                  <w:vAlign w:val="center"/>
                </w:tcPr>
                <w:p w14:paraId="4A4D544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无色至淡黄色液体，有强烈刺激性气味，分子式HNO₃、分子量63.01。熔点：-41.6℃（纯品），沸点：121.9℃（68%恒沸液），密度：1.51 g/cm³（纯品，20℃），闪点：不可燃，无闪点，水溶性：与水任意比例混溶。</w:t>
                  </w:r>
                </w:p>
              </w:tc>
            </w:tr>
            <w:tr w14:paraId="1D973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728515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1011" w:type="pct"/>
                  <w:tcBorders>
                    <w:tl2br w:val="nil"/>
                    <w:tr2bl w:val="nil"/>
                  </w:tcBorders>
                  <w:shd w:val="clear" w:color="auto" w:fill="FFFFFF"/>
                  <w:noWrap/>
                  <w:vAlign w:val="center"/>
                </w:tcPr>
                <w:p w14:paraId="6B5855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高氯酸</w:t>
                  </w:r>
                </w:p>
              </w:tc>
              <w:tc>
                <w:tcPr>
                  <w:tcW w:w="621" w:type="pct"/>
                  <w:tcBorders>
                    <w:tl2br w:val="nil"/>
                    <w:tr2bl w:val="nil"/>
                  </w:tcBorders>
                  <w:shd w:val="clear" w:color="auto" w:fill="auto"/>
                  <w:noWrap/>
                  <w:vAlign w:val="center"/>
                </w:tcPr>
                <w:p w14:paraId="72DA1B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7601-90-3</w:t>
                  </w:r>
                </w:p>
              </w:tc>
              <w:tc>
                <w:tcPr>
                  <w:tcW w:w="3187" w:type="pct"/>
                  <w:tcBorders>
                    <w:tl2br w:val="nil"/>
                    <w:tr2bl w:val="nil"/>
                  </w:tcBorders>
                  <w:shd w:val="clear" w:color="auto" w:fill="auto"/>
                  <w:noWrap/>
                  <w:vAlign w:val="center"/>
                </w:tcPr>
                <w:p w14:paraId="465B310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无色透明液体，有强烈刺激性气味，分子式HClO₄、分子量100.46。熔点：-112℃（无水品），沸点：203℃（72%溶液），密度：1.67 g/cm³（70%溶液，20℃），闪点：不可燃，无闪点，水溶性：与水任意比例混溶。</w:t>
                  </w:r>
                </w:p>
              </w:tc>
            </w:tr>
            <w:tr w14:paraId="0AB70D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330285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1011" w:type="pct"/>
                  <w:tcBorders>
                    <w:tl2br w:val="nil"/>
                    <w:tr2bl w:val="nil"/>
                  </w:tcBorders>
                  <w:shd w:val="clear" w:color="auto" w:fill="auto"/>
                  <w:noWrap/>
                  <w:vAlign w:val="center"/>
                </w:tcPr>
                <w:p w14:paraId="2AF1EE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氢氧化钠</w:t>
                  </w:r>
                </w:p>
              </w:tc>
              <w:tc>
                <w:tcPr>
                  <w:tcW w:w="621" w:type="pct"/>
                  <w:tcBorders>
                    <w:tl2br w:val="nil"/>
                    <w:tr2bl w:val="nil"/>
                  </w:tcBorders>
                  <w:shd w:val="clear" w:color="auto" w:fill="auto"/>
                  <w:noWrap/>
                  <w:vAlign w:val="center"/>
                </w:tcPr>
                <w:p w14:paraId="21D54B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1310-73-2</w:t>
                  </w:r>
                </w:p>
              </w:tc>
              <w:tc>
                <w:tcPr>
                  <w:tcW w:w="3187" w:type="pct"/>
                  <w:tcBorders>
                    <w:tl2br w:val="nil"/>
                    <w:tr2bl w:val="nil"/>
                  </w:tcBorders>
                  <w:shd w:val="clear" w:color="auto" w:fill="auto"/>
                  <w:noWrap/>
                  <w:vAlign w:val="center"/>
                </w:tcPr>
                <w:p w14:paraId="26AE458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白色固体（片状、粒状或棒状），无气味，分子式NaOH、分子量40.00。熔点：318℃，沸点：1388℃，密度：2.13 g/cm³（固体，20℃），闪点：不可燃，无闪点，水溶性：极易溶于水（111 g/100 mL，20℃），溶解时放出大量热，可溶于乙醇、甘油，不溶于乙醚。</w:t>
                  </w:r>
                </w:p>
              </w:tc>
            </w:tr>
            <w:tr w14:paraId="565E8C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40C52D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1011" w:type="pct"/>
                  <w:tcBorders>
                    <w:tl2br w:val="nil"/>
                    <w:tr2bl w:val="nil"/>
                  </w:tcBorders>
                  <w:shd w:val="clear" w:color="auto" w:fill="FFFFFF"/>
                  <w:noWrap/>
                  <w:vAlign w:val="center"/>
                </w:tcPr>
                <w:p w14:paraId="4CB9CD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氢氧化钾</w:t>
                  </w:r>
                </w:p>
              </w:tc>
              <w:tc>
                <w:tcPr>
                  <w:tcW w:w="621" w:type="pct"/>
                  <w:tcBorders>
                    <w:tl2br w:val="nil"/>
                    <w:tr2bl w:val="nil"/>
                  </w:tcBorders>
                  <w:shd w:val="clear" w:color="auto" w:fill="auto"/>
                  <w:noWrap/>
                  <w:vAlign w:val="center"/>
                </w:tcPr>
                <w:p w14:paraId="267472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1310-58-3</w:t>
                  </w:r>
                </w:p>
              </w:tc>
              <w:tc>
                <w:tcPr>
                  <w:tcW w:w="3187" w:type="pct"/>
                  <w:tcBorders>
                    <w:tl2br w:val="nil"/>
                    <w:tr2bl w:val="nil"/>
                  </w:tcBorders>
                  <w:shd w:val="clear" w:color="auto" w:fill="auto"/>
                  <w:noWrap/>
                  <w:vAlign w:val="center"/>
                </w:tcPr>
                <w:p w14:paraId="6F69BC1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白色固体（片状或粒状），无气味，分子式KOH、分子量56.11。熔点：360℃，沸点：1327℃，密度：2.044 g/cm³（固体，20℃），闪点：不可燃，无闪点，水溶性：极易溶于水（121 g/100 mL，20℃），溶解时放出大量热，可溶于乙醇，微溶于乙醚。</w:t>
                  </w:r>
                </w:p>
              </w:tc>
            </w:tr>
            <w:tr w14:paraId="4B839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7A0766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1011" w:type="pct"/>
                  <w:tcBorders>
                    <w:tl2br w:val="nil"/>
                    <w:tr2bl w:val="nil"/>
                  </w:tcBorders>
                  <w:shd w:val="clear" w:color="auto" w:fill="FFFFFF"/>
                  <w:noWrap/>
                  <w:vAlign w:val="center"/>
                </w:tcPr>
                <w:p w14:paraId="17F0F3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过氧化氢</w:t>
                  </w:r>
                </w:p>
              </w:tc>
              <w:tc>
                <w:tcPr>
                  <w:tcW w:w="621" w:type="pct"/>
                  <w:tcBorders>
                    <w:tl2br w:val="nil"/>
                    <w:tr2bl w:val="nil"/>
                  </w:tcBorders>
                  <w:shd w:val="clear" w:color="auto" w:fill="auto"/>
                  <w:noWrap/>
                  <w:vAlign w:val="center"/>
                </w:tcPr>
                <w:p w14:paraId="227B61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7722-84-1</w:t>
                  </w:r>
                </w:p>
              </w:tc>
              <w:tc>
                <w:tcPr>
                  <w:tcW w:w="3187" w:type="pct"/>
                  <w:tcBorders>
                    <w:tl2br w:val="nil"/>
                    <w:tr2bl w:val="nil"/>
                  </w:tcBorders>
                  <w:shd w:val="clear" w:color="auto" w:fill="auto"/>
                  <w:noWrap/>
                  <w:vAlign w:val="center"/>
                </w:tcPr>
                <w:p w14:paraId="1F63E8F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无色透明液体（纯品），略有刺激性气味，分子式H₂O₂、分子量34.01。熔点：-0.43℃（纯品），沸点：150.2℃（纯品），密度：1.45 g/cm³（纯品，20℃），闪点：不可燃，无闪点（但为强氧化剂，可助燃），水溶性：与水任意比例混溶。</w:t>
                  </w:r>
                </w:p>
              </w:tc>
            </w:tr>
            <w:tr w14:paraId="5EAF89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restart"/>
                  <w:tcBorders>
                    <w:tl2br w:val="nil"/>
                    <w:tr2bl w:val="nil"/>
                  </w:tcBorders>
                  <w:shd w:val="clear" w:color="auto" w:fill="auto"/>
                  <w:noWrap/>
                  <w:vAlign w:val="center"/>
                </w:tcPr>
                <w:p w14:paraId="38A771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17</w:t>
                  </w:r>
                </w:p>
              </w:tc>
              <w:tc>
                <w:tcPr>
                  <w:tcW w:w="1632" w:type="pct"/>
                  <w:gridSpan w:val="2"/>
                  <w:tcBorders>
                    <w:tl2br w:val="nil"/>
                    <w:tr2bl w:val="nil"/>
                  </w:tcBorders>
                  <w:shd w:val="clear" w:color="auto" w:fill="FFFFFF"/>
                  <w:noWrap/>
                  <w:vAlign w:val="center"/>
                </w:tcPr>
                <w:p w14:paraId="291C51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硅油</w:t>
                  </w:r>
                </w:p>
              </w:tc>
              <w:tc>
                <w:tcPr>
                  <w:tcW w:w="3187" w:type="pct"/>
                  <w:tcBorders>
                    <w:tl2br w:val="nil"/>
                    <w:tr2bl w:val="nil"/>
                  </w:tcBorders>
                  <w:shd w:val="clear" w:color="auto" w:fill="auto"/>
                  <w:noWrap/>
                  <w:vAlign w:val="center"/>
                </w:tcPr>
                <w:p w14:paraId="640B201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各组分含量及理化性质见下。由此可知，硅油中挥发分含量约为50%。</w:t>
                  </w:r>
                </w:p>
              </w:tc>
            </w:tr>
            <w:tr w14:paraId="2B6F3D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6B65AD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FFFFFF"/>
                  <w:noWrap/>
                  <w:vAlign w:val="center"/>
                </w:tcPr>
                <w:p w14:paraId="5DFF8D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二甲基端基[[[3-[(2-氨乙基)氨基]丙基]二甲氧硅基]氧基](硅氧烷与聚硅氧烷)</w:t>
                  </w:r>
                </w:p>
              </w:tc>
              <w:tc>
                <w:tcPr>
                  <w:tcW w:w="621" w:type="pct"/>
                  <w:tcBorders>
                    <w:tl2br w:val="nil"/>
                    <w:tr2bl w:val="nil"/>
                  </w:tcBorders>
                  <w:shd w:val="clear" w:color="auto" w:fill="auto"/>
                  <w:noWrap/>
                  <w:vAlign w:val="center"/>
                </w:tcPr>
                <w:p w14:paraId="7794DB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71750-80-6</w:t>
                  </w:r>
                </w:p>
              </w:tc>
              <w:tc>
                <w:tcPr>
                  <w:tcW w:w="3187" w:type="pct"/>
                  <w:tcBorders>
                    <w:tl2br w:val="nil"/>
                    <w:tr2bl w:val="nil"/>
                  </w:tcBorders>
                  <w:shd w:val="clear" w:color="auto" w:fill="auto"/>
                  <w:noWrap/>
                  <w:vAlign w:val="center"/>
                </w:tcPr>
                <w:p w14:paraId="5E687FB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含量47~49%，淡黄色至琥珀色黏稠液体，为氨基改性聚硅氧烷，分子量约500～5000（聚合度不同），密度约0.98～1.02 g/cm³，沸点：&gt;200℃，闪点：&gt;100℃，微溶于水，溶于有机溶剂。</w:t>
                  </w:r>
                </w:p>
              </w:tc>
            </w:tr>
            <w:tr w14:paraId="26FF4C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485A2F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FFFFFF"/>
                  <w:noWrap/>
                  <w:vAlign w:val="center"/>
                </w:tcPr>
                <w:p w14:paraId="07C971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中级脂肪族溶剂石脑油(石油)</w:t>
                  </w:r>
                </w:p>
              </w:tc>
              <w:tc>
                <w:tcPr>
                  <w:tcW w:w="621" w:type="pct"/>
                  <w:tcBorders>
                    <w:tl2br w:val="nil"/>
                    <w:tr2bl w:val="nil"/>
                  </w:tcBorders>
                  <w:shd w:val="clear" w:color="auto" w:fill="auto"/>
                  <w:noWrap/>
                  <w:vAlign w:val="center"/>
                </w:tcPr>
                <w:p w14:paraId="721204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64742-88-7</w:t>
                  </w:r>
                </w:p>
              </w:tc>
              <w:tc>
                <w:tcPr>
                  <w:tcW w:w="3187" w:type="pct"/>
                  <w:tcBorders>
                    <w:tl2br w:val="nil"/>
                    <w:tr2bl w:val="nil"/>
                  </w:tcBorders>
                  <w:shd w:val="clear" w:color="auto" w:fill="auto"/>
                  <w:noWrap/>
                  <w:vAlign w:val="center"/>
                </w:tcPr>
                <w:p w14:paraId="69A81B4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含量35~36%，无色至淡黄色透明液体，为C</w:t>
                  </w:r>
                  <w:r>
                    <w:rPr>
                      <w:rFonts w:hint="eastAsia" w:cs="Times New Roman"/>
                      <w:i w:val="0"/>
                      <w:iCs w:val="0"/>
                      <w:color w:val="000000"/>
                      <w:kern w:val="0"/>
                      <w:sz w:val="18"/>
                      <w:szCs w:val="18"/>
                      <w:u w:val="none"/>
                      <w:vertAlign w:val="subscript"/>
                      <w:lang w:val="en-US" w:eastAsia="zh-CN" w:bidi="ar"/>
                    </w:rPr>
                    <w:t>9</w:t>
                  </w:r>
                  <w:r>
                    <w:rPr>
                      <w:rFonts w:hint="eastAsia" w:cs="Times New Roman"/>
                      <w:i w:val="0"/>
                      <w:iCs w:val="0"/>
                      <w:color w:val="000000"/>
                      <w:kern w:val="0"/>
                      <w:sz w:val="18"/>
                      <w:szCs w:val="18"/>
                      <w:u w:val="none"/>
                      <w:lang w:val="en-US" w:eastAsia="zh-CN" w:bidi="ar"/>
                    </w:rPr>
                    <w:t>~C</w:t>
                  </w:r>
                  <w:r>
                    <w:rPr>
                      <w:rFonts w:hint="eastAsia" w:cs="Times New Roman"/>
                      <w:i w:val="0"/>
                      <w:iCs w:val="0"/>
                      <w:color w:val="000000"/>
                      <w:kern w:val="0"/>
                      <w:sz w:val="18"/>
                      <w:szCs w:val="18"/>
                      <w:u w:val="none"/>
                      <w:vertAlign w:val="subscript"/>
                      <w:lang w:val="en-US" w:eastAsia="zh-CN" w:bidi="ar"/>
                    </w:rPr>
                    <w:t>11</w:t>
                  </w:r>
                  <w:r>
                    <w:rPr>
                      <w:rFonts w:hint="eastAsia" w:cs="Times New Roman"/>
                      <w:i w:val="0"/>
                      <w:iCs w:val="0"/>
                      <w:color w:val="000000"/>
                      <w:kern w:val="0"/>
                      <w:sz w:val="18"/>
                      <w:szCs w:val="18"/>
                      <w:u w:val="none"/>
                      <w:lang w:val="en-US" w:eastAsia="zh-CN" w:bidi="ar"/>
                    </w:rPr>
                    <w:t>脂肪烃混合物，分子量约128～156，沸点范围：约160～220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，密度：约0.75～0.80 g/cm³，闪点：约40～62</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，不溶于水，溶于有机溶剂，具有烃类特征气味。</w:t>
                  </w:r>
                </w:p>
              </w:tc>
            </w:tr>
            <w:tr w14:paraId="73000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331172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FFFFFF"/>
                  <w:noWrap/>
                  <w:vAlign w:val="center"/>
                </w:tcPr>
                <w:p w14:paraId="0E405A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异丙醇</w:t>
                  </w:r>
                </w:p>
              </w:tc>
              <w:tc>
                <w:tcPr>
                  <w:tcW w:w="621" w:type="pct"/>
                  <w:tcBorders>
                    <w:tl2br w:val="nil"/>
                    <w:tr2bl w:val="nil"/>
                  </w:tcBorders>
                  <w:shd w:val="clear" w:color="auto" w:fill="auto"/>
                  <w:noWrap/>
                  <w:vAlign w:val="center"/>
                </w:tcPr>
                <w:p w14:paraId="483642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67-63-0</w:t>
                  </w:r>
                </w:p>
              </w:tc>
              <w:tc>
                <w:tcPr>
                  <w:tcW w:w="3187" w:type="pct"/>
                  <w:tcBorders>
                    <w:tl2br w:val="nil"/>
                    <w:tr2bl w:val="nil"/>
                  </w:tcBorders>
                  <w:shd w:val="clear" w:color="auto" w:fill="auto"/>
                  <w:noWrap/>
                  <w:vAlign w:val="center"/>
                </w:tcPr>
                <w:p w14:paraId="7C6615C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含量15~16%，无色透明液体，分子式C</w:t>
                  </w:r>
                  <w:r>
                    <w:rPr>
                      <w:rFonts w:hint="eastAsia" w:cs="Times New Roman"/>
                      <w:i w:val="0"/>
                      <w:iCs w:val="0"/>
                      <w:color w:val="000000"/>
                      <w:kern w:val="0"/>
                      <w:sz w:val="18"/>
                      <w:szCs w:val="18"/>
                      <w:u w:val="none"/>
                      <w:vertAlign w:val="subscript"/>
                      <w:lang w:val="en-US" w:eastAsia="zh-CN" w:bidi="ar"/>
                    </w:rPr>
                    <w:t>3</w:t>
                  </w:r>
                  <w:r>
                    <w:rPr>
                      <w:rFonts w:hint="eastAsia" w:cs="Times New Roman"/>
                      <w:i w:val="0"/>
                      <w:iCs w:val="0"/>
                      <w:color w:val="000000"/>
                      <w:kern w:val="0"/>
                      <w:sz w:val="18"/>
                      <w:szCs w:val="18"/>
                      <w:u w:val="none"/>
                      <w:lang w:val="en-US" w:eastAsia="zh-CN" w:bidi="ar"/>
                    </w:rPr>
                    <w:t>H</w:t>
                  </w:r>
                  <w:r>
                    <w:rPr>
                      <w:rFonts w:hint="eastAsia" w:cs="Times New Roman"/>
                      <w:i w:val="0"/>
                      <w:iCs w:val="0"/>
                      <w:color w:val="000000"/>
                      <w:kern w:val="0"/>
                      <w:sz w:val="18"/>
                      <w:szCs w:val="18"/>
                      <w:u w:val="none"/>
                      <w:vertAlign w:val="subscript"/>
                      <w:lang w:val="en-US" w:eastAsia="zh-CN" w:bidi="ar"/>
                    </w:rPr>
                    <w:t>8</w:t>
                  </w:r>
                  <w:r>
                    <w:rPr>
                      <w:rFonts w:hint="eastAsia" w:cs="Times New Roman"/>
                      <w:i w:val="0"/>
                      <w:iCs w:val="0"/>
                      <w:color w:val="000000"/>
                      <w:kern w:val="0"/>
                      <w:sz w:val="18"/>
                      <w:szCs w:val="18"/>
                      <w:u w:val="none"/>
                      <w:lang w:val="en-US" w:eastAsia="zh-CN" w:bidi="ar"/>
                    </w:rPr>
                    <w:t>O，分子量60.10。熔点-89.5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，沸点82.5</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，密度：0.785 g/cm</w:t>
                  </w:r>
                  <w:r>
                    <w:rPr>
                      <w:rFonts w:hint="eastAsia" w:cs="Times New Roman"/>
                      <w:i w:val="0"/>
                      <w:iCs w:val="0"/>
                      <w:color w:val="000000"/>
                      <w:kern w:val="0"/>
                      <w:sz w:val="18"/>
                      <w:szCs w:val="18"/>
                      <w:u w:val="none"/>
                      <w:vertAlign w:val="superscript"/>
                      <w:lang w:val="en-US" w:eastAsia="zh-CN" w:bidi="ar"/>
                    </w:rPr>
                    <w:t>3</w:t>
                  </w:r>
                  <w:r>
                    <w:rPr>
                      <w:rFonts w:hint="eastAsia" w:cs="Times New Roman"/>
                      <w:i w:val="0"/>
                      <w:iCs w:val="0"/>
                      <w:color w:val="000000"/>
                      <w:kern w:val="0"/>
                      <w:sz w:val="18"/>
                      <w:szCs w:val="18"/>
                      <w:u w:val="none"/>
                      <w:lang w:val="en-US" w:eastAsia="zh-CN" w:bidi="ar"/>
                    </w:rPr>
                    <w:t>，闪点：11.7℃</w:t>
                  </w:r>
                </w:p>
              </w:tc>
            </w:tr>
            <w:tr w14:paraId="190C9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25D710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FFFFFF"/>
                  <w:noWrap/>
                  <w:vAlign w:val="center"/>
                </w:tcPr>
                <w:p w14:paraId="7C54B2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甲醇</w:t>
                  </w:r>
                </w:p>
              </w:tc>
              <w:tc>
                <w:tcPr>
                  <w:tcW w:w="621" w:type="pct"/>
                  <w:tcBorders>
                    <w:tl2br w:val="nil"/>
                    <w:tr2bl w:val="nil"/>
                  </w:tcBorders>
                  <w:shd w:val="clear" w:color="auto" w:fill="auto"/>
                  <w:noWrap/>
                  <w:vAlign w:val="center"/>
                </w:tcPr>
                <w:p w14:paraId="7853B5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67-56-1</w:t>
                  </w:r>
                </w:p>
              </w:tc>
              <w:tc>
                <w:tcPr>
                  <w:tcW w:w="3187" w:type="pct"/>
                  <w:tcBorders>
                    <w:tl2br w:val="nil"/>
                    <w:tr2bl w:val="nil"/>
                  </w:tcBorders>
                  <w:shd w:val="clear" w:color="auto" w:fill="auto"/>
                  <w:noWrap/>
                  <w:vAlign w:val="center"/>
                </w:tcPr>
                <w:p w14:paraId="6AA673D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含量0.5~2.0%，无色透明液体，分子式CH</w:t>
                  </w:r>
                  <w:r>
                    <w:rPr>
                      <w:rFonts w:hint="eastAsia" w:cs="Times New Roman"/>
                      <w:i w:val="0"/>
                      <w:iCs w:val="0"/>
                      <w:color w:val="000000"/>
                      <w:kern w:val="0"/>
                      <w:sz w:val="18"/>
                      <w:szCs w:val="18"/>
                      <w:u w:val="none"/>
                      <w:vertAlign w:val="subscript"/>
                      <w:lang w:val="en-US" w:eastAsia="zh-CN" w:bidi="ar"/>
                    </w:rPr>
                    <w:t>3</w:t>
                  </w:r>
                  <w:r>
                    <w:rPr>
                      <w:rFonts w:hint="eastAsia" w:cs="Times New Roman"/>
                      <w:i w:val="0"/>
                      <w:iCs w:val="0"/>
                      <w:color w:val="000000"/>
                      <w:kern w:val="0"/>
                      <w:sz w:val="18"/>
                      <w:szCs w:val="18"/>
                      <w:u w:val="none"/>
                      <w:lang w:val="en-US" w:eastAsia="zh-CN" w:bidi="ar"/>
                    </w:rPr>
                    <w:t>OH，分子量32.04。熔点-97.6</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，沸点64.7</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，密度：0.792 g/cm³。</w:t>
                  </w:r>
                </w:p>
              </w:tc>
            </w:tr>
            <w:tr w14:paraId="58DFE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vMerge w:val="continue"/>
                  <w:tcBorders>
                    <w:tl2br w:val="nil"/>
                    <w:tr2bl w:val="nil"/>
                  </w:tcBorders>
                  <w:shd w:val="clear" w:color="auto" w:fill="auto"/>
                  <w:noWrap/>
                  <w:vAlign w:val="center"/>
                </w:tcPr>
                <w:p w14:paraId="400EED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011" w:type="pct"/>
                  <w:tcBorders>
                    <w:tl2br w:val="nil"/>
                    <w:tr2bl w:val="nil"/>
                  </w:tcBorders>
                  <w:shd w:val="clear" w:color="auto" w:fill="FFFFFF"/>
                  <w:noWrap/>
                  <w:vAlign w:val="center"/>
                </w:tcPr>
                <w:p w14:paraId="4C21D7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胺基烷基甲氧基硅烷的低聚体</w:t>
                  </w:r>
                </w:p>
              </w:tc>
              <w:tc>
                <w:tcPr>
                  <w:tcW w:w="621" w:type="pct"/>
                  <w:tcBorders>
                    <w:tl2br w:val="nil"/>
                    <w:tr2bl w:val="nil"/>
                  </w:tcBorders>
                  <w:shd w:val="clear" w:color="auto" w:fill="auto"/>
                  <w:noWrap/>
                  <w:vAlign w:val="center"/>
                </w:tcPr>
                <w:p w14:paraId="2894AD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3187" w:type="pct"/>
                  <w:tcBorders>
                    <w:tl2br w:val="nil"/>
                    <w:tr2bl w:val="nil"/>
                  </w:tcBorders>
                  <w:shd w:val="clear" w:color="auto" w:fill="auto"/>
                  <w:noWrap/>
                  <w:vAlign w:val="center"/>
                </w:tcPr>
                <w:p w14:paraId="754667D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含量0.18~0.2%，无色至淡黄色液体，为含氨基和甲氧基的低聚硅烷偶联剂，分子量约300～800（低聚度），密度约0.90～1.05 g/cm³，沸点：约150～250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，微溶于水、</w:t>
                  </w:r>
                </w:p>
              </w:tc>
            </w:tr>
            <w:tr w14:paraId="68DE1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80" w:type="pct"/>
                  <w:tcBorders>
                    <w:tl2br w:val="nil"/>
                    <w:tr2bl w:val="nil"/>
                  </w:tcBorders>
                  <w:shd w:val="clear" w:color="auto" w:fill="auto"/>
                  <w:noWrap/>
                  <w:vAlign w:val="center"/>
                </w:tcPr>
                <w:p w14:paraId="567220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18</w:t>
                  </w:r>
                </w:p>
              </w:tc>
              <w:tc>
                <w:tcPr>
                  <w:tcW w:w="1011" w:type="pct"/>
                  <w:tcBorders>
                    <w:tl2br w:val="nil"/>
                    <w:tr2bl w:val="nil"/>
                  </w:tcBorders>
                  <w:shd w:val="clear" w:color="auto" w:fill="FFFFFF"/>
                  <w:noWrap/>
                  <w:vAlign w:val="center"/>
                </w:tcPr>
                <w:p w14:paraId="00156F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硅脂</w:t>
                  </w:r>
                </w:p>
              </w:tc>
              <w:tc>
                <w:tcPr>
                  <w:tcW w:w="621" w:type="pct"/>
                  <w:tcBorders>
                    <w:tl2br w:val="nil"/>
                    <w:tr2bl w:val="nil"/>
                  </w:tcBorders>
                  <w:shd w:val="clear" w:color="auto" w:fill="auto"/>
                  <w:noWrap/>
                  <w:vAlign w:val="center"/>
                </w:tcPr>
                <w:p w14:paraId="6CC861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w:t>
                  </w:r>
                </w:p>
              </w:tc>
              <w:tc>
                <w:tcPr>
                  <w:tcW w:w="3187" w:type="pct"/>
                  <w:tcBorders>
                    <w:tl2br w:val="nil"/>
                    <w:tr2bl w:val="nil"/>
                  </w:tcBorders>
                  <w:shd w:val="clear" w:color="auto" w:fill="auto"/>
                  <w:noWrap/>
                  <w:vAlign w:val="center"/>
                </w:tcPr>
                <w:p w14:paraId="1894E1C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SDS编号：1765613-00010，熔点320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，分解温度300</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，密度1.89~1.93 g/cm³。</w:t>
                  </w:r>
                </w:p>
              </w:tc>
            </w:tr>
          </w:tbl>
          <w:p w14:paraId="0754BE92">
            <w:pPr>
              <w:spacing w:line="360" w:lineRule="auto"/>
              <w:ind w:firstLine="420" w:firstLineChars="200"/>
            </w:pPr>
          </w:p>
          <w:p w14:paraId="5BDC06E2">
            <w:pPr>
              <w:keepNext/>
              <w:keepLines/>
              <w:spacing w:line="360" w:lineRule="auto"/>
              <w:rPr>
                <w:b/>
                <w:bCs/>
                <w:sz w:val="22"/>
                <w:szCs w:val="22"/>
              </w:rPr>
            </w:pPr>
            <w:r>
              <w:rPr>
                <w:rFonts w:hint="eastAsia"/>
                <w:b/>
                <w:bCs/>
                <w:sz w:val="22"/>
                <w:szCs w:val="22"/>
              </w:rPr>
              <w:t>2.1.</w:t>
            </w:r>
            <w:r>
              <w:rPr>
                <w:rFonts w:hint="eastAsia"/>
                <w:b/>
                <w:bCs/>
                <w:sz w:val="22"/>
                <w:szCs w:val="22"/>
                <w:lang w:val="en-US" w:eastAsia="zh-CN"/>
              </w:rPr>
              <w:t>6</w:t>
            </w:r>
            <w:r>
              <w:rPr>
                <w:rFonts w:hint="eastAsia"/>
                <w:b/>
                <w:bCs/>
                <w:sz w:val="22"/>
                <w:szCs w:val="22"/>
              </w:rPr>
              <w:t xml:space="preserve">  总平面布置</w:t>
            </w:r>
          </w:p>
          <w:p w14:paraId="75F47123">
            <w:pPr>
              <w:spacing w:line="360" w:lineRule="auto"/>
              <w:ind w:firstLine="420" w:firstLineChars="200"/>
              <w:rPr>
                <w:rFonts w:hint="eastAsia"/>
                <w:lang w:val="en-US" w:eastAsia="zh-CN"/>
              </w:rPr>
            </w:pPr>
            <w:r>
              <w:rPr>
                <w:rFonts w:hint="eastAsia"/>
              </w:rPr>
              <w:t>本项目租用传嘉科技（杭州）有限公司闲置厂房，地址为杭州市余杭区中泰街道铜山溪路2号南湖未来科学院5号楼301-302室，建筑面积为3400平方米。平面图东部为办公区，设置有办公室、会议室、茶水间、休息间、前台及展柜等。办公区西侧仓储区，设置有原料库、包材库、成品库、样品库、文件库等。平面图中间区域设置有检测实验室，内部包括更衣室、微生物培养室、无菌室、阳性对照室、理化室等。平面图西部为生产车间，设置有更衣室、组装车间、冻干室、涂层车间、总包车间等。生产车间东侧设置有危废暂存间、一般固废暂存间和化学品室。本项目平面布置均考虑了工艺流程及厂区内货物运输和消防、环保安全卫生的要求。项目布局考虑了项目与周围环境的协调关系，布局基本合理。</w:t>
            </w:r>
            <w:r>
              <w:rPr>
                <w:rFonts w:hint="eastAsia"/>
                <w:lang w:val="en-US" w:eastAsia="zh-CN"/>
              </w:rPr>
              <w:t>项目平面图如下图所示：</w:t>
            </w:r>
          </w:p>
          <w:p w14:paraId="1C0B9BAB">
            <w:pPr>
              <w:spacing w:line="360" w:lineRule="auto"/>
              <w:ind w:firstLine="0" w:firstLineChars="0"/>
              <w:jc w:val="center"/>
              <w:rPr>
                <w:rFonts w:hint="default"/>
                <w:lang w:val="en-US" w:eastAsia="zh-CN"/>
              </w:rPr>
            </w:pPr>
            <w:r>
              <w:rPr>
                <w:rFonts w:hint="default"/>
                <w:lang w:val="en-US" w:eastAsia="zh-CN"/>
              </w:rPr>
              <w:drawing>
                <wp:inline distT="0" distB="0" distL="114300" distR="114300">
                  <wp:extent cx="4951095" cy="2115185"/>
                  <wp:effectExtent l="0" t="0" r="1905" b="3175"/>
                  <wp:docPr id="8" name="图片 7" descr="矩正平面图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矩正平面图 v1"/>
                          <pic:cNvPicPr>
                            <a:picLocks noChangeAspect="1"/>
                          </pic:cNvPicPr>
                        </pic:nvPicPr>
                        <pic:blipFill>
                          <a:blip r:embed="rId10"/>
                          <a:srcRect t="19813" b="19778"/>
                          <a:stretch>
                            <a:fillRect/>
                          </a:stretch>
                        </pic:blipFill>
                        <pic:spPr>
                          <a:xfrm>
                            <a:off x="0" y="0"/>
                            <a:ext cx="4951095" cy="2115185"/>
                          </a:xfrm>
                          <a:prstGeom prst="rect">
                            <a:avLst/>
                          </a:prstGeom>
                        </pic:spPr>
                      </pic:pic>
                    </a:graphicData>
                  </a:graphic>
                </wp:inline>
              </w:drawing>
            </w:r>
          </w:p>
          <w:p w14:paraId="2DF1C5F0">
            <w:pPr>
              <w:spacing w:line="360" w:lineRule="auto"/>
              <w:ind w:firstLine="0" w:firstLineChars="0"/>
              <w:jc w:val="center"/>
              <w:rPr>
                <w:rFonts w:hint="default"/>
                <w:lang w:val="en-US" w:eastAsia="zh-CN"/>
              </w:rPr>
            </w:pPr>
            <w:r>
              <w:rPr>
                <w:rFonts w:hint="eastAsia" w:ascii="黑体" w:hAnsi="黑体" w:eastAsia="黑体" w:cs="黑体"/>
                <w:bCs/>
                <w:szCs w:val="21"/>
              </w:rPr>
              <w:t>图2-1 项目</w:t>
            </w:r>
            <w:r>
              <w:rPr>
                <w:rFonts w:hint="eastAsia" w:ascii="黑体" w:hAnsi="黑体" w:eastAsia="黑体" w:cs="黑体"/>
                <w:bCs/>
                <w:szCs w:val="21"/>
                <w:lang w:val="en-US" w:eastAsia="zh-CN"/>
              </w:rPr>
              <w:t>平面布置</w:t>
            </w:r>
            <w:r>
              <w:rPr>
                <w:rFonts w:hint="eastAsia" w:ascii="黑体" w:hAnsi="黑体" w:eastAsia="黑体" w:cs="黑体"/>
                <w:bCs/>
                <w:szCs w:val="21"/>
              </w:rPr>
              <w:t>图</w:t>
            </w:r>
          </w:p>
          <w:p w14:paraId="45DE3043">
            <w:pPr>
              <w:spacing w:line="360" w:lineRule="auto"/>
              <w:rPr>
                <w:b/>
                <w:bCs/>
                <w:sz w:val="22"/>
                <w:szCs w:val="28"/>
              </w:rPr>
            </w:pPr>
            <w:r>
              <w:rPr>
                <w:rFonts w:hint="eastAsia"/>
                <w:b/>
                <w:bCs/>
                <w:sz w:val="22"/>
                <w:szCs w:val="28"/>
              </w:rPr>
              <w:t>2.1.</w:t>
            </w:r>
            <w:r>
              <w:rPr>
                <w:rFonts w:hint="eastAsia"/>
                <w:b/>
                <w:bCs/>
                <w:sz w:val="22"/>
                <w:szCs w:val="28"/>
                <w:lang w:val="en-US" w:eastAsia="zh-CN"/>
              </w:rPr>
              <w:t>7</w:t>
            </w:r>
            <w:r>
              <w:rPr>
                <w:rFonts w:hint="eastAsia"/>
                <w:b/>
                <w:bCs/>
                <w:sz w:val="22"/>
                <w:szCs w:val="28"/>
              </w:rPr>
              <w:t xml:space="preserve">  劳动定员和生产班制</w:t>
            </w:r>
          </w:p>
          <w:p w14:paraId="2BB6D01E">
            <w:pPr>
              <w:adjustRightInd/>
              <w:snapToGrid/>
              <w:spacing w:line="360" w:lineRule="auto"/>
              <w:ind w:firstLine="420" w:firstLineChars="200"/>
              <w:jc w:val="left"/>
              <w:rPr>
                <w:bCs/>
                <w:szCs w:val="21"/>
              </w:rPr>
            </w:pPr>
            <w:r>
              <w:rPr>
                <w:rFonts w:hint="eastAsia" w:ascii="宋体" w:hAnsi="宋体" w:cs="宋体"/>
              </w:rPr>
              <w:t>企业劳动</w:t>
            </w:r>
            <w:r>
              <w:rPr>
                <w:rFonts w:hint="eastAsia" w:ascii="Times New Roman" w:hAnsi="Times New Roman" w:cs="Times New Roman"/>
              </w:rPr>
              <w:t>定员</w:t>
            </w:r>
            <w:r>
              <w:rPr>
                <w:rFonts w:hint="default" w:ascii="Times New Roman" w:hAnsi="Times New Roman" w:cs="Times New Roman"/>
              </w:rPr>
              <w:t>60</w:t>
            </w:r>
            <w:r>
              <w:rPr>
                <w:rFonts w:hint="eastAsia" w:ascii="Times New Roman" w:hAnsi="Times New Roman" w:cs="Times New Roman"/>
              </w:rPr>
              <w:t>人，实行单班制，每班生产8小时，年工作</w:t>
            </w:r>
            <w:r>
              <w:rPr>
                <w:rFonts w:hint="default" w:ascii="Times New Roman" w:hAnsi="Times New Roman" w:cs="Times New Roman"/>
              </w:rPr>
              <w:t>天数为250</w:t>
            </w:r>
            <w:r>
              <w:rPr>
                <w:rFonts w:hint="eastAsia" w:ascii="Times New Roman" w:hAnsi="Times New Roman" w:cs="Times New Roman"/>
              </w:rPr>
              <w:t>天。企业不设食堂和宿舍。</w:t>
            </w:r>
          </w:p>
          <w:p w14:paraId="36D6F789">
            <w:pPr>
              <w:adjustRightInd w:val="0"/>
              <w:snapToGrid w:val="0"/>
              <w:spacing w:line="360" w:lineRule="auto"/>
              <w:jc w:val="left"/>
              <w:rPr>
                <w:rFonts w:hint="default" w:eastAsia="宋体"/>
                <w:sz w:val="22"/>
                <w:szCs w:val="28"/>
                <w:lang w:val="en-US" w:eastAsia="zh-CN"/>
              </w:rPr>
            </w:pPr>
            <w:r>
              <w:rPr>
                <w:rFonts w:hint="eastAsia"/>
                <w:b/>
                <w:sz w:val="22"/>
                <w:szCs w:val="22"/>
              </w:rPr>
              <w:t>2.1.</w:t>
            </w:r>
            <w:r>
              <w:rPr>
                <w:rFonts w:hint="eastAsia"/>
                <w:b/>
                <w:sz w:val="22"/>
                <w:szCs w:val="22"/>
                <w:lang w:val="en-US" w:eastAsia="zh-CN"/>
              </w:rPr>
              <w:t>8</w:t>
            </w:r>
            <w:r>
              <w:rPr>
                <w:rFonts w:hint="eastAsia"/>
                <w:b/>
                <w:sz w:val="22"/>
                <w:szCs w:val="22"/>
              </w:rPr>
              <w:t xml:space="preserve">  项目水平衡</w:t>
            </w:r>
            <w:r>
              <w:rPr>
                <w:rFonts w:hint="eastAsia"/>
                <w:b/>
                <w:bCs w:val="0"/>
                <w:sz w:val="22"/>
                <w:szCs w:val="22"/>
              </w:rPr>
              <w:t>图</w:t>
            </w:r>
            <w:r>
              <w:rPr>
                <w:rFonts w:hint="eastAsia"/>
                <w:b/>
                <w:bCs w:val="0"/>
                <w:lang w:val="en-US" w:eastAsia="zh-CN"/>
              </w:rPr>
              <w:t>和VOC平衡图</w:t>
            </w:r>
          </w:p>
          <w:p w14:paraId="68E7353A">
            <w:pPr>
              <w:adjustRightInd w:val="0"/>
              <w:snapToGrid w:val="0"/>
              <w:spacing w:line="360" w:lineRule="auto"/>
              <w:ind w:firstLine="440" w:firstLineChars="200"/>
              <w:jc w:val="left"/>
              <w:rPr>
                <w:sz w:val="22"/>
                <w:szCs w:val="28"/>
              </w:rPr>
            </w:pPr>
            <w:r>
              <w:rPr>
                <w:rFonts w:hint="eastAsia"/>
                <w:sz w:val="22"/>
                <w:szCs w:val="28"/>
              </w:rPr>
              <w:t>本项目水平衡如</w:t>
            </w:r>
            <w:r>
              <w:rPr>
                <w:rFonts w:hint="eastAsia"/>
                <w:bCs/>
                <w:szCs w:val="21"/>
                <w:lang w:val="en-US" w:eastAsia="zh-CN"/>
              </w:rPr>
              <w:t>下图</w:t>
            </w:r>
            <w:r>
              <w:rPr>
                <w:rFonts w:hint="eastAsia"/>
                <w:sz w:val="22"/>
                <w:szCs w:val="28"/>
              </w:rPr>
              <w:t>所示。</w:t>
            </w:r>
          </w:p>
          <w:p w14:paraId="21FDAC47">
            <w:pPr>
              <w:adjustRightInd w:val="0"/>
              <w:snapToGrid w:val="0"/>
              <w:spacing w:line="360" w:lineRule="auto"/>
              <w:jc w:val="center"/>
              <w:rPr>
                <w:bCs/>
                <w:szCs w:val="21"/>
              </w:rPr>
            </w:pPr>
            <w:r>
              <w:rPr>
                <w:rFonts w:hint="eastAsia"/>
                <w:sz w:val="22"/>
                <w:szCs w:val="28"/>
              </w:rPr>
              <w:drawing>
                <wp:inline distT="0" distB="0" distL="114300" distR="114300">
                  <wp:extent cx="5104765" cy="3112135"/>
                  <wp:effectExtent l="0" t="0" r="635" b="12065"/>
                  <wp:docPr id="11" name="图片 9" descr="水平衡图0521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水平衡图0521修改"/>
                          <pic:cNvPicPr>
                            <a:picLocks noChangeAspect="1"/>
                          </pic:cNvPicPr>
                        </pic:nvPicPr>
                        <pic:blipFill>
                          <a:blip r:embed="rId11"/>
                          <a:stretch>
                            <a:fillRect/>
                          </a:stretch>
                        </pic:blipFill>
                        <pic:spPr>
                          <a:xfrm>
                            <a:off x="0" y="0"/>
                            <a:ext cx="5104765" cy="3112135"/>
                          </a:xfrm>
                          <a:prstGeom prst="rect">
                            <a:avLst/>
                          </a:prstGeom>
                        </pic:spPr>
                      </pic:pic>
                    </a:graphicData>
                  </a:graphic>
                </wp:inline>
              </w:drawing>
            </w:r>
          </w:p>
          <w:p w14:paraId="6F00C43C">
            <w:pPr>
              <w:adjustRightInd w:val="0"/>
              <w:snapToGrid w:val="0"/>
              <w:jc w:val="center"/>
              <w:rPr>
                <w:rFonts w:hint="eastAsia" w:ascii="黑体" w:hAnsi="黑体" w:eastAsia="黑体" w:cs="黑体"/>
                <w:bCs/>
                <w:szCs w:val="21"/>
              </w:rPr>
            </w:pPr>
            <w:r>
              <w:rPr>
                <w:rFonts w:hint="eastAsia" w:ascii="黑体" w:hAnsi="黑体" w:eastAsia="黑体" w:cs="黑体"/>
                <w:bCs/>
                <w:szCs w:val="21"/>
              </w:rPr>
              <w:t>图2-</w:t>
            </w:r>
            <w:r>
              <w:rPr>
                <w:rFonts w:hint="eastAsia" w:ascii="黑体" w:hAnsi="黑体" w:eastAsia="黑体" w:cs="黑体"/>
                <w:bCs/>
                <w:szCs w:val="21"/>
                <w:lang w:val="en-US" w:eastAsia="zh-CN"/>
              </w:rPr>
              <w:t>2</w:t>
            </w:r>
            <w:r>
              <w:rPr>
                <w:rFonts w:hint="eastAsia" w:ascii="黑体" w:hAnsi="黑体" w:eastAsia="黑体" w:cs="黑体"/>
                <w:bCs/>
                <w:szCs w:val="21"/>
              </w:rPr>
              <w:t xml:space="preserve"> 项目水平衡图（单位：t/a）</w:t>
            </w:r>
          </w:p>
          <w:p w14:paraId="169A8E59">
            <w:pPr>
              <w:adjustRightInd w:val="0"/>
              <w:snapToGrid w:val="0"/>
              <w:ind w:firstLine="0" w:firstLineChars="0"/>
              <w:jc w:val="both"/>
              <w:rPr>
                <w:rFonts w:hint="eastAsia" w:ascii="黑体" w:hAnsi="黑体" w:eastAsia="黑体" w:cs="黑体"/>
                <w:bCs/>
                <w:szCs w:val="21"/>
                <w:lang w:val="en-US" w:eastAsia="zh-CN"/>
              </w:rPr>
            </w:pPr>
          </w:p>
          <w:p w14:paraId="33FE621A">
            <w:pPr>
              <w:adjustRightInd w:val="0"/>
              <w:snapToGrid w:val="0"/>
              <w:ind w:firstLine="420" w:firstLineChars="200"/>
              <w:jc w:val="both"/>
              <w:rPr>
                <w:rFonts w:hint="default" w:ascii="Times New Roman" w:hAnsi="Times New Roman" w:eastAsia="宋体" w:cs="Times New Roman"/>
                <w:bCs/>
                <w:szCs w:val="21"/>
                <w:lang w:val="en-US" w:eastAsia="zh-CN"/>
              </w:rPr>
            </w:pPr>
            <w:r>
              <w:rPr>
                <w:rFonts w:hint="default" w:ascii="Times New Roman" w:hAnsi="Times New Roman" w:eastAsia="宋体" w:cs="Times New Roman"/>
                <w:bCs/>
                <w:szCs w:val="21"/>
                <w:lang w:val="en-US" w:eastAsia="zh-CN"/>
              </w:rPr>
              <w:t>本项目VOC平衡如</w:t>
            </w:r>
            <w:r>
              <w:rPr>
                <w:rFonts w:hint="eastAsia" w:cs="Times New Roman"/>
                <w:bCs/>
                <w:szCs w:val="21"/>
                <w:lang w:val="en-US" w:eastAsia="zh-CN"/>
              </w:rPr>
              <w:t>下图</w:t>
            </w:r>
            <w:r>
              <w:rPr>
                <w:rFonts w:hint="default" w:ascii="Times New Roman" w:hAnsi="Times New Roman" w:eastAsia="宋体" w:cs="Times New Roman"/>
                <w:bCs/>
                <w:szCs w:val="21"/>
                <w:lang w:val="en-US" w:eastAsia="zh-CN"/>
              </w:rPr>
              <w:t>所示：</w:t>
            </w:r>
          </w:p>
          <w:p w14:paraId="68113CEF">
            <w:pPr>
              <w:adjustRightInd w:val="0"/>
              <w:snapToGrid w:val="0"/>
              <w:jc w:val="center"/>
              <w:rPr>
                <w:rFonts w:hint="default" w:ascii="黑体" w:hAnsi="黑体" w:eastAsia="黑体" w:cs="黑体"/>
                <w:bCs/>
                <w:szCs w:val="21"/>
                <w:lang w:val="en-US" w:eastAsia="zh-CN"/>
              </w:rPr>
            </w:pPr>
            <w:r>
              <w:rPr>
                <w:rFonts w:hint="default" w:ascii="黑体" w:hAnsi="黑体" w:eastAsia="黑体" w:cs="黑体"/>
                <w:bCs/>
                <w:szCs w:val="21"/>
                <w:lang w:val="en-US" w:eastAsia="zh-CN"/>
              </w:rPr>
              <w:drawing>
                <wp:inline distT="0" distB="0" distL="114300" distR="114300">
                  <wp:extent cx="5113020" cy="3558540"/>
                  <wp:effectExtent l="0" t="0" r="7620" b="7620"/>
                  <wp:docPr id="14" name="图片 4" descr="VOC平衡图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VOC平衡图0527"/>
                          <pic:cNvPicPr>
                            <a:picLocks noChangeAspect="1"/>
                          </pic:cNvPicPr>
                        </pic:nvPicPr>
                        <pic:blipFill>
                          <a:blip r:embed="rId12"/>
                          <a:stretch>
                            <a:fillRect/>
                          </a:stretch>
                        </pic:blipFill>
                        <pic:spPr>
                          <a:xfrm>
                            <a:off x="0" y="0"/>
                            <a:ext cx="5113020" cy="3558540"/>
                          </a:xfrm>
                          <a:prstGeom prst="rect">
                            <a:avLst/>
                          </a:prstGeom>
                        </pic:spPr>
                      </pic:pic>
                    </a:graphicData>
                  </a:graphic>
                </wp:inline>
              </w:drawing>
            </w:r>
          </w:p>
          <w:p w14:paraId="2F8C286C">
            <w:pPr>
              <w:adjustRightInd w:val="0"/>
              <w:snapToGrid w:val="0"/>
              <w:jc w:val="center"/>
              <w:rPr>
                <w:rFonts w:hint="eastAsia" w:ascii="黑体" w:hAnsi="黑体" w:eastAsia="黑体" w:cs="黑体"/>
                <w:bCs/>
                <w:szCs w:val="21"/>
              </w:rPr>
            </w:pPr>
            <w:r>
              <w:rPr>
                <w:rFonts w:hint="eastAsia" w:ascii="黑体" w:hAnsi="黑体" w:eastAsia="黑体" w:cs="黑体"/>
                <w:bCs/>
                <w:szCs w:val="21"/>
              </w:rPr>
              <w:t>图2-</w:t>
            </w:r>
            <w:r>
              <w:rPr>
                <w:rFonts w:hint="eastAsia" w:ascii="黑体" w:hAnsi="黑体" w:eastAsia="黑体" w:cs="黑体"/>
                <w:bCs/>
                <w:szCs w:val="21"/>
                <w:lang w:val="en-US" w:eastAsia="zh-CN"/>
              </w:rPr>
              <w:t>3</w:t>
            </w:r>
            <w:r>
              <w:rPr>
                <w:rFonts w:hint="eastAsia" w:ascii="黑体" w:hAnsi="黑体" w:eastAsia="黑体" w:cs="黑体"/>
                <w:bCs/>
                <w:szCs w:val="21"/>
              </w:rPr>
              <w:t xml:space="preserve"> 项目</w:t>
            </w:r>
            <w:r>
              <w:rPr>
                <w:rFonts w:hint="eastAsia" w:ascii="黑体" w:hAnsi="黑体" w:eastAsia="黑体" w:cs="黑体"/>
                <w:bCs/>
                <w:szCs w:val="21"/>
                <w:lang w:val="en-US" w:eastAsia="zh-CN"/>
              </w:rPr>
              <w:t>VOC</w:t>
            </w:r>
            <w:r>
              <w:rPr>
                <w:rFonts w:hint="eastAsia" w:ascii="黑体" w:hAnsi="黑体" w:eastAsia="黑体" w:cs="黑体"/>
                <w:bCs/>
                <w:szCs w:val="21"/>
              </w:rPr>
              <w:t>平衡图（</w:t>
            </w:r>
            <w:r>
              <w:rPr>
                <w:rFonts w:hint="eastAsia" w:ascii="黑体" w:hAnsi="黑体" w:eastAsia="黑体" w:cs="黑体"/>
                <w:bCs/>
                <w:szCs w:val="21"/>
                <w:lang w:val="en-US" w:eastAsia="zh-CN"/>
              </w:rPr>
              <w:t>以非甲烷总烃计，</w:t>
            </w:r>
            <w:r>
              <w:rPr>
                <w:rFonts w:hint="eastAsia" w:ascii="黑体" w:hAnsi="黑体" w:eastAsia="黑体" w:cs="黑体"/>
                <w:bCs/>
                <w:szCs w:val="21"/>
              </w:rPr>
              <w:t>单位：t/a）</w:t>
            </w:r>
          </w:p>
          <w:p w14:paraId="48857D5D">
            <w:pPr>
              <w:adjustRightInd w:val="0"/>
              <w:snapToGrid w:val="0"/>
              <w:jc w:val="both"/>
              <w:rPr>
                <w:rFonts w:hint="default" w:ascii="黑体" w:hAnsi="黑体" w:eastAsia="黑体" w:cs="黑体"/>
                <w:bCs/>
                <w:szCs w:val="21"/>
                <w:lang w:val="en-US" w:eastAsia="zh-CN"/>
              </w:rPr>
            </w:pPr>
          </w:p>
        </w:tc>
      </w:tr>
      <w:tr w14:paraId="3F6F7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555" w:type="dxa"/>
            <w:vAlign w:val="center"/>
          </w:tcPr>
          <w:p w14:paraId="3D76644D">
            <w:pPr>
              <w:pStyle w:val="22"/>
              <w:adjustRightInd w:val="0"/>
              <w:snapToGrid w:val="0"/>
              <w:spacing w:before="0" w:beforeAutospacing="0" w:after="0" w:afterAutospacing="0"/>
              <w:jc w:val="center"/>
              <w:rPr>
                <w:rFonts w:ascii="Times New Roman" w:hAnsi="Times New Roman"/>
                <w:sz w:val="21"/>
                <w:szCs w:val="21"/>
              </w:rPr>
            </w:pPr>
            <w:r>
              <w:rPr>
                <w:rFonts w:hint="eastAsia" w:ascii="Times New Roman" w:hAnsi="Times New Roman"/>
                <w:sz w:val="21"/>
                <w:szCs w:val="21"/>
              </w:rPr>
              <w:t>工艺流程和产排污环节</w:t>
            </w:r>
          </w:p>
        </w:tc>
        <w:tc>
          <w:tcPr>
            <w:tcW w:w="8269" w:type="dxa"/>
            <w:tcBorders>
              <w:top w:val="single" w:color="auto" w:sz="4" w:space="0"/>
              <w:bottom w:val="single" w:color="auto" w:sz="4" w:space="0"/>
            </w:tcBorders>
          </w:tcPr>
          <w:p w14:paraId="6589A99B">
            <w:pPr>
              <w:keepNext/>
              <w:keepLines/>
              <w:spacing w:line="360" w:lineRule="auto"/>
              <w:rPr>
                <w:b/>
                <w:bCs/>
                <w:sz w:val="24"/>
              </w:rPr>
            </w:pPr>
            <w:bookmarkStart w:id="30" w:name="_Toc17522"/>
            <w:bookmarkStart w:id="31" w:name="_Toc27144"/>
            <w:r>
              <w:rPr>
                <w:b/>
                <w:bCs/>
                <w:sz w:val="24"/>
              </w:rPr>
              <w:t>2.</w:t>
            </w:r>
            <w:r>
              <w:rPr>
                <w:rFonts w:hint="eastAsia"/>
                <w:b/>
                <w:bCs/>
                <w:sz w:val="24"/>
              </w:rPr>
              <w:t>2  生产工艺流程及产排污环节</w:t>
            </w:r>
            <w:bookmarkEnd w:id="30"/>
            <w:bookmarkEnd w:id="31"/>
          </w:p>
          <w:p w14:paraId="7DB9F10D">
            <w:pPr>
              <w:keepNext/>
              <w:keepLines/>
              <w:spacing w:line="360" w:lineRule="auto"/>
              <w:rPr>
                <w:b/>
                <w:bCs/>
                <w:sz w:val="22"/>
                <w:szCs w:val="22"/>
              </w:rPr>
            </w:pPr>
            <w:r>
              <w:rPr>
                <w:rFonts w:hint="eastAsia"/>
                <w:b/>
                <w:bCs/>
                <w:sz w:val="22"/>
                <w:szCs w:val="22"/>
              </w:rPr>
              <w:t>2.2.1  工艺流程</w:t>
            </w:r>
          </w:p>
          <w:p w14:paraId="3D773940">
            <w:pPr>
              <w:keepNext/>
              <w:keepLines/>
              <w:spacing w:line="360" w:lineRule="auto"/>
              <w:ind w:firstLine="420" w:firstLineChars="200"/>
              <w:rPr>
                <w:szCs w:val="21"/>
              </w:rPr>
            </w:pPr>
            <w:r>
              <w:rPr>
                <w:rFonts w:hint="eastAsia"/>
                <w:szCs w:val="21"/>
              </w:rPr>
              <w:t>本项目具体工艺流程如</w:t>
            </w:r>
            <w:r>
              <w:rPr>
                <w:rFonts w:hint="eastAsia"/>
                <w:szCs w:val="21"/>
                <w:lang w:val="en-US" w:eastAsia="zh-CN"/>
              </w:rPr>
              <w:t>下图</w:t>
            </w:r>
            <w:r>
              <w:rPr>
                <w:rFonts w:hint="eastAsia"/>
                <w:szCs w:val="21"/>
              </w:rPr>
              <w:t>所示。</w:t>
            </w:r>
          </w:p>
          <w:p w14:paraId="35DEE35D">
            <w:pPr>
              <w:keepNext/>
              <w:keepLines/>
              <w:spacing w:line="360" w:lineRule="auto"/>
              <w:jc w:val="center"/>
              <w:rPr>
                <w:kern w:val="0"/>
                <w:szCs w:val="20"/>
              </w:rPr>
            </w:pPr>
          </w:p>
          <w:p w14:paraId="2D16B30E">
            <w:pPr>
              <w:keepNext/>
              <w:keepLines/>
              <w:spacing w:line="360" w:lineRule="auto"/>
              <w:jc w:val="center"/>
              <w:rPr>
                <w:rFonts w:hint="eastAsia" w:ascii="黑体" w:hAnsi="黑体" w:eastAsia="黑体" w:cs="黑体"/>
                <w:kern w:val="0"/>
                <w:szCs w:val="20"/>
              </w:rPr>
            </w:pPr>
            <w:r>
              <w:rPr>
                <w:rStyle w:val="33"/>
                <w:rFonts w:hint="eastAsia" w:ascii="黑体" w:hAnsi="黑体" w:eastAsia="黑体" w:cs="黑体"/>
                <w:kern w:val="0"/>
                <w:szCs w:val="20"/>
              </w:rPr>
              <w:t>图2-</w:t>
            </w:r>
            <w:r>
              <w:rPr>
                <w:rStyle w:val="33"/>
                <w:rFonts w:hint="eastAsia" w:ascii="黑体" w:hAnsi="黑体" w:eastAsia="黑体" w:cs="黑体"/>
                <w:kern w:val="0"/>
                <w:szCs w:val="20"/>
                <w:lang w:val="en-US" w:eastAsia="zh-CN"/>
              </w:rPr>
              <w:t>4</w:t>
            </w:r>
            <w:r>
              <w:rPr>
                <w:rStyle w:val="33"/>
                <w:rFonts w:hint="eastAsia" w:ascii="黑体" w:hAnsi="黑体" w:eastAsia="黑体" w:cs="黑体"/>
                <w:kern w:val="0"/>
                <w:szCs w:val="20"/>
              </w:rPr>
              <w:t xml:space="preserve"> 本项目球囊导管生产工艺流程图</w:t>
            </w:r>
          </w:p>
          <w:p w14:paraId="6B46C3FB">
            <w:pPr>
              <w:keepNext/>
              <w:keepLines/>
              <w:spacing w:line="360" w:lineRule="auto"/>
              <w:jc w:val="center"/>
              <w:rPr>
                <w:rFonts w:hint="eastAsia" w:ascii="黑体" w:hAnsi="黑体" w:eastAsia="黑体" w:cs="黑体"/>
                <w:kern w:val="0"/>
                <w:szCs w:val="20"/>
              </w:rPr>
            </w:pPr>
          </w:p>
          <w:p w14:paraId="566BF041">
            <w:pPr>
              <w:keepNext/>
              <w:keepLines/>
              <w:spacing w:line="360" w:lineRule="auto"/>
              <w:jc w:val="center"/>
              <w:rPr>
                <w:rFonts w:hint="eastAsia" w:ascii="黑体" w:hAnsi="黑体" w:eastAsia="黑体" w:cs="黑体"/>
                <w:kern w:val="0"/>
                <w:szCs w:val="20"/>
              </w:rPr>
            </w:pPr>
            <w:r>
              <w:rPr>
                <w:rStyle w:val="33"/>
                <w:rFonts w:hint="eastAsia" w:ascii="黑体" w:hAnsi="黑体" w:eastAsia="黑体" w:cs="黑体"/>
                <w:kern w:val="0"/>
                <w:szCs w:val="20"/>
              </w:rPr>
              <w:t>图2-</w:t>
            </w:r>
            <w:r>
              <w:rPr>
                <w:rStyle w:val="33"/>
                <w:rFonts w:hint="eastAsia" w:ascii="黑体" w:hAnsi="黑体" w:eastAsia="黑体" w:cs="黑体"/>
                <w:kern w:val="0"/>
                <w:szCs w:val="20"/>
                <w:lang w:val="en-US" w:eastAsia="zh-CN"/>
              </w:rPr>
              <w:t>5</w:t>
            </w:r>
            <w:r>
              <w:rPr>
                <w:rStyle w:val="33"/>
                <w:rFonts w:hint="eastAsia" w:ascii="黑体" w:hAnsi="黑体" w:eastAsia="黑体" w:cs="黑体"/>
                <w:kern w:val="0"/>
                <w:szCs w:val="20"/>
              </w:rPr>
              <w:t xml:space="preserve"> 本项目封堵止血器生产工艺流程图</w:t>
            </w:r>
          </w:p>
          <w:p w14:paraId="2F2AA8A3">
            <w:pPr>
              <w:keepNext/>
              <w:keepLines/>
              <w:spacing w:line="360" w:lineRule="auto"/>
              <w:ind w:firstLine="420" w:firstLineChars="200"/>
              <w:rPr>
                <w:szCs w:val="21"/>
              </w:rPr>
            </w:pPr>
            <w:r>
              <w:rPr>
                <w:rFonts w:hint="eastAsia"/>
                <w:szCs w:val="21"/>
              </w:rPr>
              <w:t>工艺流程说明：</w:t>
            </w:r>
          </w:p>
          <w:p w14:paraId="6CFFA0A1">
            <w:pPr>
              <w:keepNext/>
              <w:keepLines/>
              <w:numPr>
                <w:ilvl w:val="0"/>
                <w:numId w:val="5"/>
              </w:numPr>
              <w:spacing w:line="360" w:lineRule="auto"/>
              <w:ind w:firstLine="422" w:firstLineChars="200"/>
              <w:rPr>
                <w:rFonts w:hint="default" w:ascii="Times New Roman" w:hAnsi="Times New Roman" w:cs="Times New Roman"/>
              </w:rPr>
            </w:pPr>
            <w:r>
              <w:rPr>
                <w:rFonts w:hint="eastAsia"/>
                <w:b/>
                <w:bCs/>
                <w:szCs w:val="21"/>
              </w:rPr>
              <w:t>球囊导管生产工艺流程</w:t>
            </w:r>
          </w:p>
          <w:p w14:paraId="46EFB083">
            <w:pPr>
              <w:keepNext/>
              <w:keepLines/>
              <w:numPr>
                <w:ilvl w:val="0"/>
                <w:numId w:val="5"/>
              </w:numPr>
              <w:spacing w:line="360" w:lineRule="auto"/>
              <w:ind w:firstLine="422" w:firstLineChars="200"/>
              <w:rPr>
                <w:rFonts w:hint="default" w:ascii="Times New Roman" w:hAnsi="Times New Roman" w:cs="Times New Roman"/>
              </w:rPr>
            </w:pPr>
            <w:r>
              <w:rPr>
                <w:rFonts w:hint="default" w:ascii="Times New Roman" w:hAnsi="Times New Roman" w:cs="Times New Roman"/>
                <w:b/>
                <w:bCs/>
                <w:szCs w:val="21"/>
              </w:rPr>
              <w:t>封堵止血器生产工艺流程</w:t>
            </w:r>
          </w:p>
          <w:p w14:paraId="01A6778D">
            <w:pPr>
              <w:pStyle w:val="16"/>
              <w:numPr>
                <w:ilvl w:val="0"/>
                <w:numId w:val="5"/>
              </w:numPr>
              <w:spacing w:line="360" w:lineRule="auto"/>
              <w:ind w:firstLine="422" w:firstLineChars="200"/>
              <w:rPr>
                <w:rFonts w:hint="default" w:ascii="Times New Roman" w:hAnsi="Times New Roman" w:cs="Times New Roman"/>
                <w:b/>
                <w:bCs/>
              </w:rPr>
            </w:pPr>
            <w:r>
              <w:rPr>
                <w:rFonts w:hint="default" w:ascii="Times New Roman" w:hAnsi="Times New Roman" w:cs="Times New Roman"/>
                <w:b/>
                <w:bCs/>
              </w:rPr>
              <w:t>实验室检测</w:t>
            </w:r>
          </w:p>
          <w:p w14:paraId="738075EF">
            <w:pPr>
              <w:pStyle w:val="16"/>
              <w:spacing w:line="360" w:lineRule="auto"/>
              <w:ind w:firstLine="420" w:firstLineChars="200"/>
              <w:rPr>
                <w:rFonts w:hint="default" w:ascii="Times New Roman" w:hAnsi="Times New Roman" w:cs="Times New Roman"/>
              </w:rPr>
            </w:pPr>
            <w:r>
              <w:rPr>
                <w:rFonts w:hint="default" w:ascii="Times New Roman" w:hAnsi="Times New Roman" w:cs="Times New Roman"/>
              </w:rPr>
              <w:t>定期抽取产品进行理化性质检测和</w:t>
            </w:r>
            <w:r>
              <w:rPr>
                <w:rFonts w:hint="eastAsia" w:ascii="Times New Roman" w:hAnsi="Times New Roman" w:cs="Times New Roman"/>
                <w:lang w:val="en-US" w:eastAsia="zh-CN"/>
              </w:rPr>
              <w:t>微生物</w:t>
            </w:r>
            <w:r>
              <w:rPr>
                <w:rFonts w:hint="default" w:ascii="Times New Roman" w:hAnsi="Times New Roman" w:cs="Times New Roman"/>
              </w:rPr>
              <w:t>检测。</w:t>
            </w:r>
          </w:p>
          <w:p w14:paraId="16DB7162">
            <w:pPr>
              <w:pStyle w:val="16"/>
              <w:numPr>
                <w:ilvl w:val="0"/>
                <w:numId w:val="6"/>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物理检测（以爆破压测试为例）</w:t>
            </w:r>
          </w:p>
          <w:p w14:paraId="72194DCE">
            <w:pPr>
              <w:pStyle w:val="16"/>
              <w:numPr>
                <w:ilvl w:val="0"/>
                <w:numId w:val="0"/>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① 产品准备：产品取样准备；</w:t>
            </w:r>
          </w:p>
          <w:p w14:paraId="1A645B1A">
            <w:pPr>
              <w:pStyle w:val="16"/>
              <w:numPr>
                <w:ilvl w:val="0"/>
                <w:numId w:val="0"/>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② 装夹产品：把准备好产品装夹至爆破压测试仪上；</w:t>
            </w:r>
          </w:p>
          <w:p w14:paraId="64472222">
            <w:pPr>
              <w:pStyle w:val="16"/>
              <w:numPr>
                <w:ilvl w:val="0"/>
                <w:numId w:val="0"/>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③ 得出结果：启动设备，开启程序运行，得出数值在22atm以下为合格。</w:t>
            </w:r>
          </w:p>
          <w:p w14:paraId="0A8743C2">
            <w:pPr>
              <w:pStyle w:val="16"/>
              <w:numPr>
                <w:ilvl w:val="0"/>
                <w:numId w:val="6"/>
              </w:numPr>
              <w:spacing w:line="360" w:lineRule="auto"/>
              <w:ind w:firstLine="420" w:firstLineChars="200"/>
              <w:rPr>
                <w:rFonts w:hint="default" w:ascii="Times New Roman" w:hAnsi="Times New Roman" w:cs="Times New Roman"/>
              </w:rPr>
            </w:pPr>
            <w:r>
              <w:rPr>
                <w:rFonts w:hint="eastAsia" w:ascii="Times New Roman" w:hAnsi="Times New Roman" w:cs="Times New Roman"/>
                <w:lang w:val="en-US" w:eastAsia="zh-CN"/>
              </w:rPr>
              <w:t>化学检测（以EO残留量为例）</w:t>
            </w:r>
          </w:p>
          <w:p w14:paraId="4C3FA391">
            <w:pPr>
              <w:pStyle w:val="16"/>
              <w:numPr>
                <w:ilvl w:val="0"/>
                <w:numId w:val="0"/>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① 产品处理：取产品球囊到导管部分，剪成0.5cm称取1克放入顶空瓶</w:t>
            </w:r>
          </w:p>
          <w:p w14:paraId="6CDF842F">
            <w:pPr>
              <w:pStyle w:val="16"/>
              <w:numPr>
                <w:ilvl w:val="0"/>
                <w:numId w:val="0"/>
              </w:numPr>
              <w:spacing w:line="360" w:lineRule="auto"/>
              <w:ind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② 标准品曲线：配置标准品曲线，得出方程</w:t>
            </w:r>
          </w:p>
          <w:p w14:paraId="41D14E8F">
            <w:pPr>
              <w:pStyle w:val="16"/>
              <w:numPr>
                <w:ilvl w:val="0"/>
                <w:numId w:val="0"/>
              </w:numPr>
              <w:spacing w:line="360" w:lineRule="auto"/>
              <w:ind w:firstLine="420" w:firstLineChars="200"/>
              <w:rPr>
                <w:rFonts w:hint="default" w:ascii="Times New Roman" w:hAnsi="Times New Roman" w:cs="Times New Roman"/>
              </w:rPr>
            </w:pPr>
            <w:r>
              <w:rPr>
                <w:rFonts w:hint="eastAsia" w:ascii="Times New Roman" w:hAnsi="Times New Roman" w:cs="Times New Roman"/>
                <w:lang w:val="en-US" w:eastAsia="zh-CN"/>
              </w:rPr>
              <w:t>③ 得出结果：气相摄谱仪顶空进样，得出EO残留在</w:t>
            </w:r>
            <w:r>
              <w:rPr>
                <w:rFonts w:hint="default" w:ascii="Times New Roman" w:hAnsi="Times New Roman" w:cs="Times New Roman"/>
                <w:lang w:val="en-US" w:eastAsia="zh-CN"/>
              </w:rPr>
              <w:t>10</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μg/g</w:t>
            </w:r>
            <w:r>
              <w:rPr>
                <w:rFonts w:hint="eastAsia" w:ascii="Times New Roman" w:hAnsi="Times New Roman" w:cs="Times New Roman"/>
                <w:lang w:val="en-US" w:eastAsia="zh-CN"/>
              </w:rPr>
              <w:t>以下为合格</w:t>
            </w:r>
          </w:p>
          <w:p w14:paraId="1E8D7A47">
            <w:pPr>
              <w:pStyle w:val="16"/>
              <w:numPr>
                <w:ilvl w:val="0"/>
                <w:numId w:val="6"/>
              </w:numPr>
              <w:spacing w:line="360" w:lineRule="auto"/>
              <w:ind w:firstLine="420" w:firstLineChars="200"/>
              <w:rPr>
                <w:rFonts w:hint="default" w:ascii="Times New Roman" w:hAnsi="Times New Roman" w:cs="Times New Roman"/>
              </w:rPr>
            </w:pPr>
            <w:r>
              <w:rPr>
                <w:rFonts w:hint="eastAsia" w:ascii="Times New Roman" w:hAnsi="Times New Roman" w:cs="Times New Roman"/>
                <w:lang w:val="en-US" w:eastAsia="zh-CN"/>
              </w:rPr>
              <w:t>微生物检测（以无菌测试为例）</w:t>
            </w:r>
          </w:p>
          <w:p w14:paraId="29390C49">
            <w:pPr>
              <w:pStyle w:val="16"/>
              <w:numPr>
                <w:ilvl w:val="0"/>
                <w:numId w:val="0"/>
              </w:numPr>
              <w:spacing w:line="360" w:lineRule="auto"/>
              <w:ind w:firstLine="420" w:firstLineChars="200"/>
              <w:rPr>
                <w:rFonts w:hint="default" w:ascii="Times New Roman" w:hAnsi="Times New Roman" w:cs="Times New Roman"/>
                <w:lang w:val="en-US" w:eastAsia="zh-CN"/>
              </w:rPr>
            </w:pPr>
            <w:r>
              <w:rPr>
                <w:rFonts w:hint="eastAsia" w:ascii="Times New Roman" w:hAnsi="Times New Roman" w:cs="Times New Roman"/>
                <w:lang w:val="en-US" w:eastAsia="zh-CN"/>
              </w:rPr>
              <w:t xml:space="preserve">① </w:t>
            </w:r>
            <w:r>
              <w:rPr>
                <w:rFonts w:hint="default" w:ascii="Times New Roman" w:hAnsi="Times New Roman" w:cs="Times New Roman"/>
                <w:lang w:val="en-US" w:eastAsia="zh-CN"/>
              </w:rPr>
              <w:t>培养基准备：预先准备微生物生长所需培养基</w:t>
            </w:r>
          </w:p>
          <w:p w14:paraId="6F760107">
            <w:pPr>
              <w:pStyle w:val="16"/>
              <w:numPr>
                <w:ilvl w:val="0"/>
                <w:numId w:val="0"/>
              </w:numPr>
              <w:spacing w:line="360" w:lineRule="auto"/>
              <w:ind w:firstLine="420" w:firstLineChars="200"/>
              <w:rPr>
                <w:rFonts w:hint="default" w:ascii="Times New Roman" w:hAnsi="Times New Roman" w:cs="Times New Roman"/>
                <w:lang w:val="en-US" w:eastAsia="zh-CN"/>
              </w:rPr>
            </w:pPr>
            <w:r>
              <w:rPr>
                <w:rFonts w:hint="default" w:ascii="Times New Roman" w:hAnsi="Times New Roman" w:cs="Times New Roman"/>
                <w:lang w:val="en-US" w:eastAsia="zh-CN"/>
              </w:rPr>
              <w:t>②</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产品取样接种：将封装好的产品，在无菌室浸润到生理盐水中，随后取接种后的溶液，滴加到培养基上，刮匀。</w:t>
            </w:r>
          </w:p>
          <w:p w14:paraId="542E872D">
            <w:pPr>
              <w:pStyle w:val="16"/>
              <w:numPr>
                <w:ilvl w:val="0"/>
                <w:numId w:val="0"/>
              </w:numPr>
              <w:spacing w:line="360" w:lineRule="auto"/>
              <w:ind w:firstLine="420" w:firstLineChars="200"/>
              <w:rPr>
                <w:rFonts w:hint="default" w:ascii="Times New Roman" w:hAnsi="Times New Roman" w:cs="Times New Roman"/>
                <w:lang w:val="en-US" w:eastAsia="zh-CN"/>
              </w:rPr>
            </w:pPr>
            <w:r>
              <w:rPr>
                <w:rFonts w:hint="default" w:ascii="Times New Roman" w:hAnsi="Times New Roman" w:cs="Times New Roman"/>
                <w:lang w:val="en-US" w:eastAsia="zh-CN"/>
              </w:rPr>
              <w:t>③</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阳性对照：取标准菌株，按照同样流程接种培养。</w:t>
            </w:r>
          </w:p>
          <w:p w14:paraId="708AD1C1">
            <w:pPr>
              <w:pStyle w:val="16"/>
              <w:numPr>
                <w:ilvl w:val="0"/>
                <w:numId w:val="0"/>
              </w:numPr>
              <w:spacing w:line="360" w:lineRule="auto"/>
              <w:ind w:firstLine="420" w:firstLineChars="200"/>
              <w:rPr>
                <w:rFonts w:hint="default" w:ascii="Times New Roman" w:hAnsi="Times New Roman" w:cs="Times New Roman"/>
                <w:lang w:val="en-US" w:eastAsia="zh-CN"/>
              </w:rPr>
            </w:pPr>
            <w:r>
              <w:rPr>
                <w:rFonts w:hint="default" w:ascii="Times New Roman" w:hAnsi="Times New Roman" w:cs="Times New Roman"/>
                <w:lang w:val="en-US" w:eastAsia="zh-CN"/>
              </w:rPr>
              <w:t>④</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观察检验：培养一定时间后，观察产品接种培养基上微生物的种类和数量，判断是否达到安全标准。</w:t>
            </w:r>
          </w:p>
          <w:p w14:paraId="42070763">
            <w:pPr>
              <w:pStyle w:val="16"/>
              <w:numPr>
                <w:ilvl w:val="-1"/>
                <w:numId w:val="0"/>
              </w:numPr>
              <w:spacing w:line="360" w:lineRule="auto"/>
              <w:ind w:firstLine="420" w:firstLineChars="200"/>
              <w:rPr>
                <w:rFonts w:hint="default" w:ascii="Times New Roman" w:hAnsi="Times New Roman" w:cs="Times New Roman"/>
              </w:rPr>
            </w:pPr>
            <w:r>
              <w:rPr>
                <w:rFonts w:hint="eastAsia" w:ascii="Times New Roman" w:hAnsi="Times New Roman" w:cs="Times New Roman"/>
                <w:lang w:val="en-US" w:eastAsia="zh-CN"/>
              </w:rPr>
              <w:t>实验室检测</w:t>
            </w:r>
            <w:r>
              <w:rPr>
                <w:rFonts w:hint="default" w:ascii="Times New Roman" w:hAnsi="Times New Roman" w:cs="Times New Roman"/>
              </w:rPr>
              <w:t>环节产生实验室废气G</w:t>
            </w:r>
            <w:r>
              <w:rPr>
                <w:rFonts w:hint="eastAsia" w:ascii="Times New Roman" w:hAnsi="Times New Roman" w:cs="Times New Roman"/>
                <w:lang w:val="en-US" w:eastAsia="zh-CN"/>
              </w:rPr>
              <w:t>7</w:t>
            </w:r>
            <w:r>
              <w:rPr>
                <w:rFonts w:hint="default" w:ascii="Times New Roman" w:hAnsi="Times New Roman" w:cs="Times New Roman"/>
              </w:rPr>
              <w:t>、微生物气溶胶G</w:t>
            </w:r>
            <w:r>
              <w:rPr>
                <w:rFonts w:hint="eastAsia" w:ascii="Times New Roman" w:hAnsi="Times New Roman" w:cs="Times New Roman"/>
                <w:lang w:val="en-US" w:eastAsia="zh-CN"/>
              </w:rPr>
              <w:t>8</w:t>
            </w:r>
            <w:r>
              <w:rPr>
                <w:rFonts w:hint="default" w:ascii="Times New Roman" w:hAnsi="Times New Roman" w:cs="Times New Roman"/>
              </w:rPr>
              <w:t>；</w:t>
            </w:r>
            <w:r>
              <w:rPr>
                <w:rFonts w:hint="eastAsia" w:ascii="Times New Roman" w:hAnsi="Times New Roman" w:cs="Times New Roman"/>
                <w:lang w:val="en-US" w:eastAsia="zh-CN"/>
              </w:rPr>
              <w:t>实验室清洗废水W3；</w:t>
            </w:r>
            <w:r>
              <w:rPr>
                <w:rFonts w:hint="default" w:ascii="Times New Roman" w:hAnsi="Times New Roman" w:cs="Times New Roman"/>
              </w:rPr>
              <w:t>实验室废物S4、废一次性耗材S5、废抹布S6、废洁净服S7、实验室废液S8。</w:t>
            </w:r>
          </w:p>
          <w:p w14:paraId="0188F6BC">
            <w:pPr>
              <w:adjustRightInd w:val="0"/>
              <w:snapToGrid w:val="0"/>
              <w:spacing w:line="360" w:lineRule="auto"/>
              <w:rPr>
                <w:b/>
                <w:sz w:val="22"/>
                <w:szCs w:val="22"/>
              </w:rPr>
            </w:pPr>
            <w:r>
              <w:rPr>
                <w:rFonts w:hint="eastAsia"/>
                <w:b/>
                <w:sz w:val="22"/>
                <w:szCs w:val="22"/>
              </w:rPr>
              <w:t>2.2.2  产排污环节分析</w:t>
            </w:r>
          </w:p>
          <w:p w14:paraId="462C0241">
            <w:pPr>
              <w:adjustRightInd w:val="0"/>
              <w:snapToGrid w:val="0"/>
              <w:spacing w:line="360" w:lineRule="auto"/>
              <w:ind w:firstLine="420" w:firstLineChars="200"/>
              <w:rPr>
                <w:bCs/>
                <w:szCs w:val="21"/>
              </w:rPr>
            </w:pPr>
            <w:r>
              <w:rPr>
                <w:rFonts w:hint="eastAsia"/>
                <w:bCs/>
                <w:szCs w:val="21"/>
              </w:rPr>
              <w:t>根据工艺流程可知，项目产污环节及污染因子分析如</w:t>
            </w:r>
            <w:r>
              <w:rPr>
                <w:rFonts w:hint="eastAsia"/>
                <w:bCs/>
                <w:szCs w:val="21"/>
                <w:lang w:val="en-US" w:eastAsia="zh-CN"/>
              </w:rPr>
              <w:t>下表</w:t>
            </w:r>
            <w:r>
              <w:rPr>
                <w:rFonts w:hint="eastAsia"/>
                <w:bCs/>
                <w:szCs w:val="21"/>
              </w:rPr>
              <w:t>所示：</w:t>
            </w:r>
          </w:p>
          <w:p w14:paraId="7EEA0609">
            <w:pPr>
              <w:pStyle w:val="139"/>
              <w:numPr>
                <w:ilvl w:val="0"/>
                <w:numId w:val="4"/>
              </w:numPr>
              <w:adjustRightInd w:val="0"/>
              <w:snapToGrid w:val="0"/>
              <w:spacing w:line="360" w:lineRule="auto"/>
              <w:ind w:left="420" w:firstLineChars="0"/>
              <w:jc w:val="center"/>
              <w:rPr>
                <w:rFonts w:hint="eastAsia" w:ascii="黑体" w:hAnsi="黑体" w:eastAsia="黑体" w:cs="黑体"/>
                <w:szCs w:val="21"/>
              </w:rPr>
            </w:pPr>
            <w:r>
              <w:rPr>
                <w:rFonts w:hint="eastAsia" w:ascii="黑体" w:hAnsi="黑体" w:eastAsia="黑体" w:cs="黑体"/>
                <w:szCs w:val="21"/>
              </w:rPr>
              <w:t>项目产污环节及污染因子一览表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75"/>
              <w:gridCol w:w="633"/>
              <w:gridCol w:w="1020"/>
              <w:gridCol w:w="1686"/>
              <w:gridCol w:w="1626"/>
              <w:gridCol w:w="2580"/>
            </w:tblGrid>
            <w:tr w14:paraId="2F9E2A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tcBorders>
                    <w:tl2br w:val="nil"/>
                    <w:tr2bl w:val="nil"/>
                  </w:tcBorders>
                  <w:shd w:val="clear" w:color="auto" w:fill="auto"/>
                  <w:noWrap/>
                  <w:vAlign w:val="center"/>
                </w:tcPr>
                <w:p w14:paraId="22A77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类别</w:t>
                  </w:r>
                </w:p>
              </w:tc>
              <w:tc>
                <w:tcPr>
                  <w:tcW w:w="394" w:type="pct"/>
                  <w:tcBorders>
                    <w:tl2br w:val="nil"/>
                    <w:tr2bl w:val="nil"/>
                  </w:tcBorders>
                  <w:shd w:val="clear" w:color="auto" w:fill="auto"/>
                  <w:noWrap/>
                  <w:vAlign w:val="center"/>
                </w:tcPr>
                <w:p w14:paraId="79A98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编号</w:t>
                  </w:r>
                </w:p>
              </w:tc>
              <w:tc>
                <w:tcPr>
                  <w:tcW w:w="1687" w:type="pct"/>
                  <w:gridSpan w:val="2"/>
                  <w:tcBorders>
                    <w:tl2br w:val="nil"/>
                    <w:tr2bl w:val="nil"/>
                  </w:tcBorders>
                  <w:shd w:val="clear" w:color="auto" w:fill="auto"/>
                  <w:noWrap/>
                  <w:vAlign w:val="center"/>
                </w:tcPr>
                <w:p w14:paraId="5395D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产生工序</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环节</w:t>
                  </w:r>
                </w:p>
              </w:tc>
              <w:tc>
                <w:tcPr>
                  <w:tcW w:w="1013" w:type="pct"/>
                  <w:tcBorders>
                    <w:tl2br w:val="nil"/>
                    <w:tr2bl w:val="nil"/>
                  </w:tcBorders>
                  <w:shd w:val="clear" w:color="auto" w:fill="auto"/>
                  <w:noWrap/>
                  <w:vAlign w:val="center"/>
                </w:tcPr>
                <w:p w14:paraId="07F7A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污染物名称</w:t>
                  </w:r>
                </w:p>
              </w:tc>
              <w:tc>
                <w:tcPr>
                  <w:tcW w:w="1608" w:type="pct"/>
                  <w:tcBorders>
                    <w:tl2br w:val="nil"/>
                    <w:tr2bl w:val="nil"/>
                  </w:tcBorders>
                  <w:shd w:val="clear" w:color="auto" w:fill="auto"/>
                  <w:noWrap/>
                  <w:vAlign w:val="center"/>
                </w:tcPr>
                <w:p w14:paraId="0E090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主要污染因子</w:t>
                  </w:r>
                </w:p>
              </w:tc>
            </w:tr>
            <w:tr w14:paraId="0D3F9D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restart"/>
                  <w:tcBorders>
                    <w:tl2br w:val="nil"/>
                    <w:tr2bl w:val="nil"/>
                  </w:tcBorders>
                  <w:shd w:val="clear" w:color="auto" w:fill="auto"/>
                  <w:noWrap/>
                  <w:vAlign w:val="center"/>
                </w:tcPr>
                <w:p w14:paraId="7EED2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废气</w:t>
                  </w:r>
                </w:p>
              </w:tc>
              <w:tc>
                <w:tcPr>
                  <w:tcW w:w="394" w:type="pct"/>
                  <w:tcBorders>
                    <w:tl2br w:val="nil"/>
                    <w:tr2bl w:val="nil"/>
                  </w:tcBorders>
                  <w:shd w:val="clear" w:color="auto" w:fill="auto"/>
                  <w:noWrap/>
                  <w:vAlign w:val="center"/>
                </w:tcPr>
                <w:p w14:paraId="3B8D5C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G1</w:t>
                  </w:r>
                </w:p>
              </w:tc>
              <w:tc>
                <w:tcPr>
                  <w:tcW w:w="635" w:type="pct"/>
                  <w:vMerge w:val="restart"/>
                  <w:tcBorders>
                    <w:tl2br w:val="nil"/>
                    <w:tr2bl w:val="nil"/>
                  </w:tcBorders>
                  <w:shd w:val="clear" w:color="auto" w:fill="auto"/>
                  <w:vAlign w:val="center"/>
                </w:tcPr>
                <w:p w14:paraId="029AF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球囊导管生产</w:t>
                  </w:r>
                </w:p>
              </w:tc>
              <w:tc>
                <w:tcPr>
                  <w:tcW w:w="1051" w:type="pct"/>
                  <w:tcBorders>
                    <w:tl2br w:val="nil"/>
                    <w:tr2bl w:val="nil"/>
                  </w:tcBorders>
                  <w:shd w:val="clear" w:color="auto" w:fill="auto"/>
                  <w:noWrap/>
                  <w:vAlign w:val="center"/>
                </w:tcPr>
                <w:p w14:paraId="731CF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球囊成型、焊接</w:t>
                  </w:r>
                </w:p>
              </w:tc>
              <w:tc>
                <w:tcPr>
                  <w:tcW w:w="1013" w:type="pct"/>
                  <w:tcBorders>
                    <w:tl2br w:val="nil"/>
                    <w:tr2bl w:val="nil"/>
                  </w:tcBorders>
                  <w:shd w:val="clear" w:color="auto" w:fill="auto"/>
                  <w:noWrap/>
                  <w:vAlign w:val="center"/>
                </w:tcPr>
                <w:p w14:paraId="5A965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管料受热废气</w:t>
                  </w:r>
                </w:p>
              </w:tc>
              <w:tc>
                <w:tcPr>
                  <w:tcW w:w="1608" w:type="pct"/>
                  <w:tcBorders>
                    <w:tl2br w:val="nil"/>
                    <w:tr2bl w:val="nil"/>
                  </w:tcBorders>
                  <w:shd w:val="clear" w:color="auto" w:fill="auto"/>
                  <w:noWrap/>
                  <w:vAlign w:val="center"/>
                </w:tcPr>
                <w:p w14:paraId="159861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5F6D56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617E224B">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21BB89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G2</w:t>
                  </w:r>
                </w:p>
              </w:tc>
              <w:tc>
                <w:tcPr>
                  <w:tcW w:w="635" w:type="pct"/>
                  <w:vMerge w:val="continue"/>
                  <w:tcBorders>
                    <w:tl2br w:val="nil"/>
                    <w:tr2bl w:val="nil"/>
                  </w:tcBorders>
                  <w:shd w:val="clear" w:color="auto" w:fill="auto"/>
                  <w:vAlign w:val="center"/>
                </w:tcPr>
                <w:p w14:paraId="0F79525C">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32A0D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焊接</w:t>
                  </w:r>
                </w:p>
              </w:tc>
              <w:tc>
                <w:tcPr>
                  <w:tcW w:w="1013" w:type="pct"/>
                  <w:tcBorders>
                    <w:tl2br w:val="nil"/>
                    <w:tr2bl w:val="nil"/>
                  </w:tcBorders>
                  <w:shd w:val="clear" w:color="auto" w:fill="auto"/>
                  <w:noWrap/>
                  <w:vAlign w:val="center"/>
                </w:tcPr>
                <w:p w14:paraId="4F210A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UV</w:t>
                  </w:r>
                  <w:r>
                    <w:rPr>
                      <w:rFonts w:hint="eastAsia" w:ascii="宋体" w:hAnsi="宋体" w:eastAsia="宋体" w:cs="宋体"/>
                      <w:i w:val="0"/>
                      <w:iCs w:val="0"/>
                      <w:color w:val="000000"/>
                      <w:kern w:val="0"/>
                      <w:sz w:val="18"/>
                      <w:szCs w:val="18"/>
                      <w:u w:val="none"/>
                      <w:lang w:val="en-US" w:eastAsia="zh-CN" w:bidi="ar"/>
                    </w:rPr>
                    <w:t>胶废气</w:t>
                  </w:r>
                </w:p>
              </w:tc>
              <w:tc>
                <w:tcPr>
                  <w:tcW w:w="1608" w:type="pct"/>
                  <w:tcBorders>
                    <w:tl2br w:val="nil"/>
                    <w:tr2bl w:val="nil"/>
                  </w:tcBorders>
                  <w:shd w:val="clear" w:color="auto" w:fill="auto"/>
                  <w:noWrap/>
                  <w:vAlign w:val="center"/>
                </w:tcPr>
                <w:p w14:paraId="252885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6C1B7C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008B95E3">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7B7069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G3</w:t>
                  </w:r>
                </w:p>
              </w:tc>
              <w:tc>
                <w:tcPr>
                  <w:tcW w:w="635" w:type="pct"/>
                  <w:vMerge w:val="continue"/>
                  <w:tcBorders>
                    <w:tl2br w:val="nil"/>
                    <w:tr2bl w:val="nil"/>
                  </w:tcBorders>
                  <w:shd w:val="clear" w:color="auto" w:fill="auto"/>
                  <w:vAlign w:val="center"/>
                </w:tcPr>
                <w:p w14:paraId="3BD73CEA">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7B51E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涂覆</w:t>
                  </w:r>
                </w:p>
              </w:tc>
              <w:tc>
                <w:tcPr>
                  <w:tcW w:w="1013" w:type="pct"/>
                  <w:tcBorders>
                    <w:tl2br w:val="nil"/>
                    <w:tr2bl w:val="nil"/>
                  </w:tcBorders>
                  <w:shd w:val="clear" w:color="auto" w:fill="auto"/>
                  <w:noWrap/>
                  <w:vAlign w:val="center"/>
                </w:tcPr>
                <w:p w14:paraId="7BF81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涂覆废气</w:t>
                  </w:r>
                </w:p>
              </w:tc>
              <w:tc>
                <w:tcPr>
                  <w:tcW w:w="1608" w:type="pct"/>
                  <w:tcBorders>
                    <w:tl2br w:val="nil"/>
                    <w:tr2bl w:val="nil"/>
                  </w:tcBorders>
                  <w:shd w:val="clear" w:color="auto" w:fill="auto"/>
                  <w:noWrap/>
                  <w:vAlign w:val="center"/>
                </w:tcPr>
                <w:p w14:paraId="478136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44AA16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3AB90BA4">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566B17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G4</w:t>
                  </w:r>
                </w:p>
              </w:tc>
              <w:tc>
                <w:tcPr>
                  <w:tcW w:w="635" w:type="pct"/>
                  <w:vMerge w:val="continue"/>
                  <w:tcBorders>
                    <w:tl2br w:val="nil"/>
                    <w:tr2bl w:val="nil"/>
                  </w:tcBorders>
                  <w:shd w:val="clear" w:color="auto" w:fill="auto"/>
                  <w:vAlign w:val="center"/>
                </w:tcPr>
                <w:p w14:paraId="0BA1DCEE">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0D86DA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球囊折叠、内包装</w:t>
                  </w:r>
                </w:p>
              </w:tc>
              <w:tc>
                <w:tcPr>
                  <w:tcW w:w="1013" w:type="pct"/>
                  <w:tcBorders>
                    <w:tl2br w:val="nil"/>
                    <w:tr2bl w:val="nil"/>
                  </w:tcBorders>
                  <w:shd w:val="clear" w:color="auto" w:fill="auto"/>
                  <w:noWrap/>
                  <w:vAlign w:val="center"/>
                </w:tcPr>
                <w:p w14:paraId="1E9FC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封口废气</w:t>
                  </w:r>
                </w:p>
              </w:tc>
              <w:tc>
                <w:tcPr>
                  <w:tcW w:w="1608" w:type="pct"/>
                  <w:tcBorders>
                    <w:tl2br w:val="nil"/>
                    <w:tr2bl w:val="nil"/>
                  </w:tcBorders>
                  <w:shd w:val="clear" w:color="auto" w:fill="auto"/>
                  <w:noWrap/>
                  <w:vAlign w:val="center"/>
                </w:tcPr>
                <w:p w14:paraId="0577A5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472A7E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0460DCF9">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56CD02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G1</w:t>
                  </w:r>
                </w:p>
              </w:tc>
              <w:tc>
                <w:tcPr>
                  <w:tcW w:w="635" w:type="pct"/>
                  <w:vMerge w:val="restart"/>
                  <w:tcBorders>
                    <w:tl2br w:val="nil"/>
                    <w:tr2bl w:val="nil"/>
                  </w:tcBorders>
                  <w:shd w:val="clear" w:color="auto" w:fill="auto"/>
                  <w:vAlign w:val="center"/>
                </w:tcPr>
                <w:p w14:paraId="4212B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动脉封堵器生产</w:t>
                  </w:r>
                </w:p>
              </w:tc>
              <w:tc>
                <w:tcPr>
                  <w:tcW w:w="1051" w:type="pct"/>
                  <w:tcBorders>
                    <w:tl2br w:val="nil"/>
                    <w:tr2bl w:val="nil"/>
                  </w:tcBorders>
                  <w:shd w:val="clear" w:color="auto" w:fill="auto"/>
                  <w:noWrap/>
                  <w:vAlign w:val="center"/>
                </w:tcPr>
                <w:p w14:paraId="1E05341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球囊成型、焊接</w:t>
                  </w:r>
                  <w:r>
                    <w:rPr>
                      <w:rFonts w:hint="eastAsia" w:ascii="宋体" w:hAnsi="宋体" w:cs="宋体"/>
                      <w:i w:val="0"/>
                      <w:iCs w:val="0"/>
                      <w:color w:val="000000"/>
                      <w:kern w:val="0"/>
                      <w:sz w:val="18"/>
                      <w:szCs w:val="18"/>
                      <w:u w:val="none"/>
                      <w:lang w:val="en-US" w:eastAsia="zh-CN" w:bidi="ar"/>
                    </w:rPr>
                    <w:t>、固化</w:t>
                  </w:r>
                </w:p>
              </w:tc>
              <w:tc>
                <w:tcPr>
                  <w:tcW w:w="1013" w:type="pct"/>
                  <w:tcBorders>
                    <w:tl2br w:val="nil"/>
                    <w:tr2bl w:val="nil"/>
                  </w:tcBorders>
                  <w:shd w:val="clear" w:color="auto" w:fill="auto"/>
                  <w:noWrap/>
                  <w:vAlign w:val="center"/>
                </w:tcPr>
                <w:p w14:paraId="0AC7B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管料受热废气</w:t>
                  </w:r>
                </w:p>
              </w:tc>
              <w:tc>
                <w:tcPr>
                  <w:tcW w:w="1608" w:type="pct"/>
                  <w:tcBorders>
                    <w:tl2br w:val="nil"/>
                    <w:tr2bl w:val="nil"/>
                  </w:tcBorders>
                  <w:shd w:val="clear" w:color="auto" w:fill="auto"/>
                  <w:noWrap/>
                  <w:vAlign w:val="center"/>
                </w:tcPr>
                <w:p w14:paraId="195C54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01BF40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47B4A5D6">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5AEE1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G2</w:t>
                  </w:r>
                </w:p>
              </w:tc>
              <w:tc>
                <w:tcPr>
                  <w:tcW w:w="635" w:type="pct"/>
                  <w:vMerge w:val="continue"/>
                  <w:tcBorders>
                    <w:tl2br w:val="nil"/>
                    <w:tr2bl w:val="nil"/>
                  </w:tcBorders>
                  <w:shd w:val="clear" w:color="auto" w:fill="auto"/>
                  <w:vAlign w:val="center"/>
                </w:tcPr>
                <w:p w14:paraId="7CFF6D7E">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773DF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固化</w:t>
                  </w:r>
                </w:p>
              </w:tc>
              <w:tc>
                <w:tcPr>
                  <w:tcW w:w="1013" w:type="pct"/>
                  <w:tcBorders>
                    <w:tl2br w:val="nil"/>
                    <w:tr2bl w:val="nil"/>
                  </w:tcBorders>
                  <w:shd w:val="clear" w:color="auto" w:fill="auto"/>
                  <w:noWrap/>
                  <w:vAlign w:val="center"/>
                </w:tcPr>
                <w:p w14:paraId="196335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UV</w:t>
                  </w:r>
                  <w:r>
                    <w:rPr>
                      <w:rFonts w:hint="eastAsia" w:ascii="宋体" w:hAnsi="宋体" w:eastAsia="宋体" w:cs="宋体"/>
                      <w:i w:val="0"/>
                      <w:iCs w:val="0"/>
                      <w:color w:val="000000"/>
                      <w:kern w:val="0"/>
                      <w:sz w:val="18"/>
                      <w:szCs w:val="18"/>
                      <w:u w:val="none"/>
                      <w:lang w:val="en-US" w:eastAsia="zh-CN" w:bidi="ar"/>
                    </w:rPr>
                    <w:t>胶废气</w:t>
                  </w:r>
                </w:p>
              </w:tc>
              <w:tc>
                <w:tcPr>
                  <w:tcW w:w="1608" w:type="pct"/>
                  <w:tcBorders>
                    <w:tl2br w:val="nil"/>
                    <w:tr2bl w:val="nil"/>
                  </w:tcBorders>
                  <w:shd w:val="clear" w:color="auto" w:fill="auto"/>
                  <w:noWrap/>
                  <w:vAlign w:val="center"/>
                </w:tcPr>
                <w:p w14:paraId="1DE112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18706D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3C4A412B">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0C98E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G3</w:t>
                  </w:r>
                </w:p>
              </w:tc>
              <w:tc>
                <w:tcPr>
                  <w:tcW w:w="635" w:type="pct"/>
                  <w:vMerge w:val="continue"/>
                  <w:tcBorders>
                    <w:tl2br w:val="nil"/>
                    <w:tr2bl w:val="nil"/>
                  </w:tcBorders>
                  <w:shd w:val="clear" w:color="auto" w:fill="auto"/>
                  <w:vAlign w:val="center"/>
                </w:tcPr>
                <w:p w14:paraId="545A5E7E">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51F93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涂覆</w:t>
                  </w:r>
                </w:p>
              </w:tc>
              <w:tc>
                <w:tcPr>
                  <w:tcW w:w="1013" w:type="pct"/>
                  <w:tcBorders>
                    <w:tl2br w:val="nil"/>
                    <w:tr2bl w:val="nil"/>
                  </w:tcBorders>
                  <w:shd w:val="clear" w:color="auto" w:fill="auto"/>
                  <w:noWrap/>
                  <w:vAlign w:val="center"/>
                </w:tcPr>
                <w:p w14:paraId="3EFBE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涂覆废气</w:t>
                  </w:r>
                </w:p>
              </w:tc>
              <w:tc>
                <w:tcPr>
                  <w:tcW w:w="1608" w:type="pct"/>
                  <w:tcBorders>
                    <w:tl2br w:val="nil"/>
                    <w:tr2bl w:val="nil"/>
                  </w:tcBorders>
                  <w:shd w:val="clear" w:color="auto" w:fill="auto"/>
                  <w:noWrap/>
                  <w:vAlign w:val="center"/>
                </w:tcPr>
                <w:p w14:paraId="17576C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4CDD6E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2DC729E8">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53BEC7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G4</w:t>
                  </w:r>
                </w:p>
              </w:tc>
              <w:tc>
                <w:tcPr>
                  <w:tcW w:w="635" w:type="pct"/>
                  <w:vMerge w:val="continue"/>
                  <w:tcBorders>
                    <w:tl2br w:val="nil"/>
                    <w:tr2bl w:val="nil"/>
                  </w:tcBorders>
                  <w:shd w:val="clear" w:color="auto" w:fill="auto"/>
                  <w:vAlign w:val="center"/>
                </w:tcPr>
                <w:p w14:paraId="6E08DC15">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7C2F2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内包装</w:t>
                  </w:r>
                </w:p>
              </w:tc>
              <w:tc>
                <w:tcPr>
                  <w:tcW w:w="1013" w:type="pct"/>
                  <w:tcBorders>
                    <w:tl2br w:val="nil"/>
                    <w:tr2bl w:val="nil"/>
                  </w:tcBorders>
                  <w:shd w:val="clear" w:color="auto" w:fill="auto"/>
                  <w:noWrap/>
                  <w:vAlign w:val="center"/>
                </w:tcPr>
                <w:p w14:paraId="071BA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封口废气</w:t>
                  </w:r>
                </w:p>
              </w:tc>
              <w:tc>
                <w:tcPr>
                  <w:tcW w:w="1608" w:type="pct"/>
                  <w:tcBorders>
                    <w:tl2br w:val="nil"/>
                    <w:tr2bl w:val="nil"/>
                  </w:tcBorders>
                  <w:shd w:val="clear" w:color="auto" w:fill="auto"/>
                  <w:noWrap/>
                  <w:vAlign w:val="center"/>
                </w:tcPr>
                <w:p w14:paraId="43C867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041ED7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46B4FA95">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BF987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G5</w:t>
                  </w:r>
                </w:p>
              </w:tc>
              <w:tc>
                <w:tcPr>
                  <w:tcW w:w="635" w:type="pct"/>
                  <w:vMerge w:val="continue"/>
                  <w:tcBorders>
                    <w:tl2br w:val="nil"/>
                    <w:tr2bl w:val="nil"/>
                  </w:tcBorders>
                  <w:shd w:val="clear" w:color="auto" w:fill="auto"/>
                  <w:vAlign w:val="center"/>
                </w:tcPr>
                <w:p w14:paraId="36EE86A6">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72A77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盐酸配置</w:t>
                  </w:r>
                </w:p>
              </w:tc>
              <w:tc>
                <w:tcPr>
                  <w:tcW w:w="1013" w:type="pct"/>
                  <w:tcBorders>
                    <w:tl2br w:val="nil"/>
                    <w:tr2bl w:val="nil"/>
                  </w:tcBorders>
                  <w:shd w:val="clear" w:color="auto" w:fill="auto"/>
                  <w:noWrap/>
                  <w:vAlign w:val="center"/>
                </w:tcPr>
                <w:p w14:paraId="4B868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配液酸雾</w:t>
                  </w:r>
                </w:p>
              </w:tc>
              <w:tc>
                <w:tcPr>
                  <w:tcW w:w="1608" w:type="pct"/>
                  <w:tcBorders>
                    <w:tl2br w:val="nil"/>
                    <w:tr2bl w:val="nil"/>
                  </w:tcBorders>
                  <w:shd w:val="clear" w:color="auto" w:fill="auto"/>
                  <w:noWrap/>
                  <w:vAlign w:val="center"/>
                </w:tcPr>
                <w:p w14:paraId="47333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氯化氢</w:t>
                  </w:r>
                </w:p>
              </w:tc>
            </w:tr>
            <w:tr w14:paraId="49929E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6EC8A943">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9AA97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G6</w:t>
                  </w:r>
                </w:p>
              </w:tc>
              <w:tc>
                <w:tcPr>
                  <w:tcW w:w="635" w:type="pct"/>
                  <w:tcBorders>
                    <w:tl2br w:val="nil"/>
                    <w:tr2bl w:val="nil"/>
                  </w:tcBorders>
                  <w:shd w:val="clear" w:color="auto" w:fill="auto"/>
                  <w:noWrap/>
                  <w:vAlign w:val="center"/>
                </w:tcPr>
                <w:p w14:paraId="39AB8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w:t>
                  </w:r>
                </w:p>
              </w:tc>
              <w:tc>
                <w:tcPr>
                  <w:tcW w:w="1051" w:type="pct"/>
                  <w:tcBorders>
                    <w:tl2br w:val="nil"/>
                    <w:tr2bl w:val="nil"/>
                  </w:tcBorders>
                  <w:shd w:val="clear" w:color="auto" w:fill="auto"/>
                  <w:noWrap/>
                  <w:vAlign w:val="center"/>
                </w:tcPr>
                <w:p w14:paraId="5BB34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w:t>
                  </w:r>
                </w:p>
              </w:tc>
              <w:tc>
                <w:tcPr>
                  <w:tcW w:w="1013" w:type="pct"/>
                  <w:tcBorders>
                    <w:tl2br w:val="nil"/>
                    <w:tr2bl w:val="nil"/>
                  </w:tcBorders>
                  <w:shd w:val="clear" w:color="auto" w:fill="auto"/>
                  <w:noWrap/>
                  <w:vAlign w:val="center"/>
                </w:tcPr>
                <w:p w14:paraId="6A9BB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印刷废气</w:t>
                  </w:r>
                </w:p>
              </w:tc>
              <w:tc>
                <w:tcPr>
                  <w:tcW w:w="1608" w:type="pct"/>
                  <w:tcBorders>
                    <w:tl2br w:val="nil"/>
                    <w:tr2bl w:val="nil"/>
                  </w:tcBorders>
                  <w:shd w:val="clear" w:color="auto" w:fill="auto"/>
                  <w:noWrap/>
                  <w:vAlign w:val="center"/>
                </w:tcPr>
                <w:p w14:paraId="4668FB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r>
            <w:tr w14:paraId="459B61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0268B831">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719F5B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G7</w:t>
                  </w:r>
                </w:p>
              </w:tc>
              <w:tc>
                <w:tcPr>
                  <w:tcW w:w="635" w:type="pct"/>
                  <w:vMerge w:val="restart"/>
                  <w:tcBorders>
                    <w:tl2br w:val="nil"/>
                    <w:tr2bl w:val="nil"/>
                  </w:tcBorders>
                  <w:shd w:val="clear" w:color="auto" w:fill="auto"/>
                  <w:noWrap/>
                  <w:vAlign w:val="center"/>
                </w:tcPr>
                <w:p w14:paraId="378EF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实验室检测</w:t>
                  </w:r>
                </w:p>
              </w:tc>
              <w:tc>
                <w:tcPr>
                  <w:tcW w:w="1051" w:type="pct"/>
                  <w:tcBorders>
                    <w:tl2br w:val="nil"/>
                    <w:tr2bl w:val="nil"/>
                  </w:tcBorders>
                  <w:shd w:val="clear" w:color="auto" w:fill="auto"/>
                  <w:noWrap/>
                  <w:vAlign w:val="center"/>
                </w:tcPr>
                <w:p w14:paraId="0B0BF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56852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实验室废气</w:t>
                  </w:r>
                </w:p>
              </w:tc>
              <w:tc>
                <w:tcPr>
                  <w:tcW w:w="1608" w:type="pct"/>
                  <w:tcBorders>
                    <w:tl2br w:val="nil"/>
                    <w:tr2bl w:val="nil"/>
                  </w:tcBorders>
                  <w:shd w:val="clear" w:color="auto" w:fill="auto"/>
                  <w:noWrap/>
                  <w:vAlign w:val="center"/>
                </w:tcPr>
                <w:p w14:paraId="20601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苯胺类、甲苯、硫酸雾、氯化氢、非甲烷总烃</w:t>
                  </w:r>
                </w:p>
              </w:tc>
            </w:tr>
            <w:tr w14:paraId="4BB5C6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7D0943A4">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4252D7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G8</w:t>
                  </w:r>
                </w:p>
              </w:tc>
              <w:tc>
                <w:tcPr>
                  <w:tcW w:w="635" w:type="pct"/>
                  <w:vMerge w:val="continue"/>
                  <w:tcBorders>
                    <w:tl2br w:val="nil"/>
                    <w:tr2bl w:val="nil"/>
                  </w:tcBorders>
                  <w:shd w:val="clear" w:color="auto" w:fill="auto"/>
                  <w:noWrap/>
                  <w:vAlign w:val="center"/>
                </w:tcPr>
                <w:p w14:paraId="3551407D">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273DD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32474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微生物气溶胶</w:t>
                  </w:r>
                </w:p>
              </w:tc>
              <w:tc>
                <w:tcPr>
                  <w:tcW w:w="1608" w:type="pct"/>
                  <w:tcBorders>
                    <w:tl2br w:val="nil"/>
                    <w:tr2bl w:val="nil"/>
                  </w:tcBorders>
                  <w:shd w:val="clear" w:color="auto" w:fill="auto"/>
                  <w:noWrap/>
                  <w:vAlign w:val="center"/>
                </w:tcPr>
                <w:p w14:paraId="3FFD9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微生物</w:t>
                  </w:r>
                </w:p>
              </w:tc>
            </w:tr>
            <w:tr w14:paraId="7ADC46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4FC469B5">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4590B6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G9</w:t>
                  </w:r>
                </w:p>
              </w:tc>
              <w:tc>
                <w:tcPr>
                  <w:tcW w:w="635" w:type="pct"/>
                  <w:tcBorders>
                    <w:tl2br w:val="nil"/>
                    <w:tr2bl w:val="nil"/>
                  </w:tcBorders>
                  <w:shd w:val="clear" w:color="auto" w:fill="auto"/>
                  <w:noWrap/>
                  <w:vAlign w:val="center"/>
                </w:tcPr>
                <w:p w14:paraId="4C98E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储存</w:t>
                  </w:r>
                </w:p>
              </w:tc>
              <w:tc>
                <w:tcPr>
                  <w:tcW w:w="1051" w:type="pct"/>
                  <w:tcBorders>
                    <w:tl2br w:val="nil"/>
                    <w:tr2bl w:val="nil"/>
                  </w:tcBorders>
                  <w:shd w:val="clear" w:color="auto" w:fill="auto"/>
                  <w:noWrap/>
                  <w:vAlign w:val="center"/>
                </w:tcPr>
                <w:p w14:paraId="32070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危废、化学品仓库</w:t>
                  </w:r>
                </w:p>
              </w:tc>
              <w:tc>
                <w:tcPr>
                  <w:tcW w:w="1013" w:type="pct"/>
                  <w:tcBorders>
                    <w:tl2br w:val="nil"/>
                    <w:tr2bl w:val="nil"/>
                  </w:tcBorders>
                  <w:shd w:val="clear" w:color="auto" w:fill="auto"/>
                  <w:noWrap/>
                  <w:vAlign w:val="center"/>
                </w:tcPr>
                <w:p w14:paraId="2272B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仓库废气</w:t>
                  </w:r>
                </w:p>
              </w:tc>
              <w:tc>
                <w:tcPr>
                  <w:tcW w:w="1608" w:type="pct"/>
                  <w:tcBorders>
                    <w:tl2br w:val="nil"/>
                    <w:tr2bl w:val="nil"/>
                  </w:tcBorders>
                  <w:shd w:val="clear" w:color="auto" w:fill="auto"/>
                  <w:noWrap/>
                  <w:vAlign w:val="center"/>
                </w:tcPr>
                <w:p w14:paraId="17866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苯胺类、甲苯、硫酸雾、氯化氢、非甲烷总烃</w:t>
                  </w:r>
                </w:p>
              </w:tc>
            </w:tr>
            <w:tr w14:paraId="59958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restart"/>
                  <w:tcBorders>
                    <w:tl2br w:val="nil"/>
                    <w:tr2bl w:val="nil"/>
                  </w:tcBorders>
                  <w:shd w:val="clear" w:color="auto" w:fill="auto"/>
                  <w:noWrap/>
                  <w:vAlign w:val="center"/>
                </w:tcPr>
                <w:p w14:paraId="5FED0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废水</w:t>
                  </w:r>
                </w:p>
              </w:tc>
              <w:tc>
                <w:tcPr>
                  <w:tcW w:w="394" w:type="pct"/>
                  <w:tcBorders>
                    <w:tl2br w:val="nil"/>
                    <w:tr2bl w:val="nil"/>
                  </w:tcBorders>
                  <w:shd w:val="clear" w:color="auto" w:fill="auto"/>
                  <w:noWrap/>
                  <w:vAlign w:val="center"/>
                </w:tcPr>
                <w:p w14:paraId="43F277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W1</w:t>
                  </w:r>
                </w:p>
              </w:tc>
              <w:tc>
                <w:tcPr>
                  <w:tcW w:w="635" w:type="pct"/>
                  <w:vMerge w:val="restart"/>
                  <w:tcBorders>
                    <w:tl2br w:val="nil"/>
                    <w:tr2bl w:val="nil"/>
                  </w:tcBorders>
                  <w:shd w:val="clear" w:color="auto" w:fill="auto"/>
                  <w:noWrap/>
                  <w:vAlign w:val="center"/>
                </w:tcPr>
                <w:p w14:paraId="72F2C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实验室检测</w:t>
                  </w:r>
                </w:p>
              </w:tc>
              <w:tc>
                <w:tcPr>
                  <w:tcW w:w="1051" w:type="pct"/>
                  <w:tcBorders>
                    <w:tl2br w:val="nil"/>
                    <w:tr2bl w:val="nil"/>
                  </w:tcBorders>
                  <w:shd w:val="clear" w:color="auto" w:fill="auto"/>
                  <w:noWrap/>
                  <w:vAlign w:val="center"/>
                </w:tcPr>
                <w:p w14:paraId="50D4D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衣物清洗</w:t>
                  </w:r>
                </w:p>
              </w:tc>
              <w:tc>
                <w:tcPr>
                  <w:tcW w:w="1013" w:type="pct"/>
                  <w:tcBorders>
                    <w:tl2br w:val="nil"/>
                    <w:tr2bl w:val="nil"/>
                  </w:tcBorders>
                  <w:shd w:val="clear" w:color="auto" w:fill="auto"/>
                  <w:noWrap/>
                  <w:vAlign w:val="center"/>
                </w:tcPr>
                <w:p w14:paraId="0B9B4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洗衣废水</w:t>
                  </w:r>
                </w:p>
              </w:tc>
              <w:tc>
                <w:tcPr>
                  <w:tcW w:w="1608" w:type="pct"/>
                  <w:tcBorders>
                    <w:tl2br w:val="nil"/>
                    <w:tr2bl w:val="nil"/>
                  </w:tcBorders>
                  <w:shd w:val="clear" w:color="auto" w:fill="auto"/>
                  <w:noWrap/>
                  <w:vAlign w:val="center"/>
                </w:tcPr>
                <w:p w14:paraId="1F6252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r>
                    <w:rPr>
                      <w:rFonts w:hint="eastAsia" w:ascii="宋体" w:hAnsi="宋体" w:eastAsia="宋体" w:cs="宋体"/>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LAS</w:t>
                  </w:r>
                </w:p>
              </w:tc>
            </w:tr>
            <w:tr w14:paraId="6C9083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220BD088">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063CC4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W2</w:t>
                  </w:r>
                </w:p>
              </w:tc>
              <w:tc>
                <w:tcPr>
                  <w:tcW w:w="635" w:type="pct"/>
                  <w:vMerge w:val="continue"/>
                  <w:tcBorders>
                    <w:tl2br w:val="nil"/>
                    <w:tr2bl w:val="nil"/>
                  </w:tcBorders>
                  <w:shd w:val="clear" w:color="auto" w:fill="auto"/>
                  <w:noWrap/>
                  <w:vAlign w:val="center"/>
                </w:tcPr>
                <w:p w14:paraId="41BF95C5">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51183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纯水制备</w:t>
                  </w:r>
                </w:p>
              </w:tc>
              <w:tc>
                <w:tcPr>
                  <w:tcW w:w="1013" w:type="pct"/>
                  <w:tcBorders>
                    <w:tl2br w:val="nil"/>
                    <w:tr2bl w:val="nil"/>
                  </w:tcBorders>
                  <w:shd w:val="clear" w:color="auto" w:fill="auto"/>
                  <w:noWrap/>
                  <w:vAlign w:val="center"/>
                </w:tcPr>
                <w:p w14:paraId="6C680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纯水制备浓水</w:t>
                  </w:r>
                </w:p>
              </w:tc>
              <w:tc>
                <w:tcPr>
                  <w:tcW w:w="1608" w:type="pct"/>
                  <w:tcBorders>
                    <w:tl2br w:val="nil"/>
                    <w:tr2bl w:val="nil"/>
                  </w:tcBorders>
                  <w:shd w:val="clear" w:color="auto" w:fill="auto"/>
                  <w:noWrap/>
                  <w:vAlign w:val="center"/>
                </w:tcPr>
                <w:p w14:paraId="5C4E49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r>
                    <w:rPr>
                      <w:rFonts w:hint="eastAsia" w:ascii="宋体" w:hAnsi="宋体" w:eastAsia="宋体" w:cs="宋体"/>
                      <w:i w:val="0"/>
                      <w:iCs w:val="0"/>
                      <w:color w:val="000000"/>
                      <w:kern w:val="0"/>
                      <w:sz w:val="18"/>
                      <w:szCs w:val="18"/>
                      <w:u w:val="none"/>
                      <w:lang w:val="en-US" w:eastAsia="zh-CN" w:bidi="ar"/>
                    </w:rPr>
                    <w:t>、盐类</w:t>
                  </w:r>
                </w:p>
              </w:tc>
            </w:tr>
            <w:tr w14:paraId="379ABF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2FBBC906">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2C7395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W3</w:t>
                  </w:r>
                </w:p>
              </w:tc>
              <w:tc>
                <w:tcPr>
                  <w:tcW w:w="635" w:type="pct"/>
                  <w:vMerge w:val="continue"/>
                  <w:tcBorders>
                    <w:tl2br w:val="nil"/>
                    <w:tr2bl w:val="nil"/>
                  </w:tcBorders>
                  <w:shd w:val="clear" w:color="auto" w:fill="auto"/>
                  <w:noWrap/>
                  <w:vAlign w:val="center"/>
                </w:tcPr>
                <w:p w14:paraId="709B5A4D">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22641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实验室清洗</w:t>
                  </w:r>
                </w:p>
              </w:tc>
              <w:tc>
                <w:tcPr>
                  <w:tcW w:w="1013" w:type="pct"/>
                  <w:tcBorders>
                    <w:tl2br w:val="nil"/>
                    <w:tr2bl w:val="nil"/>
                  </w:tcBorders>
                  <w:shd w:val="clear" w:color="auto" w:fill="auto"/>
                  <w:noWrap/>
                  <w:vAlign w:val="center"/>
                </w:tcPr>
                <w:p w14:paraId="10E4C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清洗废水</w:t>
                  </w:r>
                </w:p>
              </w:tc>
              <w:tc>
                <w:tcPr>
                  <w:tcW w:w="1608" w:type="pct"/>
                  <w:tcBorders>
                    <w:tl2br w:val="nil"/>
                    <w:tr2bl w:val="nil"/>
                  </w:tcBorders>
                  <w:shd w:val="clear" w:color="auto" w:fill="auto"/>
                  <w:noWrap/>
                  <w:vAlign w:val="center"/>
                </w:tcPr>
                <w:p w14:paraId="4BCB27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r>
            <w:tr w14:paraId="7E4710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30F51FEB">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07C41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W4</w:t>
                  </w:r>
                </w:p>
              </w:tc>
              <w:tc>
                <w:tcPr>
                  <w:tcW w:w="635" w:type="pct"/>
                  <w:tcBorders>
                    <w:tl2br w:val="nil"/>
                    <w:tr2bl w:val="nil"/>
                  </w:tcBorders>
                  <w:shd w:val="clear" w:color="auto" w:fill="auto"/>
                  <w:noWrap/>
                  <w:vAlign w:val="center"/>
                </w:tcPr>
                <w:p w14:paraId="0334F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员工生活</w:t>
                  </w:r>
                </w:p>
              </w:tc>
              <w:tc>
                <w:tcPr>
                  <w:tcW w:w="1051" w:type="pct"/>
                  <w:tcBorders>
                    <w:tl2br w:val="nil"/>
                    <w:tr2bl w:val="nil"/>
                  </w:tcBorders>
                  <w:shd w:val="clear" w:color="auto" w:fill="auto"/>
                  <w:noWrap/>
                  <w:vAlign w:val="center"/>
                </w:tcPr>
                <w:p w14:paraId="41F0F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员工生活</w:t>
                  </w:r>
                </w:p>
              </w:tc>
              <w:tc>
                <w:tcPr>
                  <w:tcW w:w="1013" w:type="pct"/>
                  <w:tcBorders>
                    <w:tl2br w:val="nil"/>
                    <w:tr2bl w:val="nil"/>
                  </w:tcBorders>
                  <w:shd w:val="clear" w:color="auto" w:fill="auto"/>
                  <w:noWrap/>
                  <w:vAlign w:val="center"/>
                </w:tcPr>
                <w:p w14:paraId="527FB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生活污水</w:t>
                  </w:r>
                </w:p>
              </w:tc>
              <w:tc>
                <w:tcPr>
                  <w:tcW w:w="1608" w:type="pct"/>
                  <w:tcBorders>
                    <w:tl2br w:val="nil"/>
                    <w:tr2bl w:val="nil"/>
                  </w:tcBorders>
                  <w:shd w:val="clear" w:color="auto" w:fill="auto"/>
                  <w:noWrap/>
                  <w:vAlign w:val="center"/>
                </w:tcPr>
                <w:p w14:paraId="313478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r>
                    <w:rPr>
                      <w:rFonts w:hint="eastAsia" w:ascii="宋体" w:hAnsi="宋体" w:eastAsia="宋体" w:cs="宋体"/>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r>
            <w:tr w14:paraId="304CCB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restart"/>
                  <w:tcBorders>
                    <w:tl2br w:val="nil"/>
                    <w:tr2bl w:val="nil"/>
                  </w:tcBorders>
                  <w:shd w:val="clear" w:color="auto" w:fill="auto"/>
                  <w:noWrap/>
                  <w:vAlign w:val="center"/>
                </w:tcPr>
                <w:p w14:paraId="07103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固废</w:t>
                  </w:r>
                </w:p>
              </w:tc>
              <w:tc>
                <w:tcPr>
                  <w:tcW w:w="394" w:type="pct"/>
                  <w:tcBorders>
                    <w:tl2br w:val="nil"/>
                    <w:tr2bl w:val="nil"/>
                  </w:tcBorders>
                  <w:shd w:val="clear" w:color="auto" w:fill="auto"/>
                  <w:noWrap/>
                  <w:vAlign w:val="center"/>
                </w:tcPr>
                <w:p w14:paraId="7F481B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w:t>
                  </w:r>
                </w:p>
              </w:tc>
              <w:tc>
                <w:tcPr>
                  <w:tcW w:w="635" w:type="pct"/>
                  <w:vMerge w:val="restart"/>
                  <w:tcBorders>
                    <w:tl2br w:val="nil"/>
                    <w:tr2bl w:val="nil"/>
                  </w:tcBorders>
                  <w:shd w:val="clear" w:color="auto" w:fill="auto"/>
                  <w:noWrap/>
                  <w:vAlign w:val="center"/>
                </w:tcPr>
                <w:p w14:paraId="65113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产品生产</w:t>
                  </w:r>
                </w:p>
              </w:tc>
              <w:tc>
                <w:tcPr>
                  <w:tcW w:w="1051" w:type="pct"/>
                  <w:tcBorders>
                    <w:tl2br w:val="nil"/>
                    <w:tr2bl w:val="nil"/>
                  </w:tcBorders>
                  <w:shd w:val="clear" w:color="auto" w:fill="auto"/>
                  <w:noWrap/>
                  <w:vAlign w:val="center"/>
                </w:tcPr>
                <w:p w14:paraId="59183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裁切</w:t>
                  </w:r>
                </w:p>
              </w:tc>
              <w:tc>
                <w:tcPr>
                  <w:tcW w:w="1013" w:type="pct"/>
                  <w:tcBorders>
                    <w:tl2br w:val="nil"/>
                    <w:tr2bl w:val="nil"/>
                  </w:tcBorders>
                  <w:shd w:val="clear" w:color="auto" w:fill="auto"/>
                  <w:noWrap/>
                  <w:vAlign w:val="center"/>
                </w:tcPr>
                <w:p w14:paraId="4EC8D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废边角料</w:t>
                  </w:r>
                </w:p>
              </w:tc>
              <w:tc>
                <w:tcPr>
                  <w:tcW w:w="1608" w:type="pct"/>
                  <w:tcBorders>
                    <w:tl2br w:val="nil"/>
                    <w:tr2bl w:val="nil"/>
                  </w:tcBorders>
                  <w:shd w:val="clear" w:color="auto" w:fill="auto"/>
                  <w:noWrap/>
                  <w:vAlign w:val="center"/>
                </w:tcPr>
                <w:p w14:paraId="20881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废塑料管材</w:t>
                  </w:r>
                </w:p>
              </w:tc>
            </w:tr>
            <w:tr w14:paraId="6A8662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7C85FC9B">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0B1D2B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S2</w:t>
                  </w:r>
                </w:p>
              </w:tc>
              <w:tc>
                <w:tcPr>
                  <w:tcW w:w="635" w:type="pct"/>
                  <w:vMerge w:val="continue"/>
                  <w:tcBorders>
                    <w:tl2br w:val="nil"/>
                    <w:tr2bl w:val="nil"/>
                  </w:tcBorders>
                  <w:shd w:val="clear" w:color="auto" w:fill="auto"/>
                  <w:noWrap/>
                  <w:vAlign w:val="center"/>
                </w:tcPr>
                <w:p w14:paraId="211977BE">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44B9C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总装</w:t>
                  </w:r>
                </w:p>
              </w:tc>
              <w:tc>
                <w:tcPr>
                  <w:tcW w:w="1013" w:type="pct"/>
                  <w:tcBorders>
                    <w:tl2br w:val="nil"/>
                    <w:tr2bl w:val="nil"/>
                  </w:tcBorders>
                  <w:shd w:val="clear" w:color="auto" w:fill="auto"/>
                  <w:noWrap/>
                  <w:vAlign w:val="center"/>
                </w:tcPr>
                <w:p w14:paraId="7CC69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废包装材料</w:t>
                  </w:r>
                </w:p>
              </w:tc>
              <w:tc>
                <w:tcPr>
                  <w:tcW w:w="1608" w:type="pct"/>
                  <w:tcBorders>
                    <w:tl2br w:val="nil"/>
                    <w:tr2bl w:val="nil"/>
                  </w:tcBorders>
                  <w:shd w:val="clear" w:color="auto" w:fill="auto"/>
                  <w:noWrap/>
                  <w:vAlign w:val="center"/>
                </w:tcPr>
                <w:p w14:paraId="0E0A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废包装材料</w:t>
                  </w:r>
                </w:p>
              </w:tc>
            </w:tr>
            <w:tr w14:paraId="1BED02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56CFC97C">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6ACD75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S3</w:t>
                  </w:r>
                </w:p>
              </w:tc>
              <w:tc>
                <w:tcPr>
                  <w:tcW w:w="635" w:type="pct"/>
                  <w:vMerge w:val="restart"/>
                  <w:tcBorders>
                    <w:tl2br w:val="nil"/>
                    <w:tr2bl w:val="nil"/>
                  </w:tcBorders>
                  <w:shd w:val="clear" w:color="auto" w:fill="auto"/>
                  <w:noWrap/>
                  <w:vAlign w:val="center"/>
                </w:tcPr>
                <w:p w14:paraId="17114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实验室检测</w:t>
                  </w:r>
                </w:p>
              </w:tc>
              <w:tc>
                <w:tcPr>
                  <w:tcW w:w="1051" w:type="pct"/>
                  <w:tcBorders>
                    <w:tl2br w:val="nil"/>
                    <w:tr2bl w:val="nil"/>
                  </w:tcBorders>
                  <w:shd w:val="clear" w:color="auto" w:fill="auto"/>
                  <w:noWrap/>
                  <w:vAlign w:val="center"/>
                </w:tcPr>
                <w:p w14:paraId="748F7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纯水制备</w:t>
                  </w:r>
                </w:p>
              </w:tc>
              <w:tc>
                <w:tcPr>
                  <w:tcW w:w="1013" w:type="pct"/>
                  <w:tcBorders>
                    <w:tl2br w:val="nil"/>
                    <w:tr2bl w:val="nil"/>
                  </w:tcBorders>
                  <w:shd w:val="clear" w:color="auto" w:fill="auto"/>
                  <w:noWrap/>
                  <w:vAlign w:val="center"/>
                </w:tcPr>
                <w:p w14:paraId="5D59F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废反渗透膜</w:t>
                  </w:r>
                </w:p>
              </w:tc>
              <w:tc>
                <w:tcPr>
                  <w:tcW w:w="1608" w:type="pct"/>
                  <w:tcBorders>
                    <w:tl2br w:val="nil"/>
                    <w:tr2bl w:val="nil"/>
                  </w:tcBorders>
                  <w:shd w:val="clear" w:color="auto" w:fill="auto"/>
                  <w:noWrap/>
                  <w:vAlign w:val="center"/>
                </w:tcPr>
                <w:p w14:paraId="0F8E0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废反渗透膜</w:t>
                  </w:r>
                </w:p>
              </w:tc>
            </w:tr>
            <w:tr w14:paraId="2F04F2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57BDB4E7">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69E702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S4</w:t>
                  </w:r>
                </w:p>
              </w:tc>
              <w:tc>
                <w:tcPr>
                  <w:tcW w:w="635" w:type="pct"/>
                  <w:vMerge w:val="continue"/>
                  <w:tcBorders>
                    <w:tl2br w:val="nil"/>
                    <w:tr2bl w:val="nil"/>
                  </w:tcBorders>
                  <w:shd w:val="clear" w:color="auto" w:fill="auto"/>
                  <w:noWrap/>
                  <w:vAlign w:val="center"/>
                </w:tcPr>
                <w:p w14:paraId="6DE95F73">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1CE3C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5C7A0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实验室废物</w:t>
                  </w:r>
                </w:p>
              </w:tc>
              <w:tc>
                <w:tcPr>
                  <w:tcW w:w="1608" w:type="pct"/>
                  <w:tcBorders>
                    <w:tl2br w:val="nil"/>
                    <w:tr2bl w:val="nil"/>
                  </w:tcBorders>
                  <w:shd w:val="clear" w:color="auto" w:fill="auto"/>
                  <w:noWrap/>
                  <w:vAlign w:val="center"/>
                </w:tcPr>
                <w:p w14:paraId="5FF37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酸、碱、有机溶剂、废培养基</w:t>
                  </w:r>
                </w:p>
              </w:tc>
            </w:tr>
            <w:tr w14:paraId="161D1F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29896B76">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66571B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S5</w:t>
                  </w:r>
                </w:p>
              </w:tc>
              <w:tc>
                <w:tcPr>
                  <w:tcW w:w="635" w:type="pct"/>
                  <w:vMerge w:val="continue"/>
                  <w:tcBorders>
                    <w:tl2br w:val="nil"/>
                    <w:tr2bl w:val="nil"/>
                  </w:tcBorders>
                  <w:shd w:val="clear" w:color="auto" w:fill="auto"/>
                  <w:noWrap/>
                  <w:vAlign w:val="center"/>
                </w:tcPr>
                <w:p w14:paraId="6D68B42F">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1C7F6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1FB27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废一次性耗材</w:t>
                  </w:r>
                </w:p>
              </w:tc>
              <w:tc>
                <w:tcPr>
                  <w:tcW w:w="1608" w:type="pct"/>
                  <w:tcBorders>
                    <w:tl2br w:val="nil"/>
                    <w:tr2bl w:val="nil"/>
                  </w:tcBorders>
                  <w:shd w:val="clear" w:color="auto" w:fill="auto"/>
                  <w:noWrap/>
                  <w:vAlign w:val="center"/>
                </w:tcPr>
                <w:p w14:paraId="0767D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酸、碱、有机溶剂、微生物</w:t>
                  </w:r>
                </w:p>
              </w:tc>
            </w:tr>
            <w:tr w14:paraId="411C77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4519D2C2">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6EA04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S6</w:t>
                  </w:r>
                </w:p>
              </w:tc>
              <w:tc>
                <w:tcPr>
                  <w:tcW w:w="635" w:type="pct"/>
                  <w:vMerge w:val="continue"/>
                  <w:tcBorders>
                    <w:tl2br w:val="nil"/>
                    <w:tr2bl w:val="nil"/>
                  </w:tcBorders>
                  <w:shd w:val="clear" w:color="auto" w:fill="auto"/>
                  <w:noWrap/>
                  <w:vAlign w:val="center"/>
                </w:tcPr>
                <w:p w14:paraId="1747EF9F">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349A7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5C484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废抹布</w:t>
                  </w:r>
                </w:p>
              </w:tc>
              <w:tc>
                <w:tcPr>
                  <w:tcW w:w="1608" w:type="pct"/>
                  <w:tcBorders>
                    <w:tl2br w:val="nil"/>
                    <w:tr2bl w:val="nil"/>
                  </w:tcBorders>
                  <w:shd w:val="clear" w:color="auto" w:fill="auto"/>
                  <w:noWrap/>
                  <w:vAlign w:val="center"/>
                </w:tcPr>
                <w:p w14:paraId="0189A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酸、碱、有机溶剂、微生物</w:t>
                  </w:r>
                </w:p>
              </w:tc>
            </w:tr>
            <w:tr w14:paraId="730436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53DFDEFE">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1756A7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S7</w:t>
                  </w:r>
                </w:p>
              </w:tc>
              <w:tc>
                <w:tcPr>
                  <w:tcW w:w="635" w:type="pct"/>
                  <w:vMerge w:val="continue"/>
                  <w:tcBorders>
                    <w:tl2br w:val="nil"/>
                    <w:tr2bl w:val="nil"/>
                  </w:tcBorders>
                  <w:shd w:val="clear" w:color="auto" w:fill="auto"/>
                  <w:noWrap/>
                  <w:vAlign w:val="center"/>
                </w:tcPr>
                <w:p w14:paraId="6AF018B4">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0F47D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77895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废洁净服</w:t>
                  </w:r>
                </w:p>
              </w:tc>
              <w:tc>
                <w:tcPr>
                  <w:tcW w:w="1608" w:type="pct"/>
                  <w:tcBorders>
                    <w:tl2br w:val="nil"/>
                    <w:tr2bl w:val="nil"/>
                  </w:tcBorders>
                  <w:shd w:val="clear" w:color="auto" w:fill="auto"/>
                  <w:noWrap/>
                  <w:vAlign w:val="center"/>
                </w:tcPr>
                <w:p w14:paraId="5E664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酸、碱、有机溶剂、微生物</w:t>
                  </w:r>
                </w:p>
              </w:tc>
            </w:tr>
            <w:tr w14:paraId="585CAD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1BC93061">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1E5131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S8</w:t>
                  </w:r>
                </w:p>
              </w:tc>
              <w:tc>
                <w:tcPr>
                  <w:tcW w:w="635" w:type="pct"/>
                  <w:vMerge w:val="continue"/>
                  <w:tcBorders>
                    <w:tl2br w:val="nil"/>
                    <w:tr2bl w:val="nil"/>
                  </w:tcBorders>
                  <w:shd w:val="clear" w:color="auto" w:fill="auto"/>
                  <w:noWrap/>
                  <w:vAlign w:val="center"/>
                </w:tcPr>
                <w:p w14:paraId="1DDD2D30">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3ECB7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w:t>
                  </w:r>
                </w:p>
              </w:tc>
              <w:tc>
                <w:tcPr>
                  <w:tcW w:w="1013" w:type="pct"/>
                  <w:tcBorders>
                    <w:tl2br w:val="nil"/>
                    <w:tr2bl w:val="nil"/>
                  </w:tcBorders>
                  <w:shd w:val="clear" w:color="auto" w:fill="auto"/>
                  <w:noWrap/>
                  <w:vAlign w:val="center"/>
                </w:tcPr>
                <w:p w14:paraId="43882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实验室废液</w:t>
                  </w:r>
                </w:p>
              </w:tc>
              <w:tc>
                <w:tcPr>
                  <w:tcW w:w="1608" w:type="pct"/>
                  <w:tcBorders>
                    <w:tl2br w:val="nil"/>
                    <w:tr2bl w:val="nil"/>
                  </w:tcBorders>
                  <w:shd w:val="clear" w:color="auto" w:fill="auto"/>
                  <w:noWrap/>
                  <w:vAlign w:val="center"/>
                </w:tcPr>
                <w:p w14:paraId="02321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酸、碱、有机溶剂</w:t>
                  </w:r>
                </w:p>
              </w:tc>
            </w:tr>
            <w:tr w14:paraId="2835C6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75D94F59">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2C4883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S9</w:t>
                  </w:r>
                </w:p>
              </w:tc>
              <w:tc>
                <w:tcPr>
                  <w:tcW w:w="635" w:type="pct"/>
                  <w:tcBorders>
                    <w:tl2br w:val="nil"/>
                    <w:tr2bl w:val="nil"/>
                  </w:tcBorders>
                  <w:shd w:val="clear" w:color="auto" w:fill="auto"/>
                  <w:noWrap/>
                  <w:vAlign w:val="center"/>
                </w:tcPr>
                <w:p w14:paraId="773E3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拆包</w:t>
                  </w:r>
                </w:p>
              </w:tc>
              <w:tc>
                <w:tcPr>
                  <w:tcW w:w="1051" w:type="pct"/>
                  <w:tcBorders>
                    <w:tl2br w:val="nil"/>
                    <w:tr2bl w:val="nil"/>
                  </w:tcBorders>
                  <w:shd w:val="clear" w:color="auto" w:fill="auto"/>
                  <w:noWrap/>
                  <w:vAlign w:val="center"/>
                </w:tcPr>
                <w:p w14:paraId="41167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拆包</w:t>
                  </w:r>
                </w:p>
              </w:tc>
              <w:tc>
                <w:tcPr>
                  <w:tcW w:w="1013" w:type="pct"/>
                  <w:tcBorders>
                    <w:tl2br w:val="nil"/>
                    <w:tr2bl w:val="nil"/>
                  </w:tcBorders>
                  <w:shd w:val="clear" w:color="auto" w:fill="auto"/>
                  <w:noWrap/>
                  <w:vAlign w:val="center"/>
                </w:tcPr>
                <w:p w14:paraId="0C1AD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沾染化学品包装</w:t>
                  </w:r>
                </w:p>
              </w:tc>
              <w:tc>
                <w:tcPr>
                  <w:tcW w:w="1608" w:type="pct"/>
                  <w:tcBorders>
                    <w:tl2br w:val="nil"/>
                    <w:tr2bl w:val="nil"/>
                  </w:tcBorders>
                  <w:shd w:val="clear" w:color="auto" w:fill="auto"/>
                  <w:noWrap/>
                  <w:vAlign w:val="center"/>
                </w:tcPr>
                <w:p w14:paraId="440C8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废包装材料</w:t>
                  </w:r>
                </w:p>
              </w:tc>
            </w:tr>
            <w:tr w14:paraId="06468E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14E3AC22">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4CC1E6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S10</w:t>
                  </w:r>
                </w:p>
              </w:tc>
              <w:tc>
                <w:tcPr>
                  <w:tcW w:w="635" w:type="pct"/>
                  <w:vMerge w:val="restart"/>
                  <w:tcBorders>
                    <w:tl2br w:val="nil"/>
                    <w:tr2bl w:val="nil"/>
                  </w:tcBorders>
                  <w:shd w:val="clear" w:color="auto" w:fill="auto"/>
                  <w:noWrap/>
                  <w:vAlign w:val="center"/>
                </w:tcPr>
                <w:p w14:paraId="61D25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环保措施</w:t>
                  </w:r>
                </w:p>
              </w:tc>
              <w:tc>
                <w:tcPr>
                  <w:tcW w:w="1051" w:type="pct"/>
                  <w:tcBorders>
                    <w:tl2br w:val="nil"/>
                    <w:tr2bl w:val="nil"/>
                  </w:tcBorders>
                  <w:shd w:val="clear" w:color="auto" w:fill="auto"/>
                  <w:noWrap/>
                  <w:vAlign w:val="center"/>
                </w:tcPr>
                <w:p w14:paraId="214DF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废气处理</w:t>
                  </w:r>
                </w:p>
              </w:tc>
              <w:tc>
                <w:tcPr>
                  <w:tcW w:w="1013" w:type="pct"/>
                  <w:tcBorders>
                    <w:tl2br w:val="nil"/>
                    <w:tr2bl w:val="nil"/>
                  </w:tcBorders>
                  <w:shd w:val="clear" w:color="auto" w:fill="auto"/>
                  <w:noWrap/>
                  <w:vAlign w:val="center"/>
                </w:tcPr>
                <w:p w14:paraId="15A6A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w:t>
                  </w:r>
                  <w:r>
                    <w:rPr>
                      <w:rFonts w:hint="default" w:ascii="Times New Roman" w:hAnsi="Times New Roman" w:eastAsia="宋体" w:cs="Times New Roman"/>
                      <w:i w:val="0"/>
                      <w:iCs w:val="0"/>
                      <w:color w:val="000000"/>
                      <w:kern w:val="0"/>
                      <w:sz w:val="18"/>
                      <w:szCs w:val="18"/>
                      <w:u w:val="none"/>
                      <w:lang w:val="en-US" w:eastAsia="zh-CN" w:bidi="ar"/>
                    </w:rPr>
                    <w:t>HEPA</w:t>
                  </w:r>
                  <w:r>
                    <w:rPr>
                      <w:rFonts w:hint="eastAsia" w:ascii="宋体" w:hAnsi="宋体" w:eastAsia="宋体" w:cs="宋体"/>
                      <w:i w:val="0"/>
                      <w:iCs w:val="0"/>
                      <w:color w:val="000000"/>
                      <w:kern w:val="0"/>
                      <w:sz w:val="18"/>
                      <w:szCs w:val="18"/>
                      <w:u w:val="none"/>
                      <w:lang w:val="en-US" w:eastAsia="zh-CN" w:bidi="ar"/>
                    </w:rPr>
                    <w:t>过滤器</w:t>
                  </w:r>
                </w:p>
              </w:tc>
              <w:tc>
                <w:tcPr>
                  <w:tcW w:w="1608" w:type="pct"/>
                  <w:tcBorders>
                    <w:tl2br w:val="nil"/>
                    <w:tr2bl w:val="nil"/>
                  </w:tcBorders>
                  <w:shd w:val="clear" w:color="auto" w:fill="auto"/>
                  <w:noWrap/>
                  <w:vAlign w:val="center"/>
                </w:tcPr>
                <w:p w14:paraId="4395C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w:t>
                  </w:r>
                  <w:r>
                    <w:rPr>
                      <w:rFonts w:hint="default" w:ascii="Times New Roman" w:hAnsi="Times New Roman" w:eastAsia="宋体" w:cs="Times New Roman"/>
                      <w:i w:val="0"/>
                      <w:iCs w:val="0"/>
                      <w:color w:val="000000"/>
                      <w:kern w:val="0"/>
                      <w:sz w:val="18"/>
                      <w:szCs w:val="18"/>
                      <w:u w:val="none"/>
                      <w:lang w:val="en-US" w:eastAsia="zh-CN" w:bidi="ar"/>
                    </w:rPr>
                    <w:t>HEPA</w:t>
                  </w:r>
                  <w:r>
                    <w:rPr>
                      <w:rFonts w:hint="eastAsia" w:ascii="宋体" w:hAnsi="宋体" w:eastAsia="宋体" w:cs="宋体"/>
                      <w:i w:val="0"/>
                      <w:iCs w:val="0"/>
                      <w:color w:val="000000"/>
                      <w:kern w:val="0"/>
                      <w:sz w:val="18"/>
                      <w:szCs w:val="18"/>
                      <w:u w:val="none"/>
                      <w:lang w:val="en-US" w:eastAsia="zh-CN" w:bidi="ar"/>
                    </w:rPr>
                    <w:t>过滤器</w:t>
                  </w:r>
                </w:p>
              </w:tc>
            </w:tr>
            <w:tr w14:paraId="54F38E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1DA55611">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788524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S11</w:t>
                  </w:r>
                </w:p>
              </w:tc>
              <w:tc>
                <w:tcPr>
                  <w:tcW w:w="635" w:type="pct"/>
                  <w:vMerge w:val="continue"/>
                  <w:tcBorders>
                    <w:tl2br w:val="nil"/>
                    <w:tr2bl w:val="nil"/>
                  </w:tcBorders>
                  <w:shd w:val="clear" w:color="auto" w:fill="auto"/>
                  <w:noWrap/>
                  <w:vAlign w:val="center"/>
                </w:tcPr>
                <w:p w14:paraId="0DA6E87F">
                  <w:pPr>
                    <w:jc w:val="center"/>
                    <w:rPr>
                      <w:rFonts w:hint="eastAsia" w:ascii="宋体" w:hAnsi="宋体" w:eastAsia="宋体" w:cs="宋体"/>
                      <w:i w:val="0"/>
                      <w:iCs w:val="0"/>
                      <w:color w:val="000000"/>
                      <w:sz w:val="18"/>
                      <w:szCs w:val="18"/>
                      <w:u w:val="none"/>
                    </w:rPr>
                  </w:pPr>
                </w:p>
              </w:tc>
              <w:tc>
                <w:tcPr>
                  <w:tcW w:w="1051" w:type="pct"/>
                  <w:tcBorders>
                    <w:tl2br w:val="nil"/>
                    <w:tr2bl w:val="nil"/>
                  </w:tcBorders>
                  <w:shd w:val="clear" w:color="auto" w:fill="auto"/>
                  <w:noWrap/>
                  <w:vAlign w:val="center"/>
                </w:tcPr>
                <w:p w14:paraId="448E8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废气处理</w:t>
                  </w:r>
                </w:p>
              </w:tc>
              <w:tc>
                <w:tcPr>
                  <w:tcW w:w="1013" w:type="pct"/>
                  <w:tcBorders>
                    <w:tl2br w:val="nil"/>
                    <w:tr2bl w:val="nil"/>
                  </w:tcBorders>
                  <w:shd w:val="clear" w:color="auto" w:fill="auto"/>
                  <w:noWrap/>
                  <w:vAlign w:val="center"/>
                </w:tcPr>
                <w:p w14:paraId="1B47D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废活性炭</w:t>
                  </w:r>
                </w:p>
              </w:tc>
              <w:tc>
                <w:tcPr>
                  <w:tcW w:w="1608" w:type="pct"/>
                  <w:tcBorders>
                    <w:tl2br w:val="nil"/>
                    <w:tr2bl w:val="nil"/>
                  </w:tcBorders>
                  <w:shd w:val="clear" w:color="auto" w:fill="auto"/>
                  <w:noWrap/>
                  <w:vAlign w:val="center"/>
                </w:tcPr>
                <w:p w14:paraId="5EEEE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废活性炭</w:t>
                  </w:r>
                </w:p>
              </w:tc>
            </w:tr>
            <w:tr w14:paraId="3CE83C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270CA54D">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38A323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S12</w:t>
                  </w:r>
                </w:p>
              </w:tc>
              <w:tc>
                <w:tcPr>
                  <w:tcW w:w="635" w:type="pct"/>
                  <w:tcBorders>
                    <w:tl2br w:val="nil"/>
                    <w:tr2bl w:val="nil"/>
                  </w:tcBorders>
                  <w:shd w:val="clear" w:color="auto" w:fill="auto"/>
                  <w:noWrap/>
                  <w:vAlign w:val="center"/>
                </w:tcPr>
                <w:p w14:paraId="05B78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设备维保</w:t>
                  </w:r>
                </w:p>
              </w:tc>
              <w:tc>
                <w:tcPr>
                  <w:tcW w:w="1051" w:type="pct"/>
                  <w:tcBorders>
                    <w:tl2br w:val="nil"/>
                    <w:tr2bl w:val="nil"/>
                  </w:tcBorders>
                  <w:shd w:val="clear" w:color="auto" w:fill="auto"/>
                  <w:noWrap/>
                  <w:vAlign w:val="center"/>
                </w:tcPr>
                <w:p w14:paraId="0FAF8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设备维保</w:t>
                  </w:r>
                </w:p>
              </w:tc>
              <w:tc>
                <w:tcPr>
                  <w:tcW w:w="1013" w:type="pct"/>
                  <w:tcBorders>
                    <w:tl2br w:val="nil"/>
                    <w:tr2bl w:val="nil"/>
                  </w:tcBorders>
                  <w:shd w:val="clear" w:color="auto" w:fill="auto"/>
                  <w:noWrap/>
                  <w:vAlign w:val="center"/>
                </w:tcPr>
                <w:p w14:paraId="61865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废润滑油</w:t>
                  </w:r>
                </w:p>
              </w:tc>
              <w:tc>
                <w:tcPr>
                  <w:tcW w:w="1608" w:type="pct"/>
                  <w:tcBorders>
                    <w:tl2br w:val="nil"/>
                    <w:tr2bl w:val="nil"/>
                  </w:tcBorders>
                  <w:shd w:val="clear" w:color="auto" w:fill="auto"/>
                  <w:noWrap/>
                  <w:vAlign w:val="center"/>
                </w:tcPr>
                <w:p w14:paraId="1D4E6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废润滑油</w:t>
                  </w:r>
                </w:p>
              </w:tc>
            </w:tr>
            <w:tr w14:paraId="727539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3EA50C5B">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18BAA3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S13</w:t>
                  </w:r>
                </w:p>
              </w:tc>
              <w:tc>
                <w:tcPr>
                  <w:tcW w:w="635" w:type="pct"/>
                  <w:tcBorders>
                    <w:tl2br w:val="nil"/>
                    <w:tr2bl w:val="nil"/>
                  </w:tcBorders>
                  <w:shd w:val="clear" w:color="auto" w:fill="auto"/>
                  <w:noWrap/>
                  <w:vAlign w:val="center"/>
                </w:tcPr>
                <w:p w14:paraId="03907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设备维保</w:t>
                  </w:r>
                </w:p>
              </w:tc>
              <w:tc>
                <w:tcPr>
                  <w:tcW w:w="1051" w:type="pct"/>
                  <w:tcBorders>
                    <w:tl2br w:val="nil"/>
                    <w:tr2bl w:val="nil"/>
                  </w:tcBorders>
                  <w:shd w:val="clear" w:color="auto" w:fill="auto"/>
                  <w:noWrap/>
                  <w:vAlign w:val="center"/>
                </w:tcPr>
                <w:p w14:paraId="355B3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设备维保</w:t>
                  </w:r>
                </w:p>
              </w:tc>
              <w:tc>
                <w:tcPr>
                  <w:tcW w:w="1013" w:type="pct"/>
                  <w:tcBorders>
                    <w:tl2br w:val="nil"/>
                    <w:tr2bl w:val="nil"/>
                  </w:tcBorders>
                  <w:shd w:val="clear" w:color="auto" w:fill="auto"/>
                  <w:noWrap/>
                  <w:vAlign w:val="center"/>
                </w:tcPr>
                <w:p w14:paraId="56D9A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废油桶</w:t>
                  </w:r>
                </w:p>
              </w:tc>
              <w:tc>
                <w:tcPr>
                  <w:tcW w:w="1608" w:type="pct"/>
                  <w:tcBorders>
                    <w:tl2br w:val="nil"/>
                    <w:tr2bl w:val="nil"/>
                  </w:tcBorders>
                  <w:shd w:val="clear" w:color="auto" w:fill="auto"/>
                  <w:noWrap/>
                  <w:vAlign w:val="center"/>
                </w:tcPr>
                <w:p w14:paraId="0D1D1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废油桶</w:t>
                  </w:r>
                </w:p>
              </w:tc>
            </w:tr>
            <w:tr w14:paraId="44A828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96" w:type="pct"/>
                  <w:vMerge w:val="continue"/>
                  <w:tcBorders>
                    <w:tl2br w:val="nil"/>
                    <w:tr2bl w:val="nil"/>
                  </w:tcBorders>
                  <w:shd w:val="clear" w:color="auto" w:fill="auto"/>
                  <w:noWrap/>
                  <w:vAlign w:val="center"/>
                </w:tcPr>
                <w:p w14:paraId="03B32BD6">
                  <w:pPr>
                    <w:jc w:val="center"/>
                    <w:rPr>
                      <w:rFonts w:hint="eastAsia" w:ascii="宋体" w:hAnsi="宋体" w:eastAsia="宋体" w:cs="宋体"/>
                      <w:i w:val="0"/>
                      <w:iCs w:val="0"/>
                      <w:color w:val="000000"/>
                      <w:sz w:val="18"/>
                      <w:szCs w:val="18"/>
                      <w:u w:val="none"/>
                    </w:rPr>
                  </w:pPr>
                </w:p>
              </w:tc>
              <w:tc>
                <w:tcPr>
                  <w:tcW w:w="394" w:type="pct"/>
                  <w:tcBorders>
                    <w:tl2br w:val="nil"/>
                    <w:tr2bl w:val="nil"/>
                  </w:tcBorders>
                  <w:shd w:val="clear" w:color="auto" w:fill="auto"/>
                  <w:noWrap/>
                  <w:vAlign w:val="center"/>
                </w:tcPr>
                <w:p w14:paraId="6C6C9F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S14</w:t>
                  </w:r>
                </w:p>
              </w:tc>
              <w:tc>
                <w:tcPr>
                  <w:tcW w:w="635" w:type="pct"/>
                  <w:tcBorders>
                    <w:tl2br w:val="nil"/>
                    <w:tr2bl w:val="nil"/>
                  </w:tcBorders>
                  <w:shd w:val="clear" w:color="auto" w:fill="auto"/>
                  <w:noWrap/>
                  <w:vAlign w:val="center"/>
                </w:tcPr>
                <w:p w14:paraId="1E406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员工生活</w:t>
                  </w:r>
                </w:p>
              </w:tc>
              <w:tc>
                <w:tcPr>
                  <w:tcW w:w="1051" w:type="pct"/>
                  <w:tcBorders>
                    <w:tl2br w:val="nil"/>
                    <w:tr2bl w:val="nil"/>
                  </w:tcBorders>
                  <w:shd w:val="clear" w:color="auto" w:fill="auto"/>
                  <w:noWrap/>
                  <w:vAlign w:val="center"/>
                </w:tcPr>
                <w:p w14:paraId="41236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员工生活</w:t>
                  </w:r>
                </w:p>
              </w:tc>
              <w:tc>
                <w:tcPr>
                  <w:tcW w:w="1013" w:type="pct"/>
                  <w:tcBorders>
                    <w:tl2br w:val="nil"/>
                    <w:tr2bl w:val="nil"/>
                  </w:tcBorders>
                  <w:shd w:val="clear" w:color="auto" w:fill="auto"/>
                  <w:noWrap/>
                  <w:vAlign w:val="center"/>
                </w:tcPr>
                <w:p w14:paraId="134A6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生活垃圾</w:t>
                  </w:r>
                </w:p>
              </w:tc>
              <w:tc>
                <w:tcPr>
                  <w:tcW w:w="1608" w:type="pct"/>
                  <w:tcBorders>
                    <w:tl2br w:val="nil"/>
                    <w:tr2bl w:val="nil"/>
                  </w:tcBorders>
                  <w:shd w:val="clear" w:color="auto" w:fill="auto"/>
                  <w:noWrap/>
                  <w:vAlign w:val="center"/>
                </w:tcPr>
                <w:p w14:paraId="45B43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生活垃圾</w:t>
                  </w:r>
                </w:p>
              </w:tc>
            </w:tr>
          </w:tbl>
          <w:p w14:paraId="3DD00379">
            <w:pPr>
              <w:adjustRightInd w:val="0"/>
              <w:snapToGrid w:val="0"/>
              <w:rPr>
                <w:bCs/>
                <w:szCs w:val="21"/>
              </w:rPr>
            </w:pPr>
          </w:p>
        </w:tc>
      </w:tr>
      <w:tr w14:paraId="423087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0" w:hRule="atLeast"/>
          <w:jc w:val="center"/>
        </w:trPr>
        <w:tc>
          <w:tcPr>
            <w:tcW w:w="555" w:type="dxa"/>
            <w:vAlign w:val="center"/>
          </w:tcPr>
          <w:p w14:paraId="0C301B14">
            <w:pPr>
              <w:pStyle w:val="22"/>
              <w:adjustRightInd w:val="0"/>
              <w:snapToGrid w:val="0"/>
              <w:spacing w:before="0" w:beforeAutospacing="0" w:after="0" w:afterAutospacing="0"/>
              <w:jc w:val="center"/>
              <w:rPr>
                <w:rFonts w:ascii="Times New Roman" w:hAnsi="Times New Roman"/>
                <w:sz w:val="21"/>
                <w:szCs w:val="21"/>
              </w:rPr>
            </w:pPr>
            <w:r>
              <w:rPr>
                <w:rFonts w:hint="eastAsia" w:ascii="Times New Roman" w:hAnsi="Times New Roman"/>
                <w:bCs/>
                <w:kern w:val="2"/>
                <w:sz w:val="21"/>
                <w:szCs w:val="21"/>
              </w:rPr>
              <w:t>与项目有关的原有环境污染问题</w:t>
            </w:r>
          </w:p>
        </w:tc>
        <w:tc>
          <w:tcPr>
            <w:tcW w:w="8269" w:type="dxa"/>
            <w:tcBorders>
              <w:top w:val="single" w:color="auto" w:sz="4" w:space="0"/>
            </w:tcBorders>
          </w:tcPr>
          <w:p w14:paraId="440AA6C9">
            <w:pPr>
              <w:widowControl/>
              <w:adjustRightInd w:val="0"/>
              <w:snapToGrid w:val="0"/>
              <w:spacing w:line="360" w:lineRule="auto"/>
            </w:pPr>
            <w:r>
              <w:rPr>
                <w:rFonts w:hint="eastAsia"/>
                <w:b/>
                <w:kern w:val="0"/>
                <w:sz w:val="24"/>
              </w:rPr>
              <w:t>2.3  与项目有关的原有环境问题</w:t>
            </w:r>
          </w:p>
          <w:p w14:paraId="576DD8A0">
            <w:pPr>
              <w:adjustRightInd w:val="0"/>
              <w:snapToGrid w:val="0"/>
              <w:spacing w:line="360" w:lineRule="auto"/>
              <w:ind w:firstLine="0" w:firstLineChars="0"/>
              <w:rPr>
                <w:rFonts w:hint="eastAsia"/>
                <w:lang w:val="en-US" w:eastAsia="zh-CN"/>
              </w:rPr>
            </w:pPr>
            <w:r>
              <w:rPr>
                <w:rFonts w:hint="eastAsia"/>
                <w:b/>
                <w:bCs/>
                <w:sz w:val="22"/>
                <w:szCs w:val="28"/>
                <w:lang w:val="en-US" w:eastAsia="zh-CN"/>
              </w:rPr>
              <w:t>2.3.1  企业现有项目审批、验收及排污许可情况</w:t>
            </w:r>
          </w:p>
          <w:p w14:paraId="34A1C0F6">
            <w:pPr>
              <w:adjustRightInd w:val="0"/>
              <w:snapToGrid w:val="0"/>
              <w:spacing w:line="360" w:lineRule="auto"/>
              <w:ind w:firstLine="420" w:firstLineChars="200"/>
              <w:rPr>
                <w:rFonts w:hint="eastAsia"/>
                <w:bCs/>
                <w:szCs w:val="21"/>
              </w:rPr>
            </w:pPr>
            <w:r>
              <w:rPr>
                <w:rFonts w:hint="eastAsia"/>
                <w:bCs/>
                <w:kern w:val="0"/>
                <w:szCs w:val="21"/>
              </w:rPr>
              <w:t>本项目为迁建项目，</w:t>
            </w:r>
            <w:r>
              <w:rPr>
                <w:rFonts w:hint="eastAsia"/>
              </w:rPr>
              <w:t>租用传嘉科技（杭州）有限公司闲置厂房（杭州市余杭区中泰街道铜山溪路2号南湖未来科学院5号楼301-302室）</w:t>
            </w:r>
            <w:r>
              <w:rPr>
                <w:rFonts w:hint="eastAsia"/>
                <w:bCs/>
                <w:szCs w:val="21"/>
              </w:rPr>
              <w:t>。该厂房之前并无生产项目运行，企业现有项目（位于浙江省杭州市余杭区仓前街道余杭塘路2622号5幢2层201室）于2026年3月彻底拆除。</w:t>
            </w:r>
          </w:p>
          <w:p w14:paraId="44DF37A3">
            <w:pPr>
              <w:adjustRightInd w:val="0"/>
              <w:snapToGrid w:val="0"/>
              <w:spacing w:line="360" w:lineRule="auto"/>
              <w:ind w:firstLine="420" w:firstLineChars="200"/>
              <w:rPr>
                <w:rFonts w:hint="default"/>
                <w:kern w:val="0"/>
                <w:szCs w:val="21"/>
                <w:lang w:val="en-US" w:eastAsia="zh-CN"/>
              </w:rPr>
            </w:pPr>
            <w:r>
              <w:rPr>
                <w:rFonts w:hint="eastAsia"/>
                <w:lang w:val="en-US" w:eastAsia="zh-CN"/>
              </w:rPr>
              <w:t>企业现有项目的《年产球囊导管10万根技改项目环境影响评价报告表降级登记表》，已于2022年10月12日通过备案，审批文号为杭环余改备</w:t>
            </w:r>
            <w:r>
              <w:rPr>
                <w:rFonts w:hint="eastAsia"/>
                <w:kern w:val="0"/>
                <w:szCs w:val="21"/>
              </w:rPr>
              <w:t>〔202</w:t>
            </w:r>
            <w:r>
              <w:rPr>
                <w:rFonts w:hint="eastAsia"/>
                <w:kern w:val="0"/>
                <w:szCs w:val="21"/>
                <w:lang w:val="en-US" w:eastAsia="zh-CN"/>
              </w:rPr>
              <w:t>2</w:t>
            </w:r>
            <w:r>
              <w:rPr>
                <w:rFonts w:hint="eastAsia"/>
                <w:kern w:val="0"/>
                <w:szCs w:val="21"/>
              </w:rPr>
              <w:t>〕</w:t>
            </w:r>
            <w:r>
              <w:rPr>
                <w:rFonts w:hint="eastAsia"/>
                <w:kern w:val="0"/>
                <w:szCs w:val="21"/>
                <w:lang w:val="en-US" w:eastAsia="zh-CN"/>
              </w:rPr>
              <w:t>35号。企业已于2023年3月28日完成自主验收。根据《固定污染源排污许可分类管理名录》，本项目属于“三十、专用设备制造业 35 --84、医疗仪器设备及器械制造 358”，且本项目不涉及通用工序，因此本项目为登记管理，不需要申请取得排污许可证，应当在全国排污许可证管理信息平台填报排污登记表，登记基本信息、污染物排放去向、执行的污染物排放标准以及采取的污染防治措施等信息。企业已完成固定污染源排污登记，登记编号为：91330108MA2KJELQ7X001W。</w:t>
            </w:r>
          </w:p>
          <w:p w14:paraId="6A9813E3">
            <w:pPr>
              <w:adjustRightInd w:val="0"/>
              <w:snapToGrid w:val="0"/>
              <w:spacing w:line="360" w:lineRule="auto"/>
              <w:ind w:firstLine="0" w:firstLineChars="0"/>
              <w:rPr>
                <w:rFonts w:hint="eastAsia"/>
                <w:b/>
                <w:bCs/>
                <w:sz w:val="22"/>
                <w:szCs w:val="28"/>
                <w:lang w:val="en-US" w:eastAsia="zh-CN"/>
              </w:rPr>
            </w:pPr>
            <w:r>
              <w:rPr>
                <w:rFonts w:hint="eastAsia"/>
                <w:b/>
                <w:bCs/>
                <w:sz w:val="22"/>
                <w:szCs w:val="28"/>
                <w:lang w:val="en-US" w:eastAsia="zh-CN"/>
              </w:rPr>
              <w:t>2.3.2  企业现有项目情况</w:t>
            </w:r>
          </w:p>
          <w:p w14:paraId="47E21CC7">
            <w:pPr>
              <w:adjustRightInd w:val="0"/>
              <w:snapToGrid w:val="0"/>
              <w:spacing w:line="360" w:lineRule="auto"/>
              <w:ind w:firstLine="420" w:firstLineChars="200"/>
              <w:rPr>
                <w:rFonts w:hint="default"/>
                <w:b w:val="0"/>
                <w:bCs w:val="0"/>
                <w:sz w:val="21"/>
                <w:szCs w:val="24"/>
                <w:lang w:val="en-US" w:eastAsia="zh-CN"/>
              </w:rPr>
            </w:pPr>
            <w:r>
              <w:rPr>
                <w:rFonts w:hint="eastAsia"/>
                <w:b w:val="0"/>
                <w:bCs w:val="0"/>
                <w:sz w:val="21"/>
                <w:szCs w:val="24"/>
                <w:lang w:val="en-US" w:eastAsia="zh-CN"/>
              </w:rPr>
              <w:t>根据调查，企业老厂区已于2026年3月停止生产，相关设备均已拆除，因此现有项目根据环评资料介绍下已审批的工程内容。</w:t>
            </w:r>
          </w:p>
          <w:p w14:paraId="758A7E40">
            <w:pPr>
              <w:adjustRightInd w:val="0"/>
              <w:snapToGrid w:val="0"/>
              <w:spacing w:line="360" w:lineRule="auto"/>
              <w:ind w:firstLine="0" w:firstLineChars="0"/>
              <w:rPr>
                <w:rFonts w:hint="eastAsia"/>
                <w:b/>
                <w:bCs/>
                <w:sz w:val="21"/>
                <w:szCs w:val="24"/>
                <w:lang w:val="en-US" w:eastAsia="zh-CN"/>
              </w:rPr>
            </w:pPr>
            <w:r>
              <w:rPr>
                <w:rFonts w:hint="eastAsia"/>
                <w:b/>
                <w:bCs/>
                <w:sz w:val="21"/>
                <w:szCs w:val="24"/>
                <w:lang w:val="en-US" w:eastAsia="zh-CN"/>
              </w:rPr>
              <w:t>1、现有项目审批产品方案</w:t>
            </w:r>
          </w:p>
          <w:p w14:paraId="580405C8">
            <w:pPr>
              <w:adjustRightInd w:val="0"/>
              <w:snapToGrid w:val="0"/>
              <w:spacing w:line="360" w:lineRule="auto"/>
              <w:ind w:firstLine="420" w:firstLineChars="200"/>
              <w:rPr>
                <w:rFonts w:hint="eastAsia"/>
                <w:b w:val="0"/>
                <w:bCs w:val="0"/>
                <w:sz w:val="21"/>
                <w:szCs w:val="24"/>
                <w:lang w:val="en-US" w:eastAsia="zh-CN"/>
              </w:rPr>
            </w:pPr>
            <w:r>
              <w:rPr>
                <w:rFonts w:hint="eastAsia"/>
                <w:b w:val="0"/>
                <w:bCs w:val="0"/>
                <w:sz w:val="21"/>
                <w:szCs w:val="24"/>
                <w:lang w:val="en-US" w:eastAsia="zh-CN"/>
              </w:rPr>
              <w:t>企业现有项目审批产品方案见下表：</w:t>
            </w:r>
          </w:p>
          <w:p w14:paraId="2F29768C">
            <w:pPr>
              <w:pStyle w:val="139"/>
              <w:numPr>
                <w:ilvl w:val="0"/>
                <w:numId w:val="4"/>
              </w:numPr>
              <w:adjustRightInd w:val="0"/>
              <w:snapToGrid w:val="0"/>
              <w:ind w:left="420" w:firstLineChars="200"/>
              <w:jc w:val="center"/>
              <w:rPr>
                <w:rFonts w:hint="eastAsia"/>
                <w:b w:val="0"/>
                <w:bCs w:val="0"/>
                <w:sz w:val="21"/>
                <w:szCs w:val="24"/>
                <w:lang w:val="en-US" w:eastAsia="zh-CN"/>
              </w:rPr>
            </w:pPr>
            <w:r>
              <w:rPr>
                <w:rFonts w:hint="eastAsia" w:ascii="黑体" w:hAnsi="黑体" w:eastAsia="黑体" w:cs="黑体"/>
                <w:szCs w:val="21"/>
                <w:lang w:val="en-US" w:eastAsia="zh-CN"/>
              </w:rPr>
              <w:t>企业现有审批产品方案</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1267"/>
              <w:gridCol w:w="1250"/>
              <w:gridCol w:w="1120"/>
              <w:gridCol w:w="3658"/>
            </w:tblGrid>
            <w:tr w14:paraId="6DF8D2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52" w:type="pct"/>
                  <w:tcBorders>
                    <w:tl2br w:val="nil"/>
                    <w:tr2bl w:val="nil"/>
                  </w:tcBorders>
                  <w:vAlign w:val="center"/>
                </w:tcPr>
                <w:p w14:paraId="60858F3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序号</w:t>
                  </w:r>
                </w:p>
              </w:tc>
              <w:tc>
                <w:tcPr>
                  <w:tcW w:w="790" w:type="pct"/>
                  <w:tcBorders>
                    <w:tl2br w:val="nil"/>
                    <w:tr2bl w:val="nil"/>
                  </w:tcBorders>
                  <w:vAlign w:val="center"/>
                </w:tcPr>
                <w:p w14:paraId="76690A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产品名称</w:t>
                  </w:r>
                </w:p>
              </w:tc>
              <w:tc>
                <w:tcPr>
                  <w:tcW w:w="779" w:type="pct"/>
                  <w:tcBorders>
                    <w:tl2br w:val="nil"/>
                    <w:tr2bl w:val="nil"/>
                  </w:tcBorders>
                  <w:vAlign w:val="center"/>
                </w:tcPr>
                <w:p w14:paraId="618920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w:t>
                  </w:r>
                </w:p>
              </w:tc>
              <w:tc>
                <w:tcPr>
                  <w:tcW w:w="698" w:type="pct"/>
                  <w:tcBorders>
                    <w:tl2br w:val="nil"/>
                    <w:tr2bl w:val="nil"/>
                  </w:tcBorders>
                  <w:vAlign w:val="center"/>
                </w:tcPr>
                <w:p w14:paraId="0F66128A">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产量</w:t>
                  </w:r>
                </w:p>
              </w:tc>
              <w:tc>
                <w:tcPr>
                  <w:tcW w:w="2280" w:type="pct"/>
                  <w:tcBorders>
                    <w:tl2br w:val="nil"/>
                    <w:tr2bl w:val="nil"/>
                  </w:tcBorders>
                  <w:vAlign w:val="center"/>
                </w:tcPr>
                <w:p w14:paraId="23AF8337">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规格</w:t>
                  </w:r>
                </w:p>
              </w:tc>
            </w:tr>
            <w:tr w14:paraId="60ECD0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52" w:type="pct"/>
                  <w:tcBorders>
                    <w:tl2br w:val="nil"/>
                    <w:tr2bl w:val="nil"/>
                  </w:tcBorders>
                  <w:vAlign w:val="center"/>
                </w:tcPr>
                <w:p w14:paraId="2EB93AC0">
                  <w:pPr>
                    <w:widowControl/>
                    <w:jc w:val="center"/>
                    <w:textAlignment w:val="center"/>
                    <w:rPr>
                      <w:rFonts w:hint="eastAsia" w:eastAsia="宋体"/>
                      <w:color w:val="000000"/>
                      <w:sz w:val="18"/>
                      <w:szCs w:val="18"/>
                      <w:lang w:eastAsia="zh-CN"/>
                    </w:rPr>
                  </w:pPr>
                  <w:r>
                    <w:rPr>
                      <w:rFonts w:hint="eastAsia"/>
                      <w:color w:val="000000"/>
                      <w:kern w:val="0"/>
                      <w:sz w:val="18"/>
                      <w:szCs w:val="18"/>
                      <w:lang w:val="en-US" w:eastAsia="zh-CN" w:bidi="ar"/>
                    </w:rPr>
                    <w:t>1</w:t>
                  </w:r>
                </w:p>
              </w:tc>
              <w:tc>
                <w:tcPr>
                  <w:tcW w:w="790" w:type="pct"/>
                  <w:tcBorders>
                    <w:tl2br w:val="nil"/>
                    <w:tr2bl w:val="nil"/>
                  </w:tcBorders>
                  <w:vAlign w:val="center"/>
                </w:tcPr>
                <w:p w14:paraId="66F01A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球囊导管</w:t>
                  </w:r>
                </w:p>
              </w:tc>
              <w:tc>
                <w:tcPr>
                  <w:tcW w:w="779" w:type="pct"/>
                  <w:tcBorders>
                    <w:tl2br w:val="nil"/>
                    <w:tr2bl w:val="nil"/>
                  </w:tcBorders>
                  <w:vAlign w:val="center"/>
                </w:tcPr>
                <w:p w14:paraId="340C724E">
                  <w:pPr>
                    <w:widowControl/>
                    <w:jc w:val="center"/>
                    <w:textAlignment w:val="center"/>
                    <w:rPr>
                      <w:color w:val="000000"/>
                      <w:sz w:val="18"/>
                      <w:szCs w:val="18"/>
                    </w:rPr>
                  </w:pPr>
                  <w:r>
                    <w:rPr>
                      <w:rFonts w:hint="eastAsia"/>
                      <w:color w:val="000000"/>
                      <w:kern w:val="0"/>
                      <w:sz w:val="18"/>
                      <w:szCs w:val="18"/>
                      <w:lang w:bidi="ar"/>
                    </w:rPr>
                    <w:t>套/年</w:t>
                  </w:r>
                </w:p>
              </w:tc>
              <w:tc>
                <w:tcPr>
                  <w:tcW w:w="698" w:type="pct"/>
                  <w:tcBorders>
                    <w:tl2br w:val="nil"/>
                    <w:tr2bl w:val="nil"/>
                  </w:tcBorders>
                  <w:vAlign w:val="center"/>
                </w:tcPr>
                <w:p w14:paraId="252BE0EC">
                  <w:pPr>
                    <w:widowControl/>
                    <w:jc w:val="center"/>
                    <w:textAlignment w:val="center"/>
                    <w:rPr>
                      <w:color w:val="000000"/>
                      <w:kern w:val="0"/>
                      <w:sz w:val="18"/>
                      <w:szCs w:val="18"/>
                      <w:lang w:bidi="ar"/>
                    </w:rPr>
                  </w:pPr>
                  <w:r>
                    <w:rPr>
                      <w:rFonts w:hint="eastAsia"/>
                      <w:color w:val="000000"/>
                      <w:kern w:val="0"/>
                      <w:sz w:val="18"/>
                      <w:szCs w:val="18"/>
                      <w:lang w:bidi="ar"/>
                    </w:rPr>
                    <w:t>1</w:t>
                  </w:r>
                  <w:r>
                    <w:rPr>
                      <w:rFonts w:hint="eastAsia"/>
                      <w:color w:val="000000"/>
                      <w:kern w:val="0"/>
                      <w:sz w:val="18"/>
                      <w:szCs w:val="18"/>
                      <w:lang w:val="en-US" w:eastAsia="zh-CN" w:bidi="ar"/>
                    </w:rPr>
                    <w:t>0</w:t>
                  </w:r>
                  <w:r>
                    <w:rPr>
                      <w:rFonts w:hint="eastAsia"/>
                      <w:color w:val="000000"/>
                      <w:kern w:val="0"/>
                      <w:sz w:val="18"/>
                      <w:szCs w:val="18"/>
                      <w:lang w:bidi="ar"/>
                    </w:rPr>
                    <w:t>0000</w:t>
                  </w:r>
                </w:p>
              </w:tc>
              <w:tc>
                <w:tcPr>
                  <w:tcW w:w="2280" w:type="pct"/>
                  <w:tcBorders>
                    <w:tl2br w:val="nil"/>
                    <w:tr2bl w:val="nil"/>
                  </w:tcBorders>
                  <w:vAlign w:val="center"/>
                </w:tcPr>
                <w:p w14:paraId="3B2A1536">
                  <w:pPr>
                    <w:widowControl/>
                    <w:jc w:val="center"/>
                    <w:textAlignment w:val="center"/>
                    <w:rPr>
                      <w:rFonts w:hint="eastAsia"/>
                      <w:color w:val="000000"/>
                      <w:kern w:val="0"/>
                      <w:sz w:val="18"/>
                      <w:szCs w:val="18"/>
                      <w:lang w:val="en-US" w:eastAsia="zh-CN" w:bidi="ar"/>
                    </w:rPr>
                  </w:pPr>
                  <w:r>
                    <w:rPr>
                      <w:rFonts w:hint="eastAsia"/>
                      <w:color w:val="000000"/>
                      <w:kern w:val="0"/>
                      <w:sz w:val="18"/>
                      <w:szCs w:val="18"/>
                      <w:lang w:val="en-US" w:eastAsia="zh-CN" w:bidi="ar"/>
                    </w:rPr>
                    <w:t>球囊直径2.50~4.00 mm</w:t>
                  </w:r>
                </w:p>
                <w:p w14:paraId="038DCFEA">
                  <w:pPr>
                    <w:widowControl/>
                    <w:jc w:val="center"/>
                    <w:textAlignment w:val="center"/>
                    <w:rPr>
                      <w:rFonts w:hint="default"/>
                      <w:color w:val="000000"/>
                      <w:kern w:val="0"/>
                      <w:sz w:val="18"/>
                      <w:szCs w:val="18"/>
                      <w:lang w:val="en-US" w:eastAsia="zh-CN" w:bidi="ar"/>
                    </w:rPr>
                  </w:pPr>
                  <w:r>
                    <w:rPr>
                      <w:rFonts w:hint="eastAsia"/>
                      <w:color w:val="000000"/>
                      <w:kern w:val="0"/>
                      <w:sz w:val="18"/>
                      <w:szCs w:val="18"/>
                      <w:lang w:val="en-US" w:eastAsia="zh-CN" w:bidi="ar"/>
                    </w:rPr>
                    <w:t>球囊有效长度8/12/16 mm</w:t>
                  </w:r>
                </w:p>
              </w:tc>
            </w:tr>
          </w:tbl>
          <w:p w14:paraId="22F6295E">
            <w:pPr>
              <w:numPr>
                <w:ilvl w:val="-1"/>
                <w:numId w:val="0"/>
              </w:numPr>
              <w:adjustRightInd w:val="0"/>
              <w:snapToGrid w:val="0"/>
              <w:spacing w:line="360" w:lineRule="auto"/>
              <w:ind w:firstLine="0" w:firstLineChars="0"/>
              <w:rPr>
                <w:rFonts w:hint="eastAsia"/>
                <w:b/>
                <w:bCs/>
                <w:sz w:val="21"/>
                <w:szCs w:val="24"/>
                <w:lang w:val="en-US" w:eastAsia="zh-CN"/>
              </w:rPr>
            </w:pPr>
          </w:p>
          <w:p w14:paraId="422478CC">
            <w:pPr>
              <w:numPr>
                <w:ilvl w:val="0"/>
                <w:numId w:val="7"/>
              </w:numPr>
              <w:adjustRightInd w:val="0"/>
              <w:snapToGrid w:val="0"/>
              <w:spacing w:line="360" w:lineRule="auto"/>
              <w:ind w:firstLine="0" w:firstLineChars="0"/>
              <w:rPr>
                <w:rFonts w:hint="eastAsia"/>
                <w:b/>
                <w:bCs/>
                <w:sz w:val="21"/>
                <w:szCs w:val="24"/>
                <w:lang w:val="en-US" w:eastAsia="zh-CN"/>
              </w:rPr>
            </w:pPr>
            <w:r>
              <w:rPr>
                <w:rFonts w:hint="eastAsia"/>
                <w:b/>
                <w:bCs/>
                <w:sz w:val="21"/>
                <w:szCs w:val="24"/>
                <w:lang w:val="en-US" w:eastAsia="zh-CN"/>
              </w:rPr>
              <w:t>现有项目审批生产设备</w:t>
            </w:r>
          </w:p>
          <w:p w14:paraId="767A5AB5">
            <w:pPr>
              <w:numPr>
                <w:ilvl w:val="0"/>
                <w:numId w:val="0"/>
              </w:numPr>
              <w:adjustRightInd w:val="0"/>
              <w:snapToGrid w:val="0"/>
              <w:spacing w:line="360" w:lineRule="auto"/>
              <w:ind w:firstLine="420" w:firstLineChars="200"/>
              <w:rPr>
                <w:rFonts w:hint="eastAsia"/>
                <w:b w:val="0"/>
                <w:bCs w:val="0"/>
                <w:sz w:val="21"/>
                <w:szCs w:val="24"/>
                <w:lang w:val="en-US" w:eastAsia="zh-CN"/>
              </w:rPr>
            </w:pPr>
            <w:r>
              <w:rPr>
                <w:rFonts w:hint="eastAsia"/>
                <w:b w:val="0"/>
                <w:bCs w:val="0"/>
                <w:sz w:val="21"/>
                <w:szCs w:val="24"/>
                <w:lang w:val="en-US" w:eastAsia="zh-CN"/>
              </w:rPr>
              <w:t>企业现有项目审批生产设备及与搬迁后的对比情况见表2-4。</w:t>
            </w:r>
          </w:p>
          <w:p w14:paraId="4645856E">
            <w:pPr>
              <w:numPr>
                <w:ilvl w:val="0"/>
                <w:numId w:val="7"/>
              </w:numPr>
              <w:adjustRightInd w:val="0"/>
              <w:snapToGrid w:val="0"/>
              <w:spacing w:line="360" w:lineRule="auto"/>
              <w:ind w:firstLine="0" w:firstLineChars="0"/>
              <w:rPr>
                <w:rFonts w:hint="eastAsia"/>
                <w:b/>
                <w:bCs/>
                <w:sz w:val="21"/>
                <w:szCs w:val="24"/>
                <w:lang w:val="en-US" w:eastAsia="zh-CN"/>
              </w:rPr>
            </w:pPr>
            <w:r>
              <w:rPr>
                <w:rFonts w:hint="eastAsia"/>
                <w:b/>
                <w:bCs/>
                <w:sz w:val="21"/>
                <w:szCs w:val="24"/>
                <w:lang w:val="en-US" w:eastAsia="zh-CN"/>
              </w:rPr>
              <w:t>现有项目审批原辅材料消耗情况</w:t>
            </w:r>
          </w:p>
          <w:p w14:paraId="5640E369">
            <w:pPr>
              <w:adjustRightInd w:val="0"/>
              <w:snapToGrid w:val="0"/>
              <w:spacing w:line="360" w:lineRule="auto"/>
              <w:ind w:firstLine="420" w:firstLineChars="200"/>
              <w:rPr>
                <w:rFonts w:hint="default"/>
                <w:b w:val="0"/>
                <w:bCs w:val="0"/>
                <w:sz w:val="21"/>
                <w:szCs w:val="24"/>
                <w:lang w:val="en-US" w:eastAsia="zh-CN"/>
              </w:rPr>
            </w:pPr>
            <w:r>
              <w:rPr>
                <w:rFonts w:hint="eastAsia"/>
                <w:b w:val="0"/>
                <w:bCs w:val="0"/>
                <w:sz w:val="21"/>
                <w:szCs w:val="24"/>
                <w:lang w:val="en-US" w:eastAsia="zh-CN"/>
              </w:rPr>
              <w:t>企业现有项目审批主要原辅材料消耗及与搬迁后的对比情况情况见表2-6。</w:t>
            </w:r>
          </w:p>
          <w:p w14:paraId="5CE1AFE0">
            <w:pPr>
              <w:numPr>
                <w:ilvl w:val="0"/>
                <w:numId w:val="7"/>
              </w:numPr>
              <w:adjustRightInd w:val="0"/>
              <w:snapToGrid w:val="0"/>
              <w:spacing w:line="360" w:lineRule="auto"/>
              <w:ind w:firstLine="0" w:firstLineChars="0"/>
              <w:rPr>
                <w:rFonts w:hint="eastAsia"/>
                <w:b/>
                <w:bCs/>
                <w:sz w:val="21"/>
                <w:szCs w:val="24"/>
                <w:lang w:val="en-US" w:eastAsia="zh-CN"/>
              </w:rPr>
            </w:pPr>
            <w:r>
              <w:rPr>
                <w:rFonts w:hint="eastAsia"/>
                <w:b/>
                <w:bCs/>
                <w:sz w:val="21"/>
                <w:szCs w:val="24"/>
                <w:lang w:val="en-US" w:eastAsia="zh-CN"/>
              </w:rPr>
              <w:t>现有项目审批生产工艺流程</w:t>
            </w:r>
          </w:p>
          <w:p w14:paraId="188984B2">
            <w:pPr>
              <w:numPr>
                <w:ilvl w:val="0"/>
                <w:numId w:val="0"/>
              </w:numPr>
              <w:adjustRightInd w:val="0"/>
              <w:snapToGrid w:val="0"/>
              <w:spacing w:line="360" w:lineRule="auto"/>
              <w:ind w:firstLine="420" w:firstLineChars="200"/>
              <w:rPr>
                <w:rFonts w:hint="eastAsia"/>
                <w:b w:val="0"/>
                <w:bCs w:val="0"/>
                <w:sz w:val="21"/>
                <w:szCs w:val="24"/>
                <w:lang w:val="en-US" w:eastAsia="zh-CN"/>
              </w:rPr>
            </w:pPr>
            <w:r>
              <w:rPr>
                <w:rFonts w:hint="eastAsia"/>
                <w:b w:val="0"/>
                <w:bCs w:val="0"/>
                <w:sz w:val="21"/>
                <w:szCs w:val="24"/>
                <w:lang w:val="en-US" w:eastAsia="zh-CN"/>
              </w:rPr>
              <w:t>企业现有项目球囊导管生产工艺流程如图所示：</w:t>
            </w:r>
          </w:p>
          <w:p w14:paraId="4C837FAD">
            <w:pPr>
              <w:numPr>
                <w:ilvl w:val="0"/>
                <w:numId w:val="0"/>
              </w:numPr>
              <w:adjustRightInd w:val="0"/>
              <w:snapToGrid w:val="0"/>
              <w:spacing w:line="360" w:lineRule="auto"/>
              <w:ind w:firstLine="0" w:firstLineChars="0"/>
              <w:jc w:val="center"/>
            </w:pPr>
            <w:bookmarkStart w:id="76" w:name="_GoBack"/>
            <w:bookmarkEnd w:id="76"/>
          </w:p>
          <w:p w14:paraId="01C80E41">
            <w:pPr>
              <w:keepNext/>
              <w:keepLines/>
              <w:spacing w:line="360" w:lineRule="auto"/>
              <w:jc w:val="center"/>
              <w:rPr>
                <w:rFonts w:hint="eastAsia" w:ascii="黑体" w:hAnsi="黑体" w:eastAsia="黑体" w:cs="黑体"/>
                <w:kern w:val="0"/>
                <w:szCs w:val="20"/>
              </w:rPr>
            </w:pPr>
            <w:r>
              <w:rPr>
                <w:rStyle w:val="33"/>
                <w:rFonts w:hint="eastAsia" w:ascii="黑体" w:hAnsi="黑体" w:eastAsia="黑体" w:cs="黑体"/>
                <w:kern w:val="0"/>
                <w:szCs w:val="20"/>
              </w:rPr>
              <w:t>图2-</w:t>
            </w:r>
            <w:r>
              <w:rPr>
                <w:rStyle w:val="33"/>
                <w:rFonts w:hint="eastAsia" w:ascii="黑体" w:hAnsi="黑体" w:eastAsia="黑体" w:cs="黑体"/>
                <w:kern w:val="0"/>
                <w:szCs w:val="20"/>
                <w:lang w:val="en-US" w:eastAsia="zh-CN"/>
              </w:rPr>
              <w:t>6</w:t>
            </w:r>
            <w:r>
              <w:rPr>
                <w:rStyle w:val="33"/>
                <w:rFonts w:hint="eastAsia" w:ascii="黑体" w:hAnsi="黑体" w:eastAsia="黑体" w:cs="黑体"/>
                <w:kern w:val="0"/>
                <w:szCs w:val="20"/>
              </w:rPr>
              <w:t xml:space="preserve"> </w:t>
            </w:r>
            <w:r>
              <w:rPr>
                <w:rStyle w:val="33"/>
                <w:rFonts w:hint="eastAsia" w:ascii="黑体" w:hAnsi="黑体" w:eastAsia="黑体" w:cs="黑体"/>
                <w:kern w:val="0"/>
                <w:szCs w:val="20"/>
                <w:lang w:val="en-US" w:eastAsia="zh-CN"/>
              </w:rPr>
              <w:t>现有项目球囊导管</w:t>
            </w:r>
            <w:r>
              <w:rPr>
                <w:rStyle w:val="33"/>
                <w:rFonts w:hint="eastAsia" w:ascii="黑体" w:hAnsi="黑体" w:eastAsia="黑体" w:cs="黑体"/>
                <w:kern w:val="0"/>
                <w:szCs w:val="20"/>
              </w:rPr>
              <w:t>生产工艺流程图</w:t>
            </w:r>
          </w:p>
          <w:p w14:paraId="1072A935">
            <w:pPr>
              <w:numPr>
                <w:ilvl w:val="0"/>
                <w:numId w:val="0"/>
              </w:numPr>
              <w:adjustRightInd w:val="0"/>
              <w:snapToGrid w:val="0"/>
              <w:spacing w:line="360" w:lineRule="auto"/>
              <w:ind w:firstLine="0" w:firstLineChars="0"/>
              <w:jc w:val="center"/>
              <w:rPr>
                <w:rFonts w:hint="default"/>
                <w:lang w:val="en-US" w:eastAsia="zh-CN"/>
              </w:rPr>
            </w:pPr>
          </w:p>
          <w:p w14:paraId="76D422A9">
            <w:pPr>
              <w:numPr>
                <w:ilvl w:val="0"/>
                <w:numId w:val="7"/>
              </w:numPr>
              <w:adjustRightInd w:val="0"/>
              <w:snapToGrid w:val="0"/>
              <w:spacing w:line="360" w:lineRule="auto"/>
              <w:ind w:firstLine="0" w:firstLineChars="0"/>
              <w:rPr>
                <w:rFonts w:hint="eastAsia"/>
                <w:b/>
                <w:bCs/>
                <w:sz w:val="21"/>
                <w:szCs w:val="24"/>
                <w:lang w:val="en-US" w:eastAsia="zh-CN"/>
              </w:rPr>
            </w:pPr>
            <w:r>
              <w:rPr>
                <w:rFonts w:hint="eastAsia"/>
                <w:b/>
                <w:bCs/>
                <w:sz w:val="21"/>
                <w:szCs w:val="24"/>
                <w:lang w:val="en-US" w:eastAsia="zh-CN"/>
              </w:rPr>
              <w:t>现有项目审批污染防治措施</w:t>
            </w:r>
          </w:p>
          <w:p w14:paraId="05BE1DA4">
            <w:pPr>
              <w:numPr>
                <w:ilvl w:val="0"/>
                <w:numId w:val="0"/>
              </w:numPr>
              <w:adjustRightInd w:val="0"/>
              <w:snapToGrid w:val="0"/>
              <w:spacing w:line="360" w:lineRule="auto"/>
              <w:ind w:firstLine="420" w:firstLineChars="200"/>
              <w:rPr>
                <w:rFonts w:hint="eastAsia"/>
                <w:lang w:val="en-US" w:eastAsia="zh-CN"/>
              </w:rPr>
            </w:pPr>
            <w:r>
              <w:rPr>
                <w:rFonts w:hint="eastAsia"/>
                <w:lang w:val="en-US" w:eastAsia="zh-CN"/>
              </w:rPr>
              <w:t>企业现有项目审批污染防治措施如下表所示：</w:t>
            </w:r>
          </w:p>
          <w:p w14:paraId="683B44EE">
            <w:pPr>
              <w:pStyle w:val="139"/>
              <w:numPr>
                <w:ilvl w:val="0"/>
                <w:numId w:val="4"/>
              </w:numPr>
              <w:ind w:left="420"/>
              <w:jc w:val="center"/>
              <w:rPr>
                <w:rFonts w:hint="eastAsia"/>
                <w:b w:val="0"/>
                <w:bCs w:val="0"/>
                <w:sz w:val="21"/>
                <w:szCs w:val="24"/>
                <w:lang w:val="en-US" w:eastAsia="zh-CN"/>
              </w:rPr>
            </w:pPr>
            <w:r>
              <w:rPr>
                <w:rFonts w:hint="eastAsia" w:ascii="黑体" w:hAnsi="黑体" w:eastAsia="黑体" w:cs="黑体"/>
                <w:szCs w:val="21"/>
                <w:lang w:val="en-US" w:eastAsia="zh-CN"/>
              </w:rPr>
              <w:t>现有项目审批污染防治措施</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5"/>
              <w:gridCol w:w="987"/>
              <w:gridCol w:w="1440"/>
              <w:gridCol w:w="4971"/>
            </w:tblGrid>
            <w:tr w14:paraId="3592A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289" w:hRule="atLeast"/>
                <w:jc w:val="center"/>
              </w:trPr>
              <w:tc>
                <w:tcPr>
                  <w:tcW w:w="390" w:type="pct"/>
                  <w:tcBorders>
                    <w:tl2br w:val="nil"/>
                    <w:tr2bl w:val="nil"/>
                  </w:tcBorders>
                  <w:shd w:val="clear" w:color="auto" w:fill="auto"/>
                  <w:noWrap/>
                  <w:vAlign w:val="center"/>
                </w:tcPr>
                <w:p w14:paraId="313E968B">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类别</w:t>
                  </w:r>
                </w:p>
              </w:tc>
              <w:tc>
                <w:tcPr>
                  <w:tcW w:w="615" w:type="pct"/>
                  <w:tcBorders>
                    <w:tl2br w:val="nil"/>
                    <w:tr2bl w:val="nil"/>
                  </w:tcBorders>
                  <w:shd w:val="clear" w:color="auto" w:fill="auto"/>
                  <w:noWrap/>
                  <w:vAlign w:val="center"/>
                </w:tcPr>
                <w:p w14:paraId="4D2EE0E8">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排放口</w:t>
                  </w:r>
                </w:p>
              </w:tc>
              <w:tc>
                <w:tcPr>
                  <w:tcW w:w="897" w:type="pct"/>
                  <w:tcBorders>
                    <w:tl2br w:val="nil"/>
                    <w:tr2bl w:val="nil"/>
                  </w:tcBorders>
                  <w:shd w:val="clear" w:color="auto" w:fill="auto"/>
                  <w:noWrap/>
                  <w:vAlign w:val="center"/>
                </w:tcPr>
                <w:p w14:paraId="64A9F61D">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3097" w:type="pct"/>
                  <w:tcBorders>
                    <w:tl2br w:val="nil"/>
                    <w:tr2bl w:val="nil"/>
                  </w:tcBorders>
                  <w:shd w:val="clear" w:color="auto" w:fill="auto"/>
                  <w:noWrap/>
                  <w:vAlign w:val="center"/>
                </w:tcPr>
                <w:p w14:paraId="2F8814A6">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生态</w:t>
                  </w:r>
                  <w:r>
                    <w:rPr>
                      <w:rFonts w:hint="default" w:ascii="Times New Roman" w:hAnsi="Times New Roman" w:eastAsia="宋体" w:cs="Times New Roman"/>
                      <w:i w:val="0"/>
                      <w:iCs w:val="0"/>
                      <w:color w:val="000000"/>
                      <w:kern w:val="0"/>
                      <w:sz w:val="18"/>
                      <w:szCs w:val="18"/>
                      <w:u w:val="none"/>
                      <w:lang w:val="en-US" w:eastAsia="zh-CN" w:bidi="ar"/>
                    </w:rPr>
                    <w:t>环境保护措施</w:t>
                  </w:r>
                </w:p>
              </w:tc>
            </w:tr>
            <w:tr w14:paraId="3A3DEF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vMerge w:val="restart"/>
                  <w:tcBorders>
                    <w:tl2br w:val="nil"/>
                    <w:tr2bl w:val="nil"/>
                  </w:tcBorders>
                  <w:shd w:val="clear" w:color="auto" w:fill="auto"/>
                  <w:noWrap/>
                  <w:vAlign w:val="center"/>
                </w:tcPr>
                <w:p w14:paraId="1222DAE6">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w:t>
                  </w:r>
                </w:p>
              </w:tc>
              <w:tc>
                <w:tcPr>
                  <w:tcW w:w="615" w:type="pct"/>
                  <w:tcBorders>
                    <w:tl2br w:val="nil"/>
                    <w:tr2bl w:val="nil"/>
                  </w:tcBorders>
                  <w:shd w:val="clear" w:color="auto" w:fill="auto"/>
                  <w:noWrap/>
                  <w:vAlign w:val="center"/>
                </w:tcPr>
                <w:p w14:paraId="17C03424">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有机废气排放口DA001</w:t>
                  </w:r>
                </w:p>
              </w:tc>
              <w:tc>
                <w:tcPr>
                  <w:tcW w:w="897" w:type="pct"/>
                  <w:tcBorders>
                    <w:tl2br w:val="nil"/>
                    <w:tr2bl w:val="nil"/>
                  </w:tcBorders>
                  <w:shd w:val="clear" w:color="auto" w:fill="auto"/>
                  <w:noWrap/>
                  <w:vAlign w:val="center"/>
                </w:tcPr>
                <w:p w14:paraId="3A2AF680">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非甲烷总烃（0.015 t/a）</w:t>
                  </w:r>
                </w:p>
              </w:tc>
              <w:tc>
                <w:tcPr>
                  <w:tcW w:w="3097" w:type="pct"/>
                  <w:tcBorders>
                    <w:tl2br w:val="nil"/>
                    <w:tr2bl w:val="nil"/>
                  </w:tcBorders>
                  <w:shd w:val="clear" w:color="auto" w:fill="auto"/>
                  <w:noWrap/>
                  <w:vAlign w:val="center"/>
                </w:tcPr>
                <w:p w14:paraId="55A5540E">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经活性炭吸附装置处理后通过15米高排气筒排放</w:t>
                  </w:r>
                  <w:r>
                    <w:rPr>
                      <w:rFonts w:hint="eastAsia" w:ascii="Times New Roman" w:hAnsi="Times New Roman" w:eastAsia="宋体" w:cs="Times New Roman"/>
                      <w:i w:val="0"/>
                      <w:iCs w:val="0"/>
                      <w:color w:val="000000"/>
                      <w:kern w:val="0"/>
                      <w:sz w:val="18"/>
                      <w:szCs w:val="18"/>
                      <w:u w:val="none"/>
                      <w:lang w:val="en-US" w:eastAsia="zh-CN" w:bidi="ar"/>
                    </w:rPr>
                    <w:t>。</w:t>
                  </w:r>
                </w:p>
              </w:tc>
            </w:tr>
            <w:tr w14:paraId="041C2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vMerge w:val="continue"/>
                  <w:tcBorders>
                    <w:tl2br w:val="nil"/>
                    <w:tr2bl w:val="nil"/>
                  </w:tcBorders>
                  <w:shd w:val="clear" w:color="auto" w:fill="auto"/>
                  <w:noWrap/>
                  <w:vAlign w:val="center"/>
                </w:tcPr>
                <w:p w14:paraId="0DA57AE3">
                  <w:pPr>
                    <w:jc w:val="center"/>
                    <w:rPr>
                      <w:rFonts w:hint="default" w:ascii="Times New Roman" w:hAnsi="Times New Roman" w:eastAsia="宋体" w:cs="Times New Roman"/>
                      <w:i w:val="0"/>
                      <w:iCs w:val="0"/>
                      <w:color w:val="000000"/>
                      <w:sz w:val="18"/>
                      <w:szCs w:val="18"/>
                      <w:u w:val="none"/>
                    </w:rPr>
                  </w:pPr>
                </w:p>
              </w:tc>
              <w:tc>
                <w:tcPr>
                  <w:tcW w:w="615" w:type="pct"/>
                  <w:vMerge w:val="restart"/>
                  <w:tcBorders>
                    <w:tl2br w:val="nil"/>
                    <w:tr2bl w:val="nil"/>
                  </w:tcBorders>
                  <w:shd w:val="clear" w:color="auto" w:fill="auto"/>
                  <w:noWrap/>
                  <w:vAlign w:val="center"/>
                </w:tcPr>
                <w:p w14:paraId="2468B08C">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实验室废气排放口DA002</w:t>
                  </w:r>
                </w:p>
              </w:tc>
              <w:tc>
                <w:tcPr>
                  <w:tcW w:w="897" w:type="pct"/>
                  <w:tcBorders>
                    <w:tl2br w:val="nil"/>
                    <w:tr2bl w:val="nil"/>
                  </w:tcBorders>
                  <w:shd w:val="clear" w:color="auto" w:fill="auto"/>
                  <w:noWrap/>
                  <w:vAlign w:val="center"/>
                </w:tcPr>
                <w:p w14:paraId="0439A759">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硫酸雾、氯化氢</w:t>
                  </w:r>
                </w:p>
              </w:tc>
              <w:tc>
                <w:tcPr>
                  <w:tcW w:w="3097" w:type="pct"/>
                  <w:vMerge w:val="restart"/>
                  <w:tcBorders>
                    <w:tl2br w:val="nil"/>
                    <w:tr2bl w:val="nil"/>
                  </w:tcBorders>
                  <w:shd w:val="clear" w:color="auto" w:fill="auto"/>
                  <w:noWrap/>
                  <w:vAlign w:val="center"/>
                </w:tcPr>
                <w:p w14:paraId="0A29DE9C">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硫酸雾、氯化氢收集后与经HEPA高效过滤器过滤后的微生物气溶胶通过同一根15米高排气筒排放</w:t>
                  </w:r>
                  <w:r>
                    <w:rPr>
                      <w:rFonts w:hint="eastAsia" w:ascii="Times New Roman" w:hAnsi="Times New Roman" w:eastAsia="宋体" w:cs="Times New Roman"/>
                      <w:i w:val="0"/>
                      <w:iCs w:val="0"/>
                      <w:color w:val="000000"/>
                      <w:kern w:val="0"/>
                      <w:sz w:val="18"/>
                      <w:szCs w:val="18"/>
                      <w:u w:val="none"/>
                      <w:lang w:val="en-US" w:eastAsia="zh-CN" w:bidi="ar"/>
                    </w:rPr>
                    <w:t>。</w:t>
                  </w:r>
                </w:p>
              </w:tc>
            </w:tr>
            <w:tr w14:paraId="6CA10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vMerge w:val="continue"/>
                  <w:tcBorders>
                    <w:tl2br w:val="nil"/>
                    <w:tr2bl w:val="nil"/>
                  </w:tcBorders>
                  <w:shd w:val="clear" w:color="auto" w:fill="auto"/>
                  <w:noWrap/>
                  <w:vAlign w:val="center"/>
                </w:tcPr>
                <w:p w14:paraId="2775FD00">
                  <w:pPr>
                    <w:jc w:val="center"/>
                    <w:rPr>
                      <w:rFonts w:hint="default" w:ascii="Times New Roman" w:hAnsi="Times New Roman" w:eastAsia="宋体" w:cs="Times New Roman"/>
                      <w:i w:val="0"/>
                      <w:iCs w:val="0"/>
                      <w:color w:val="000000"/>
                      <w:sz w:val="18"/>
                      <w:szCs w:val="18"/>
                      <w:u w:val="none"/>
                    </w:rPr>
                  </w:pPr>
                </w:p>
              </w:tc>
              <w:tc>
                <w:tcPr>
                  <w:tcW w:w="615" w:type="pct"/>
                  <w:vMerge w:val="continue"/>
                  <w:tcBorders>
                    <w:tl2br w:val="nil"/>
                    <w:tr2bl w:val="nil"/>
                  </w:tcBorders>
                  <w:shd w:val="clear" w:color="auto" w:fill="auto"/>
                  <w:noWrap/>
                  <w:vAlign w:val="center"/>
                </w:tcPr>
                <w:p w14:paraId="0B5AD56D">
                  <w:pPr>
                    <w:jc w:val="center"/>
                    <w:rPr>
                      <w:rFonts w:hint="default" w:ascii="Times New Roman" w:hAnsi="Times New Roman" w:eastAsia="宋体" w:cs="Times New Roman"/>
                      <w:i w:val="0"/>
                      <w:iCs w:val="0"/>
                      <w:color w:val="000000"/>
                      <w:sz w:val="18"/>
                      <w:szCs w:val="18"/>
                      <w:u w:val="none"/>
                    </w:rPr>
                  </w:pPr>
                </w:p>
              </w:tc>
              <w:tc>
                <w:tcPr>
                  <w:tcW w:w="897" w:type="pct"/>
                  <w:tcBorders>
                    <w:tl2br w:val="nil"/>
                    <w:tr2bl w:val="nil"/>
                  </w:tcBorders>
                  <w:shd w:val="clear" w:color="auto" w:fill="auto"/>
                  <w:noWrap/>
                  <w:vAlign w:val="center"/>
                </w:tcPr>
                <w:p w14:paraId="11E9A213">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微生物气溶胶</w:t>
                  </w:r>
                </w:p>
              </w:tc>
              <w:tc>
                <w:tcPr>
                  <w:tcW w:w="3097" w:type="pct"/>
                  <w:vMerge w:val="continue"/>
                  <w:tcBorders>
                    <w:tl2br w:val="nil"/>
                    <w:tr2bl w:val="nil"/>
                  </w:tcBorders>
                  <w:shd w:val="clear" w:color="auto" w:fill="auto"/>
                  <w:noWrap/>
                  <w:vAlign w:val="center"/>
                </w:tcPr>
                <w:p w14:paraId="4AA1773F">
                  <w:pPr>
                    <w:jc w:val="both"/>
                    <w:rPr>
                      <w:rFonts w:hint="default" w:ascii="Times New Roman" w:hAnsi="Times New Roman" w:eastAsia="宋体" w:cs="Times New Roman"/>
                      <w:i w:val="0"/>
                      <w:iCs w:val="0"/>
                      <w:color w:val="000000"/>
                      <w:sz w:val="18"/>
                      <w:szCs w:val="18"/>
                      <w:u w:val="none"/>
                    </w:rPr>
                  </w:pPr>
                </w:p>
              </w:tc>
            </w:tr>
            <w:tr w14:paraId="19324C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tcBorders>
                    <w:tl2br w:val="nil"/>
                    <w:tr2bl w:val="nil"/>
                  </w:tcBorders>
                  <w:shd w:val="clear" w:color="auto" w:fill="auto"/>
                  <w:noWrap/>
                  <w:vAlign w:val="center"/>
                </w:tcPr>
                <w:p w14:paraId="6678A6FC">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w:t>
                  </w:r>
                </w:p>
              </w:tc>
              <w:tc>
                <w:tcPr>
                  <w:tcW w:w="615" w:type="pct"/>
                  <w:tcBorders>
                    <w:tl2br w:val="nil"/>
                    <w:tr2bl w:val="nil"/>
                  </w:tcBorders>
                  <w:shd w:val="clear" w:color="auto" w:fill="auto"/>
                  <w:noWrap/>
                  <w:vAlign w:val="center"/>
                </w:tcPr>
                <w:p w14:paraId="321E2B12">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废水排放口DW001</w:t>
                  </w:r>
                </w:p>
              </w:tc>
              <w:tc>
                <w:tcPr>
                  <w:tcW w:w="897" w:type="pct"/>
                  <w:tcBorders>
                    <w:tl2br w:val="nil"/>
                    <w:tr2bl w:val="nil"/>
                  </w:tcBorders>
                  <w:shd w:val="clear" w:color="auto" w:fill="auto"/>
                  <w:noWrap/>
                  <w:vAlign w:val="center"/>
                </w:tcPr>
                <w:p w14:paraId="7D6C1EEE">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COD（0.041 t/a）、NH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-N（0.004 t/a）</w:t>
                  </w:r>
                </w:p>
              </w:tc>
              <w:tc>
                <w:tcPr>
                  <w:tcW w:w="3097" w:type="pct"/>
                  <w:tcBorders>
                    <w:tl2br w:val="nil"/>
                    <w:tr2bl w:val="nil"/>
                  </w:tcBorders>
                  <w:shd w:val="clear" w:color="auto" w:fill="auto"/>
                  <w:noWrap/>
                  <w:vAlign w:val="center"/>
                </w:tcPr>
                <w:p w14:paraId="174B3F9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经化粪池处理的生活污水与洗衣废水、纯水制备废水混合达到</w:t>
                  </w:r>
                  <w:r>
                    <w:rPr>
                      <w:rFonts w:hint="default" w:ascii="Times New Roman" w:hAnsi="Times New Roman" w:eastAsia="宋体" w:cs="Times New Roman"/>
                      <w:i w:val="0"/>
                      <w:iCs w:val="0"/>
                      <w:color w:val="000000"/>
                      <w:kern w:val="0"/>
                      <w:sz w:val="18"/>
                      <w:szCs w:val="18"/>
                      <w:highlight w:val="none"/>
                      <w:u w:val="none"/>
                      <w:lang w:val="en-US" w:eastAsia="zh-CN" w:bidi="ar"/>
                    </w:rPr>
                    <w:t>《污水综合排放标准》(GB8978-1996)表4三级标准后纳管</w:t>
                  </w:r>
                  <w:r>
                    <w:rPr>
                      <w:rFonts w:hint="default" w:ascii="Times New Roman" w:hAnsi="Times New Roman" w:eastAsia="宋体" w:cs="Times New Roman"/>
                      <w:i w:val="0"/>
                      <w:iCs w:val="0"/>
                      <w:color w:val="000000"/>
                      <w:kern w:val="0"/>
                      <w:sz w:val="18"/>
                      <w:szCs w:val="18"/>
                      <w:u w:val="none"/>
                      <w:lang w:val="en-US" w:eastAsia="zh-CN" w:bidi="ar"/>
                    </w:rPr>
                    <w:t>，最终汇至余杭污水处理厂处理达《城镇污水处理厂污染物排放标准》（GB18918-2002）中的一级A标准后外排</w:t>
                  </w:r>
                  <w:r>
                    <w:rPr>
                      <w:rFonts w:hint="eastAsia" w:ascii="Times New Roman" w:hAnsi="Times New Roman" w:eastAsia="宋体" w:cs="Times New Roman"/>
                      <w:i w:val="0"/>
                      <w:iCs w:val="0"/>
                      <w:color w:val="000000"/>
                      <w:kern w:val="0"/>
                      <w:sz w:val="18"/>
                      <w:szCs w:val="18"/>
                      <w:u w:val="none"/>
                      <w:lang w:val="en-US" w:eastAsia="zh-CN" w:bidi="ar"/>
                    </w:rPr>
                    <w:t>。</w:t>
                  </w:r>
                </w:p>
              </w:tc>
            </w:tr>
            <w:tr w14:paraId="4FB2D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tcBorders>
                    <w:tl2br w:val="nil"/>
                    <w:tr2bl w:val="nil"/>
                  </w:tcBorders>
                  <w:shd w:val="clear" w:color="auto" w:fill="auto"/>
                  <w:noWrap/>
                  <w:vAlign w:val="center"/>
                </w:tcPr>
                <w:p w14:paraId="6A4034E5">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噪声</w:t>
                  </w:r>
                </w:p>
              </w:tc>
              <w:tc>
                <w:tcPr>
                  <w:tcW w:w="615" w:type="pct"/>
                  <w:tcBorders>
                    <w:tl2br w:val="nil"/>
                    <w:tr2bl w:val="nil"/>
                  </w:tcBorders>
                  <w:shd w:val="clear" w:color="auto" w:fill="auto"/>
                  <w:noWrap/>
                  <w:vAlign w:val="center"/>
                </w:tcPr>
                <w:p w14:paraId="58D33433">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机械设备运行</w:t>
                  </w:r>
                </w:p>
              </w:tc>
              <w:tc>
                <w:tcPr>
                  <w:tcW w:w="897" w:type="pct"/>
                  <w:tcBorders>
                    <w:tl2br w:val="nil"/>
                    <w:tr2bl w:val="nil"/>
                  </w:tcBorders>
                  <w:shd w:val="clear" w:color="auto" w:fill="auto"/>
                  <w:noWrap/>
                  <w:vAlign w:val="center"/>
                </w:tcPr>
                <w:p w14:paraId="08A20B9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w:t>
                  </w:r>
                  <w:r>
                    <w:rPr>
                      <w:rFonts w:hint="default" w:ascii="Times New Roman" w:hAnsi="Times New Roman" w:eastAsia="宋体" w:cs="Times New Roman"/>
                      <w:i w:val="0"/>
                      <w:iCs w:val="0"/>
                      <w:color w:val="000000"/>
                      <w:kern w:val="0"/>
                      <w:sz w:val="18"/>
                      <w:szCs w:val="18"/>
                      <w:u w:val="none"/>
                      <w:vertAlign w:val="subscript"/>
                      <w:lang w:val="en-US" w:eastAsia="zh-CN" w:bidi="ar"/>
                    </w:rPr>
                    <w:t>Aeq</w:t>
                  </w:r>
                </w:p>
              </w:tc>
              <w:tc>
                <w:tcPr>
                  <w:tcW w:w="3097" w:type="pct"/>
                  <w:tcBorders>
                    <w:tl2br w:val="nil"/>
                    <w:tr2bl w:val="nil"/>
                  </w:tcBorders>
                  <w:shd w:val="clear" w:color="auto" w:fill="auto"/>
                  <w:noWrap/>
                  <w:vAlign w:val="center"/>
                </w:tcPr>
                <w:p w14:paraId="2120E498">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合理布局、安装减震器、加装隔声罩、定期监测</w:t>
                  </w:r>
                  <w:r>
                    <w:rPr>
                      <w:rFonts w:hint="eastAsia" w:ascii="Times New Roman" w:hAnsi="Times New Roman" w:eastAsia="宋体" w:cs="Times New Roman"/>
                      <w:i w:val="0"/>
                      <w:iCs w:val="0"/>
                      <w:color w:val="000000"/>
                      <w:kern w:val="0"/>
                      <w:sz w:val="18"/>
                      <w:szCs w:val="18"/>
                      <w:u w:val="none"/>
                      <w:lang w:val="en-US" w:eastAsia="zh-CN" w:bidi="ar"/>
                    </w:rPr>
                    <w:t>。</w:t>
                  </w:r>
                </w:p>
              </w:tc>
            </w:tr>
            <w:tr w14:paraId="31084D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90" w:type="pct"/>
                  <w:tcBorders>
                    <w:tl2br w:val="nil"/>
                    <w:tr2bl w:val="nil"/>
                  </w:tcBorders>
                  <w:shd w:val="clear" w:color="auto" w:fill="auto"/>
                  <w:noWrap/>
                  <w:vAlign w:val="center"/>
                </w:tcPr>
                <w:p w14:paraId="758D9B17">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固体废物</w:t>
                  </w:r>
                </w:p>
              </w:tc>
              <w:tc>
                <w:tcPr>
                  <w:tcW w:w="4609" w:type="pct"/>
                  <w:gridSpan w:val="3"/>
                  <w:tcBorders>
                    <w:tl2br w:val="nil"/>
                    <w:tr2bl w:val="nil"/>
                  </w:tcBorders>
                  <w:shd w:val="clear" w:color="auto" w:fill="auto"/>
                  <w:vAlign w:val="center"/>
                </w:tcPr>
                <w:p w14:paraId="58137FED">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废包装材料、废反渗透膜由废品公司回收；废HEPA过滤器、实验室废物、废一次性耗材、废抹布、废洁净服、废液、废原料包装、废活性炭、废润滑油、废油桶属于危险固废，收集后委托有危废处理资质的单位做无害化安全处置；生活垃圾由环卫部门统一收集。</w:t>
                  </w:r>
                </w:p>
              </w:tc>
            </w:tr>
          </w:tbl>
          <w:p w14:paraId="6C93E405">
            <w:pPr>
              <w:numPr>
                <w:ilvl w:val="0"/>
                <w:numId w:val="7"/>
              </w:numPr>
              <w:adjustRightInd w:val="0"/>
              <w:snapToGrid w:val="0"/>
              <w:spacing w:line="360" w:lineRule="auto"/>
              <w:ind w:firstLine="0" w:firstLineChars="0"/>
              <w:rPr>
                <w:rFonts w:hint="default"/>
                <w:lang w:val="en-US" w:eastAsia="zh-CN"/>
              </w:rPr>
            </w:pPr>
            <w:r>
              <w:rPr>
                <w:rFonts w:hint="eastAsia"/>
                <w:b/>
                <w:bCs/>
                <w:sz w:val="21"/>
                <w:szCs w:val="24"/>
                <w:lang w:val="en-US" w:eastAsia="zh-CN"/>
              </w:rPr>
              <w:t>现有项目审批污染源强</w:t>
            </w:r>
          </w:p>
          <w:p w14:paraId="67B6E201">
            <w:pPr>
              <w:numPr>
                <w:ilvl w:val="0"/>
                <w:numId w:val="0"/>
              </w:numPr>
              <w:adjustRightInd w:val="0"/>
              <w:snapToGrid w:val="0"/>
              <w:spacing w:line="360" w:lineRule="auto"/>
              <w:ind w:firstLine="420" w:firstLineChars="200"/>
              <w:rPr>
                <w:rFonts w:hint="eastAsia"/>
                <w:b w:val="0"/>
                <w:bCs w:val="0"/>
                <w:sz w:val="21"/>
                <w:szCs w:val="24"/>
                <w:lang w:val="en-US" w:eastAsia="zh-CN"/>
              </w:rPr>
            </w:pPr>
            <w:r>
              <w:rPr>
                <w:rFonts w:hint="eastAsia"/>
                <w:b w:val="0"/>
                <w:bCs w:val="0"/>
                <w:sz w:val="21"/>
                <w:szCs w:val="24"/>
                <w:lang w:val="en-US" w:eastAsia="zh-CN"/>
              </w:rPr>
              <w:t>企业现有项目审批污染源强如下表所示：</w:t>
            </w:r>
          </w:p>
          <w:p w14:paraId="3535FE6C">
            <w:pPr>
              <w:pStyle w:val="139"/>
              <w:numPr>
                <w:ilvl w:val="0"/>
                <w:numId w:val="4"/>
              </w:numPr>
              <w:ind w:left="420"/>
              <w:jc w:val="center"/>
              <w:rPr>
                <w:rFonts w:hint="eastAsia"/>
                <w:b w:val="0"/>
                <w:bCs w:val="0"/>
                <w:sz w:val="21"/>
                <w:szCs w:val="24"/>
                <w:lang w:val="en-US" w:eastAsia="zh-CN"/>
              </w:rPr>
            </w:pPr>
            <w:r>
              <w:rPr>
                <w:rFonts w:hint="eastAsia" w:ascii="黑体" w:hAnsi="黑体" w:eastAsia="黑体" w:cs="黑体"/>
                <w:szCs w:val="21"/>
                <w:lang w:val="en-US" w:eastAsia="zh-CN"/>
              </w:rPr>
              <w:t>现有项目审批污染源强  单位：t/a</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209"/>
              <w:gridCol w:w="1988"/>
              <w:gridCol w:w="4823"/>
            </w:tblGrid>
            <w:tr w14:paraId="1FE046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1993" w:type="pct"/>
                  <w:gridSpan w:val="2"/>
                  <w:tcBorders>
                    <w:tl2br w:val="nil"/>
                    <w:tr2bl w:val="nil"/>
                  </w:tcBorders>
                  <w:shd w:val="clear" w:color="auto" w:fill="auto"/>
                  <w:noWrap/>
                  <w:vAlign w:val="center"/>
                </w:tcPr>
                <w:p w14:paraId="6A15AA2A">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3006" w:type="pct"/>
                  <w:tcBorders>
                    <w:tl2br w:val="nil"/>
                    <w:tr2bl w:val="nil"/>
                  </w:tcBorders>
                  <w:shd w:val="clear" w:color="auto" w:fill="auto"/>
                  <w:noWrap/>
                  <w:vAlign w:val="center"/>
                </w:tcPr>
                <w:p w14:paraId="2DA656B9">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审批排放量</w:t>
                  </w:r>
                  <w:r>
                    <w:rPr>
                      <w:rFonts w:hint="eastAsia" w:ascii="Times New Roman" w:hAnsi="Times New Roman" w:eastAsia="宋体" w:cs="Times New Roman"/>
                      <w:i w:val="0"/>
                      <w:iCs w:val="0"/>
                      <w:color w:val="000000"/>
                      <w:kern w:val="0"/>
                      <w:sz w:val="18"/>
                      <w:szCs w:val="18"/>
                      <w:u w:val="none"/>
                      <w:lang w:val="en-US" w:eastAsia="zh-CN" w:bidi="ar"/>
                    </w:rPr>
                    <w:t>（固体废物产生量）</w:t>
                  </w:r>
                </w:p>
              </w:tc>
            </w:tr>
            <w:tr w14:paraId="7C9AE2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restart"/>
                  <w:tcBorders>
                    <w:tl2br w:val="nil"/>
                    <w:tr2bl w:val="nil"/>
                  </w:tcBorders>
                  <w:shd w:val="clear" w:color="auto" w:fill="auto"/>
                  <w:noWrap/>
                  <w:vAlign w:val="center"/>
                </w:tcPr>
                <w:p w14:paraId="039B373F">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w:t>
                  </w:r>
                </w:p>
              </w:tc>
              <w:tc>
                <w:tcPr>
                  <w:tcW w:w="1239" w:type="pct"/>
                  <w:tcBorders>
                    <w:tl2br w:val="nil"/>
                    <w:tr2bl w:val="nil"/>
                  </w:tcBorders>
                  <w:shd w:val="clear" w:color="auto" w:fill="auto"/>
                  <w:noWrap/>
                  <w:vAlign w:val="center"/>
                </w:tcPr>
                <w:p w14:paraId="2AB9AF76">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006" w:type="pct"/>
                  <w:tcBorders>
                    <w:tl2br w:val="nil"/>
                    <w:tr2bl w:val="nil"/>
                  </w:tcBorders>
                  <w:shd w:val="clear" w:color="auto" w:fill="auto"/>
                  <w:noWrap/>
                  <w:vAlign w:val="center"/>
                </w:tcPr>
                <w:p w14:paraId="7E072C82">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r>
            <w:tr w14:paraId="516EC5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2D4A6490">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0F6609D2">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硫酸雾</w:t>
                  </w:r>
                </w:p>
              </w:tc>
              <w:tc>
                <w:tcPr>
                  <w:tcW w:w="3006" w:type="pct"/>
                  <w:tcBorders>
                    <w:tl2br w:val="nil"/>
                    <w:tr2bl w:val="nil"/>
                  </w:tcBorders>
                  <w:shd w:val="clear" w:color="auto" w:fill="auto"/>
                  <w:noWrap/>
                  <w:vAlign w:val="center"/>
                </w:tcPr>
                <w:p w14:paraId="5B3BE502">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少量</w:t>
                  </w:r>
                </w:p>
              </w:tc>
            </w:tr>
            <w:tr w14:paraId="0BB10C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54630312">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06314511">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氯化氢</w:t>
                  </w:r>
                </w:p>
              </w:tc>
              <w:tc>
                <w:tcPr>
                  <w:tcW w:w="3006" w:type="pct"/>
                  <w:tcBorders>
                    <w:tl2br w:val="nil"/>
                    <w:tr2bl w:val="nil"/>
                  </w:tcBorders>
                  <w:shd w:val="clear" w:color="auto" w:fill="auto"/>
                  <w:noWrap/>
                  <w:vAlign w:val="center"/>
                </w:tcPr>
                <w:p w14:paraId="191F20BE">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少量</w:t>
                  </w:r>
                </w:p>
              </w:tc>
            </w:tr>
            <w:tr w14:paraId="7CAE7A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47548DE6">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4F6C1F6B">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微生物气溶胶</w:t>
                  </w:r>
                </w:p>
              </w:tc>
              <w:tc>
                <w:tcPr>
                  <w:tcW w:w="3006" w:type="pct"/>
                  <w:tcBorders>
                    <w:tl2br w:val="nil"/>
                    <w:tr2bl w:val="nil"/>
                  </w:tcBorders>
                  <w:shd w:val="clear" w:color="auto" w:fill="auto"/>
                  <w:noWrap/>
                  <w:vAlign w:val="center"/>
                </w:tcPr>
                <w:p w14:paraId="2BB7C303">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少量</w:t>
                  </w:r>
                </w:p>
              </w:tc>
            </w:tr>
            <w:tr w14:paraId="0CFB36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restart"/>
                  <w:tcBorders>
                    <w:tl2br w:val="nil"/>
                    <w:tr2bl w:val="nil"/>
                  </w:tcBorders>
                  <w:shd w:val="clear" w:color="auto" w:fill="auto"/>
                  <w:noWrap/>
                  <w:vAlign w:val="center"/>
                </w:tcPr>
                <w:p w14:paraId="6046F012">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w:t>
                  </w:r>
                </w:p>
              </w:tc>
              <w:tc>
                <w:tcPr>
                  <w:tcW w:w="1239" w:type="pct"/>
                  <w:tcBorders>
                    <w:tl2br w:val="nil"/>
                    <w:tr2bl w:val="nil"/>
                  </w:tcBorders>
                  <w:shd w:val="clear" w:color="auto" w:fill="auto"/>
                  <w:noWrap/>
                  <w:vAlign w:val="center"/>
                </w:tcPr>
                <w:p w14:paraId="35F6542D">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废水量</w:t>
                  </w:r>
                </w:p>
              </w:tc>
              <w:tc>
                <w:tcPr>
                  <w:tcW w:w="3006" w:type="pct"/>
                  <w:tcBorders>
                    <w:tl2br w:val="nil"/>
                    <w:tr2bl w:val="nil"/>
                  </w:tcBorders>
                  <w:shd w:val="clear" w:color="auto" w:fill="auto"/>
                  <w:noWrap/>
                  <w:vAlign w:val="center"/>
                </w:tcPr>
                <w:p w14:paraId="64CBA06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r>
            <w:tr w14:paraId="04B861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1C72BB4C">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2D1BC8D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3006" w:type="pct"/>
                  <w:tcBorders>
                    <w:tl2br w:val="nil"/>
                    <w:tr2bl w:val="nil"/>
                  </w:tcBorders>
                  <w:shd w:val="clear" w:color="auto" w:fill="auto"/>
                  <w:noWrap/>
                  <w:vAlign w:val="center"/>
                </w:tcPr>
                <w:p w14:paraId="1C13562C">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(0.029)</w:t>
                  </w:r>
                </w:p>
              </w:tc>
            </w:tr>
            <w:tr w14:paraId="08709B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3716EC36">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49FBBE8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c>
                <w:tcPr>
                  <w:tcW w:w="3006" w:type="pct"/>
                  <w:tcBorders>
                    <w:tl2br w:val="nil"/>
                    <w:tr2bl w:val="nil"/>
                  </w:tcBorders>
                  <w:shd w:val="clear" w:color="auto" w:fill="auto"/>
                  <w:noWrap/>
                  <w:vAlign w:val="center"/>
                </w:tcPr>
                <w:p w14:paraId="0FAFE8D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default" w:ascii="Times New Roman" w:hAnsi="Times New Roman" w:eastAsia="宋体" w:cs="Times New Roman"/>
                      <w:i w:val="0"/>
                      <w:iCs w:val="0"/>
                      <w:color w:val="000000"/>
                      <w:kern w:val="0"/>
                      <w:sz w:val="18"/>
                      <w:szCs w:val="18"/>
                      <w:u w:val="none"/>
                      <w:lang w:val="en-US" w:eastAsia="zh-CN" w:bidi="ar"/>
                    </w:rPr>
                    <w:t>(0.002)</w:t>
                  </w:r>
                </w:p>
              </w:tc>
            </w:tr>
            <w:tr w14:paraId="690533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restart"/>
                  <w:tcBorders>
                    <w:tl2br w:val="nil"/>
                    <w:tr2bl w:val="nil"/>
                  </w:tcBorders>
                  <w:shd w:val="clear" w:color="auto" w:fill="auto"/>
                  <w:noWrap/>
                  <w:vAlign w:val="center"/>
                </w:tcPr>
                <w:p w14:paraId="695A5BD6">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一般工业固体废物</w:t>
                  </w:r>
                </w:p>
              </w:tc>
              <w:tc>
                <w:tcPr>
                  <w:tcW w:w="1239" w:type="pct"/>
                  <w:tcBorders>
                    <w:tl2br w:val="nil"/>
                    <w:tr2bl w:val="nil"/>
                  </w:tcBorders>
                  <w:shd w:val="clear" w:color="auto" w:fill="auto"/>
                  <w:noWrap/>
                  <w:vAlign w:val="center"/>
                </w:tcPr>
                <w:p w14:paraId="33D828ED">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w:t>
                  </w:r>
                </w:p>
              </w:tc>
              <w:tc>
                <w:tcPr>
                  <w:tcW w:w="3006" w:type="pct"/>
                  <w:tcBorders>
                    <w:tl2br w:val="nil"/>
                    <w:tr2bl w:val="nil"/>
                  </w:tcBorders>
                  <w:shd w:val="clear" w:color="auto" w:fill="auto"/>
                  <w:noWrap/>
                  <w:vAlign w:val="center"/>
                </w:tcPr>
                <w:p w14:paraId="177CE4CC">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r>
            <w:tr w14:paraId="1803A5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72413804">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60C1363A">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3006" w:type="pct"/>
                  <w:tcBorders>
                    <w:tl2br w:val="nil"/>
                    <w:tr2bl w:val="nil"/>
                  </w:tcBorders>
                  <w:shd w:val="clear" w:color="auto" w:fill="auto"/>
                  <w:noWrap/>
                  <w:vAlign w:val="center"/>
                </w:tcPr>
                <w:p w14:paraId="79FC991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r>
            <w:tr w14:paraId="342171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7889644C">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4BA91E24">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3006" w:type="pct"/>
                  <w:tcBorders>
                    <w:tl2br w:val="nil"/>
                    <w:tr2bl w:val="nil"/>
                  </w:tcBorders>
                  <w:shd w:val="clear" w:color="auto" w:fill="auto"/>
                  <w:noWrap/>
                  <w:vAlign w:val="center"/>
                </w:tcPr>
                <w:p w14:paraId="32EBB593">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r>
            <w:tr w14:paraId="577927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restart"/>
                  <w:tcBorders>
                    <w:tl2br w:val="nil"/>
                    <w:tr2bl w:val="nil"/>
                  </w:tcBorders>
                  <w:shd w:val="clear" w:color="auto" w:fill="auto"/>
                  <w:noWrap/>
                  <w:vAlign w:val="center"/>
                </w:tcPr>
                <w:p w14:paraId="63CDB211">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1239" w:type="pct"/>
                  <w:tcBorders>
                    <w:tl2br w:val="nil"/>
                    <w:tr2bl w:val="nil"/>
                  </w:tcBorders>
                  <w:shd w:val="clear" w:color="auto" w:fill="auto"/>
                  <w:noWrap/>
                  <w:vAlign w:val="center"/>
                </w:tcPr>
                <w:p w14:paraId="06DF9044">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3006" w:type="pct"/>
                  <w:tcBorders>
                    <w:tl2br w:val="nil"/>
                    <w:tr2bl w:val="nil"/>
                  </w:tcBorders>
                  <w:shd w:val="clear" w:color="auto" w:fill="auto"/>
                  <w:noWrap/>
                  <w:vAlign w:val="center"/>
                </w:tcPr>
                <w:p w14:paraId="500216C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r>
            <w:tr w14:paraId="031FF7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0F0FD5C8">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2E9739AE">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实验室废物</w:t>
                  </w:r>
                </w:p>
              </w:tc>
              <w:tc>
                <w:tcPr>
                  <w:tcW w:w="3006" w:type="pct"/>
                  <w:tcBorders>
                    <w:tl2br w:val="nil"/>
                    <w:tr2bl w:val="nil"/>
                  </w:tcBorders>
                  <w:shd w:val="clear" w:color="auto" w:fill="auto"/>
                  <w:noWrap/>
                  <w:vAlign w:val="center"/>
                </w:tcPr>
                <w:p w14:paraId="7BFCE366">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r>
            <w:tr w14:paraId="5B6BB5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752DD83E">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24AD44A5">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废一次性耗材</w:t>
                  </w:r>
                </w:p>
              </w:tc>
              <w:tc>
                <w:tcPr>
                  <w:tcW w:w="3006" w:type="pct"/>
                  <w:tcBorders>
                    <w:tl2br w:val="nil"/>
                    <w:tr2bl w:val="nil"/>
                  </w:tcBorders>
                  <w:shd w:val="clear" w:color="auto" w:fill="auto"/>
                  <w:noWrap/>
                  <w:vAlign w:val="center"/>
                </w:tcPr>
                <w:p w14:paraId="73B6DC9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r>
            <w:tr w14:paraId="312AA1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065AE52B">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7BCEBE61">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废抹布</w:t>
                  </w:r>
                </w:p>
              </w:tc>
              <w:tc>
                <w:tcPr>
                  <w:tcW w:w="3006" w:type="pct"/>
                  <w:tcBorders>
                    <w:tl2br w:val="nil"/>
                    <w:tr2bl w:val="nil"/>
                  </w:tcBorders>
                  <w:shd w:val="clear" w:color="auto" w:fill="auto"/>
                  <w:noWrap/>
                  <w:vAlign w:val="center"/>
                </w:tcPr>
                <w:p w14:paraId="72ECD614">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r>
            <w:tr w14:paraId="44285F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0CFBEC22">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2621EAC3">
                  <w:pPr>
                    <w:keepNext w:val="0"/>
                    <w:keepLines w:val="0"/>
                    <w:widowControl/>
                    <w:suppressLineNumbers w:val="0"/>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废洁净服</w:t>
                  </w:r>
                </w:p>
              </w:tc>
              <w:tc>
                <w:tcPr>
                  <w:tcW w:w="3006" w:type="pct"/>
                  <w:tcBorders>
                    <w:tl2br w:val="nil"/>
                    <w:tr2bl w:val="nil"/>
                  </w:tcBorders>
                  <w:shd w:val="clear" w:color="auto" w:fill="auto"/>
                  <w:noWrap/>
                  <w:vAlign w:val="center"/>
                </w:tcPr>
                <w:p w14:paraId="121D998E">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r>
            <w:tr w14:paraId="2CB9BF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5A61914E">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4220ADC4">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废液</w:t>
                  </w:r>
                </w:p>
              </w:tc>
              <w:tc>
                <w:tcPr>
                  <w:tcW w:w="3006" w:type="pct"/>
                  <w:tcBorders>
                    <w:tl2br w:val="nil"/>
                    <w:tr2bl w:val="nil"/>
                  </w:tcBorders>
                  <w:shd w:val="clear" w:color="auto" w:fill="auto"/>
                  <w:noWrap/>
                  <w:vAlign w:val="center"/>
                </w:tcPr>
                <w:p w14:paraId="04D7E21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11.1</w:t>
                  </w:r>
                </w:p>
              </w:tc>
            </w:tr>
            <w:tr w14:paraId="64EC11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7058F843">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1FE9CE5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废原料包装</w:t>
                  </w:r>
                </w:p>
              </w:tc>
              <w:tc>
                <w:tcPr>
                  <w:tcW w:w="3006" w:type="pct"/>
                  <w:tcBorders>
                    <w:tl2br w:val="nil"/>
                    <w:tr2bl w:val="nil"/>
                  </w:tcBorders>
                  <w:shd w:val="clear" w:color="auto" w:fill="auto"/>
                  <w:noWrap/>
                  <w:vAlign w:val="center"/>
                </w:tcPr>
                <w:p w14:paraId="34C7920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0.02</w:t>
                  </w:r>
                </w:p>
              </w:tc>
            </w:tr>
            <w:tr w14:paraId="7F21C0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74A856A5">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61FAC82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废活性炭</w:t>
                  </w:r>
                </w:p>
              </w:tc>
              <w:tc>
                <w:tcPr>
                  <w:tcW w:w="3006" w:type="pct"/>
                  <w:tcBorders>
                    <w:tl2br w:val="nil"/>
                    <w:tr2bl w:val="nil"/>
                  </w:tcBorders>
                  <w:shd w:val="clear" w:color="auto" w:fill="auto"/>
                  <w:noWrap/>
                  <w:vAlign w:val="center"/>
                </w:tcPr>
                <w:p w14:paraId="2C959817">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1.562</w:t>
                  </w:r>
                </w:p>
              </w:tc>
            </w:tr>
            <w:tr w14:paraId="74B9A0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3F0C069A">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63803B75">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废润滑油</w:t>
                  </w:r>
                </w:p>
              </w:tc>
              <w:tc>
                <w:tcPr>
                  <w:tcW w:w="3006" w:type="pct"/>
                  <w:tcBorders>
                    <w:tl2br w:val="nil"/>
                    <w:tr2bl w:val="nil"/>
                  </w:tcBorders>
                  <w:shd w:val="clear" w:color="auto" w:fill="auto"/>
                  <w:noWrap/>
                  <w:vAlign w:val="center"/>
                </w:tcPr>
                <w:p w14:paraId="727159CC">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0.006</w:t>
                  </w:r>
                </w:p>
              </w:tc>
            </w:tr>
            <w:tr w14:paraId="689973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753" w:type="pct"/>
                  <w:vMerge w:val="continue"/>
                  <w:tcBorders>
                    <w:tl2br w:val="nil"/>
                    <w:tr2bl w:val="nil"/>
                  </w:tcBorders>
                  <w:shd w:val="clear" w:color="auto" w:fill="auto"/>
                  <w:noWrap/>
                  <w:vAlign w:val="center"/>
                </w:tcPr>
                <w:p w14:paraId="1B66BDD7">
                  <w:pPr>
                    <w:jc w:val="center"/>
                    <w:rPr>
                      <w:rFonts w:hint="default" w:ascii="Times New Roman" w:hAnsi="Times New Roman" w:eastAsia="宋体" w:cs="Times New Roman"/>
                      <w:i w:val="0"/>
                      <w:iCs w:val="0"/>
                      <w:color w:val="000000"/>
                      <w:sz w:val="18"/>
                      <w:szCs w:val="18"/>
                      <w:u w:val="none"/>
                    </w:rPr>
                  </w:pPr>
                </w:p>
              </w:tc>
              <w:tc>
                <w:tcPr>
                  <w:tcW w:w="1239" w:type="pct"/>
                  <w:tcBorders>
                    <w:tl2br w:val="nil"/>
                    <w:tr2bl w:val="nil"/>
                  </w:tcBorders>
                  <w:shd w:val="clear" w:color="auto" w:fill="auto"/>
                  <w:noWrap/>
                  <w:vAlign w:val="center"/>
                </w:tcPr>
                <w:p w14:paraId="19007CCD">
                  <w:pPr>
                    <w:keepNext w:val="0"/>
                    <w:keepLines w:val="0"/>
                    <w:widowControl/>
                    <w:suppressLineNumbers w:val="0"/>
                    <w:jc w:val="center"/>
                    <w:textAlignment w:val="top"/>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废油桶</w:t>
                  </w:r>
                </w:p>
              </w:tc>
              <w:tc>
                <w:tcPr>
                  <w:tcW w:w="3006" w:type="pct"/>
                  <w:tcBorders>
                    <w:tl2br w:val="nil"/>
                    <w:tr2bl w:val="nil"/>
                  </w:tcBorders>
                  <w:shd w:val="clear" w:color="auto" w:fill="auto"/>
                  <w:noWrap/>
                  <w:vAlign w:val="center"/>
                </w:tcPr>
                <w:p w14:paraId="3B52A9A9">
                  <w:pPr>
                    <w:keepNext w:val="0"/>
                    <w:keepLines w:val="0"/>
                    <w:widowControl/>
                    <w:suppressLineNumbers w:val="0"/>
                    <w:jc w:val="center"/>
                    <w:textAlignment w:val="top"/>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0.002</w:t>
                  </w:r>
                </w:p>
              </w:tc>
            </w:tr>
          </w:tbl>
          <w:p w14:paraId="46B96FEF">
            <w:pPr>
              <w:adjustRightInd w:val="0"/>
              <w:snapToGrid w:val="0"/>
              <w:spacing w:line="360" w:lineRule="auto"/>
              <w:ind w:firstLine="0" w:firstLineChars="0"/>
              <w:rPr>
                <w:rFonts w:hint="eastAsia"/>
                <w:bCs/>
                <w:szCs w:val="21"/>
              </w:rPr>
            </w:pPr>
            <w:r>
              <w:rPr>
                <w:rFonts w:hint="eastAsia"/>
                <w:b/>
                <w:bCs/>
                <w:sz w:val="22"/>
                <w:szCs w:val="28"/>
                <w:lang w:val="en-US" w:eastAsia="zh-CN"/>
              </w:rPr>
              <w:t>2.3.2  企业现有项目存在问题及整改措施</w:t>
            </w:r>
          </w:p>
          <w:p w14:paraId="3DC4E598">
            <w:pPr>
              <w:numPr>
                <w:ilvl w:val="0"/>
                <w:numId w:val="0"/>
              </w:numPr>
              <w:adjustRightInd w:val="0"/>
              <w:snapToGrid w:val="0"/>
              <w:spacing w:line="360" w:lineRule="auto"/>
              <w:ind w:firstLine="420" w:firstLineChars="200"/>
              <w:rPr>
                <w:rFonts w:hint="default"/>
                <w:b w:val="0"/>
                <w:bCs w:val="0"/>
                <w:sz w:val="21"/>
                <w:szCs w:val="24"/>
                <w:lang w:val="en-US" w:eastAsia="zh-CN"/>
              </w:rPr>
            </w:pPr>
            <w:r>
              <w:rPr>
                <w:rFonts w:hint="eastAsia"/>
                <w:bCs/>
                <w:szCs w:val="21"/>
              </w:rPr>
              <w:t>企业</w:t>
            </w:r>
            <w:r>
              <w:rPr>
                <w:rFonts w:hint="eastAsia"/>
                <w:bCs/>
                <w:szCs w:val="21"/>
                <w:lang w:val="en-US" w:eastAsia="zh-CN"/>
              </w:rPr>
              <w:t>现有</w:t>
            </w:r>
            <w:r>
              <w:rPr>
                <w:rFonts w:hint="eastAsia"/>
                <w:bCs/>
                <w:szCs w:val="21"/>
              </w:rPr>
              <w:t>项目（位于浙江省杭州市余杭区仓前街道余杭塘路2622号5幢2层201室）于2026年3月彻底拆除</w:t>
            </w:r>
            <w:r>
              <w:rPr>
                <w:rFonts w:hint="eastAsia"/>
                <w:bCs/>
                <w:szCs w:val="21"/>
                <w:lang w:eastAsia="zh-CN"/>
              </w:rPr>
              <w:t>，</w:t>
            </w:r>
            <w:r>
              <w:rPr>
                <w:rFonts w:hint="eastAsia"/>
                <w:bCs/>
                <w:szCs w:val="21"/>
                <w:lang w:val="en-US" w:eastAsia="zh-CN"/>
              </w:rPr>
              <w:t>故不存在与本项目相关的原有环境问题。</w:t>
            </w:r>
          </w:p>
          <w:p w14:paraId="5DBBD6C2">
            <w:pPr>
              <w:numPr>
                <w:ilvl w:val="0"/>
                <w:numId w:val="0"/>
              </w:numPr>
              <w:adjustRightInd w:val="0"/>
              <w:snapToGrid w:val="0"/>
              <w:spacing w:line="360" w:lineRule="auto"/>
              <w:ind w:firstLine="0" w:firstLineChars="0"/>
              <w:rPr>
                <w:rFonts w:hint="default"/>
                <w:b w:val="0"/>
                <w:bCs w:val="0"/>
                <w:sz w:val="21"/>
                <w:szCs w:val="24"/>
                <w:lang w:val="en-US" w:eastAsia="zh-CN"/>
              </w:rPr>
            </w:pPr>
          </w:p>
        </w:tc>
      </w:tr>
    </w:tbl>
    <w:p w14:paraId="1D96D142">
      <w:pPr>
        <w:pStyle w:val="22"/>
        <w:jc w:val="center"/>
        <w:rPr>
          <w:rFonts w:ascii="Times New Roman" w:hAnsi="Times New Roman" w:eastAsia="黑体"/>
          <w:snapToGrid w:val="0"/>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A9A635C">
      <w:pPr>
        <w:pStyle w:val="22"/>
        <w:adjustRightInd w:val="0"/>
        <w:snapToGrid w:val="0"/>
        <w:spacing w:before="0" w:beforeAutospacing="0" w:after="0" w:afterAutospacing="0" w:line="14" w:lineRule="auto"/>
        <w:jc w:val="center"/>
        <w:rPr>
          <w:rFonts w:ascii="Times New Roman" w:hAnsi="Times New Roman" w:eastAsia="黑体"/>
          <w:snapToGrid w:val="0"/>
          <w:sz w:val="30"/>
          <w:szCs w:val="30"/>
        </w:rPr>
      </w:pPr>
    </w:p>
    <w:p w14:paraId="72806A63">
      <w:pPr>
        <w:pStyle w:val="22"/>
        <w:jc w:val="center"/>
        <w:outlineLvl w:val="0"/>
        <w:rPr>
          <w:rFonts w:ascii="Times New Roman" w:hAnsi="Times New Roman" w:eastAsia="黑体"/>
          <w:snapToGrid w:val="0"/>
          <w:sz w:val="30"/>
          <w:szCs w:val="30"/>
        </w:rPr>
      </w:pPr>
      <w:bookmarkStart w:id="32" w:name="_Toc17715"/>
      <w:bookmarkStart w:id="33" w:name="_Toc19781"/>
      <w:bookmarkStart w:id="34" w:name="_Toc16646"/>
      <w:bookmarkStart w:id="35" w:name="_Toc7969"/>
      <w:bookmarkStart w:id="36" w:name="_Toc4997"/>
      <w:r>
        <w:rPr>
          <w:rFonts w:hint="eastAsia" w:ascii="Times New Roman" w:hAnsi="Times New Roman" w:eastAsia="黑体"/>
          <w:snapToGrid w:val="0"/>
          <w:sz w:val="30"/>
          <w:szCs w:val="30"/>
        </w:rPr>
        <w:t>三、区域环境质量现状、环境保护目标及评价标准</w:t>
      </w:r>
      <w:bookmarkEnd w:id="32"/>
      <w:bookmarkEnd w:id="33"/>
      <w:bookmarkEnd w:id="34"/>
      <w:bookmarkEnd w:id="35"/>
      <w:bookmarkEnd w:id="36"/>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8269"/>
      </w:tblGrid>
      <w:tr w14:paraId="36827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800" w:type="dxa"/>
            <w:vAlign w:val="center"/>
          </w:tcPr>
          <w:p w14:paraId="43AE6A96">
            <w:pPr>
              <w:adjustRightInd w:val="0"/>
              <w:snapToGrid w:val="0"/>
              <w:jc w:val="center"/>
              <w:rPr>
                <w:kern w:val="0"/>
                <w:szCs w:val="21"/>
              </w:rPr>
            </w:pPr>
            <w:r>
              <w:rPr>
                <w:rFonts w:hint="eastAsia"/>
                <w:kern w:val="0"/>
                <w:szCs w:val="21"/>
              </w:rPr>
              <w:t>区域</w:t>
            </w:r>
          </w:p>
          <w:p w14:paraId="1F97AF2E">
            <w:pPr>
              <w:adjustRightInd w:val="0"/>
              <w:snapToGrid w:val="0"/>
              <w:jc w:val="center"/>
              <w:rPr>
                <w:kern w:val="0"/>
                <w:szCs w:val="21"/>
              </w:rPr>
            </w:pPr>
            <w:r>
              <w:rPr>
                <w:rFonts w:hint="eastAsia"/>
                <w:kern w:val="0"/>
                <w:szCs w:val="21"/>
              </w:rPr>
              <w:t>环境</w:t>
            </w:r>
          </w:p>
          <w:p w14:paraId="71D4D494">
            <w:pPr>
              <w:adjustRightInd w:val="0"/>
              <w:snapToGrid w:val="0"/>
              <w:jc w:val="center"/>
              <w:rPr>
                <w:kern w:val="0"/>
                <w:szCs w:val="21"/>
              </w:rPr>
            </w:pPr>
            <w:r>
              <w:rPr>
                <w:rFonts w:hint="eastAsia"/>
                <w:kern w:val="0"/>
                <w:szCs w:val="21"/>
              </w:rPr>
              <w:t>质量</w:t>
            </w:r>
          </w:p>
          <w:p w14:paraId="22DC7B56">
            <w:pPr>
              <w:adjustRightInd w:val="0"/>
              <w:snapToGrid w:val="0"/>
              <w:jc w:val="center"/>
              <w:rPr>
                <w:kern w:val="0"/>
                <w:szCs w:val="21"/>
              </w:rPr>
            </w:pPr>
            <w:r>
              <w:rPr>
                <w:rFonts w:hint="eastAsia"/>
                <w:kern w:val="0"/>
                <w:szCs w:val="21"/>
              </w:rPr>
              <w:t>现状</w:t>
            </w:r>
          </w:p>
        </w:tc>
        <w:tc>
          <w:tcPr>
            <w:tcW w:w="8190" w:type="dxa"/>
            <w:vAlign w:val="center"/>
          </w:tcPr>
          <w:p w14:paraId="06417B9D">
            <w:pPr>
              <w:adjustRightInd w:val="0"/>
              <w:snapToGrid w:val="0"/>
              <w:spacing w:line="360" w:lineRule="auto"/>
              <w:rPr>
                <w:rFonts w:cs="宋体"/>
                <w:b/>
                <w:kern w:val="0"/>
                <w:sz w:val="24"/>
              </w:rPr>
            </w:pPr>
            <w:r>
              <w:rPr>
                <w:rFonts w:hint="eastAsia" w:cs="宋体"/>
                <w:b/>
                <w:kern w:val="0"/>
                <w:sz w:val="24"/>
              </w:rPr>
              <w:t>3.1  区域环境质量现状</w:t>
            </w:r>
          </w:p>
          <w:p w14:paraId="22984B44">
            <w:pPr>
              <w:adjustRightInd w:val="0"/>
              <w:snapToGrid w:val="0"/>
              <w:spacing w:line="360" w:lineRule="auto"/>
              <w:rPr>
                <w:rFonts w:cs="宋体"/>
                <w:b/>
                <w:kern w:val="0"/>
                <w:sz w:val="22"/>
                <w:szCs w:val="22"/>
              </w:rPr>
            </w:pPr>
            <w:r>
              <w:rPr>
                <w:rFonts w:hint="eastAsia" w:cs="宋体"/>
                <w:b/>
                <w:kern w:val="0"/>
                <w:sz w:val="22"/>
                <w:szCs w:val="22"/>
              </w:rPr>
              <w:t>3.1.1  环境空气质量现状</w:t>
            </w:r>
          </w:p>
          <w:p w14:paraId="32DC428A">
            <w:pPr>
              <w:spacing w:line="360" w:lineRule="auto"/>
              <w:ind w:firstLine="422" w:firstLineChars="200"/>
              <w:rPr>
                <w:b/>
                <w:bCs/>
              </w:rPr>
            </w:pPr>
            <w:r>
              <w:rPr>
                <w:rFonts w:hint="eastAsia"/>
                <w:b/>
                <w:bCs/>
              </w:rPr>
              <w:t>1、环境空气质量达标区判定</w:t>
            </w:r>
          </w:p>
          <w:p w14:paraId="54FA113D">
            <w:pPr>
              <w:spacing w:line="360" w:lineRule="auto"/>
              <w:ind w:firstLine="420" w:firstLineChars="200"/>
              <w:rPr>
                <w:rFonts w:hint="default" w:ascii="Times New Roman" w:hAnsi="Times New Roman" w:eastAsia="宋体" w:cs="Times New Roman"/>
                <w:color w:val="auto"/>
                <w:sz w:val="21"/>
                <w:szCs w:val="21"/>
              </w:rPr>
            </w:pPr>
            <w:bookmarkStart w:id="37" w:name="_Hlk131175006"/>
            <w:r>
              <w:rPr>
                <w:rFonts w:hint="eastAsia" w:cs="Times New Roman"/>
                <w:color w:val="auto"/>
                <w:sz w:val="21"/>
                <w:szCs w:val="21"/>
                <w:lang w:val="en-US" w:eastAsia="zh-CN"/>
              </w:rPr>
              <w:t>根</w:t>
            </w:r>
            <w:r>
              <w:rPr>
                <w:rFonts w:hint="default" w:ascii="Times New Roman" w:hAnsi="Times New Roman" w:eastAsia="宋体" w:cs="Times New Roman"/>
                <w:color w:val="auto"/>
                <w:sz w:val="21"/>
                <w:szCs w:val="21"/>
              </w:rPr>
              <w:t>据功能区划，项目所在地环境空气为二类环境功能区。为了了解评价项目所在区域环境空气质量情况，本次评价引用《2025年浙江省生态环境状况公报》中的相关数据：11个设区城市中，宁波市、温州市、绍兴市、金华市、衢州市、舟山市、台州市和丽水市8个设区城市环境空气质量达到国家二级标准；日环境空气质量（AQI）优良天数比例为82.2%～99.2%，平均为92.4%，较上年上升2.3个百分点。</w:t>
            </w:r>
          </w:p>
          <w:p w14:paraId="4B098585">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细颗粒物（粒径小于等于2.5微米，PM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z w:val="21"/>
                <w:szCs w:val="21"/>
              </w:rPr>
              <w:t>）年均浓度范围为15.5～31.0微克/立方米，平均为24.9微克/立方米，较上年下降4.6%；各城市均达到国家二级标准。</w:t>
            </w:r>
          </w:p>
          <w:p w14:paraId="43118C11">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可吸入颗粒物（粒径小于等于10微米，PM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）年均浓度范围为29～51微克/立方米，平均为42微克/立方米，与上年持平；各城市均达到国家二级标准。</w:t>
            </w:r>
          </w:p>
          <w:p w14:paraId="21310DF3">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二氧化硫（SO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）年均浓度范围为4～7微克/立方米，平均为6微克/立方米，与上年区域环境质量现状持平；各城市均达到国家一级标准。</w:t>
            </w:r>
          </w:p>
          <w:p w14:paraId="28DDBEF6">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二氧化氮（NO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）年均浓度范围为17～30微克/立方米，平均为23微克/立方米，较上年下降4.2%；各城市均达到国家一级标准。</w:t>
            </w:r>
          </w:p>
          <w:p w14:paraId="22CFB3AC">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一氧化碳（CO）日均值第95百分位数浓度范围为0.7～0.9毫克/立方米，平均为0.8毫克/立方米，与上年持平；各城市均达到国家一级标准。</w:t>
            </w:r>
          </w:p>
          <w:p w14:paraId="4AE6AED3">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臭氧（O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）日最大8小时平均值第90百分位数浓度范围为131～175微克/立方米，平均为149微克/立方米，较上年上升2.1%；8个设区城市达到国家二级标准，杭州市、湖州市和嘉兴市未达到国家二级标准。</w:t>
            </w:r>
          </w:p>
          <w:p w14:paraId="6C39AC8D">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综上所述，项目所在区域大气环境质量为不达标区，超标因子为臭氧。</w:t>
            </w:r>
          </w:p>
          <w:p w14:paraId="6C2B410A">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根据《余杭区环境空气质量提质进位三年行动方案（2024</w:t>
            </w:r>
            <w:r>
              <w:rPr>
                <w:rFonts w:hint="eastAsia" w:cs="Times New Roman"/>
                <w:color w:val="auto"/>
                <w:sz w:val="21"/>
                <w:szCs w:val="21"/>
                <w:lang w:eastAsia="zh-CN"/>
              </w:rPr>
              <w:t>—</w:t>
            </w:r>
            <w:r>
              <w:rPr>
                <w:rFonts w:hint="default" w:ascii="Times New Roman" w:hAnsi="Times New Roman" w:cs="Times New Roman"/>
                <w:color w:val="auto"/>
                <w:sz w:val="21"/>
                <w:szCs w:val="21"/>
              </w:rPr>
              <w:t>2026年）》，为提升区域大气环境质量，拟采取</w:t>
            </w:r>
            <w:r>
              <w:rPr>
                <w:rFonts w:hint="eastAsia" w:cs="Times New Roman"/>
                <w:color w:val="auto"/>
                <w:sz w:val="21"/>
                <w:szCs w:val="21"/>
                <w:lang w:eastAsia="zh-CN"/>
              </w:rPr>
              <w:t>以下</w:t>
            </w:r>
            <w:r>
              <w:rPr>
                <w:rFonts w:hint="default" w:ascii="Times New Roman" w:hAnsi="Times New Roman" w:cs="Times New Roman"/>
                <w:color w:val="auto"/>
                <w:sz w:val="21"/>
                <w:szCs w:val="21"/>
              </w:rPr>
              <w:t>措施：</w:t>
            </w:r>
          </w:p>
          <w:p w14:paraId="78E9143E">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（1）工业源减排：完成207个省市减排任务、142个区级项目，淘汰3台2蒸吨生物质锅炉，推进活性炭集中再生与氮氧化物深度治理。​</w:t>
            </w:r>
          </w:p>
          <w:p w14:paraId="7F19986F">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（2）扬尘源管控：技术赋能：部署公交车移动监测、无人机巡查、走航车监测等设备，建立工地扬尘预警处置机制；长效管理：实现颗粒物异常的快速闭环处置，良渚论坛保障期间创同期PM</w:t>
            </w:r>
            <w:r>
              <w:rPr>
                <w:rFonts w:hint="eastAsia" w:cs="Times New Roman"/>
                <w:color w:val="auto"/>
                <w:sz w:val="21"/>
                <w:szCs w:val="21"/>
                <w:vertAlign w:val="subscript"/>
                <w:lang w:val="en-US" w:eastAsia="zh-CN"/>
              </w:rPr>
              <w:t>2.5</w:t>
            </w:r>
            <w:r>
              <w:rPr>
                <w:rFonts w:hint="default" w:ascii="Times New Roman" w:hAnsi="Times New Roman" w:cs="Times New Roman"/>
                <w:color w:val="auto"/>
                <w:sz w:val="21"/>
                <w:szCs w:val="21"/>
              </w:rPr>
              <w:t>最优水平。​</w:t>
            </w:r>
          </w:p>
          <w:p w14:paraId="6022FF7E">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（3）移动源治理：淘汰国四及以下柴油车327辆、老旧非道机械301台。</w:t>
            </w:r>
          </w:p>
          <w:p w14:paraId="3321FE48">
            <w:pPr>
              <w:spacing w:line="360" w:lineRule="auto"/>
              <w:ind w:firstLine="420" w:firstLineChars="200"/>
              <w:rPr>
                <w:szCs w:val="21"/>
                <w:highlight w:val="none"/>
              </w:rPr>
            </w:pPr>
            <w:r>
              <w:rPr>
                <w:rFonts w:hint="default" w:ascii="Times New Roman" w:hAnsi="Times New Roman" w:cs="Times New Roman"/>
                <w:color w:val="auto"/>
                <w:sz w:val="21"/>
                <w:szCs w:val="21"/>
              </w:rPr>
              <w:t>（4）生活源整治：安装餐饮油烟在线监测189套，119家汽修企业纳入活性炭“绿岛”再生体系；建成62个高位瞭望设施，落实“1530”秸秆焚烧闭环处置机制。</w:t>
            </w:r>
          </w:p>
          <w:p w14:paraId="73498EC0">
            <w:pPr>
              <w:spacing w:line="360" w:lineRule="auto"/>
              <w:ind w:firstLine="422" w:firstLineChars="200"/>
              <w:rPr>
                <w:b/>
                <w:bCs/>
                <w:highlight w:val="none"/>
              </w:rPr>
            </w:pPr>
            <w:r>
              <w:rPr>
                <w:rFonts w:hint="eastAsia"/>
                <w:b/>
                <w:bCs/>
                <w:highlight w:val="none"/>
              </w:rPr>
              <w:t>2、其他特征污染物环境质量现状</w:t>
            </w:r>
          </w:p>
          <w:p w14:paraId="41E7125F">
            <w:pPr>
              <w:spacing w:line="360" w:lineRule="auto"/>
              <w:ind w:firstLine="420" w:firstLineChars="200"/>
              <w:rPr>
                <w:rFonts w:hint="eastAsia"/>
              </w:rPr>
            </w:pPr>
            <w:r>
              <w:rPr>
                <w:rFonts w:hint="eastAsia"/>
                <w:highlight w:val="none"/>
              </w:rPr>
              <w:t>为了解项目所在区域大气环</w:t>
            </w:r>
            <w:r>
              <w:rPr>
                <w:rFonts w:hint="eastAsia"/>
              </w:rPr>
              <w:t>境中其他特征污染物环境质量现状，本环评引用《</w:t>
            </w:r>
            <w:r>
              <w:rPr>
                <w:rFonts w:hint="eastAsia"/>
                <w:lang w:val="en-US" w:eastAsia="zh-CN"/>
              </w:rPr>
              <w:t>杭州未来科技城高新技术产业开发区总体规划（2024-2035）环境影响报告书</w:t>
            </w:r>
            <w:r>
              <w:rPr>
                <w:rFonts w:hint="eastAsia"/>
              </w:rPr>
              <w:t>》（批复文号：</w:t>
            </w:r>
            <w:r>
              <w:rPr>
                <w:rFonts w:hint="eastAsia"/>
                <w:lang w:val="en-US" w:eastAsia="zh-CN"/>
              </w:rPr>
              <w:t>浙环函</w:t>
            </w:r>
            <w:r>
              <w:rPr>
                <w:rFonts w:hint="eastAsia"/>
              </w:rPr>
              <w:t>〔202</w:t>
            </w:r>
            <w:r>
              <w:rPr>
                <w:rFonts w:hint="eastAsia"/>
                <w:lang w:val="en-US" w:eastAsia="zh-CN"/>
              </w:rPr>
              <w:t>6</w:t>
            </w:r>
            <w:r>
              <w:rPr>
                <w:rFonts w:hint="eastAsia"/>
              </w:rPr>
              <w:t>〕</w:t>
            </w:r>
            <w:r>
              <w:rPr>
                <w:rFonts w:hint="eastAsia"/>
                <w:lang w:val="en-US" w:eastAsia="zh-CN"/>
              </w:rPr>
              <w:t>63</w:t>
            </w:r>
            <w:r>
              <w:rPr>
                <w:rFonts w:hint="eastAsia"/>
              </w:rPr>
              <w:t>号）</w:t>
            </w:r>
            <w:r>
              <w:rPr>
                <w:rFonts w:hint="eastAsia"/>
                <w:lang w:val="en-US" w:eastAsia="zh-CN"/>
              </w:rPr>
              <w:t>中的相关污染物近三年历史监测数据</w:t>
            </w:r>
            <w:r>
              <w:rPr>
                <w:rFonts w:hint="eastAsia"/>
              </w:rPr>
              <w:t>进行评价。污染物监测点位信息如</w:t>
            </w:r>
            <w:r>
              <w:rPr>
                <w:rFonts w:hint="eastAsia"/>
                <w:bCs/>
                <w:szCs w:val="21"/>
                <w:lang w:val="en-US" w:eastAsia="zh-CN"/>
              </w:rPr>
              <w:t>3-1</w:t>
            </w:r>
            <w:r>
              <w:rPr>
                <w:rFonts w:hint="eastAsia"/>
                <w:bCs/>
                <w:szCs w:val="21"/>
              </w:rPr>
              <w:t>表</w:t>
            </w:r>
            <w:r>
              <w:rPr>
                <w:rFonts w:hint="eastAsia"/>
              </w:rPr>
              <w:t>所示</w:t>
            </w:r>
            <w:r>
              <w:rPr>
                <w:rFonts w:hint="eastAsia"/>
                <w:lang w:eastAsia="zh-CN"/>
              </w:rPr>
              <w:t>（</w:t>
            </w:r>
            <w:r>
              <w:rPr>
                <w:rFonts w:hint="eastAsia"/>
                <w:lang w:val="en-US" w:eastAsia="zh-CN"/>
              </w:rPr>
              <w:t>详见附图10</w:t>
            </w:r>
            <w:r>
              <w:rPr>
                <w:rFonts w:hint="eastAsia"/>
                <w:lang w:eastAsia="zh-CN"/>
              </w:rPr>
              <w:t>），</w:t>
            </w:r>
            <w:r>
              <w:rPr>
                <w:rFonts w:hint="eastAsia"/>
                <w:lang w:val="en-US" w:eastAsia="zh-CN"/>
              </w:rPr>
              <w:t>结果统计如表3-2所示</w:t>
            </w:r>
            <w:r>
              <w:rPr>
                <w:rFonts w:hint="eastAsia"/>
              </w:rPr>
              <w:t>。</w:t>
            </w:r>
          </w:p>
          <w:p w14:paraId="665BF044">
            <w:pPr>
              <w:pStyle w:val="16"/>
              <w:widowControl/>
              <w:numPr>
                <w:ilvl w:val="0"/>
                <w:numId w:val="8"/>
              </w:numPr>
              <w:tabs>
                <w:tab w:val="left" w:pos="4515"/>
                <w:tab w:val="left" w:pos="5883"/>
                <w:tab w:val="left" w:pos="8718"/>
              </w:tabs>
              <w:adjustRightInd w:val="0"/>
              <w:snapToGrid w:val="0"/>
              <w:spacing w:line="360" w:lineRule="auto"/>
              <w:jc w:val="center"/>
              <w:rPr>
                <w:rFonts w:hint="eastAsia" w:ascii="黑体" w:hAnsi="黑体" w:eastAsia="黑体" w:cs="黑体"/>
                <w:bCs/>
                <w:lang w:val="zh-CN"/>
              </w:rPr>
            </w:pPr>
            <w:r>
              <w:rPr>
                <w:rFonts w:hint="eastAsia" w:ascii="黑体" w:hAnsi="黑体" w:eastAsia="黑体" w:cs="黑体"/>
                <w:bCs/>
              </w:rPr>
              <w:t xml:space="preserve"> 污染物监测点位基本信息</w:t>
            </w:r>
          </w:p>
          <w:tbl>
            <w:tblPr>
              <w:tblStyle w:val="2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795"/>
              <w:gridCol w:w="790"/>
              <w:gridCol w:w="715"/>
              <w:gridCol w:w="773"/>
              <w:gridCol w:w="671"/>
              <w:gridCol w:w="732"/>
              <w:gridCol w:w="914"/>
              <w:gridCol w:w="1658"/>
            </w:tblGrid>
            <w:tr w14:paraId="4490C7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7" w:type="pct"/>
                  <w:vMerge w:val="restart"/>
                  <w:tcBorders>
                    <w:tl2br w:val="nil"/>
                    <w:tr2bl w:val="nil"/>
                  </w:tcBorders>
                  <w:vAlign w:val="center"/>
                </w:tcPr>
                <w:p w14:paraId="63F35CBB">
                  <w:pPr>
                    <w:jc w:val="center"/>
                    <w:rPr>
                      <w:sz w:val="18"/>
                      <w:szCs w:val="18"/>
                    </w:rPr>
                  </w:pPr>
                  <w:r>
                    <w:rPr>
                      <w:rFonts w:hint="eastAsia"/>
                      <w:sz w:val="18"/>
                      <w:szCs w:val="18"/>
                    </w:rPr>
                    <w:t>监测点名称</w:t>
                  </w:r>
                </w:p>
              </w:tc>
              <w:tc>
                <w:tcPr>
                  <w:tcW w:w="1087" w:type="pct"/>
                  <w:gridSpan w:val="2"/>
                  <w:tcBorders>
                    <w:tl2br w:val="nil"/>
                    <w:tr2bl w:val="nil"/>
                  </w:tcBorders>
                  <w:vAlign w:val="center"/>
                </w:tcPr>
                <w:p w14:paraId="5195B00E">
                  <w:pPr>
                    <w:jc w:val="center"/>
                    <w:rPr>
                      <w:rFonts w:hint="default" w:eastAsia="宋体"/>
                      <w:sz w:val="18"/>
                      <w:szCs w:val="18"/>
                      <w:lang w:val="en-US" w:eastAsia="zh-CN"/>
                    </w:rPr>
                  </w:pPr>
                  <w:r>
                    <w:rPr>
                      <w:rFonts w:hint="eastAsia"/>
                      <w:sz w:val="18"/>
                      <w:szCs w:val="18"/>
                      <w:lang w:val="en-US" w:eastAsia="zh-CN"/>
                    </w:rPr>
                    <w:t>经纬度/°</w:t>
                  </w:r>
                </w:p>
              </w:tc>
              <w:tc>
                <w:tcPr>
                  <w:tcW w:w="495" w:type="pct"/>
                  <w:tcBorders>
                    <w:tl2br w:val="nil"/>
                    <w:tr2bl w:val="nil"/>
                  </w:tcBorders>
                  <w:vAlign w:val="center"/>
                </w:tcPr>
                <w:p w14:paraId="7F531A24">
                  <w:pPr>
                    <w:jc w:val="center"/>
                    <w:rPr>
                      <w:sz w:val="18"/>
                      <w:szCs w:val="18"/>
                    </w:rPr>
                  </w:pPr>
                  <w:r>
                    <w:rPr>
                      <w:rFonts w:hint="eastAsia"/>
                      <w:sz w:val="18"/>
                      <w:szCs w:val="18"/>
                    </w:rPr>
                    <w:t>相对方位</w:t>
                  </w:r>
                </w:p>
              </w:tc>
              <w:tc>
                <w:tcPr>
                  <w:tcW w:w="531" w:type="pct"/>
                  <w:tcBorders>
                    <w:tl2br w:val="nil"/>
                    <w:tr2bl w:val="nil"/>
                  </w:tcBorders>
                  <w:vAlign w:val="center"/>
                </w:tcPr>
                <w:p w14:paraId="0A0E1CD9">
                  <w:pPr>
                    <w:jc w:val="center"/>
                    <w:rPr>
                      <w:sz w:val="18"/>
                      <w:szCs w:val="18"/>
                    </w:rPr>
                  </w:pPr>
                  <w:r>
                    <w:rPr>
                      <w:rFonts w:hint="eastAsia"/>
                      <w:sz w:val="18"/>
                      <w:szCs w:val="18"/>
                      <w:lang w:eastAsia="zh-CN"/>
                    </w:rPr>
                    <w:t>距</w:t>
                  </w:r>
                  <w:r>
                    <w:rPr>
                      <w:rFonts w:hint="eastAsia"/>
                      <w:sz w:val="18"/>
                      <w:szCs w:val="18"/>
                    </w:rPr>
                    <w:t>本项目距离</w:t>
                  </w:r>
                </w:p>
              </w:tc>
              <w:tc>
                <w:tcPr>
                  <w:tcW w:w="468" w:type="pct"/>
                  <w:tcBorders>
                    <w:tl2br w:val="nil"/>
                    <w:tr2bl w:val="nil"/>
                  </w:tcBorders>
                  <w:vAlign w:val="center"/>
                </w:tcPr>
                <w:p w14:paraId="6A09AB6D">
                  <w:pPr>
                    <w:jc w:val="center"/>
                    <w:rPr>
                      <w:sz w:val="18"/>
                      <w:szCs w:val="18"/>
                    </w:rPr>
                  </w:pPr>
                  <w:r>
                    <w:rPr>
                      <w:rFonts w:hint="eastAsia"/>
                      <w:sz w:val="18"/>
                      <w:szCs w:val="18"/>
                    </w:rPr>
                    <w:t>备注</w:t>
                  </w:r>
                </w:p>
              </w:tc>
              <w:tc>
                <w:tcPr>
                  <w:tcW w:w="506" w:type="pct"/>
                  <w:tcBorders>
                    <w:tl2br w:val="nil"/>
                    <w:tr2bl w:val="nil"/>
                  </w:tcBorders>
                  <w:vAlign w:val="center"/>
                </w:tcPr>
                <w:p w14:paraId="4973AB36">
                  <w:pPr>
                    <w:jc w:val="center"/>
                    <w:rPr>
                      <w:sz w:val="18"/>
                      <w:szCs w:val="18"/>
                    </w:rPr>
                  </w:pPr>
                  <w:r>
                    <w:rPr>
                      <w:rFonts w:hint="eastAsia"/>
                      <w:sz w:val="18"/>
                      <w:szCs w:val="18"/>
                    </w:rPr>
                    <w:t>监测项目</w:t>
                  </w:r>
                </w:p>
              </w:tc>
              <w:tc>
                <w:tcPr>
                  <w:tcW w:w="619" w:type="pct"/>
                  <w:tcBorders>
                    <w:tl2br w:val="nil"/>
                    <w:tr2bl w:val="nil"/>
                  </w:tcBorders>
                  <w:vAlign w:val="center"/>
                </w:tcPr>
                <w:p w14:paraId="404DBFEE">
                  <w:pPr>
                    <w:jc w:val="center"/>
                    <w:rPr>
                      <w:sz w:val="18"/>
                      <w:szCs w:val="18"/>
                    </w:rPr>
                  </w:pPr>
                  <w:r>
                    <w:rPr>
                      <w:rFonts w:hint="eastAsia"/>
                      <w:sz w:val="18"/>
                      <w:szCs w:val="18"/>
                    </w:rPr>
                    <w:t>采样频次</w:t>
                  </w:r>
                </w:p>
              </w:tc>
              <w:tc>
                <w:tcPr>
                  <w:tcW w:w="634" w:type="pct"/>
                  <w:tcBorders>
                    <w:tl2br w:val="nil"/>
                    <w:tr2bl w:val="nil"/>
                  </w:tcBorders>
                  <w:vAlign w:val="center"/>
                </w:tcPr>
                <w:p w14:paraId="31D5F607">
                  <w:pPr>
                    <w:jc w:val="center"/>
                    <w:rPr>
                      <w:sz w:val="18"/>
                      <w:szCs w:val="18"/>
                    </w:rPr>
                  </w:pPr>
                  <w:r>
                    <w:rPr>
                      <w:rFonts w:hint="eastAsia"/>
                      <w:sz w:val="18"/>
                      <w:szCs w:val="18"/>
                    </w:rPr>
                    <w:t>采样时间</w:t>
                  </w:r>
                </w:p>
              </w:tc>
            </w:tr>
            <w:tr w14:paraId="2F3F31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7" w:type="pct"/>
                  <w:vMerge w:val="continue"/>
                  <w:tcBorders>
                    <w:tl2br w:val="nil"/>
                    <w:tr2bl w:val="nil"/>
                  </w:tcBorders>
                  <w:vAlign w:val="center"/>
                </w:tcPr>
                <w:p w14:paraId="0D155A22">
                  <w:pPr>
                    <w:jc w:val="center"/>
                    <w:rPr>
                      <w:sz w:val="18"/>
                      <w:szCs w:val="18"/>
                    </w:rPr>
                  </w:pPr>
                </w:p>
              </w:tc>
              <w:tc>
                <w:tcPr>
                  <w:tcW w:w="543" w:type="pct"/>
                  <w:tcBorders>
                    <w:tl2br w:val="nil"/>
                    <w:tr2bl w:val="nil"/>
                  </w:tcBorders>
                  <w:vAlign w:val="center"/>
                </w:tcPr>
                <w:p w14:paraId="0798D752">
                  <w:pPr>
                    <w:jc w:val="center"/>
                    <w:rPr>
                      <w:rFonts w:hint="default" w:eastAsia="宋体"/>
                      <w:sz w:val="18"/>
                      <w:szCs w:val="18"/>
                      <w:lang w:val="en-US" w:eastAsia="zh-CN"/>
                    </w:rPr>
                  </w:pPr>
                  <w:r>
                    <w:rPr>
                      <w:rFonts w:hint="eastAsia"/>
                      <w:sz w:val="18"/>
                      <w:szCs w:val="18"/>
                      <w:lang w:val="en-US" w:eastAsia="zh-CN"/>
                    </w:rPr>
                    <w:t>东经</w:t>
                  </w:r>
                </w:p>
              </w:tc>
              <w:tc>
                <w:tcPr>
                  <w:tcW w:w="543" w:type="pct"/>
                  <w:tcBorders>
                    <w:tl2br w:val="nil"/>
                    <w:tr2bl w:val="nil"/>
                  </w:tcBorders>
                  <w:vAlign w:val="center"/>
                </w:tcPr>
                <w:p w14:paraId="6937CBA7">
                  <w:pPr>
                    <w:jc w:val="center"/>
                    <w:rPr>
                      <w:rFonts w:hint="default" w:eastAsia="宋体"/>
                      <w:sz w:val="18"/>
                      <w:szCs w:val="18"/>
                      <w:lang w:val="en-US" w:eastAsia="zh-CN"/>
                    </w:rPr>
                  </w:pPr>
                  <w:r>
                    <w:rPr>
                      <w:rFonts w:hint="eastAsia"/>
                      <w:sz w:val="18"/>
                      <w:szCs w:val="18"/>
                      <w:lang w:val="en-US" w:eastAsia="zh-CN"/>
                    </w:rPr>
                    <w:t>北纬</w:t>
                  </w:r>
                </w:p>
              </w:tc>
              <w:tc>
                <w:tcPr>
                  <w:tcW w:w="495" w:type="pct"/>
                  <w:tcBorders>
                    <w:tl2br w:val="nil"/>
                    <w:tr2bl w:val="nil"/>
                  </w:tcBorders>
                  <w:vAlign w:val="center"/>
                </w:tcPr>
                <w:p w14:paraId="09F1110F">
                  <w:pPr>
                    <w:jc w:val="center"/>
                    <w:rPr>
                      <w:sz w:val="18"/>
                      <w:szCs w:val="18"/>
                    </w:rPr>
                  </w:pPr>
                </w:p>
              </w:tc>
              <w:tc>
                <w:tcPr>
                  <w:tcW w:w="531" w:type="pct"/>
                  <w:tcBorders>
                    <w:tl2br w:val="nil"/>
                    <w:tr2bl w:val="nil"/>
                  </w:tcBorders>
                  <w:vAlign w:val="center"/>
                </w:tcPr>
                <w:p w14:paraId="4B6CB38A">
                  <w:pPr>
                    <w:jc w:val="center"/>
                    <w:rPr>
                      <w:sz w:val="18"/>
                      <w:szCs w:val="18"/>
                    </w:rPr>
                  </w:pPr>
                </w:p>
              </w:tc>
              <w:tc>
                <w:tcPr>
                  <w:tcW w:w="468" w:type="pct"/>
                  <w:tcBorders>
                    <w:tl2br w:val="nil"/>
                    <w:tr2bl w:val="nil"/>
                  </w:tcBorders>
                  <w:vAlign w:val="center"/>
                </w:tcPr>
                <w:p w14:paraId="68609DEE">
                  <w:pPr>
                    <w:jc w:val="center"/>
                    <w:rPr>
                      <w:sz w:val="18"/>
                      <w:szCs w:val="18"/>
                    </w:rPr>
                  </w:pPr>
                </w:p>
              </w:tc>
              <w:tc>
                <w:tcPr>
                  <w:tcW w:w="506" w:type="pct"/>
                  <w:tcBorders>
                    <w:tl2br w:val="nil"/>
                    <w:tr2bl w:val="nil"/>
                  </w:tcBorders>
                  <w:vAlign w:val="center"/>
                </w:tcPr>
                <w:p w14:paraId="55BD4597">
                  <w:pPr>
                    <w:jc w:val="center"/>
                    <w:rPr>
                      <w:sz w:val="18"/>
                      <w:szCs w:val="18"/>
                    </w:rPr>
                  </w:pPr>
                </w:p>
              </w:tc>
              <w:tc>
                <w:tcPr>
                  <w:tcW w:w="619" w:type="pct"/>
                  <w:tcBorders>
                    <w:tl2br w:val="nil"/>
                    <w:tr2bl w:val="nil"/>
                  </w:tcBorders>
                  <w:vAlign w:val="center"/>
                </w:tcPr>
                <w:p w14:paraId="78D0C1FB">
                  <w:pPr>
                    <w:jc w:val="center"/>
                    <w:rPr>
                      <w:sz w:val="18"/>
                      <w:szCs w:val="18"/>
                    </w:rPr>
                  </w:pPr>
                </w:p>
              </w:tc>
              <w:tc>
                <w:tcPr>
                  <w:tcW w:w="634" w:type="pct"/>
                  <w:tcBorders>
                    <w:tl2br w:val="nil"/>
                    <w:tr2bl w:val="nil"/>
                  </w:tcBorders>
                  <w:vAlign w:val="center"/>
                </w:tcPr>
                <w:p w14:paraId="12117ABB">
                  <w:pPr>
                    <w:jc w:val="center"/>
                    <w:rPr>
                      <w:sz w:val="18"/>
                      <w:szCs w:val="18"/>
                    </w:rPr>
                  </w:pPr>
                </w:p>
              </w:tc>
            </w:tr>
            <w:tr w14:paraId="2A5E9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7" w:type="pct"/>
                  <w:tcBorders>
                    <w:tl2br w:val="nil"/>
                    <w:tr2bl w:val="nil"/>
                  </w:tcBorders>
                  <w:vAlign w:val="center"/>
                </w:tcPr>
                <w:p w14:paraId="4B055EA9">
                  <w:pPr>
                    <w:jc w:val="center"/>
                    <w:rPr>
                      <w:rFonts w:hint="default" w:eastAsia="宋体"/>
                      <w:sz w:val="18"/>
                      <w:szCs w:val="18"/>
                      <w:lang w:val="en-US" w:eastAsia="zh-CN"/>
                    </w:rPr>
                  </w:pPr>
                  <w:r>
                    <w:rPr>
                      <w:rFonts w:hint="eastAsia"/>
                      <w:sz w:val="18"/>
                      <w:szCs w:val="18"/>
                      <w:lang w:val="en-US" w:eastAsia="zh-CN"/>
                    </w:rPr>
                    <w:t>杭州狄邦文理学校</w:t>
                  </w:r>
                </w:p>
              </w:tc>
              <w:tc>
                <w:tcPr>
                  <w:tcW w:w="543" w:type="pct"/>
                  <w:tcBorders>
                    <w:tl2br w:val="nil"/>
                    <w:tr2bl w:val="nil"/>
                  </w:tcBorders>
                  <w:vAlign w:val="center"/>
                </w:tcPr>
                <w:p w14:paraId="02B3D229">
                  <w:pPr>
                    <w:jc w:val="center"/>
                    <w:rPr>
                      <w:rFonts w:hint="eastAsia" w:eastAsia="宋体"/>
                      <w:sz w:val="18"/>
                      <w:szCs w:val="18"/>
                      <w:lang w:val="en-US" w:eastAsia="zh-CN"/>
                    </w:rPr>
                  </w:pPr>
                  <w:r>
                    <w:rPr>
                      <w:rFonts w:hint="eastAsia"/>
                      <w:sz w:val="18"/>
                      <w:szCs w:val="18"/>
                    </w:rPr>
                    <w:t>119.92</w:t>
                  </w:r>
                  <w:r>
                    <w:rPr>
                      <w:rFonts w:hint="eastAsia"/>
                      <w:sz w:val="18"/>
                      <w:szCs w:val="18"/>
                      <w:lang w:val="en-US" w:eastAsia="zh-CN"/>
                    </w:rPr>
                    <w:t>1</w:t>
                  </w:r>
                </w:p>
              </w:tc>
              <w:tc>
                <w:tcPr>
                  <w:tcW w:w="543" w:type="pct"/>
                  <w:tcBorders>
                    <w:tl2br w:val="nil"/>
                    <w:tr2bl w:val="nil"/>
                  </w:tcBorders>
                  <w:vAlign w:val="center"/>
                </w:tcPr>
                <w:p w14:paraId="4B79B6EF">
                  <w:pPr>
                    <w:jc w:val="center"/>
                    <w:rPr>
                      <w:sz w:val="18"/>
                      <w:szCs w:val="18"/>
                    </w:rPr>
                  </w:pPr>
                  <w:r>
                    <w:rPr>
                      <w:rFonts w:hint="eastAsia"/>
                      <w:sz w:val="18"/>
                      <w:szCs w:val="18"/>
                    </w:rPr>
                    <w:t>30.245</w:t>
                  </w:r>
                </w:p>
              </w:tc>
              <w:tc>
                <w:tcPr>
                  <w:tcW w:w="495" w:type="pct"/>
                  <w:tcBorders>
                    <w:tl2br w:val="nil"/>
                    <w:tr2bl w:val="nil"/>
                  </w:tcBorders>
                  <w:vAlign w:val="center"/>
                </w:tcPr>
                <w:p w14:paraId="2BA28646">
                  <w:pPr>
                    <w:jc w:val="center"/>
                    <w:rPr>
                      <w:sz w:val="18"/>
                      <w:szCs w:val="18"/>
                    </w:rPr>
                  </w:pPr>
                  <w:r>
                    <w:rPr>
                      <w:rFonts w:hint="eastAsia"/>
                      <w:sz w:val="18"/>
                      <w:szCs w:val="18"/>
                    </w:rPr>
                    <w:t>东</w:t>
                  </w:r>
                </w:p>
              </w:tc>
              <w:tc>
                <w:tcPr>
                  <w:tcW w:w="531" w:type="pct"/>
                  <w:tcBorders>
                    <w:tl2br w:val="nil"/>
                    <w:tr2bl w:val="nil"/>
                  </w:tcBorders>
                  <w:vAlign w:val="center"/>
                </w:tcPr>
                <w:p w14:paraId="6EA644BA">
                  <w:pPr>
                    <w:jc w:val="center"/>
                    <w:rPr>
                      <w:rFonts w:hint="default" w:eastAsia="宋体"/>
                      <w:sz w:val="18"/>
                      <w:szCs w:val="18"/>
                      <w:lang w:val="en-US" w:eastAsia="zh-CN"/>
                    </w:rPr>
                  </w:pPr>
                  <w:r>
                    <w:rPr>
                      <w:rFonts w:hint="eastAsia"/>
                      <w:sz w:val="18"/>
                      <w:szCs w:val="18"/>
                      <w:lang w:val="en-US" w:eastAsia="zh-CN"/>
                    </w:rPr>
                    <w:t>1.66 km</w:t>
                  </w:r>
                </w:p>
              </w:tc>
              <w:tc>
                <w:tcPr>
                  <w:tcW w:w="468" w:type="pct"/>
                  <w:tcBorders>
                    <w:tl2br w:val="nil"/>
                    <w:tr2bl w:val="nil"/>
                  </w:tcBorders>
                  <w:vAlign w:val="center"/>
                </w:tcPr>
                <w:p w14:paraId="46BE8064">
                  <w:pPr>
                    <w:jc w:val="center"/>
                    <w:rPr>
                      <w:sz w:val="18"/>
                      <w:szCs w:val="18"/>
                    </w:rPr>
                  </w:pPr>
                  <w:r>
                    <w:rPr>
                      <w:rFonts w:hint="eastAsia"/>
                      <w:sz w:val="18"/>
                      <w:szCs w:val="18"/>
                    </w:rPr>
                    <w:t>下风向</w:t>
                  </w:r>
                </w:p>
              </w:tc>
              <w:tc>
                <w:tcPr>
                  <w:tcW w:w="506" w:type="pct"/>
                  <w:tcBorders>
                    <w:tl2br w:val="nil"/>
                    <w:tr2bl w:val="nil"/>
                  </w:tcBorders>
                  <w:vAlign w:val="center"/>
                </w:tcPr>
                <w:p w14:paraId="335C3C64">
                  <w:pPr>
                    <w:jc w:val="center"/>
                    <w:rPr>
                      <w:sz w:val="18"/>
                      <w:szCs w:val="18"/>
                    </w:rPr>
                  </w:pPr>
                  <w:r>
                    <w:rPr>
                      <w:rFonts w:hint="eastAsia"/>
                      <w:sz w:val="18"/>
                      <w:szCs w:val="18"/>
                    </w:rPr>
                    <w:t>非甲烷总烃</w:t>
                  </w:r>
                </w:p>
              </w:tc>
              <w:tc>
                <w:tcPr>
                  <w:tcW w:w="619" w:type="pct"/>
                  <w:tcBorders>
                    <w:tl2br w:val="nil"/>
                    <w:tr2bl w:val="nil"/>
                  </w:tcBorders>
                  <w:vAlign w:val="center"/>
                </w:tcPr>
                <w:p w14:paraId="5751EA1C">
                  <w:pPr>
                    <w:jc w:val="center"/>
                    <w:rPr>
                      <w:rFonts w:hint="eastAsia" w:eastAsia="宋体"/>
                      <w:sz w:val="18"/>
                      <w:szCs w:val="18"/>
                      <w:lang w:eastAsia="zh-CN"/>
                    </w:rPr>
                  </w:pPr>
                  <w:r>
                    <w:rPr>
                      <w:rFonts w:hint="eastAsia"/>
                      <w:sz w:val="18"/>
                      <w:szCs w:val="18"/>
                      <w:lang w:val="en-US" w:eastAsia="zh-CN"/>
                    </w:rPr>
                    <w:t>小时均值</w:t>
                  </w:r>
                </w:p>
              </w:tc>
              <w:tc>
                <w:tcPr>
                  <w:tcW w:w="634" w:type="pct"/>
                  <w:tcBorders>
                    <w:tl2br w:val="nil"/>
                    <w:tr2bl w:val="nil"/>
                  </w:tcBorders>
                  <w:vAlign w:val="center"/>
                </w:tcPr>
                <w:p w14:paraId="43E28C5A">
                  <w:pPr>
                    <w:jc w:val="center"/>
                    <w:rPr>
                      <w:rFonts w:hint="default" w:eastAsia="宋体"/>
                      <w:sz w:val="18"/>
                      <w:szCs w:val="18"/>
                      <w:lang w:val="en-US" w:eastAsia="zh-CN"/>
                    </w:rPr>
                  </w:pPr>
                  <w:r>
                    <w:rPr>
                      <w:rFonts w:hint="eastAsia"/>
                      <w:sz w:val="18"/>
                      <w:szCs w:val="18"/>
                    </w:rPr>
                    <w:t>2024.</w:t>
                  </w:r>
                  <w:r>
                    <w:rPr>
                      <w:rFonts w:hint="eastAsia"/>
                      <w:sz w:val="18"/>
                      <w:szCs w:val="18"/>
                      <w:lang w:val="en-US" w:eastAsia="zh-CN"/>
                    </w:rPr>
                    <w:t>3.6</w:t>
                  </w:r>
                  <w:r>
                    <w:rPr>
                      <w:rFonts w:hint="eastAsia"/>
                      <w:sz w:val="18"/>
                      <w:szCs w:val="18"/>
                    </w:rPr>
                    <w:t>~2024.</w:t>
                  </w:r>
                  <w:r>
                    <w:rPr>
                      <w:rFonts w:hint="eastAsia"/>
                      <w:sz w:val="18"/>
                      <w:szCs w:val="18"/>
                      <w:lang w:val="en-US" w:eastAsia="zh-CN"/>
                    </w:rPr>
                    <w:t>3.11</w:t>
                  </w:r>
                </w:p>
              </w:tc>
            </w:tr>
          </w:tbl>
          <w:p w14:paraId="57EB7F62">
            <w:pPr>
              <w:pStyle w:val="16"/>
              <w:widowControl/>
              <w:numPr>
                <w:ilvl w:val="0"/>
                <w:numId w:val="8"/>
              </w:numPr>
              <w:tabs>
                <w:tab w:val="left" w:pos="4515"/>
                <w:tab w:val="left" w:pos="5883"/>
                <w:tab w:val="left" w:pos="8718"/>
              </w:tabs>
              <w:adjustRightInd w:val="0"/>
              <w:snapToGrid w:val="0"/>
              <w:spacing w:line="360" w:lineRule="auto"/>
              <w:jc w:val="center"/>
              <w:rPr>
                <w:rFonts w:ascii="Times New Roman" w:hAnsi="Times New Roman" w:cs="Times New Roman"/>
                <w:b/>
                <w:lang w:val="zh-CN"/>
              </w:rPr>
            </w:pPr>
            <w:r>
              <w:rPr>
                <w:rFonts w:hint="eastAsia" w:ascii="黑体" w:hAnsi="黑体" w:eastAsia="黑体" w:cs="黑体"/>
                <w:bCs/>
              </w:rPr>
              <w:t>大气污染物环境质量现状（监测结果）一览表</w:t>
            </w:r>
          </w:p>
          <w:tbl>
            <w:tblPr>
              <w:tblStyle w:val="2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928"/>
              <w:gridCol w:w="998"/>
              <w:gridCol w:w="1074"/>
              <w:gridCol w:w="1210"/>
              <w:gridCol w:w="1120"/>
              <w:gridCol w:w="1135"/>
              <w:gridCol w:w="905"/>
              <w:gridCol w:w="650"/>
            </w:tblGrid>
            <w:tr w14:paraId="28CA8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8" w:type="pct"/>
                  <w:vMerge w:val="restart"/>
                  <w:tcBorders>
                    <w:tl2br w:val="nil"/>
                    <w:tr2bl w:val="nil"/>
                  </w:tcBorders>
                  <w:shd w:val="clear" w:color="000000" w:fill="FFFFFF"/>
                  <w:vAlign w:val="center"/>
                </w:tcPr>
                <w:p w14:paraId="6CEFE495">
                  <w:pPr>
                    <w:jc w:val="center"/>
                    <w:rPr>
                      <w:sz w:val="18"/>
                      <w:szCs w:val="18"/>
                    </w:rPr>
                  </w:pPr>
                  <w:r>
                    <w:rPr>
                      <w:rFonts w:hint="eastAsia"/>
                      <w:sz w:val="18"/>
                      <w:szCs w:val="18"/>
                    </w:rPr>
                    <w:t>监测点位</w:t>
                  </w:r>
                </w:p>
              </w:tc>
              <w:tc>
                <w:tcPr>
                  <w:tcW w:w="622" w:type="pct"/>
                  <w:vMerge w:val="restart"/>
                  <w:tcBorders>
                    <w:tl2br w:val="nil"/>
                    <w:tr2bl w:val="nil"/>
                  </w:tcBorders>
                  <w:shd w:val="clear" w:color="000000" w:fill="FFFFFF"/>
                  <w:vAlign w:val="center"/>
                </w:tcPr>
                <w:p w14:paraId="35003E08">
                  <w:pPr>
                    <w:jc w:val="center"/>
                    <w:rPr>
                      <w:sz w:val="18"/>
                      <w:szCs w:val="18"/>
                    </w:rPr>
                  </w:pPr>
                  <w:r>
                    <w:rPr>
                      <w:rFonts w:hint="eastAsia"/>
                      <w:sz w:val="18"/>
                      <w:szCs w:val="18"/>
                    </w:rPr>
                    <w:t>污染物</w:t>
                  </w:r>
                </w:p>
              </w:tc>
              <w:tc>
                <w:tcPr>
                  <w:tcW w:w="669" w:type="pct"/>
                  <w:vMerge w:val="restart"/>
                  <w:tcBorders>
                    <w:tl2br w:val="nil"/>
                    <w:tr2bl w:val="nil"/>
                  </w:tcBorders>
                  <w:shd w:val="clear" w:color="000000" w:fill="FFFFFF"/>
                  <w:vAlign w:val="center"/>
                </w:tcPr>
                <w:p w14:paraId="06D6074E">
                  <w:pPr>
                    <w:jc w:val="center"/>
                    <w:rPr>
                      <w:sz w:val="18"/>
                      <w:szCs w:val="18"/>
                    </w:rPr>
                  </w:pPr>
                  <w:r>
                    <w:rPr>
                      <w:rFonts w:hint="eastAsia"/>
                      <w:sz w:val="18"/>
                      <w:szCs w:val="18"/>
                    </w:rPr>
                    <w:t>平均</w:t>
                  </w:r>
                </w:p>
                <w:p w14:paraId="29D8349C">
                  <w:pPr>
                    <w:jc w:val="center"/>
                    <w:rPr>
                      <w:sz w:val="18"/>
                      <w:szCs w:val="18"/>
                    </w:rPr>
                  </w:pPr>
                  <w:r>
                    <w:rPr>
                      <w:rFonts w:hint="eastAsia"/>
                      <w:sz w:val="18"/>
                      <w:szCs w:val="18"/>
                    </w:rPr>
                    <w:t>时间</w:t>
                  </w:r>
                </w:p>
              </w:tc>
              <w:tc>
                <w:tcPr>
                  <w:tcW w:w="754" w:type="pct"/>
                  <w:tcBorders>
                    <w:tl2br w:val="nil"/>
                    <w:tr2bl w:val="nil"/>
                  </w:tcBorders>
                  <w:shd w:val="clear" w:color="000000" w:fill="FFFFFF"/>
                  <w:vAlign w:val="center"/>
                </w:tcPr>
                <w:p w14:paraId="438D979B">
                  <w:pPr>
                    <w:jc w:val="center"/>
                    <w:rPr>
                      <w:sz w:val="18"/>
                      <w:szCs w:val="18"/>
                    </w:rPr>
                  </w:pPr>
                  <w:r>
                    <w:rPr>
                      <w:rFonts w:hint="eastAsia"/>
                      <w:sz w:val="18"/>
                      <w:szCs w:val="18"/>
                    </w:rPr>
                    <w:t>评价标准</w:t>
                  </w:r>
                </w:p>
              </w:tc>
              <w:tc>
                <w:tcPr>
                  <w:tcW w:w="698" w:type="pct"/>
                  <w:tcBorders>
                    <w:tl2br w:val="nil"/>
                    <w:tr2bl w:val="nil"/>
                  </w:tcBorders>
                  <w:shd w:val="clear" w:color="000000" w:fill="FFFFFF"/>
                  <w:vAlign w:val="center"/>
                </w:tcPr>
                <w:p w14:paraId="78095E61">
                  <w:pPr>
                    <w:jc w:val="center"/>
                    <w:rPr>
                      <w:sz w:val="18"/>
                      <w:szCs w:val="18"/>
                    </w:rPr>
                  </w:pPr>
                  <w:r>
                    <w:rPr>
                      <w:rFonts w:hint="eastAsia"/>
                      <w:sz w:val="18"/>
                      <w:szCs w:val="18"/>
                    </w:rPr>
                    <w:t>浓度范围</w:t>
                  </w:r>
                </w:p>
              </w:tc>
              <w:tc>
                <w:tcPr>
                  <w:tcW w:w="707" w:type="pct"/>
                  <w:tcBorders>
                    <w:tl2br w:val="nil"/>
                    <w:tr2bl w:val="nil"/>
                  </w:tcBorders>
                  <w:shd w:val="clear" w:color="000000" w:fill="FFFFFF"/>
                  <w:vAlign w:val="center"/>
                </w:tcPr>
                <w:p w14:paraId="52427FC2">
                  <w:pPr>
                    <w:jc w:val="center"/>
                    <w:rPr>
                      <w:sz w:val="18"/>
                      <w:szCs w:val="18"/>
                    </w:rPr>
                  </w:pPr>
                  <w:r>
                    <w:rPr>
                      <w:rFonts w:hint="eastAsia"/>
                      <w:sz w:val="18"/>
                      <w:szCs w:val="18"/>
                    </w:rPr>
                    <w:t>最大占标率</w:t>
                  </w:r>
                </w:p>
              </w:tc>
              <w:tc>
                <w:tcPr>
                  <w:tcW w:w="564" w:type="pct"/>
                  <w:tcBorders>
                    <w:tl2br w:val="nil"/>
                    <w:tr2bl w:val="nil"/>
                  </w:tcBorders>
                  <w:shd w:val="clear" w:color="000000" w:fill="FFFFFF"/>
                  <w:vAlign w:val="center"/>
                </w:tcPr>
                <w:p w14:paraId="30AEF1F1">
                  <w:pPr>
                    <w:jc w:val="center"/>
                    <w:rPr>
                      <w:sz w:val="18"/>
                      <w:szCs w:val="18"/>
                    </w:rPr>
                  </w:pPr>
                  <w:r>
                    <w:rPr>
                      <w:rFonts w:hint="eastAsia"/>
                      <w:sz w:val="18"/>
                      <w:szCs w:val="18"/>
                    </w:rPr>
                    <w:t>超标概率</w:t>
                  </w:r>
                </w:p>
              </w:tc>
              <w:tc>
                <w:tcPr>
                  <w:tcW w:w="404" w:type="pct"/>
                  <w:vMerge w:val="restart"/>
                  <w:tcBorders>
                    <w:tl2br w:val="nil"/>
                    <w:tr2bl w:val="nil"/>
                  </w:tcBorders>
                  <w:shd w:val="clear" w:color="000000" w:fill="FFFFFF"/>
                  <w:vAlign w:val="center"/>
                </w:tcPr>
                <w:p w14:paraId="6F1D1BAD">
                  <w:pPr>
                    <w:jc w:val="center"/>
                    <w:rPr>
                      <w:sz w:val="18"/>
                      <w:szCs w:val="18"/>
                    </w:rPr>
                  </w:pPr>
                  <w:r>
                    <w:rPr>
                      <w:rFonts w:hint="eastAsia"/>
                      <w:sz w:val="18"/>
                      <w:szCs w:val="18"/>
                    </w:rPr>
                    <w:t>达标</w:t>
                  </w:r>
                </w:p>
                <w:p w14:paraId="787B52F1">
                  <w:pPr>
                    <w:jc w:val="center"/>
                    <w:rPr>
                      <w:sz w:val="18"/>
                      <w:szCs w:val="18"/>
                    </w:rPr>
                  </w:pPr>
                  <w:r>
                    <w:rPr>
                      <w:rFonts w:hint="eastAsia"/>
                      <w:sz w:val="18"/>
                      <w:szCs w:val="18"/>
                    </w:rPr>
                    <w:t>情况</w:t>
                  </w:r>
                </w:p>
              </w:tc>
            </w:tr>
            <w:tr w14:paraId="0CB265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8" w:type="pct"/>
                  <w:vMerge w:val="continue"/>
                  <w:tcBorders>
                    <w:tl2br w:val="nil"/>
                    <w:tr2bl w:val="nil"/>
                  </w:tcBorders>
                  <w:vAlign w:val="center"/>
                </w:tcPr>
                <w:p w14:paraId="6772CBEF">
                  <w:pPr>
                    <w:jc w:val="center"/>
                    <w:rPr>
                      <w:sz w:val="18"/>
                      <w:szCs w:val="18"/>
                    </w:rPr>
                  </w:pPr>
                </w:p>
              </w:tc>
              <w:tc>
                <w:tcPr>
                  <w:tcW w:w="622" w:type="pct"/>
                  <w:vMerge w:val="continue"/>
                  <w:tcBorders>
                    <w:tl2br w:val="nil"/>
                    <w:tr2bl w:val="nil"/>
                  </w:tcBorders>
                  <w:vAlign w:val="center"/>
                </w:tcPr>
                <w:p w14:paraId="6944CAAA">
                  <w:pPr>
                    <w:jc w:val="center"/>
                    <w:rPr>
                      <w:sz w:val="18"/>
                      <w:szCs w:val="18"/>
                    </w:rPr>
                  </w:pPr>
                </w:p>
              </w:tc>
              <w:tc>
                <w:tcPr>
                  <w:tcW w:w="669" w:type="pct"/>
                  <w:vMerge w:val="continue"/>
                  <w:tcBorders>
                    <w:tl2br w:val="nil"/>
                    <w:tr2bl w:val="nil"/>
                  </w:tcBorders>
                  <w:vAlign w:val="center"/>
                </w:tcPr>
                <w:p w14:paraId="2E2BE7AC">
                  <w:pPr>
                    <w:jc w:val="center"/>
                    <w:rPr>
                      <w:sz w:val="18"/>
                      <w:szCs w:val="18"/>
                    </w:rPr>
                  </w:pPr>
                </w:p>
              </w:tc>
              <w:tc>
                <w:tcPr>
                  <w:tcW w:w="754" w:type="pct"/>
                  <w:tcBorders>
                    <w:tl2br w:val="nil"/>
                    <w:tr2bl w:val="nil"/>
                  </w:tcBorders>
                  <w:shd w:val="clear" w:color="000000" w:fill="FFFFFF"/>
                  <w:vAlign w:val="center"/>
                </w:tcPr>
                <w:p w14:paraId="516AE4F2">
                  <w:pPr>
                    <w:jc w:val="center"/>
                    <w:rPr>
                      <w:sz w:val="18"/>
                      <w:szCs w:val="18"/>
                    </w:rPr>
                  </w:pPr>
                  <w:r>
                    <w:rPr>
                      <w:sz w:val="18"/>
                      <w:szCs w:val="18"/>
                    </w:rPr>
                    <w:t>mg</w:t>
                  </w:r>
                  <w:r>
                    <w:rPr>
                      <w:rFonts w:hint="eastAsia"/>
                      <w:sz w:val="18"/>
                      <w:szCs w:val="18"/>
                    </w:rPr>
                    <w:t>/</w:t>
                  </w:r>
                  <w:r>
                    <w:rPr>
                      <w:sz w:val="18"/>
                      <w:szCs w:val="18"/>
                    </w:rPr>
                    <w:t>m</w:t>
                  </w:r>
                  <w:r>
                    <w:rPr>
                      <w:sz w:val="18"/>
                      <w:szCs w:val="18"/>
                      <w:vertAlign w:val="superscript"/>
                    </w:rPr>
                    <w:t>3</w:t>
                  </w:r>
                </w:p>
              </w:tc>
              <w:tc>
                <w:tcPr>
                  <w:tcW w:w="698" w:type="pct"/>
                  <w:tcBorders>
                    <w:tl2br w:val="nil"/>
                    <w:tr2bl w:val="nil"/>
                  </w:tcBorders>
                  <w:shd w:val="clear" w:color="000000" w:fill="FFFFFF"/>
                  <w:vAlign w:val="center"/>
                </w:tcPr>
                <w:p w14:paraId="578D2588">
                  <w:pPr>
                    <w:jc w:val="center"/>
                    <w:rPr>
                      <w:sz w:val="18"/>
                      <w:szCs w:val="18"/>
                    </w:rPr>
                  </w:pPr>
                  <w:r>
                    <w:rPr>
                      <w:sz w:val="18"/>
                      <w:szCs w:val="18"/>
                    </w:rPr>
                    <w:t>mg</w:t>
                  </w:r>
                  <w:r>
                    <w:rPr>
                      <w:rFonts w:hint="eastAsia"/>
                      <w:sz w:val="18"/>
                      <w:szCs w:val="18"/>
                    </w:rPr>
                    <w:t>/</w:t>
                  </w:r>
                  <w:r>
                    <w:rPr>
                      <w:sz w:val="18"/>
                      <w:szCs w:val="18"/>
                    </w:rPr>
                    <w:t>m</w:t>
                  </w:r>
                  <w:r>
                    <w:rPr>
                      <w:sz w:val="18"/>
                      <w:szCs w:val="18"/>
                      <w:vertAlign w:val="superscript"/>
                    </w:rPr>
                    <w:t>3</w:t>
                  </w:r>
                </w:p>
              </w:tc>
              <w:tc>
                <w:tcPr>
                  <w:tcW w:w="707" w:type="pct"/>
                  <w:tcBorders>
                    <w:tl2br w:val="nil"/>
                    <w:tr2bl w:val="nil"/>
                  </w:tcBorders>
                  <w:shd w:val="clear" w:color="000000" w:fill="FFFFFF"/>
                  <w:vAlign w:val="center"/>
                </w:tcPr>
                <w:p w14:paraId="53F37AA9">
                  <w:pPr>
                    <w:jc w:val="center"/>
                    <w:rPr>
                      <w:sz w:val="18"/>
                      <w:szCs w:val="18"/>
                    </w:rPr>
                  </w:pPr>
                  <w:r>
                    <w:rPr>
                      <w:sz w:val="18"/>
                      <w:szCs w:val="18"/>
                    </w:rPr>
                    <w:t>%</w:t>
                  </w:r>
                </w:p>
              </w:tc>
              <w:tc>
                <w:tcPr>
                  <w:tcW w:w="564" w:type="pct"/>
                  <w:tcBorders>
                    <w:tl2br w:val="nil"/>
                    <w:tr2bl w:val="nil"/>
                  </w:tcBorders>
                  <w:shd w:val="clear" w:color="000000" w:fill="FFFFFF"/>
                  <w:vAlign w:val="center"/>
                </w:tcPr>
                <w:p w14:paraId="52234321">
                  <w:pPr>
                    <w:jc w:val="center"/>
                    <w:rPr>
                      <w:sz w:val="18"/>
                      <w:szCs w:val="18"/>
                    </w:rPr>
                  </w:pPr>
                  <w:r>
                    <w:rPr>
                      <w:sz w:val="18"/>
                      <w:szCs w:val="18"/>
                    </w:rPr>
                    <w:t>%</w:t>
                  </w:r>
                </w:p>
              </w:tc>
              <w:tc>
                <w:tcPr>
                  <w:tcW w:w="404" w:type="pct"/>
                  <w:vMerge w:val="continue"/>
                  <w:tcBorders>
                    <w:tl2br w:val="nil"/>
                    <w:tr2bl w:val="nil"/>
                  </w:tcBorders>
                  <w:vAlign w:val="center"/>
                </w:tcPr>
                <w:p w14:paraId="77A0E2C5">
                  <w:pPr>
                    <w:jc w:val="center"/>
                    <w:rPr>
                      <w:sz w:val="18"/>
                      <w:szCs w:val="18"/>
                    </w:rPr>
                  </w:pPr>
                </w:p>
              </w:tc>
            </w:tr>
            <w:tr w14:paraId="07EDC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78" w:type="pct"/>
                  <w:tcBorders>
                    <w:tl2br w:val="nil"/>
                    <w:tr2bl w:val="nil"/>
                  </w:tcBorders>
                  <w:vAlign w:val="center"/>
                </w:tcPr>
                <w:p w14:paraId="3D4DD707">
                  <w:pPr>
                    <w:jc w:val="center"/>
                    <w:rPr>
                      <w:sz w:val="18"/>
                      <w:szCs w:val="18"/>
                    </w:rPr>
                  </w:pPr>
                  <w:r>
                    <w:rPr>
                      <w:rFonts w:hint="eastAsia"/>
                      <w:sz w:val="18"/>
                      <w:szCs w:val="18"/>
                      <w:lang w:val="en-US" w:eastAsia="zh-CN"/>
                    </w:rPr>
                    <w:t>杭州狄邦文理学校</w:t>
                  </w:r>
                </w:p>
              </w:tc>
              <w:tc>
                <w:tcPr>
                  <w:tcW w:w="622" w:type="pct"/>
                  <w:tcBorders>
                    <w:tl2br w:val="nil"/>
                    <w:tr2bl w:val="nil"/>
                  </w:tcBorders>
                  <w:noWrap/>
                  <w:vAlign w:val="center"/>
                </w:tcPr>
                <w:p w14:paraId="2DA39919">
                  <w:pPr>
                    <w:jc w:val="center"/>
                    <w:rPr>
                      <w:sz w:val="18"/>
                      <w:szCs w:val="18"/>
                    </w:rPr>
                  </w:pPr>
                  <w:r>
                    <w:rPr>
                      <w:rFonts w:hint="eastAsia"/>
                      <w:sz w:val="18"/>
                      <w:szCs w:val="18"/>
                    </w:rPr>
                    <w:t>非甲烷总烃</w:t>
                  </w:r>
                </w:p>
              </w:tc>
              <w:tc>
                <w:tcPr>
                  <w:tcW w:w="669" w:type="pct"/>
                  <w:tcBorders>
                    <w:tl2br w:val="nil"/>
                    <w:tr2bl w:val="nil"/>
                  </w:tcBorders>
                  <w:noWrap/>
                  <w:vAlign w:val="center"/>
                </w:tcPr>
                <w:p w14:paraId="15DD8D1B">
                  <w:pPr>
                    <w:jc w:val="center"/>
                    <w:rPr>
                      <w:sz w:val="18"/>
                      <w:szCs w:val="18"/>
                    </w:rPr>
                  </w:pPr>
                  <w:r>
                    <w:rPr>
                      <w:rFonts w:hint="eastAsia"/>
                      <w:sz w:val="18"/>
                      <w:szCs w:val="18"/>
                    </w:rPr>
                    <w:t>1h平均</w:t>
                  </w:r>
                </w:p>
              </w:tc>
              <w:tc>
                <w:tcPr>
                  <w:tcW w:w="754" w:type="pct"/>
                  <w:tcBorders>
                    <w:tl2br w:val="nil"/>
                    <w:tr2bl w:val="nil"/>
                  </w:tcBorders>
                  <w:noWrap/>
                  <w:vAlign w:val="center"/>
                </w:tcPr>
                <w:p w14:paraId="5B06B0E5">
                  <w:pPr>
                    <w:widowControl/>
                    <w:jc w:val="center"/>
                    <w:rPr>
                      <w:sz w:val="18"/>
                      <w:szCs w:val="18"/>
                    </w:rPr>
                  </w:pPr>
                  <w:r>
                    <w:rPr>
                      <w:kern w:val="0"/>
                      <w:sz w:val="18"/>
                      <w:szCs w:val="18"/>
                    </w:rPr>
                    <w:t>2</w:t>
                  </w:r>
                </w:p>
              </w:tc>
              <w:tc>
                <w:tcPr>
                  <w:tcW w:w="698" w:type="pct"/>
                  <w:tcBorders>
                    <w:tl2br w:val="nil"/>
                    <w:tr2bl w:val="nil"/>
                  </w:tcBorders>
                  <w:noWrap/>
                  <w:vAlign w:val="center"/>
                </w:tcPr>
                <w:p w14:paraId="7F84ED68">
                  <w:pPr>
                    <w:jc w:val="center"/>
                    <w:rPr>
                      <w:sz w:val="18"/>
                      <w:szCs w:val="18"/>
                    </w:rPr>
                  </w:pPr>
                  <w:r>
                    <w:rPr>
                      <w:rFonts w:hint="default"/>
                      <w:sz w:val="18"/>
                      <w:szCs w:val="18"/>
                    </w:rPr>
                    <w:t>0.17~0.9</w:t>
                  </w:r>
                </w:p>
              </w:tc>
              <w:tc>
                <w:tcPr>
                  <w:tcW w:w="707" w:type="pct"/>
                  <w:tcBorders>
                    <w:tl2br w:val="nil"/>
                    <w:tr2bl w:val="nil"/>
                  </w:tcBorders>
                  <w:noWrap/>
                  <w:vAlign w:val="center"/>
                </w:tcPr>
                <w:p w14:paraId="61E3468F">
                  <w:pPr>
                    <w:jc w:val="center"/>
                    <w:rPr>
                      <w:rFonts w:hint="default" w:eastAsia="宋体"/>
                      <w:sz w:val="18"/>
                      <w:szCs w:val="18"/>
                      <w:lang w:val="en-US" w:eastAsia="zh-CN"/>
                    </w:rPr>
                  </w:pPr>
                  <w:r>
                    <w:rPr>
                      <w:rFonts w:hint="eastAsia"/>
                      <w:sz w:val="18"/>
                      <w:szCs w:val="18"/>
                      <w:lang w:val="en-US" w:eastAsia="zh-CN"/>
                    </w:rPr>
                    <w:t>45.0</w:t>
                  </w:r>
                </w:p>
              </w:tc>
              <w:tc>
                <w:tcPr>
                  <w:tcW w:w="564" w:type="pct"/>
                  <w:tcBorders>
                    <w:tl2br w:val="nil"/>
                    <w:tr2bl w:val="nil"/>
                  </w:tcBorders>
                  <w:noWrap/>
                  <w:vAlign w:val="center"/>
                </w:tcPr>
                <w:p w14:paraId="3956C7E4">
                  <w:pPr>
                    <w:jc w:val="center"/>
                    <w:rPr>
                      <w:sz w:val="18"/>
                      <w:szCs w:val="18"/>
                    </w:rPr>
                  </w:pPr>
                  <w:r>
                    <w:rPr>
                      <w:rFonts w:hint="eastAsia"/>
                      <w:sz w:val="18"/>
                      <w:szCs w:val="18"/>
                    </w:rPr>
                    <w:t>0</w:t>
                  </w:r>
                </w:p>
              </w:tc>
              <w:tc>
                <w:tcPr>
                  <w:tcW w:w="404" w:type="pct"/>
                  <w:tcBorders>
                    <w:tl2br w:val="nil"/>
                    <w:tr2bl w:val="nil"/>
                  </w:tcBorders>
                  <w:noWrap/>
                  <w:vAlign w:val="center"/>
                </w:tcPr>
                <w:p w14:paraId="1EACA24F">
                  <w:pPr>
                    <w:jc w:val="center"/>
                    <w:rPr>
                      <w:sz w:val="18"/>
                      <w:szCs w:val="18"/>
                    </w:rPr>
                  </w:pPr>
                  <w:r>
                    <w:rPr>
                      <w:rFonts w:hint="eastAsia"/>
                      <w:sz w:val="18"/>
                      <w:szCs w:val="18"/>
                    </w:rPr>
                    <w:t>达标</w:t>
                  </w:r>
                </w:p>
              </w:tc>
            </w:tr>
            <w:bookmarkEnd w:id="37"/>
          </w:tbl>
          <w:p w14:paraId="5692A89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b/>
                <w:kern w:val="0"/>
                <w:sz w:val="18"/>
                <w:szCs w:val="18"/>
              </w:rPr>
            </w:pPr>
            <w:r>
              <w:rPr>
                <w:rFonts w:hint="default" w:ascii="Times New Roman" w:hAnsi="Times New Roman" w:cs="Times New Roman"/>
                <w:sz w:val="18"/>
                <w:szCs w:val="18"/>
              </w:rPr>
              <w:t>注：</w:t>
            </w:r>
            <w:r>
              <w:rPr>
                <w:rFonts w:hint="default" w:ascii="Times New Roman" w:hAnsi="Times New Roman" w:cs="Times New Roman"/>
                <w:sz w:val="18"/>
                <w:szCs w:val="18"/>
                <w:lang w:val="en-US" w:eastAsia="zh-CN"/>
              </w:rPr>
              <w:t>数据有效性要求每天至少4次(02、08、14、20时4个时段，</w:t>
            </w:r>
            <w:r>
              <w:rPr>
                <w:rFonts w:hint="default" w:ascii="Times New Roman" w:hAnsi="Times New Roman" w:cs="Times New Roman"/>
                <w:kern w:val="0"/>
                <w:sz w:val="18"/>
                <w:szCs w:val="18"/>
              </w:rPr>
              <w:t>非甲烷总烃</w:t>
            </w:r>
            <w:r>
              <w:rPr>
                <w:rFonts w:hint="default" w:ascii="Times New Roman" w:hAnsi="Times New Roman" w:cs="Times New Roman"/>
                <w:sz w:val="18"/>
                <w:szCs w:val="18"/>
              </w:rPr>
              <w:t>执行</w:t>
            </w:r>
            <w:r>
              <w:rPr>
                <w:rFonts w:hint="default" w:ascii="Times New Roman" w:hAnsi="Times New Roman" w:cs="Times New Roman"/>
                <w:kern w:val="0"/>
                <w:sz w:val="18"/>
                <w:szCs w:val="18"/>
              </w:rPr>
              <w:t>《大气污染物综合排放标准详解》</w:t>
            </w:r>
            <w:r>
              <w:rPr>
                <w:rFonts w:hint="default" w:ascii="Times New Roman" w:hAnsi="Times New Roman" w:cs="Times New Roman"/>
                <w:sz w:val="18"/>
                <w:szCs w:val="18"/>
              </w:rPr>
              <w:t>的要求。</w:t>
            </w:r>
          </w:p>
          <w:p w14:paraId="214893D9">
            <w:pPr>
              <w:adjustRightInd w:val="0"/>
              <w:snapToGrid w:val="0"/>
              <w:spacing w:line="360" w:lineRule="auto"/>
              <w:rPr>
                <w:b/>
                <w:kern w:val="0"/>
                <w:sz w:val="22"/>
                <w:szCs w:val="22"/>
              </w:rPr>
            </w:pPr>
            <w:r>
              <w:rPr>
                <w:b/>
                <w:kern w:val="0"/>
                <w:sz w:val="22"/>
                <w:szCs w:val="22"/>
              </w:rPr>
              <w:t>3.</w:t>
            </w:r>
            <w:r>
              <w:rPr>
                <w:rFonts w:hint="eastAsia"/>
                <w:b/>
                <w:kern w:val="0"/>
                <w:sz w:val="22"/>
                <w:szCs w:val="22"/>
              </w:rPr>
              <w:t>1.</w:t>
            </w:r>
            <w:r>
              <w:rPr>
                <w:b/>
                <w:kern w:val="0"/>
                <w:sz w:val="22"/>
                <w:szCs w:val="22"/>
              </w:rPr>
              <w:t>2</w:t>
            </w:r>
            <w:r>
              <w:rPr>
                <w:rFonts w:hint="eastAsia"/>
                <w:b/>
                <w:kern w:val="0"/>
                <w:sz w:val="22"/>
                <w:szCs w:val="22"/>
              </w:rPr>
              <w:t xml:space="preserve">  地表水环境</w:t>
            </w:r>
          </w:p>
          <w:p w14:paraId="51E055DE">
            <w:pPr>
              <w:spacing w:line="360" w:lineRule="auto"/>
              <w:ind w:firstLine="420" w:firstLineChars="200"/>
            </w:pPr>
            <w:r>
              <w:rPr>
                <w:rFonts w:hint="eastAsia"/>
                <w:lang w:val="en-US" w:eastAsia="zh-CN"/>
              </w:rPr>
              <w:t>项目拟建地附近水体为北侧2.3 km处的南苕溪；项目污水最终纳管到余杭污水处理厂，纳污水体为余杭污水处理厂北侧临近的杭嘉湖28。</w:t>
            </w:r>
            <w:r>
              <w:rPr>
                <w:rFonts w:hint="eastAsia"/>
              </w:rPr>
              <w:t>本项目拟建地附近水体及纳污水体环境功能区划详见</w:t>
            </w:r>
            <w:r>
              <w:rPr>
                <w:rFonts w:hint="eastAsia"/>
                <w:bCs/>
                <w:szCs w:val="21"/>
              </w:rPr>
              <w:t>下表</w:t>
            </w:r>
            <w:r>
              <w:rPr>
                <w:rFonts w:hint="eastAsia"/>
              </w:rPr>
              <w:t>：</w:t>
            </w:r>
          </w:p>
          <w:p w14:paraId="3243969F">
            <w:pPr>
              <w:pStyle w:val="16"/>
              <w:widowControl/>
              <w:numPr>
                <w:ilvl w:val="0"/>
                <w:numId w:val="8"/>
              </w:numPr>
              <w:tabs>
                <w:tab w:val="left" w:pos="4515"/>
                <w:tab w:val="left" w:pos="5883"/>
                <w:tab w:val="left" w:pos="8718"/>
              </w:tabs>
              <w:adjustRightInd w:val="0"/>
              <w:snapToGrid w:val="0"/>
              <w:spacing w:line="360" w:lineRule="auto"/>
              <w:jc w:val="center"/>
              <w:rPr>
                <w:rFonts w:hint="eastAsia" w:ascii="黑体" w:hAnsi="黑体" w:eastAsia="黑体" w:cs="黑体"/>
                <w:bCs/>
              </w:rPr>
            </w:pPr>
            <w:r>
              <w:rPr>
                <w:rFonts w:hint="eastAsia" w:ascii="黑体" w:hAnsi="黑体" w:eastAsia="黑体" w:cs="黑体"/>
                <w:bCs/>
              </w:rPr>
              <w:t xml:space="preserve"> 区域水环境功能区划</w:t>
            </w:r>
          </w:p>
          <w:tbl>
            <w:tblPr>
              <w:tblStyle w:val="26"/>
              <w:tblW w:w="79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396"/>
              <w:gridCol w:w="396"/>
              <w:gridCol w:w="1487"/>
              <w:gridCol w:w="588"/>
              <w:gridCol w:w="2097"/>
              <w:gridCol w:w="591"/>
              <w:gridCol w:w="399"/>
              <w:gridCol w:w="409"/>
              <w:gridCol w:w="656"/>
              <w:gridCol w:w="573"/>
              <w:gridCol w:w="407"/>
            </w:tblGrid>
            <w:tr w14:paraId="117257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92" w:type="dxa"/>
                  <w:gridSpan w:val="2"/>
                  <w:vMerge w:val="restart"/>
                  <w:tcBorders>
                    <w:tl2br w:val="nil"/>
                    <w:tr2bl w:val="nil"/>
                  </w:tcBorders>
                  <w:vAlign w:val="center"/>
                </w:tcPr>
                <w:p w14:paraId="5D6D1519">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名称</w:t>
                  </w:r>
                </w:p>
              </w:tc>
              <w:tc>
                <w:tcPr>
                  <w:tcW w:w="1489" w:type="dxa"/>
                  <w:gridSpan w:val="2"/>
                  <w:tcBorders>
                    <w:tl2br w:val="nil"/>
                    <w:tr2bl w:val="nil"/>
                  </w:tcBorders>
                  <w:vAlign w:val="center"/>
                </w:tcPr>
                <w:p w14:paraId="2BEDC230">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水功能区</w:t>
                  </w:r>
                </w:p>
              </w:tc>
              <w:tc>
                <w:tcPr>
                  <w:tcW w:w="1830" w:type="dxa"/>
                  <w:gridSpan w:val="2"/>
                  <w:tcBorders>
                    <w:tl2br w:val="nil"/>
                    <w:tr2bl w:val="nil"/>
                  </w:tcBorders>
                  <w:vAlign w:val="center"/>
                </w:tcPr>
                <w:p w14:paraId="248CF124">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水环境功能区</w:t>
                  </w:r>
                </w:p>
              </w:tc>
              <w:tc>
                <w:tcPr>
                  <w:tcW w:w="450" w:type="dxa"/>
                  <w:vMerge w:val="restart"/>
                  <w:tcBorders>
                    <w:tl2br w:val="nil"/>
                    <w:tr2bl w:val="nil"/>
                  </w:tcBorders>
                  <w:vAlign w:val="center"/>
                </w:tcPr>
                <w:p w14:paraId="56D21F18">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流域</w:t>
                  </w:r>
                </w:p>
              </w:tc>
              <w:tc>
                <w:tcPr>
                  <w:tcW w:w="660" w:type="dxa"/>
                  <w:vMerge w:val="restart"/>
                  <w:tcBorders>
                    <w:tl2br w:val="nil"/>
                    <w:tr2bl w:val="nil"/>
                  </w:tcBorders>
                  <w:vAlign w:val="center"/>
                </w:tcPr>
                <w:p w14:paraId="65F1A310">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水系</w:t>
                  </w:r>
                </w:p>
              </w:tc>
              <w:tc>
                <w:tcPr>
                  <w:tcW w:w="2170" w:type="dxa"/>
                  <w:gridSpan w:val="2"/>
                  <w:tcBorders>
                    <w:tl2br w:val="nil"/>
                    <w:tr2bl w:val="nil"/>
                  </w:tcBorders>
                  <w:vAlign w:val="center"/>
                </w:tcPr>
                <w:p w14:paraId="049667E9">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范围</w:t>
                  </w:r>
                </w:p>
              </w:tc>
              <w:tc>
                <w:tcPr>
                  <w:tcW w:w="608" w:type="dxa"/>
                  <w:vMerge w:val="restart"/>
                  <w:tcBorders>
                    <w:tl2br w:val="nil"/>
                    <w:tr2bl w:val="nil"/>
                  </w:tcBorders>
                  <w:vAlign w:val="center"/>
                </w:tcPr>
                <w:p w14:paraId="178892D6">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目标水质</w:t>
                  </w:r>
                </w:p>
              </w:tc>
            </w:tr>
            <w:tr w14:paraId="64BC9A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92" w:type="dxa"/>
                  <w:gridSpan w:val="2"/>
                  <w:vMerge w:val="continue"/>
                  <w:tcBorders>
                    <w:tl2br w:val="nil"/>
                    <w:tr2bl w:val="nil"/>
                  </w:tcBorders>
                  <w:vAlign w:val="center"/>
                </w:tcPr>
                <w:p w14:paraId="15DDFCC8">
                  <w:pPr>
                    <w:jc w:val="center"/>
                    <w:rPr>
                      <w:rFonts w:hint="default" w:ascii="Times New Roman" w:hAnsi="Times New Roman" w:cs="Times New Roman"/>
                      <w:color w:val="000000"/>
                      <w:sz w:val="18"/>
                      <w:szCs w:val="18"/>
                    </w:rPr>
                  </w:pPr>
                </w:p>
              </w:tc>
              <w:tc>
                <w:tcPr>
                  <w:tcW w:w="679" w:type="dxa"/>
                  <w:tcBorders>
                    <w:tl2br w:val="nil"/>
                    <w:tr2bl w:val="nil"/>
                  </w:tcBorders>
                  <w:vAlign w:val="center"/>
                </w:tcPr>
                <w:p w14:paraId="204277BC">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编号</w:t>
                  </w:r>
                </w:p>
              </w:tc>
              <w:tc>
                <w:tcPr>
                  <w:tcW w:w="810" w:type="dxa"/>
                  <w:tcBorders>
                    <w:tl2br w:val="nil"/>
                    <w:tr2bl w:val="nil"/>
                  </w:tcBorders>
                  <w:vAlign w:val="center"/>
                </w:tcPr>
                <w:p w14:paraId="5FF219CE">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名称</w:t>
                  </w:r>
                </w:p>
              </w:tc>
              <w:tc>
                <w:tcPr>
                  <w:tcW w:w="960" w:type="dxa"/>
                  <w:tcBorders>
                    <w:tl2br w:val="nil"/>
                    <w:tr2bl w:val="nil"/>
                  </w:tcBorders>
                  <w:vAlign w:val="center"/>
                </w:tcPr>
                <w:p w14:paraId="57F933C2">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编号</w:t>
                  </w:r>
                </w:p>
              </w:tc>
              <w:tc>
                <w:tcPr>
                  <w:tcW w:w="870" w:type="dxa"/>
                  <w:tcBorders>
                    <w:tl2br w:val="nil"/>
                    <w:tr2bl w:val="nil"/>
                  </w:tcBorders>
                  <w:vAlign w:val="center"/>
                </w:tcPr>
                <w:p w14:paraId="36717FA1">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名称</w:t>
                  </w:r>
                </w:p>
              </w:tc>
              <w:tc>
                <w:tcPr>
                  <w:tcW w:w="450" w:type="dxa"/>
                  <w:vMerge w:val="continue"/>
                  <w:tcBorders>
                    <w:tl2br w:val="nil"/>
                    <w:tr2bl w:val="nil"/>
                  </w:tcBorders>
                  <w:vAlign w:val="center"/>
                </w:tcPr>
                <w:p w14:paraId="43588CC2">
                  <w:pPr>
                    <w:jc w:val="center"/>
                    <w:rPr>
                      <w:rFonts w:hint="default" w:ascii="Times New Roman" w:hAnsi="Times New Roman" w:cs="Times New Roman"/>
                      <w:color w:val="000000"/>
                      <w:sz w:val="18"/>
                      <w:szCs w:val="18"/>
                    </w:rPr>
                  </w:pPr>
                </w:p>
              </w:tc>
              <w:tc>
                <w:tcPr>
                  <w:tcW w:w="660" w:type="dxa"/>
                  <w:vMerge w:val="continue"/>
                  <w:tcBorders>
                    <w:tl2br w:val="nil"/>
                    <w:tr2bl w:val="nil"/>
                  </w:tcBorders>
                  <w:vAlign w:val="center"/>
                </w:tcPr>
                <w:p w14:paraId="191D98BF">
                  <w:pPr>
                    <w:jc w:val="center"/>
                    <w:rPr>
                      <w:rFonts w:hint="default" w:ascii="Times New Roman" w:hAnsi="Times New Roman" w:cs="Times New Roman"/>
                      <w:color w:val="000000"/>
                      <w:sz w:val="18"/>
                      <w:szCs w:val="18"/>
                    </w:rPr>
                  </w:pPr>
                </w:p>
              </w:tc>
              <w:tc>
                <w:tcPr>
                  <w:tcW w:w="1060" w:type="dxa"/>
                  <w:tcBorders>
                    <w:tl2br w:val="nil"/>
                    <w:tr2bl w:val="nil"/>
                  </w:tcBorders>
                  <w:vAlign w:val="center"/>
                </w:tcPr>
                <w:p w14:paraId="03AE25FD">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起始断面</w:t>
                  </w:r>
                </w:p>
              </w:tc>
              <w:tc>
                <w:tcPr>
                  <w:tcW w:w="1110" w:type="dxa"/>
                  <w:tcBorders>
                    <w:tl2br w:val="nil"/>
                    <w:tr2bl w:val="nil"/>
                  </w:tcBorders>
                  <w:vAlign w:val="center"/>
                </w:tcPr>
                <w:p w14:paraId="38B85B7A">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终止断面</w:t>
                  </w:r>
                </w:p>
              </w:tc>
              <w:tc>
                <w:tcPr>
                  <w:tcW w:w="608" w:type="dxa"/>
                  <w:vMerge w:val="continue"/>
                  <w:tcBorders>
                    <w:tl2br w:val="nil"/>
                    <w:tr2bl w:val="nil"/>
                  </w:tcBorders>
                  <w:vAlign w:val="center"/>
                </w:tcPr>
                <w:p w14:paraId="17C3D8AD">
                  <w:pPr>
                    <w:jc w:val="center"/>
                    <w:rPr>
                      <w:rFonts w:hint="default" w:ascii="Times New Roman" w:hAnsi="Times New Roman" w:cs="Times New Roman"/>
                      <w:color w:val="000000"/>
                      <w:sz w:val="18"/>
                      <w:szCs w:val="18"/>
                    </w:rPr>
                  </w:pPr>
                </w:p>
              </w:tc>
            </w:tr>
            <w:tr w14:paraId="20CAF2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6" w:type="dxa"/>
                  <w:vMerge w:val="restart"/>
                  <w:tcBorders>
                    <w:tl2br w:val="nil"/>
                    <w:tr2bl w:val="nil"/>
                  </w:tcBorders>
                  <w:vAlign w:val="center"/>
                </w:tcPr>
                <w:p w14:paraId="41D1440C">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苕溪59</w:t>
                  </w:r>
                </w:p>
              </w:tc>
              <w:tc>
                <w:tcPr>
                  <w:tcW w:w="396" w:type="dxa"/>
                  <w:vMerge w:val="restart"/>
                  <w:tcBorders>
                    <w:tl2br w:val="nil"/>
                    <w:tr2bl w:val="nil"/>
                  </w:tcBorders>
                  <w:vAlign w:val="center"/>
                </w:tcPr>
                <w:p w14:paraId="588511AA">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南苕溪</w:t>
                  </w:r>
                </w:p>
              </w:tc>
              <w:tc>
                <w:tcPr>
                  <w:tcW w:w="679" w:type="dxa"/>
                  <w:vMerge w:val="restart"/>
                  <w:tcBorders>
                    <w:tl2br w:val="nil"/>
                    <w:tr2bl w:val="nil"/>
                  </w:tcBorders>
                  <w:vAlign w:val="center"/>
                </w:tcPr>
                <w:p w14:paraId="51303DC5">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F1201200203071</w:t>
                  </w:r>
                </w:p>
              </w:tc>
              <w:tc>
                <w:tcPr>
                  <w:tcW w:w="810" w:type="dxa"/>
                  <w:vMerge w:val="restart"/>
                  <w:tcBorders>
                    <w:tl2br w:val="nil"/>
                    <w:tr2bl w:val="nil"/>
                  </w:tcBorders>
                  <w:vAlign w:val="center"/>
                </w:tcPr>
                <w:p w14:paraId="0110B1E9">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南苕溪余杭饮用、农业用水区</w:t>
                  </w:r>
                </w:p>
              </w:tc>
              <w:tc>
                <w:tcPr>
                  <w:tcW w:w="960" w:type="dxa"/>
                  <w:vMerge w:val="restart"/>
                  <w:tcBorders>
                    <w:tl2br w:val="nil"/>
                    <w:tr2bl w:val="nil"/>
                  </w:tcBorders>
                  <w:vAlign w:val="center"/>
                </w:tcPr>
                <w:p w14:paraId="215247CC">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330110FM210202010820</w:t>
                  </w:r>
                </w:p>
              </w:tc>
              <w:tc>
                <w:tcPr>
                  <w:tcW w:w="870" w:type="dxa"/>
                  <w:vMerge w:val="restart"/>
                  <w:tcBorders>
                    <w:tl2br w:val="nil"/>
                    <w:tr2bl w:val="nil"/>
                  </w:tcBorders>
                  <w:vAlign w:val="center"/>
                </w:tcPr>
                <w:p w14:paraId="3D1A4C56">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饮用水水源准保护区</w:t>
                  </w:r>
                </w:p>
              </w:tc>
              <w:tc>
                <w:tcPr>
                  <w:tcW w:w="450" w:type="dxa"/>
                  <w:vMerge w:val="restart"/>
                  <w:tcBorders>
                    <w:tl2br w:val="nil"/>
                    <w:tr2bl w:val="nil"/>
                  </w:tcBorders>
                  <w:vAlign w:val="center"/>
                </w:tcPr>
                <w:p w14:paraId="66FCEDF7">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太湖</w:t>
                  </w:r>
                </w:p>
              </w:tc>
              <w:tc>
                <w:tcPr>
                  <w:tcW w:w="660" w:type="dxa"/>
                  <w:vMerge w:val="restart"/>
                  <w:tcBorders>
                    <w:tl2br w:val="nil"/>
                    <w:tr2bl w:val="nil"/>
                  </w:tcBorders>
                  <w:vAlign w:val="center"/>
                </w:tcPr>
                <w:p w14:paraId="72E20783">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苕溪</w:t>
                  </w:r>
                </w:p>
              </w:tc>
              <w:tc>
                <w:tcPr>
                  <w:tcW w:w="1060" w:type="dxa"/>
                  <w:tcBorders>
                    <w:tl2br w:val="nil"/>
                    <w:tr2bl w:val="nil"/>
                  </w:tcBorders>
                  <w:vAlign w:val="center"/>
                </w:tcPr>
                <w:p w14:paraId="4DEBA58A">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汪家埠</w:t>
                  </w:r>
                </w:p>
              </w:tc>
              <w:tc>
                <w:tcPr>
                  <w:tcW w:w="1110" w:type="dxa"/>
                  <w:tcBorders>
                    <w:tl2br w:val="nil"/>
                    <w:tr2bl w:val="nil"/>
                  </w:tcBorders>
                  <w:vAlign w:val="center"/>
                </w:tcPr>
                <w:p w14:paraId="04DD41B8">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余杭街道</w:t>
                  </w:r>
                </w:p>
              </w:tc>
              <w:tc>
                <w:tcPr>
                  <w:tcW w:w="608" w:type="dxa"/>
                  <w:tcBorders>
                    <w:tl2br w:val="nil"/>
                    <w:tr2bl w:val="nil"/>
                  </w:tcBorders>
                  <w:vAlign w:val="center"/>
                </w:tcPr>
                <w:p w14:paraId="0D2A97CA">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II</w:t>
                  </w:r>
                </w:p>
              </w:tc>
            </w:tr>
            <w:tr w14:paraId="13B2CB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6" w:type="dxa"/>
                  <w:vMerge w:val="continue"/>
                  <w:tcBorders>
                    <w:tl2br w:val="nil"/>
                    <w:tr2bl w:val="nil"/>
                  </w:tcBorders>
                  <w:vAlign w:val="center"/>
                </w:tcPr>
                <w:p w14:paraId="54B708AE">
                  <w:pPr>
                    <w:jc w:val="center"/>
                    <w:rPr>
                      <w:rFonts w:hint="default" w:ascii="Times New Roman" w:hAnsi="Times New Roman" w:cs="Times New Roman"/>
                      <w:color w:val="000000"/>
                      <w:sz w:val="18"/>
                      <w:szCs w:val="18"/>
                    </w:rPr>
                  </w:pPr>
                </w:p>
              </w:tc>
              <w:tc>
                <w:tcPr>
                  <w:tcW w:w="396" w:type="dxa"/>
                  <w:vMerge w:val="continue"/>
                  <w:tcBorders>
                    <w:tl2br w:val="nil"/>
                    <w:tr2bl w:val="nil"/>
                  </w:tcBorders>
                  <w:vAlign w:val="center"/>
                </w:tcPr>
                <w:p w14:paraId="3B8F7FD1">
                  <w:pPr>
                    <w:jc w:val="center"/>
                    <w:rPr>
                      <w:rFonts w:hint="default" w:ascii="Times New Roman" w:hAnsi="Times New Roman" w:cs="Times New Roman"/>
                      <w:color w:val="000000"/>
                      <w:sz w:val="18"/>
                      <w:szCs w:val="18"/>
                    </w:rPr>
                  </w:pPr>
                </w:p>
              </w:tc>
              <w:tc>
                <w:tcPr>
                  <w:tcW w:w="679" w:type="dxa"/>
                  <w:vMerge w:val="continue"/>
                  <w:tcBorders>
                    <w:tl2br w:val="nil"/>
                    <w:tr2bl w:val="nil"/>
                  </w:tcBorders>
                  <w:vAlign w:val="center"/>
                </w:tcPr>
                <w:p w14:paraId="5085B325">
                  <w:pPr>
                    <w:jc w:val="center"/>
                    <w:rPr>
                      <w:rFonts w:hint="default" w:ascii="Times New Roman" w:hAnsi="Times New Roman" w:cs="Times New Roman"/>
                      <w:color w:val="000000"/>
                      <w:sz w:val="18"/>
                      <w:szCs w:val="18"/>
                    </w:rPr>
                  </w:pPr>
                </w:p>
              </w:tc>
              <w:tc>
                <w:tcPr>
                  <w:tcW w:w="810" w:type="dxa"/>
                  <w:vMerge w:val="continue"/>
                  <w:tcBorders>
                    <w:tl2br w:val="nil"/>
                    <w:tr2bl w:val="nil"/>
                  </w:tcBorders>
                  <w:vAlign w:val="center"/>
                </w:tcPr>
                <w:p w14:paraId="0BCAC226">
                  <w:pPr>
                    <w:jc w:val="center"/>
                    <w:rPr>
                      <w:rFonts w:hint="default" w:ascii="Times New Roman" w:hAnsi="Times New Roman" w:cs="Times New Roman"/>
                      <w:color w:val="000000"/>
                      <w:sz w:val="18"/>
                      <w:szCs w:val="18"/>
                    </w:rPr>
                  </w:pPr>
                </w:p>
              </w:tc>
              <w:tc>
                <w:tcPr>
                  <w:tcW w:w="960" w:type="dxa"/>
                  <w:vMerge w:val="continue"/>
                  <w:tcBorders>
                    <w:tl2br w:val="nil"/>
                    <w:tr2bl w:val="nil"/>
                  </w:tcBorders>
                  <w:vAlign w:val="center"/>
                </w:tcPr>
                <w:p w14:paraId="4921F965">
                  <w:pPr>
                    <w:jc w:val="center"/>
                    <w:rPr>
                      <w:rFonts w:hint="default" w:ascii="Times New Roman" w:hAnsi="Times New Roman" w:cs="Times New Roman"/>
                      <w:color w:val="000000"/>
                      <w:sz w:val="18"/>
                      <w:szCs w:val="18"/>
                    </w:rPr>
                  </w:pPr>
                </w:p>
              </w:tc>
              <w:tc>
                <w:tcPr>
                  <w:tcW w:w="870" w:type="dxa"/>
                  <w:vMerge w:val="continue"/>
                  <w:tcBorders>
                    <w:tl2br w:val="nil"/>
                    <w:tr2bl w:val="nil"/>
                  </w:tcBorders>
                  <w:vAlign w:val="center"/>
                </w:tcPr>
                <w:p w14:paraId="69C5AE48">
                  <w:pPr>
                    <w:jc w:val="center"/>
                    <w:rPr>
                      <w:rFonts w:hint="default" w:ascii="Times New Roman" w:hAnsi="Times New Roman" w:cs="Times New Roman"/>
                      <w:color w:val="000000"/>
                      <w:sz w:val="18"/>
                      <w:szCs w:val="18"/>
                    </w:rPr>
                  </w:pPr>
                </w:p>
              </w:tc>
              <w:tc>
                <w:tcPr>
                  <w:tcW w:w="450" w:type="dxa"/>
                  <w:vMerge w:val="continue"/>
                  <w:tcBorders>
                    <w:tl2br w:val="nil"/>
                    <w:tr2bl w:val="nil"/>
                  </w:tcBorders>
                  <w:vAlign w:val="center"/>
                </w:tcPr>
                <w:p w14:paraId="6B898757">
                  <w:pPr>
                    <w:jc w:val="center"/>
                    <w:rPr>
                      <w:rFonts w:hint="default" w:ascii="Times New Roman" w:hAnsi="Times New Roman" w:cs="Times New Roman"/>
                      <w:color w:val="000000"/>
                      <w:sz w:val="18"/>
                      <w:szCs w:val="18"/>
                    </w:rPr>
                  </w:pPr>
                </w:p>
              </w:tc>
              <w:tc>
                <w:tcPr>
                  <w:tcW w:w="660" w:type="dxa"/>
                  <w:vMerge w:val="continue"/>
                  <w:tcBorders>
                    <w:tl2br w:val="nil"/>
                    <w:tr2bl w:val="nil"/>
                  </w:tcBorders>
                  <w:vAlign w:val="center"/>
                </w:tcPr>
                <w:p w14:paraId="7F8C11AD">
                  <w:pPr>
                    <w:jc w:val="center"/>
                    <w:rPr>
                      <w:rFonts w:hint="default" w:ascii="Times New Roman" w:hAnsi="Times New Roman" w:cs="Times New Roman"/>
                      <w:color w:val="000000"/>
                      <w:sz w:val="18"/>
                      <w:szCs w:val="18"/>
                    </w:rPr>
                  </w:pPr>
                </w:p>
              </w:tc>
              <w:tc>
                <w:tcPr>
                  <w:tcW w:w="1060" w:type="dxa"/>
                  <w:tcBorders>
                    <w:tl2br w:val="nil"/>
                    <w:tr2bl w:val="nil"/>
                  </w:tcBorders>
                  <w:vAlign w:val="center"/>
                </w:tcPr>
                <w:p w14:paraId="5604F348">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汪家埠</w:t>
                  </w:r>
                </w:p>
              </w:tc>
              <w:tc>
                <w:tcPr>
                  <w:tcW w:w="1110" w:type="dxa"/>
                  <w:tcBorders>
                    <w:tl2br w:val="nil"/>
                    <w:tr2bl w:val="nil"/>
                  </w:tcBorders>
                  <w:vAlign w:val="center"/>
                </w:tcPr>
                <w:p w14:paraId="2F11A443">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石门桥</w:t>
                  </w:r>
                </w:p>
              </w:tc>
              <w:tc>
                <w:tcPr>
                  <w:tcW w:w="608" w:type="dxa"/>
                  <w:vMerge w:val="restart"/>
                  <w:tcBorders>
                    <w:tl2br w:val="nil"/>
                    <w:tr2bl w:val="nil"/>
                  </w:tcBorders>
                  <w:vAlign w:val="center"/>
                </w:tcPr>
                <w:p w14:paraId="353B1007">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III</w:t>
                  </w:r>
                </w:p>
              </w:tc>
            </w:tr>
            <w:tr w14:paraId="56BCDF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6" w:type="dxa"/>
                  <w:vMerge w:val="continue"/>
                  <w:tcBorders>
                    <w:tl2br w:val="nil"/>
                    <w:tr2bl w:val="nil"/>
                  </w:tcBorders>
                  <w:vAlign w:val="center"/>
                </w:tcPr>
                <w:p w14:paraId="07818C92">
                  <w:pPr>
                    <w:jc w:val="center"/>
                    <w:rPr>
                      <w:rFonts w:hint="default" w:ascii="Times New Roman" w:hAnsi="Times New Roman" w:cs="Times New Roman"/>
                      <w:color w:val="000000"/>
                      <w:sz w:val="18"/>
                      <w:szCs w:val="18"/>
                    </w:rPr>
                  </w:pPr>
                </w:p>
              </w:tc>
              <w:tc>
                <w:tcPr>
                  <w:tcW w:w="396" w:type="dxa"/>
                  <w:vMerge w:val="continue"/>
                  <w:tcBorders>
                    <w:tl2br w:val="nil"/>
                    <w:tr2bl w:val="nil"/>
                  </w:tcBorders>
                  <w:vAlign w:val="center"/>
                </w:tcPr>
                <w:p w14:paraId="4FF633FE">
                  <w:pPr>
                    <w:jc w:val="center"/>
                    <w:rPr>
                      <w:rFonts w:hint="default" w:ascii="Times New Roman" w:hAnsi="Times New Roman" w:cs="Times New Roman"/>
                      <w:color w:val="000000"/>
                      <w:sz w:val="18"/>
                      <w:szCs w:val="18"/>
                    </w:rPr>
                  </w:pPr>
                </w:p>
              </w:tc>
              <w:tc>
                <w:tcPr>
                  <w:tcW w:w="679" w:type="dxa"/>
                  <w:vMerge w:val="continue"/>
                  <w:tcBorders>
                    <w:tl2br w:val="nil"/>
                    <w:tr2bl w:val="nil"/>
                  </w:tcBorders>
                  <w:vAlign w:val="center"/>
                </w:tcPr>
                <w:p w14:paraId="64CE4598">
                  <w:pPr>
                    <w:jc w:val="center"/>
                    <w:rPr>
                      <w:rFonts w:hint="default" w:ascii="Times New Roman" w:hAnsi="Times New Roman" w:cs="Times New Roman"/>
                      <w:color w:val="000000"/>
                      <w:sz w:val="18"/>
                      <w:szCs w:val="18"/>
                    </w:rPr>
                  </w:pPr>
                </w:p>
              </w:tc>
              <w:tc>
                <w:tcPr>
                  <w:tcW w:w="810" w:type="dxa"/>
                  <w:vMerge w:val="continue"/>
                  <w:tcBorders>
                    <w:tl2br w:val="nil"/>
                    <w:tr2bl w:val="nil"/>
                  </w:tcBorders>
                  <w:vAlign w:val="center"/>
                </w:tcPr>
                <w:p w14:paraId="327DFA19">
                  <w:pPr>
                    <w:jc w:val="center"/>
                    <w:rPr>
                      <w:rFonts w:hint="default" w:ascii="Times New Roman" w:hAnsi="Times New Roman" w:cs="Times New Roman"/>
                      <w:color w:val="000000"/>
                      <w:sz w:val="18"/>
                      <w:szCs w:val="18"/>
                    </w:rPr>
                  </w:pPr>
                </w:p>
              </w:tc>
              <w:tc>
                <w:tcPr>
                  <w:tcW w:w="960" w:type="dxa"/>
                  <w:vMerge w:val="continue"/>
                  <w:tcBorders>
                    <w:tl2br w:val="nil"/>
                    <w:tr2bl w:val="nil"/>
                  </w:tcBorders>
                  <w:vAlign w:val="center"/>
                </w:tcPr>
                <w:p w14:paraId="1F48F761">
                  <w:pPr>
                    <w:jc w:val="center"/>
                    <w:rPr>
                      <w:rFonts w:hint="default" w:ascii="Times New Roman" w:hAnsi="Times New Roman" w:cs="Times New Roman"/>
                      <w:color w:val="000000"/>
                      <w:sz w:val="18"/>
                      <w:szCs w:val="18"/>
                    </w:rPr>
                  </w:pPr>
                </w:p>
              </w:tc>
              <w:tc>
                <w:tcPr>
                  <w:tcW w:w="870" w:type="dxa"/>
                  <w:vMerge w:val="continue"/>
                  <w:tcBorders>
                    <w:tl2br w:val="nil"/>
                    <w:tr2bl w:val="nil"/>
                  </w:tcBorders>
                  <w:vAlign w:val="center"/>
                </w:tcPr>
                <w:p w14:paraId="24CB0C5B">
                  <w:pPr>
                    <w:jc w:val="center"/>
                    <w:rPr>
                      <w:rFonts w:hint="default" w:ascii="Times New Roman" w:hAnsi="Times New Roman" w:cs="Times New Roman"/>
                      <w:color w:val="000000"/>
                      <w:sz w:val="18"/>
                      <w:szCs w:val="18"/>
                    </w:rPr>
                  </w:pPr>
                </w:p>
              </w:tc>
              <w:tc>
                <w:tcPr>
                  <w:tcW w:w="450" w:type="dxa"/>
                  <w:vMerge w:val="continue"/>
                  <w:tcBorders>
                    <w:tl2br w:val="nil"/>
                    <w:tr2bl w:val="nil"/>
                  </w:tcBorders>
                  <w:vAlign w:val="center"/>
                </w:tcPr>
                <w:p w14:paraId="2D4136B9">
                  <w:pPr>
                    <w:jc w:val="center"/>
                    <w:rPr>
                      <w:rFonts w:hint="default" w:ascii="Times New Roman" w:hAnsi="Times New Roman" w:cs="Times New Roman"/>
                      <w:color w:val="000000"/>
                      <w:sz w:val="18"/>
                      <w:szCs w:val="18"/>
                    </w:rPr>
                  </w:pPr>
                </w:p>
              </w:tc>
              <w:tc>
                <w:tcPr>
                  <w:tcW w:w="660" w:type="dxa"/>
                  <w:vMerge w:val="continue"/>
                  <w:tcBorders>
                    <w:tl2br w:val="nil"/>
                    <w:tr2bl w:val="nil"/>
                  </w:tcBorders>
                  <w:vAlign w:val="center"/>
                </w:tcPr>
                <w:p w14:paraId="1CA1C330">
                  <w:pPr>
                    <w:jc w:val="center"/>
                    <w:rPr>
                      <w:rFonts w:hint="default" w:ascii="Times New Roman" w:hAnsi="Times New Roman" w:cs="Times New Roman"/>
                      <w:color w:val="000000"/>
                      <w:sz w:val="18"/>
                      <w:szCs w:val="18"/>
                    </w:rPr>
                  </w:pPr>
                </w:p>
              </w:tc>
              <w:tc>
                <w:tcPr>
                  <w:tcW w:w="2170" w:type="dxa"/>
                  <w:gridSpan w:val="2"/>
                  <w:tcBorders>
                    <w:tl2br w:val="nil"/>
                    <w:tr2bl w:val="nil"/>
                  </w:tcBorders>
                  <w:vAlign w:val="center"/>
                </w:tcPr>
                <w:p w14:paraId="110D2F94">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陆域：两岸沿岸纵深1000m以内范围（11.6km</w:t>
                  </w:r>
                  <w:r>
                    <w:rPr>
                      <w:rFonts w:hint="default" w:ascii="Times New Roman" w:hAnsi="Times New Roman" w:cs="Times New Roman"/>
                      <w:color w:val="000000"/>
                      <w:kern w:val="0"/>
                      <w:sz w:val="18"/>
                      <w:szCs w:val="18"/>
                      <w:vertAlign w:val="superscript"/>
                      <w:lang w:bidi="ar"/>
                    </w:rPr>
                    <w:t>2</w:t>
                  </w:r>
                  <w:r>
                    <w:rPr>
                      <w:rFonts w:hint="default" w:ascii="Times New Roman" w:hAnsi="Times New Roman" w:cs="Times New Roman"/>
                      <w:color w:val="000000"/>
                      <w:kern w:val="0"/>
                      <w:sz w:val="18"/>
                      <w:szCs w:val="18"/>
                      <w:lang w:bidi="ar"/>
                    </w:rPr>
                    <w:t>）</w:t>
                  </w:r>
                </w:p>
              </w:tc>
              <w:tc>
                <w:tcPr>
                  <w:tcW w:w="608" w:type="dxa"/>
                  <w:vMerge w:val="continue"/>
                  <w:tcBorders>
                    <w:tl2br w:val="nil"/>
                    <w:tr2bl w:val="nil"/>
                  </w:tcBorders>
                  <w:vAlign w:val="center"/>
                </w:tcPr>
                <w:p w14:paraId="13CD8CEA">
                  <w:pPr>
                    <w:jc w:val="center"/>
                    <w:rPr>
                      <w:rFonts w:hint="default" w:ascii="Times New Roman" w:hAnsi="Times New Roman" w:cs="Times New Roman"/>
                      <w:color w:val="000000"/>
                      <w:sz w:val="18"/>
                      <w:szCs w:val="18"/>
                    </w:rPr>
                  </w:pPr>
                </w:p>
              </w:tc>
            </w:tr>
            <w:tr w14:paraId="68B05D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6" w:type="dxa"/>
                  <w:vMerge w:val="continue"/>
                  <w:tcBorders>
                    <w:tl2br w:val="nil"/>
                    <w:tr2bl w:val="nil"/>
                  </w:tcBorders>
                  <w:vAlign w:val="center"/>
                </w:tcPr>
                <w:p w14:paraId="7F51CEBB">
                  <w:pPr>
                    <w:jc w:val="center"/>
                    <w:rPr>
                      <w:rFonts w:hint="default" w:ascii="Times New Roman" w:hAnsi="Times New Roman" w:cs="Times New Roman"/>
                      <w:color w:val="000000"/>
                      <w:sz w:val="18"/>
                      <w:szCs w:val="18"/>
                    </w:rPr>
                  </w:pPr>
                </w:p>
              </w:tc>
              <w:tc>
                <w:tcPr>
                  <w:tcW w:w="396" w:type="dxa"/>
                  <w:vMerge w:val="continue"/>
                  <w:tcBorders>
                    <w:tl2br w:val="nil"/>
                    <w:tr2bl w:val="nil"/>
                  </w:tcBorders>
                  <w:vAlign w:val="center"/>
                </w:tcPr>
                <w:p w14:paraId="7F8CE258">
                  <w:pPr>
                    <w:jc w:val="center"/>
                    <w:rPr>
                      <w:rFonts w:hint="default" w:ascii="Times New Roman" w:hAnsi="Times New Roman" w:cs="Times New Roman"/>
                      <w:color w:val="000000"/>
                      <w:sz w:val="18"/>
                      <w:szCs w:val="18"/>
                    </w:rPr>
                  </w:pPr>
                </w:p>
              </w:tc>
              <w:tc>
                <w:tcPr>
                  <w:tcW w:w="679" w:type="dxa"/>
                  <w:vMerge w:val="continue"/>
                  <w:tcBorders>
                    <w:tl2br w:val="nil"/>
                    <w:tr2bl w:val="nil"/>
                  </w:tcBorders>
                  <w:vAlign w:val="center"/>
                </w:tcPr>
                <w:p w14:paraId="618E70E5">
                  <w:pPr>
                    <w:jc w:val="center"/>
                    <w:rPr>
                      <w:rFonts w:hint="default" w:ascii="Times New Roman" w:hAnsi="Times New Roman" w:cs="Times New Roman"/>
                      <w:color w:val="000000"/>
                      <w:sz w:val="18"/>
                      <w:szCs w:val="18"/>
                    </w:rPr>
                  </w:pPr>
                </w:p>
              </w:tc>
              <w:tc>
                <w:tcPr>
                  <w:tcW w:w="810" w:type="dxa"/>
                  <w:vMerge w:val="continue"/>
                  <w:tcBorders>
                    <w:tl2br w:val="nil"/>
                    <w:tr2bl w:val="nil"/>
                  </w:tcBorders>
                  <w:vAlign w:val="center"/>
                </w:tcPr>
                <w:p w14:paraId="43B1F908">
                  <w:pPr>
                    <w:jc w:val="center"/>
                    <w:rPr>
                      <w:rFonts w:hint="default" w:ascii="Times New Roman" w:hAnsi="Times New Roman" w:cs="Times New Roman"/>
                      <w:color w:val="000000"/>
                      <w:sz w:val="18"/>
                      <w:szCs w:val="18"/>
                    </w:rPr>
                  </w:pPr>
                </w:p>
              </w:tc>
              <w:tc>
                <w:tcPr>
                  <w:tcW w:w="960" w:type="dxa"/>
                  <w:vMerge w:val="continue"/>
                  <w:tcBorders>
                    <w:tl2br w:val="nil"/>
                    <w:tr2bl w:val="nil"/>
                  </w:tcBorders>
                  <w:vAlign w:val="center"/>
                </w:tcPr>
                <w:p w14:paraId="64579516">
                  <w:pPr>
                    <w:jc w:val="center"/>
                    <w:rPr>
                      <w:rFonts w:hint="default" w:ascii="Times New Roman" w:hAnsi="Times New Roman" w:cs="Times New Roman"/>
                      <w:color w:val="000000"/>
                      <w:sz w:val="18"/>
                      <w:szCs w:val="18"/>
                    </w:rPr>
                  </w:pPr>
                </w:p>
              </w:tc>
              <w:tc>
                <w:tcPr>
                  <w:tcW w:w="870" w:type="dxa"/>
                  <w:vMerge w:val="continue"/>
                  <w:tcBorders>
                    <w:tl2br w:val="nil"/>
                    <w:tr2bl w:val="nil"/>
                  </w:tcBorders>
                  <w:vAlign w:val="center"/>
                </w:tcPr>
                <w:p w14:paraId="60BC1E58">
                  <w:pPr>
                    <w:jc w:val="center"/>
                    <w:rPr>
                      <w:rFonts w:hint="default" w:ascii="Times New Roman" w:hAnsi="Times New Roman" w:cs="Times New Roman"/>
                      <w:color w:val="000000"/>
                      <w:sz w:val="18"/>
                      <w:szCs w:val="18"/>
                    </w:rPr>
                  </w:pPr>
                </w:p>
              </w:tc>
              <w:tc>
                <w:tcPr>
                  <w:tcW w:w="450" w:type="dxa"/>
                  <w:vMerge w:val="continue"/>
                  <w:tcBorders>
                    <w:tl2br w:val="nil"/>
                    <w:tr2bl w:val="nil"/>
                  </w:tcBorders>
                  <w:vAlign w:val="center"/>
                </w:tcPr>
                <w:p w14:paraId="2EDD18CE">
                  <w:pPr>
                    <w:jc w:val="center"/>
                    <w:rPr>
                      <w:rFonts w:hint="default" w:ascii="Times New Roman" w:hAnsi="Times New Roman" w:cs="Times New Roman"/>
                      <w:color w:val="000000"/>
                      <w:sz w:val="18"/>
                      <w:szCs w:val="18"/>
                    </w:rPr>
                  </w:pPr>
                </w:p>
              </w:tc>
              <w:tc>
                <w:tcPr>
                  <w:tcW w:w="660" w:type="dxa"/>
                  <w:vMerge w:val="continue"/>
                  <w:tcBorders>
                    <w:tl2br w:val="nil"/>
                    <w:tr2bl w:val="nil"/>
                  </w:tcBorders>
                  <w:vAlign w:val="center"/>
                </w:tcPr>
                <w:p w14:paraId="3AB3B197">
                  <w:pPr>
                    <w:jc w:val="center"/>
                    <w:rPr>
                      <w:rFonts w:hint="default" w:ascii="Times New Roman" w:hAnsi="Times New Roman" w:cs="Times New Roman"/>
                      <w:color w:val="000000"/>
                      <w:sz w:val="18"/>
                      <w:szCs w:val="18"/>
                    </w:rPr>
                  </w:pPr>
                </w:p>
              </w:tc>
              <w:tc>
                <w:tcPr>
                  <w:tcW w:w="1060" w:type="dxa"/>
                  <w:tcBorders>
                    <w:tl2br w:val="nil"/>
                    <w:tr2bl w:val="nil"/>
                  </w:tcBorders>
                  <w:vAlign w:val="center"/>
                </w:tcPr>
                <w:p w14:paraId="29391298">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石门桥</w:t>
                  </w:r>
                </w:p>
              </w:tc>
              <w:tc>
                <w:tcPr>
                  <w:tcW w:w="1110" w:type="dxa"/>
                  <w:tcBorders>
                    <w:tl2br w:val="nil"/>
                    <w:tr2bl w:val="nil"/>
                  </w:tcBorders>
                  <w:vAlign w:val="center"/>
                </w:tcPr>
                <w:p w14:paraId="2F1278CA">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余杭街道</w:t>
                  </w:r>
                </w:p>
              </w:tc>
              <w:tc>
                <w:tcPr>
                  <w:tcW w:w="608" w:type="dxa"/>
                  <w:vMerge w:val="restart"/>
                  <w:tcBorders>
                    <w:tl2br w:val="nil"/>
                    <w:tr2bl w:val="nil"/>
                  </w:tcBorders>
                  <w:vAlign w:val="center"/>
                </w:tcPr>
                <w:p w14:paraId="41E53690">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II</w:t>
                  </w:r>
                </w:p>
              </w:tc>
            </w:tr>
            <w:tr w14:paraId="3BC104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6" w:type="dxa"/>
                  <w:vMerge w:val="continue"/>
                  <w:tcBorders>
                    <w:tl2br w:val="nil"/>
                    <w:tr2bl w:val="nil"/>
                  </w:tcBorders>
                  <w:vAlign w:val="center"/>
                </w:tcPr>
                <w:p w14:paraId="6A98B7C3">
                  <w:pPr>
                    <w:jc w:val="center"/>
                    <w:rPr>
                      <w:rFonts w:hint="default" w:ascii="Times New Roman" w:hAnsi="Times New Roman" w:cs="Times New Roman"/>
                      <w:color w:val="000000"/>
                      <w:sz w:val="18"/>
                      <w:szCs w:val="18"/>
                    </w:rPr>
                  </w:pPr>
                </w:p>
              </w:tc>
              <w:tc>
                <w:tcPr>
                  <w:tcW w:w="396" w:type="dxa"/>
                  <w:vMerge w:val="continue"/>
                  <w:tcBorders>
                    <w:tl2br w:val="nil"/>
                    <w:tr2bl w:val="nil"/>
                  </w:tcBorders>
                  <w:vAlign w:val="center"/>
                </w:tcPr>
                <w:p w14:paraId="7F18C2E3">
                  <w:pPr>
                    <w:jc w:val="center"/>
                    <w:rPr>
                      <w:rFonts w:hint="default" w:ascii="Times New Roman" w:hAnsi="Times New Roman" w:cs="Times New Roman"/>
                      <w:color w:val="000000"/>
                      <w:sz w:val="18"/>
                      <w:szCs w:val="18"/>
                    </w:rPr>
                  </w:pPr>
                </w:p>
              </w:tc>
              <w:tc>
                <w:tcPr>
                  <w:tcW w:w="679" w:type="dxa"/>
                  <w:vMerge w:val="continue"/>
                  <w:tcBorders>
                    <w:tl2br w:val="nil"/>
                    <w:tr2bl w:val="nil"/>
                  </w:tcBorders>
                  <w:vAlign w:val="center"/>
                </w:tcPr>
                <w:p w14:paraId="4D208026">
                  <w:pPr>
                    <w:jc w:val="center"/>
                    <w:rPr>
                      <w:rFonts w:hint="default" w:ascii="Times New Roman" w:hAnsi="Times New Roman" w:cs="Times New Roman"/>
                      <w:color w:val="000000"/>
                      <w:sz w:val="18"/>
                      <w:szCs w:val="18"/>
                    </w:rPr>
                  </w:pPr>
                </w:p>
              </w:tc>
              <w:tc>
                <w:tcPr>
                  <w:tcW w:w="810" w:type="dxa"/>
                  <w:vMerge w:val="continue"/>
                  <w:tcBorders>
                    <w:tl2br w:val="nil"/>
                    <w:tr2bl w:val="nil"/>
                  </w:tcBorders>
                  <w:vAlign w:val="center"/>
                </w:tcPr>
                <w:p w14:paraId="7BBE89AD">
                  <w:pPr>
                    <w:jc w:val="center"/>
                    <w:rPr>
                      <w:rFonts w:hint="default" w:ascii="Times New Roman" w:hAnsi="Times New Roman" w:cs="Times New Roman"/>
                      <w:color w:val="000000"/>
                      <w:sz w:val="18"/>
                      <w:szCs w:val="18"/>
                    </w:rPr>
                  </w:pPr>
                </w:p>
              </w:tc>
              <w:tc>
                <w:tcPr>
                  <w:tcW w:w="960" w:type="dxa"/>
                  <w:vMerge w:val="continue"/>
                  <w:tcBorders>
                    <w:tl2br w:val="nil"/>
                    <w:tr2bl w:val="nil"/>
                  </w:tcBorders>
                  <w:vAlign w:val="center"/>
                </w:tcPr>
                <w:p w14:paraId="3D2168AA">
                  <w:pPr>
                    <w:jc w:val="center"/>
                    <w:rPr>
                      <w:rFonts w:hint="default" w:ascii="Times New Roman" w:hAnsi="Times New Roman" w:cs="Times New Roman"/>
                      <w:color w:val="000000"/>
                      <w:sz w:val="18"/>
                      <w:szCs w:val="18"/>
                    </w:rPr>
                  </w:pPr>
                </w:p>
              </w:tc>
              <w:tc>
                <w:tcPr>
                  <w:tcW w:w="870" w:type="dxa"/>
                  <w:vMerge w:val="continue"/>
                  <w:tcBorders>
                    <w:tl2br w:val="nil"/>
                    <w:tr2bl w:val="nil"/>
                  </w:tcBorders>
                  <w:vAlign w:val="center"/>
                </w:tcPr>
                <w:p w14:paraId="127CB300">
                  <w:pPr>
                    <w:jc w:val="center"/>
                    <w:rPr>
                      <w:rFonts w:hint="default" w:ascii="Times New Roman" w:hAnsi="Times New Roman" w:cs="Times New Roman"/>
                      <w:color w:val="000000"/>
                      <w:sz w:val="18"/>
                      <w:szCs w:val="18"/>
                    </w:rPr>
                  </w:pPr>
                </w:p>
              </w:tc>
              <w:tc>
                <w:tcPr>
                  <w:tcW w:w="450" w:type="dxa"/>
                  <w:vMerge w:val="continue"/>
                  <w:tcBorders>
                    <w:tl2br w:val="nil"/>
                    <w:tr2bl w:val="nil"/>
                  </w:tcBorders>
                  <w:vAlign w:val="center"/>
                </w:tcPr>
                <w:p w14:paraId="2C93F212">
                  <w:pPr>
                    <w:jc w:val="center"/>
                    <w:rPr>
                      <w:rFonts w:hint="default" w:ascii="Times New Roman" w:hAnsi="Times New Roman" w:cs="Times New Roman"/>
                      <w:color w:val="000000"/>
                      <w:sz w:val="18"/>
                      <w:szCs w:val="18"/>
                    </w:rPr>
                  </w:pPr>
                </w:p>
              </w:tc>
              <w:tc>
                <w:tcPr>
                  <w:tcW w:w="660" w:type="dxa"/>
                  <w:vMerge w:val="continue"/>
                  <w:tcBorders>
                    <w:tl2br w:val="nil"/>
                    <w:tr2bl w:val="nil"/>
                  </w:tcBorders>
                  <w:vAlign w:val="center"/>
                </w:tcPr>
                <w:p w14:paraId="41D3E9C1">
                  <w:pPr>
                    <w:jc w:val="center"/>
                    <w:rPr>
                      <w:rFonts w:hint="default" w:ascii="Times New Roman" w:hAnsi="Times New Roman" w:cs="Times New Roman"/>
                      <w:color w:val="000000"/>
                      <w:sz w:val="18"/>
                      <w:szCs w:val="18"/>
                    </w:rPr>
                  </w:pPr>
                </w:p>
              </w:tc>
              <w:tc>
                <w:tcPr>
                  <w:tcW w:w="2170" w:type="dxa"/>
                  <w:gridSpan w:val="2"/>
                  <w:tcBorders>
                    <w:tl2br w:val="nil"/>
                    <w:tr2bl w:val="nil"/>
                  </w:tcBorders>
                  <w:vAlign w:val="center"/>
                </w:tcPr>
                <w:p w14:paraId="2B865C73">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陆域：南岸自西险大塘堤顶纵深200m，北岸纵深1000m（2.64km</w:t>
                  </w:r>
                  <w:r>
                    <w:rPr>
                      <w:rFonts w:hint="default" w:ascii="Times New Roman" w:hAnsi="Times New Roman" w:cs="Times New Roman"/>
                      <w:color w:val="000000"/>
                      <w:kern w:val="0"/>
                      <w:sz w:val="18"/>
                      <w:szCs w:val="18"/>
                      <w:vertAlign w:val="superscript"/>
                      <w:lang w:bidi="ar"/>
                    </w:rPr>
                    <w:t>2</w:t>
                  </w:r>
                  <w:r>
                    <w:rPr>
                      <w:rFonts w:hint="default" w:ascii="Times New Roman" w:hAnsi="Times New Roman" w:cs="Times New Roman"/>
                      <w:color w:val="000000"/>
                      <w:kern w:val="0"/>
                      <w:sz w:val="18"/>
                      <w:szCs w:val="18"/>
                      <w:lang w:bidi="ar"/>
                    </w:rPr>
                    <w:t>）</w:t>
                  </w:r>
                </w:p>
              </w:tc>
              <w:tc>
                <w:tcPr>
                  <w:tcW w:w="608" w:type="dxa"/>
                  <w:vMerge w:val="continue"/>
                  <w:tcBorders>
                    <w:tl2br w:val="nil"/>
                    <w:tr2bl w:val="nil"/>
                  </w:tcBorders>
                  <w:vAlign w:val="center"/>
                </w:tcPr>
                <w:p w14:paraId="5AF02D20">
                  <w:pPr>
                    <w:jc w:val="center"/>
                    <w:rPr>
                      <w:rFonts w:hint="default" w:ascii="Times New Roman" w:hAnsi="Times New Roman" w:cs="Times New Roman"/>
                      <w:color w:val="000000"/>
                      <w:sz w:val="18"/>
                      <w:szCs w:val="18"/>
                    </w:rPr>
                  </w:pPr>
                </w:p>
              </w:tc>
            </w:tr>
            <w:tr w14:paraId="602E3D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396" w:type="dxa"/>
                  <w:tcBorders>
                    <w:tl2br w:val="nil"/>
                    <w:tr2bl w:val="nil"/>
                  </w:tcBorders>
                  <w:vAlign w:val="center"/>
                </w:tcPr>
                <w:p w14:paraId="78E6CC4F">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杭嘉湖28</w:t>
                  </w:r>
                </w:p>
              </w:tc>
              <w:tc>
                <w:tcPr>
                  <w:tcW w:w="396" w:type="dxa"/>
                  <w:tcBorders>
                    <w:tl2br w:val="nil"/>
                    <w:tr2bl w:val="nil"/>
                  </w:tcBorders>
                  <w:vAlign w:val="center"/>
                </w:tcPr>
                <w:p w14:paraId="187E02E0">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余杭塘河</w:t>
                  </w:r>
                </w:p>
              </w:tc>
              <w:tc>
                <w:tcPr>
                  <w:tcW w:w="679" w:type="dxa"/>
                  <w:tcBorders>
                    <w:tl2br w:val="nil"/>
                    <w:tr2bl w:val="nil"/>
                  </w:tcBorders>
                  <w:noWrap/>
                  <w:vAlign w:val="center"/>
                </w:tcPr>
                <w:p w14:paraId="6A2AA005">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F1203101703013</w:t>
                  </w:r>
                </w:p>
              </w:tc>
              <w:tc>
                <w:tcPr>
                  <w:tcW w:w="810" w:type="dxa"/>
                  <w:tcBorders>
                    <w:tl2br w:val="nil"/>
                    <w:tr2bl w:val="nil"/>
                  </w:tcBorders>
                  <w:vAlign w:val="center"/>
                </w:tcPr>
                <w:p w14:paraId="75893BCD">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余杭塘河余杭农业</w:t>
                  </w:r>
                  <w:r>
                    <w:rPr>
                      <w:rFonts w:hint="eastAsia" w:cs="Times New Roman"/>
                      <w:color w:val="000000"/>
                      <w:kern w:val="0"/>
                      <w:sz w:val="18"/>
                      <w:szCs w:val="18"/>
                      <w:lang w:eastAsia="zh-CN" w:bidi="ar"/>
                    </w:rPr>
                    <w:t>、</w:t>
                  </w:r>
                  <w:r>
                    <w:rPr>
                      <w:rFonts w:hint="default" w:ascii="Times New Roman" w:hAnsi="Times New Roman" w:cs="Times New Roman"/>
                      <w:color w:val="000000"/>
                      <w:kern w:val="0"/>
                      <w:sz w:val="18"/>
                      <w:szCs w:val="18"/>
                      <w:lang w:bidi="ar"/>
                    </w:rPr>
                    <w:t>工业用水区</w:t>
                  </w:r>
                </w:p>
              </w:tc>
              <w:tc>
                <w:tcPr>
                  <w:tcW w:w="960" w:type="dxa"/>
                  <w:tcBorders>
                    <w:tl2br w:val="nil"/>
                    <w:tr2bl w:val="nil"/>
                  </w:tcBorders>
                  <w:vAlign w:val="center"/>
                </w:tcPr>
                <w:p w14:paraId="51297C43">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330110FM220114000250</w:t>
                  </w:r>
                </w:p>
              </w:tc>
              <w:tc>
                <w:tcPr>
                  <w:tcW w:w="870" w:type="dxa"/>
                  <w:tcBorders>
                    <w:tl2br w:val="nil"/>
                    <w:tr2bl w:val="nil"/>
                  </w:tcBorders>
                  <w:vAlign w:val="center"/>
                </w:tcPr>
                <w:p w14:paraId="5AE0952F">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农业、工业用水区</w:t>
                  </w:r>
                </w:p>
              </w:tc>
              <w:tc>
                <w:tcPr>
                  <w:tcW w:w="450" w:type="dxa"/>
                  <w:tcBorders>
                    <w:tl2br w:val="nil"/>
                    <w:tr2bl w:val="nil"/>
                  </w:tcBorders>
                  <w:vAlign w:val="center"/>
                </w:tcPr>
                <w:p w14:paraId="312844A2">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太湖</w:t>
                  </w:r>
                </w:p>
              </w:tc>
              <w:tc>
                <w:tcPr>
                  <w:tcW w:w="660" w:type="dxa"/>
                  <w:tcBorders>
                    <w:tl2br w:val="nil"/>
                    <w:tr2bl w:val="nil"/>
                  </w:tcBorders>
                  <w:vAlign w:val="center"/>
                </w:tcPr>
                <w:p w14:paraId="3E38DE63">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杭嘉湖平原河网</w:t>
                  </w:r>
                </w:p>
              </w:tc>
              <w:tc>
                <w:tcPr>
                  <w:tcW w:w="1060" w:type="dxa"/>
                  <w:tcBorders>
                    <w:tl2br w:val="nil"/>
                    <w:tr2bl w:val="nil"/>
                  </w:tcBorders>
                  <w:vAlign w:val="center"/>
                </w:tcPr>
                <w:p w14:paraId="7C38F332">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余杭闸</w:t>
                  </w:r>
                </w:p>
              </w:tc>
              <w:tc>
                <w:tcPr>
                  <w:tcW w:w="1110" w:type="dxa"/>
                  <w:tcBorders>
                    <w:tl2br w:val="nil"/>
                    <w:tr2bl w:val="nil"/>
                  </w:tcBorders>
                  <w:vAlign w:val="center"/>
                </w:tcPr>
                <w:p w14:paraId="21D57FB1">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绕城公路桥</w:t>
                  </w:r>
                </w:p>
              </w:tc>
              <w:tc>
                <w:tcPr>
                  <w:tcW w:w="608" w:type="dxa"/>
                  <w:tcBorders>
                    <w:tl2br w:val="nil"/>
                    <w:tr2bl w:val="nil"/>
                  </w:tcBorders>
                  <w:vAlign w:val="center"/>
                </w:tcPr>
                <w:p w14:paraId="06D0B994">
                  <w:pPr>
                    <w:widowControl/>
                    <w:jc w:val="center"/>
                    <w:textAlignment w:val="center"/>
                    <w:rPr>
                      <w:rFonts w:hint="default" w:ascii="Times New Roman" w:hAnsi="Times New Roman" w:cs="Times New Roman"/>
                      <w:color w:val="000000"/>
                      <w:sz w:val="18"/>
                      <w:szCs w:val="18"/>
                    </w:rPr>
                  </w:pPr>
                  <w:r>
                    <w:rPr>
                      <w:rFonts w:hint="default" w:ascii="Times New Roman" w:hAnsi="Times New Roman" w:cs="Times New Roman"/>
                      <w:color w:val="000000"/>
                      <w:kern w:val="0"/>
                      <w:sz w:val="18"/>
                      <w:szCs w:val="18"/>
                      <w:lang w:bidi="ar"/>
                    </w:rPr>
                    <w:t>III</w:t>
                  </w:r>
                </w:p>
              </w:tc>
            </w:tr>
          </w:tbl>
          <w:p w14:paraId="1A539335">
            <w:pPr>
              <w:spacing w:line="360" w:lineRule="auto"/>
              <w:ind w:firstLine="420" w:firstLineChars="200"/>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rPr>
              <w:t>根据《2025年杭州市余杭区生态环境状况公报》</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2025年，余杭区两大流域苕溪、运河总体水质分别为II类、Ⅲ类，均达到功能区要求。区控及以上12个断面水质Ⅰ-Ⅲ类比例为100%，断面达到功能区要求为100%，保持稳定。2025年，全区41条乡镇交接断面河流水质为Ⅲ类及以上的有24条（占比58.5％），Ⅳ类有7条（占比17.1％），Ⅴ类有7条（占比17.1％），劣Ⅴ类有3条（占比7.3％）。2025年，全区饮用水水源地水质保持良好，集中式饮用水水源地东苕溪杭州、闲林水库、四岭水库（千吨万人饮用水水源地）水质达标率均为100%。</w:t>
            </w:r>
          </w:p>
          <w:p w14:paraId="0CAA5B15">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szCs w:val="21"/>
              </w:rPr>
              <w:t>由于区域部分老城区、老旧小区、城中村、城郊结合部等因历史原因，截污纳管不彻底，雨污合流情况依然存在；部分区块虽已完成雨污管网全覆盖，但存在建设标准不一、底数不清、档案不齐、覆盖不足、破损渗漏、年久失修等问题，导致区域水质容易波动，偶尔个别因子出现超标现象。随着“污水零直排区”、“美丽河湖”</w:t>
            </w:r>
            <w:r>
              <w:rPr>
                <w:rFonts w:hint="eastAsia" w:cs="Times New Roman"/>
                <w:szCs w:val="21"/>
                <w:lang w:eastAsia="zh-CN"/>
              </w:rPr>
              <w:t>、</w:t>
            </w:r>
            <w:r>
              <w:rPr>
                <w:rFonts w:hint="default" w:ascii="Times New Roman" w:hAnsi="Times New Roman" w:cs="Times New Roman"/>
                <w:szCs w:val="21"/>
              </w:rPr>
              <w:t>“幸福河湖”推进，《余杭区重点流域水生态环境“十四五”规划》实施，水环境质量将全面改善、水生态健康全面恢复。</w:t>
            </w:r>
          </w:p>
          <w:p w14:paraId="54C7060F">
            <w:pPr>
              <w:adjustRightInd w:val="0"/>
              <w:snapToGrid w:val="0"/>
              <w:spacing w:line="360" w:lineRule="auto"/>
              <w:rPr>
                <w:b/>
                <w:kern w:val="0"/>
                <w:szCs w:val="21"/>
              </w:rPr>
            </w:pPr>
            <w:r>
              <w:rPr>
                <w:b/>
                <w:kern w:val="0"/>
                <w:sz w:val="22"/>
                <w:szCs w:val="22"/>
              </w:rPr>
              <w:t>3.</w:t>
            </w:r>
            <w:r>
              <w:rPr>
                <w:rFonts w:hint="eastAsia"/>
                <w:b/>
                <w:kern w:val="0"/>
                <w:sz w:val="22"/>
                <w:szCs w:val="22"/>
              </w:rPr>
              <w:t>1.</w:t>
            </w:r>
            <w:r>
              <w:rPr>
                <w:b/>
                <w:kern w:val="0"/>
                <w:sz w:val="22"/>
                <w:szCs w:val="22"/>
              </w:rPr>
              <w:t>3</w:t>
            </w:r>
            <w:r>
              <w:rPr>
                <w:rFonts w:hint="eastAsia"/>
                <w:b/>
                <w:kern w:val="0"/>
                <w:sz w:val="22"/>
                <w:szCs w:val="22"/>
              </w:rPr>
              <w:t xml:space="preserve">  声环境</w:t>
            </w:r>
          </w:p>
          <w:p w14:paraId="584A5441">
            <w:pPr>
              <w:spacing w:line="360" w:lineRule="auto"/>
              <w:ind w:firstLine="420" w:firstLineChars="200"/>
            </w:pPr>
            <w:r>
              <w:rPr>
                <w:rFonts w:hint="eastAsia"/>
              </w:rPr>
              <w:t>根据《杭州市余杭区声环境功能区划分方案（修订）》（2021年版），本项目区域位于2类声环境功能区，且厂界周边50</w:t>
            </w:r>
            <w:r>
              <w:rPr>
                <w:rFonts w:hint="eastAsia"/>
                <w:lang w:val="en-US" w:eastAsia="zh-CN"/>
              </w:rPr>
              <w:t xml:space="preserve"> </w:t>
            </w:r>
            <w:r>
              <w:rPr>
                <w:rFonts w:hint="eastAsia"/>
              </w:rPr>
              <w:t>m范围内不存在声环境保护目标，根据《建设项目环境影响报告表编制技术指南（污染影响类）（试行）》，无需开展声环境质量现状监测。</w:t>
            </w:r>
          </w:p>
          <w:p w14:paraId="6DB02D12">
            <w:pPr>
              <w:adjustRightInd w:val="0"/>
              <w:snapToGrid w:val="0"/>
              <w:spacing w:line="360" w:lineRule="auto"/>
              <w:rPr>
                <w:b/>
                <w:kern w:val="0"/>
                <w:sz w:val="22"/>
                <w:szCs w:val="22"/>
              </w:rPr>
            </w:pPr>
            <w:r>
              <w:rPr>
                <w:b/>
                <w:kern w:val="0"/>
                <w:sz w:val="22"/>
                <w:szCs w:val="22"/>
              </w:rPr>
              <w:t>3.</w:t>
            </w:r>
            <w:r>
              <w:rPr>
                <w:rFonts w:hint="eastAsia"/>
                <w:b/>
                <w:kern w:val="0"/>
                <w:sz w:val="22"/>
                <w:szCs w:val="22"/>
              </w:rPr>
              <w:t>1.4  生态环境</w:t>
            </w:r>
          </w:p>
          <w:p w14:paraId="1FE2A615">
            <w:pPr>
              <w:adjustRightInd w:val="0"/>
              <w:snapToGrid w:val="0"/>
              <w:spacing w:line="360" w:lineRule="auto"/>
              <w:ind w:firstLine="420" w:firstLineChars="200"/>
            </w:pPr>
            <w:r>
              <w:rPr>
                <w:rFonts w:hint="eastAsia"/>
              </w:rPr>
              <w:t>本项目位于南湖未来科技园范围内，租用</w:t>
            </w:r>
            <w:r>
              <w:rPr>
                <w:rFonts w:hint="eastAsia"/>
                <w:bCs/>
                <w:szCs w:val="21"/>
              </w:rPr>
              <w:t>传嘉科技（杭州）闲置厂房</w:t>
            </w:r>
            <w:r>
              <w:rPr>
                <w:rFonts w:hint="eastAsia"/>
              </w:rPr>
              <w:t>，不新增用地面积，不涉及生态环境保护目标。根据《建设项目环境影响报告表编制技术指南（污染影响类）（试行）》，可不开展生态环境现状调查。</w:t>
            </w:r>
          </w:p>
          <w:p w14:paraId="70CA27B5">
            <w:pPr>
              <w:adjustRightInd w:val="0"/>
              <w:snapToGrid w:val="0"/>
              <w:spacing w:line="360" w:lineRule="auto"/>
              <w:rPr>
                <w:b/>
                <w:bCs/>
                <w:sz w:val="22"/>
                <w:szCs w:val="28"/>
              </w:rPr>
            </w:pPr>
            <w:r>
              <w:rPr>
                <w:rFonts w:hint="eastAsia"/>
                <w:b/>
                <w:bCs/>
                <w:sz w:val="22"/>
                <w:szCs w:val="28"/>
              </w:rPr>
              <w:t>3.1.5  电磁辐射</w:t>
            </w:r>
          </w:p>
          <w:p w14:paraId="443CD045">
            <w:pPr>
              <w:adjustRightInd w:val="0"/>
              <w:snapToGrid w:val="0"/>
              <w:spacing w:line="360" w:lineRule="auto"/>
              <w:ind w:firstLine="420" w:firstLineChars="200"/>
            </w:pPr>
            <w:r>
              <w:rPr>
                <w:rFonts w:hint="eastAsia"/>
              </w:rPr>
              <w:t>本项目不涉及新建或改建、扩建广播电台、差转台、电视塔台、卫星地球上行站、雷达等电磁辐射类项目，不需要对电磁辐射现状开展监测与评价。</w:t>
            </w:r>
          </w:p>
          <w:p w14:paraId="2945459C">
            <w:pPr>
              <w:adjustRightInd w:val="0"/>
              <w:snapToGrid w:val="0"/>
              <w:spacing w:line="360" w:lineRule="auto"/>
              <w:rPr>
                <w:b/>
                <w:kern w:val="0"/>
                <w:sz w:val="22"/>
                <w:szCs w:val="22"/>
              </w:rPr>
            </w:pPr>
            <w:r>
              <w:rPr>
                <w:b/>
                <w:kern w:val="0"/>
                <w:sz w:val="22"/>
                <w:szCs w:val="22"/>
              </w:rPr>
              <w:t>3.</w:t>
            </w:r>
            <w:r>
              <w:rPr>
                <w:rFonts w:hint="eastAsia"/>
                <w:b/>
                <w:kern w:val="0"/>
                <w:sz w:val="22"/>
                <w:szCs w:val="22"/>
              </w:rPr>
              <w:t>1.6  地下水、土壤环境</w:t>
            </w:r>
          </w:p>
          <w:p w14:paraId="160E4EAA">
            <w:pPr>
              <w:spacing w:line="360" w:lineRule="auto"/>
              <w:ind w:firstLine="420" w:firstLineChars="200"/>
            </w:pPr>
            <w:r>
              <w:rPr>
                <w:rFonts w:hint="eastAsia"/>
              </w:rPr>
              <w:t>项目营运期工艺废气主要为少量粉尘、有机废气，不涉及重金属、持久性难降解挥发性有机物，不会通过大气沉降对土壤造成影响。</w:t>
            </w:r>
          </w:p>
          <w:p w14:paraId="675FABF3">
            <w:pPr>
              <w:spacing w:line="360" w:lineRule="auto"/>
              <w:ind w:firstLine="420" w:firstLineChars="200"/>
            </w:pPr>
            <w:r>
              <w:rPr>
                <w:rFonts w:hint="eastAsia"/>
              </w:rPr>
              <w:t>本项目实行雨污分流制，清污分流。雨水经厂区雨水收集系统收集后纳入周边市政雨水管排放；本项目生活污水经化粪池预处理后</w:t>
            </w:r>
            <w:r>
              <w:rPr>
                <w:rFonts w:hint="eastAsia"/>
                <w:lang w:eastAsia="zh-CN"/>
              </w:rPr>
              <w:t>，</w:t>
            </w:r>
            <w:r>
              <w:rPr>
                <w:rFonts w:hint="eastAsia"/>
                <w:lang w:val="en-US" w:eastAsia="zh-CN"/>
              </w:rPr>
              <w:t>与生产废水一并</w:t>
            </w:r>
            <w:r>
              <w:rPr>
                <w:rFonts w:hint="eastAsia"/>
              </w:rPr>
              <w:t>纳管，最终汇至余杭污水处理厂处理达《城镇污水处理厂污染物排放标准》（GB18918-2002）中的一级A标准后外排。相应管道均做好防渗措施，建设项目对土壤、地下水环境基本不存在污染途径，故不开展现状调查。</w:t>
            </w:r>
          </w:p>
        </w:tc>
      </w:tr>
      <w:tr w14:paraId="474F7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vAlign w:val="center"/>
          </w:tcPr>
          <w:p w14:paraId="4657C0D6">
            <w:pPr>
              <w:adjustRightInd w:val="0"/>
              <w:snapToGrid w:val="0"/>
              <w:jc w:val="center"/>
              <w:rPr>
                <w:kern w:val="0"/>
                <w:szCs w:val="21"/>
              </w:rPr>
            </w:pPr>
            <w:r>
              <w:rPr>
                <w:rFonts w:hint="eastAsia"/>
                <w:kern w:val="0"/>
                <w:szCs w:val="21"/>
              </w:rPr>
              <w:t>环境</w:t>
            </w:r>
          </w:p>
          <w:p w14:paraId="4352C2B5">
            <w:pPr>
              <w:adjustRightInd w:val="0"/>
              <w:snapToGrid w:val="0"/>
              <w:jc w:val="center"/>
              <w:rPr>
                <w:kern w:val="0"/>
                <w:szCs w:val="21"/>
              </w:rPr>
            </w:pPr>
            <w:r>
              <w:rPr>
                <w:rFonts w:hint="eastAsia"/>
                <w:kern w:val="0"/>
                <w:szCs w:val="21"/>
              </w:rPr>
              <w:t>保护</w:t>
            </w:r>
          </w:p>
          <w:p w14:paraId="5ECF3C48">
            <w:pPr>
              <w:adjustRightInd w:val="0"/>
              <w:snapToGrid w:val="0"/>
              <w:jc w:val="center"/>
              <w:rPr>
                <w:kern w:val="0"/>
                <w:szCs w:val="21"/>
              </w:rPr>
            </w:pPr>
            <w:r>
              <w:rPr>
                <w:rFonts w:hint="eastAsia"/>
                <w:kern w:val="0"/>
                <w:szCs w:val="21"/>
              </w:rPr>
              <w:t>目标</w:t>
            </w:r>
          </w:p>
        </w:tc>
        <w:tc>
          <w:tcPr>
            <w:tcW w:w="8190" w:type="dxa"/>
            <w:vAlign w:val="center"/>
          </w:tcPr>
          <w:p w14:paraId="4B9EDC69">
            <w:pPr>
              <w:spacing w:line="360" w:lineRule="auto"/>
              <w:rPr>
                <w:b/>
                <w:sz w:val="24"/>
                <w:szCs w:val="32"/>
              </w:rPr>
            </w:pPr>
            <w:r>
              <w:rPr>
                <w:rFonts w:hint="eastAsia"/>
                <w:b/>
                <w:sz w:val="24"/>
                <w:szCs w:val="32"/>
              </w:rPr>
              <w:t>3.2  环境保护目标</w:t>
            </w:r>
          </w:p>
          <w:p w14:paraId="7DEED733">
            <w:pPr>
              <w:spacing w:line="360" w:lineRule="auto"/>
              <w:rPr>
                <w:b/>
                <w:sz w:val="22"/>
                <w:szCs w:val="28"/>
              </w:rPr>
            </w:pPr>
            <w:r>
              <w:rPr>
                <w:b/>
                <w:sz w:val="22"/>
                <w:szCs w:val="28"/>
              </w:rPr>
              <w:t>3.</w:t>
            </w:r>
            <w:r>
              <w:rPr>
                <w:rFonts w:hint="eastAsia"/>
                <w:b/>
                <w:sz w:val="22"/>
                <w:szCs w:val="28"/>
              </w:rPr>
              <w:t>2.1  大气环境</w:t>
            </w:r>
          </w:p>
          <w:p w14:paraId="2CA790EF">
            <w:pPr>
              <w:spacing w:line="360" w:lineRule="auto"/>
              <w:ind w:firstLine="420" w:firstLineChars="200"/>
            </w:pPr>
            <w:r>
              <w:rPr>
                <w:rFonts w:hint="eastAsia"/>
              </w:rPr>
              <w:t>根据调查，项目周边500</w:t>
            </w:r>
            <w:r>
              <w:rPr>
                <w:rFonts w:hint="eastAsia"/>
                <w:lang w:val="en-US" w:eastAsia="zh-CN"/>
              </w:rPr>
              <w:t xml:space="preserve"> </w:t>
            </w:r>
            <w:r>
              <w:rPr>
                <w:rFonts w:hint="eastAsia"/>
              </w:rPr>
              <w:t>m范围大气环境保护目标</w:t>
            </w:r>
            <w:r>
              <w:rPr>
                <w:rFonts w:hint="eastAsia"/>
                <w:lang w:val="en-US" w:eastAsia="zh-CN"/>
              </w:rPr>
              <w:t>如下表所示</w:t>
            </w:r>
            <w:r>
              <w:rPr>
                <w:rFonts w:hint="eastAsia"/>
              </w:rPr>
              <w:t>。</w:t>
            </w:r>
          </w:p>
          <w:p w14:paraId="19CA32A5">
            <w:pPr>
              <w:pStyle w:val="16"/>
              <w:widowControl/>
              <w:numPr>
                <w:ilvl w:val="0"/>
                <w:numId w:val="8"/>
              </w:numPr>
              <w:tabs>
                <w:tab w:val="left" w:pos="4515"/>
                <w:tab w:val="left" w:pos="5883"/>
                <w:tab w:val="left" w:pos="8718"/>
              </w:tabs>
              <w:adjustRightInd w:val="0"/>
              <w:snapToGrid w:val="0"/>
              <w:jc w:val="center"/>
            </w:pPr>
            <w:r>
              <w:rPr>
                <w:rFonts w:hint="eastAsia" w:ascii="黑体" w:hAnsi="黑体" w:eastAsia="黑体" w:cs="黑体"/>
                <w:bCs/>
              </w:rPr>
              <w:t xml:space="preserve"> </w:t>
            </w:r>
            <w:r>
              <w:rPr>
                <w:rFonts w:hint="eastAsia" w:ascii="黑体" w:hAnsi="黑体" w:eastAsia="黑体" w:cs="黑体"/>
                <w:bCs/>
                <w:lang w:val="en-US" w:eastAsia="zh-CN"/>
              </w:rPr>
              <w:t>大气环境保护目标</w:t>
            </w:r>
          </w:p>
          <w:tbl>
            <w:tblPr>
              <w:tblStyle w:val="26"/>
              <w:tblW w:w="79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909"/>
              <w:gridCol w:w="1089"/>
              <w:gridCol w:w="1410"/>
              <w:gridCol w:w="470"/>
              <w:gridCol w:w="1326"/>
              <w:gridCol w:w="648"/>
              <w:gridCol w:w="783"/>
              <w:gridCol w:w="877"/>
            </w:tblGrid>
            <w:tr w14:paraId="4203A9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restart"/>
                  <w:tcBorders>
                    <w:tl2br w:val="nil"/>
                    <w:tr2bl w:val="nil"/>
                  </w:tcBorders>
                  <w:shd w:val="clear" w:color="auto" w:fill="auto"/>
                  <w:noWrap/>
                  <w:tcMar>
                    <w:left w:w="28" w:type="dxa"/>
                    <w:right w:w="28" w:type="dxa"/>
                  </w:tcMar>
                  <w:vAlign w:val="center"/>
                </w:tcPr>
                <w:p w14:paraId="19912758">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序号</w:t>
                  </w:r>
                </w:p>
              </w:tc>
              <w:tc>
                <w:tcPr>
                  <w:tcW w:w="909" w:type="dxa"/>
                  <w:vMerge w:val="restart"/>
                  <w:tcBorders>
                    <w:tl2br w:val="nil"/>
                    <w:tr2bl w:val="nil"/>
                  </w:tcBorders>
                  <w:tcMar>
                    <w:left w:w="28" w:type="dxa"/>
                    <w:right w:w="28" w:type="dxa"/>
                  </w:tcMar>
                  <w:vAlign w:val="center"/>
                </w:tcPr>
                <w:p w14:paraId="1BC34581">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名称</w:t>
                  </w:r>
                </w:p>
              </w:tc>
              <w:tc>
                <w:tcPr>
                  <w:tcW w:w="2499" w:type="dxa"/>
                  <w:gridSpan w:val="2"/>
                  <w:tcBorders>
                    <w:tl2br w:val="nil"/>
                    <w:tr2bl w:val="nil"/>
                  </w:tcBorders>
                  <w:shd w:val="clear" w:color="auto" w:fill="auto"/>
                  <w:noWrap/>
                  <w:tcMar>
                    <w:left w:w="28" w:type="dxa"/>
                    <w:right w:w="28" w:type="dxa"/>
                  </w:tcMar>
                  <w:vAlign w:val="center"/>
                </w:tcPr>
                <w:p w14:paraId="7E94102F">
                  <w:pPr>
                    <w:widowControl/>
                    <w:jc w:val="cente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坐标/</w:t>
                  </w: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经纬度</w:t>
                  </w:r>
                </w:p>
              </w:tc>
              <w:tc>
                <w:tcPr>
                  <w:tcW w:w="470" w:type="dxa"/>
                  <w:vMerge w:val="restart"/>
                  <w:tcBorders>
                    <w:tl2br w:val="nil"/>
                    <w:tr2bl w:val="nil"/>
                  </w:tcBorders>
                  <w:shd w:val="clear" w:color="auto" w:fill="auto"/>
                  <w:noWrap/>
                  <w:tcMar>
                    <w:left w:w="28" w:type="dxa"/>
                    <w:right w:w="28" w:type="dxa"/>
                  </w:tcMar>
                  <w:vAlign w:val="center"/>
                </w:tcPr>
                <w:p w14:paraId="64AE7A67">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保护对象</w:t>
                  </w:r>
                </w:p>
              </w:tc>
              <w:tc>
                <w:tcPr>
                  <w:tcW w:w="1326" w:type="dxa"/>
                  <w:vMerge w:val="restart"/>
                  <w:tcBorders>
                    <w:tl2br w:val="nil"/>
                    <w:tr2bl w:val="nil"/>
                  </w:tcBorders>
                  <w:shd w:val="clear" w:color="auto" w:fill="auto"/>
                  <w:noWrap/>
                  <w:tcMar>
                    <w:left w:w="28" w:type="dxa"/>
                    <w:right w:w="28" w:type="dxa"/>
                  </w:tcMar>
                  <w:vAlign w:val="center"/>
                </w:tcPr>
                <w:p w14:paraId="31939B22">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保护内容</w:t>
                  </w:r>
                </w:p>
              </w:tc>
              <w:tc>
                <w:tcPr>
                  <w:tcW w:w="648" w:type="dxa"/>
                  <w:vMerge w:val="restart"/>
                  <w:tcBorders>
                    <w:tl2br w:val="nil"/>
                    <w:tr2bl w:val="nil"/>
                  </w:tcBorders>
                  <w:shd w:val="clear" w:color="auto" w:fill="auto"/>
                  <w:noWrap/>
                  <w:tcMar>
                    <w:left w:w="28" w:type="dxa"/>
                    <w:right w:w="28" w:type="dxa"/>
                  </w:tcMar>
                  <w:vAlign w:val="center"/>
                </w:tcPr>
                <w:p w14:paraId="1D9C7C3B">
                  <w:pPr>
                    <w:pStyle w:val="146"/>
                    <w:spacing w:line="240" w:lineRule="auto"/>
                    <w:ind w:left="-63" w:leftChars="-3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环境功能区</w:t>
                  </w:r>
                </w:p>
              </w:tc>
              <w:tc>
                <w:tcPr>
                  <w:tcW w:w="783" w:type="dxa"/>
                  <w:vMerge w:val="restart"/>
                  <w:tcBorders>
                    <w:tl2br w:val="nil"/>
                    <w:tr2bl w:val="nil"/>
                  </w:tcBorders>
                  <w:shd w:val="clear" w:color="auto" w:fill="auto"/>
                  <w:noWrap/>
                  <w:tcMar>
                    <w:left w:w="28" w:type="dxa"/>
                    <w:right w:w="28" w:type="dxa"/>
                  </w:tcMar>
                  <w:vAlign w:val="center"/>
                </w:tcPr>
                <w:p w14:paraId="45329946">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相对厂址方位</w:t>
                  </w:r>
                </w:p>
              </w:tc>
              <w:tc>
                <w:tcPr>
                  <w:tcW w:w="877" w:type="dxa"/>
                  <w:vMerge w:val="restart"/>
                  <w:tcBorders>
                    <w:tl2br w:val="nil"/>
                    <w:tr2bl w:val="nil"/>
                  </w:tcBorders>
                  <w:shd w:val="clear" w:color="auto" w:fill="auto"/>
                  <w:noWrap/>
                  <w:tcMar>
                    <w:left w:w="28" w:type="dxa"/>
                    <w:right w:w="28" w:type="dxa"/>
                  </w:tcMar>
                  <w:vAlign w:val="center"/>
                </w:tcPr>
                <w:p w14:paraId="7B3402E9">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相对厂界距离/m</w:t>
                  </w:r>
                </w:p>
              </w:tc>
            </w:tr>
            <w:tr w14:paraId="14FFA1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vMerge w:val="continue"/>
                  <w:tcBorders>
                    <w:tl2br w:val="nil"/>
                    <w:tr2bl w:val="nil"/>
                  </w:tcBorders>
                  <w:shd w:val="clear" w:color="auto" w:fill="auto"/>
                  <w:noWrap/>
                  <w:tcMar>
                    <w:left w:w="28" w:type="dxa"/>
                    <w:right w:w="28" w:type="dxa"/>
                  </w:tcMar>
                  <w:vAlign w:val="center"/>
                </w:tcPr>
                <w:p w14:paraId="01FB3BE3">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909" w:type="dxa"/>
                  <w:vMerge w:val="continue"/>
                  <w:tcBorders>
                    <w:tl2br w:val="nil"/>
                    <w:tr2bl w:val="nil"/>
                  </w:tcBorders>
                  <w:tcMar>
                    <w:left w:w="28" w:type="dxa"/>
                    <w:right w:w="28" w:type="dxa"/>
                  </w:tcMar>
                  <w:vAlign w:val="center"/>
                </w:tcPr>
                <w:p w14:paraId="27B4C802">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1089" w:type="dxa"/>
                  <w:tcBorders>
                    <w:tl2br w:val="nil"/>
                    <w:tr2bl w:val="nil"/>
                  </w:tcBorders>
                  <w:shd w:val="clear" w:color="auto" w:fill="auto"/>
                  <w:noWrap/>
                  <w:tcMar>
                    <w:left w:w="28" w:type="dxa"/>
                    <w:right w:w="28" w:type="dxa"/>
                  </w:tcMar>
                  <w:vAlign w:val="center"/>
                </w:tcPr>
                <w:p w14:paraId="070B13C3">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X</w:t>
                  </w:r>
                </w:p>
              </w:tc>
              <w:tc>
                <w:tcPr>
                  <w:tcW w:w="1410" w:type="dxa"/>
                  <w:tcBorders>
                    <w:tl2br w:val="nil"/>
                    <w:tr2bl w:val="nil"/>
                  </w:tcBorders>
                  <w:shd w:val="clear" w:color="auto" w:fill="auto"/>
                  <w:noWrap/>
                  <w:tcMar>
                    <w:left w:w="28" w:type="dxa"/>
                    <w:right w:w="28" w:type="dxa"/>
                  </w:tcMar>
                  <w:vAlign w:val="center"/>
                </w:tcPr>
                <w:p w14:paraId="5BD0BEEC">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Y</w:t>
                  </w:r>
                </w:p>
              </w:tc>
              <w:tc>
                <w:tcPr>
                  <w:tcW w:w="470" w:type="dxa"/>
                  <w:vMerge w:val="continue"/>
                  <w:tcBorders>
                    <w:tl2br w:val="nil"/>
                    <w:tr2bl w:val="nil"/>
                  </w:tcBorders>
                  <w:shd w:val="clear" w:color="auto" w:fill="auto"/>
                  <w:noWrap/>
                  <w:tcMar>
                    <w:left w:w="28" w:type="dxa"/>
                    <w:right w:w="28" w:type="dxa"/>
                  </w:tcMar>
                  <w:vAlign w:val="center"/>
                </w:tcPr>
                <w:p w14:paraId="2DED00B0">
                  <w:pPr>
                    <w:widowControl/>
                    <w:jc w:val="left"/>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1326" w:type="dxa"/>
                  <w:vMerge w:val="continue"/>
                  <w:tcBorders>
                    <w:tl2br w:val="nil"/>
                    <w:tr2bl w:val="nil"/>
                  </w:tcBorders>
                  <w:shd w:val="clear" w:color="auto" w:fill="auto"/>
                  <w:noWrap/>
                  <w:tcMar>
                    <w:left w:w="28" w:type="dxa"/>
                    <w:right w:w="28" w:type="dxa"/>
                  </w:tcMar>
                  <w:vAlign w:val="center"/>
                </w:tcPr>
                <w:p w14:paraId="72C66EBD">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648" w:type="dxa"/>
                  <w:vMerge w:val="continue"/>
                  <w:tcBorders>
                    <w:tl2br w:val="nil"/>
                    <w:tr2bl w:val="nil"/>
                  </w:tcBorders>
                  <w:shd w:val="clear" w:color="auto" w:fill="auto"/>
                  <w:noWrap/>
                  <w:tcMar>
                    <w:left w:w="28" w:type="dxa"/>
                    <w:right w:w="28" w:type="dxa"/>
                  </w:tcMar>
                  <w:vAlign w:val="center"/>
                </w:tcPr>
                <w:p w14:paraId="39FE3B92">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783" w:type="dxa"/>
                  <w:vMerge w:val="continue"/>
                  <w:tcBorders>
                    <w:tl2br w:val="nil"/>
                    <w:tr2bl w:val="nil"/>
                  </w:tcBorders>
                  <w:shd w:val="clear" w:color="auto" w:fill="auto"/>
                  <w:noWrap/>
                  <w:tcMar>
                    <w:left w:w="28" w:type="dxa"/>
                    <w:right w:w="28" w:type="dxa"/>
                  </w:tcMar>
                  <w:vAlign w:val="center"/>
                </w:tcPr>
                <w:p w14:paraId="1AB43443">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c>
                <w:tcPr>
                  <w:tcW w:w="877" w:type="dxa"/>
                  <w:vMerge w:val="continue"/>
                  <w:tcBorders>
                    <w:tl2br w:val="nil"/>
                    <w:tr2bl w:val="nil"/>
                  </w:tcBorders>
                  <w:shd w:val="clear" w:color="auto" w:fill="auto"/>
                  <w:noWrap/>
                  <w:tcMar>
                    <w:left w:w="28" w:type="dxa"/>
                    <w:right w:w="28" w:type="dxa"/>
                  </w:tcMar>
                  <w:vAlign w:val="center"/>
                </w:tcPr>
                <w:p w14:paraId="0D58D925">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p>
              </w:tc>
            </w:tr>
            <w:tr w14:paraId="5E557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dxa"/>
                  <w:tcBorders>
                    <w:tl2br w:val="nil"/>
                    <w:tr2bl w:val="nil"/>
                  </w:tcBorders>
                  <w:shd w:val="clear" w:color="auto" w:fill="auto"/>
                  <w:noWrap/>
                  <w:tcMar>
                    <w:left w:w="28" w:type="dxa"/>
                    <w:right w:w="28" w:type="dxa"/>
                  </w:tcMar>
                  <w:vAlign w:val="center"/>
                </w:tcPr>
                <w:p w14:paraId="5E1663C5">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1</w:t>
                  </w:r>
                </w:p>
              </w:tc>
              <w:tc>
                <w:tcPr>
                  <w:tcW w:w="909" w:type="dxa"/>
                  <w:tcBorders>
                    <w:tl2br w:val="nil"/>
                    <w:tr2bl w:val="nil"/>
                  </w:tcBorders>
                  <w:tcMar>
                    <w:left w:w="28" w:type="dxa"/>
                    <w:right w:w="28" w:type="dxa"/>
                  </w:tcMar>
                  <w:vAlign w:val="center"/>
                </w:tcPr>
                <w:p w14:paraId="071356E7">
                  <w:pPr>
                    <w:jc w:val="center"/>
                    <w:rPr>
                      <w:rFonts w:hint="default" w:ascii="Times New Roman" w:hAnsi="Times New Roman" w:eastAsia="宋体" w:cs="Times New Roman"/>
                      <w:color w:val="000000" w:themeColor="text1"/>
                      <w:kern w:val="0"/>
                      <w:sz w:val="18"/>
                      <w:szCs w:val="18"/>
                      <w:lang w:val="en-US"/>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规划居住用地</w:t>
                  </w:r>
                </w:p>
              </w:tc>
              <w:tc>
                <w:tcPr>
                  <w:tcW w:w="1089" w:type="dxa"/>
                  <w:tcBorders>
                    <w:tl2br w:val="nil"/>
                    <w:tr2bl w:val="nil"/>
                  </w:tcBorders>
                  <w:noWrap/>
                  <w:tcMar>
                    <w:left w:w="28" w:type="dxa"/>
                    <w:right w:w="28" w:type="dxa"/>
                  </w:tcMar>
                  <w:vAlign w:val="center"/>
                </w:tcPr>
                <w:p w14:paraId="0779B3F4">
                  <w:pPr>
                    <w:jc w:val="cente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119.899</w:t>
                  </w:r>
                </w:p>
              </w:tc>
              <w:tc>
                <w:tcPr>
                  <w:tcW w:w="1410" w:type="dxa"/>
                  <w:tcBorders>
                    <w:tl2br w:val="nil"/>
                    <w:tr2bl w:val="nil"/>
                  </w:tcBorders>
                  <w:noWrap/>
                  <w:tcMar>
                    <w:left w:w="28" w:type="dxa"/>
                    <w:right w:w="28" w:type="dxa"/>
                  </w:tcMar>
                  <w:vAlign w:val="center"/>
                </w:tcPr>
                <w:p w14:paraId="3F22BAF5">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30.249</w:t>
                  </w:r>
                </w:p>
              </w:tc>
              <w:tc>
                <w:tcPr>
                  <w:tcW w:w="470" w:type="dxa"/>
                  <w:tcBorders>
                    <w:tl2br w:val="nil"/>
                    <w:tr2bl w:val="nil"/>
                  </w:tcBorders>
                  <w:noWrap/>
                  <w:tcMar>
                    <w:left w:w="28" w:type="dxa"/>
                    <w:right w:w="28" w:type="dxa"/>
                  </w:tcMar>
                  <w:vAlign w:val="center"/>
                </w:tcPr>
                <w:p w14:paraId="2D5DD988">
                  <w:pPr>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kern w:val="0"/>
                      <w:sz w:val="18"/>
                      <w:szCs w:val="18"/>
                      <w14:textFill>
                        <w14:solidFill>
                          <w14:schemeClr w14:val="tx1"/>
                        </w14:solidFill>
                      </w14:textFill>
                    </w:rPr>
                    <w:t>居民</w:t>
                  </w:r>
                </w:p>
              </w:tc>
              <w:tc>
                <w:tcPr>
                  <w:tcW w:w="1326" w:type="dxa"/>
                  <w:tcBorders>
                    <w:tl2br w:val="nil"/>
                    <w:tr2bl w:val="nil"/>
                  </w:tcBorders>
                  <w:noWrap/>
                  <w:tcMar>
                    <w:left w:w="28" w:type="dxa"/>
                    <w:right w:w="28" w:type="dxa"/>
                  </w:tcMar>
                  <w:vAlign w:val="center"/>
                </w:tcPr>
                <w:p w14:paraId="020E3B75">
                  <w:pPr>
                    <w:widowControl/>
                    <w:jc w:val="center"/>
                    <w:rPr>
                      <w:rFonts w:hint="default" w:ascii="Times New Roman" w:hAnsi="Times New Roman" w:eastAsia="宋体" w:cs="Times New Roman"/>
                      <w:color w:val="000000" w:themeColor="text1"/>
                      <w:kern w:val="0"/>
                      <w:sz w:val="18"/>
                      <w:szCs w:val="18"/>
                      <w:vertAlign w:val="superscript"/>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约1.6 km</w:t>
                  </w:r>
                  <w:r>
                    <w:rPr>
                      <w:rFonts w:hint="default" w:ascii="Times New Roman" w:hAnsi="Times New Roman" w:eastAsia="宋体" w:cs="Times New Roman"/>
                      <w:color w:val="000000" w:themeColor="text1"/>
                      <w:kern w:val="0"/>
                      <w:sz w:val="18"/>
                      <w:szCs w:val="18"/>
                      <w:vertAlign w:val="superscript"/>
                      <w:lang w:val="en-US" w:eastAsia="zh-CN"/>
                      <w14:textFill>
                        <w14:solidFill>
                          <w14:schemeClr w14:val="tx1"/>
                        </w14:solidFill>
                      </w14:textFill>
                    </w:rPr>
                    <w:t>2</w:t>
                  </w:r>
                </w:p>
              </w:tc>
              <w:tc>
                <w:tcPr>
                  <w:tcW w:w="648" w:type="dxa"/>
                  <w:tcBorders>
                    <w:tl2br w:val="nil"/>
                    <w:tr2bl w:val="nil"/>
                  </w:tcBorders>
                  <w:shd w:val="clear" w:color="auto" w:fill="auto"/>
                  <w:noWrap/>
                  <w:tcMar>
                    <w:left w:w="28" w:type="dxa"/>
                    <w:right w:w="28" w:type="dxa"/>
                  </w:tcMar>
                  <w:vAlign w:val="center"/>
                </w:tcPr>
                <w:p w14:paraId="21A5AFBE">
                  <w:pPr>
                    <w:widowControl/>
                    <w:jc w:val="center"/>
                    <w:rPr>
                      <w:rFonts w:hint="default" w:ascii="Times New Roman" w:hAnsi="Times New Roman" w:eastAsia="宋体" w:cs="Times New Roman"/>
                      <w:color w:val="000000" w:themeColor="text1"/>
                      <w:kern w:val="0"/>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二类</w:t>
                  </w:r>
                </w:p>
              </w:tc>
              <w:tc>
                <w:tcPr>
                  <w:tcW w:w="783" w:type="dxa"/>
                  <w:tcBorders>
                    <w:tl2br w:val="nil"/>
                    <w:tr2bl w:val="nil"/>
                  </w:tcBorders>
                  <w:noWrap/>
                  <w:tcMar>
                    <w:left w:w="28" w:type="dxa"/>
                    <w:right w:w="28" w:type="dxa"/>
                  </w:tcMar>
                  <w:vAlign w:val="center"/>
                </w:tcPr>
                <w:p w14:paraId="62DEBC55">
                  <w:pPr>
                    <w:jc w:val="cente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西</w:t>
                  </w:r>
                </w:p>
              </w:tc>
              <w:tc>
                <w:tcPr>
                  <w:tcW w:w="877" w:type="dxa"/>
                  <w:tcBorders>
                    <w:tl2br w:val="nil"/>
                    <w:tr2bl w:val="nil"/>
                  </w:tcBorders>
                  <w:noWrap/>
                  <w:tcMar>
                    <w:left w:w="28" w:type="dxa"/>
                    <w:right w:w="28" w:type="dxa"/>
                  </w:tcMar>
                  <w:vAlign w:val="center"/>
                </w:tcPr>
                <w:p w14:paraId="44100820">
                  <w:pPr>
                    <w:jc w:val="cente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14:textFill>
                        <w14:solidFill>
                          <w14:schemeClr w14:val="tx1"/>
                        </w14:solidFill>
                      </w14:textFill>
                    </w:rPr>
                    <w:t>140</w:t>
                  </w:r>
                </w:p>
              </w:tc>
            </w:tr>
          </w:tbl>
          <w:p w14:paraId="6DFCE5BD">
            <w:pPr>
              <w:spacing w:line="360" w:lineRule="auto"/>
              <w:ind w:firstLine="0" w:firstLineChars="0"/>
            </w:pPr>
          </w:p>
          <w:p w14:paraId="065DE71A">
            <w:pPr>
              <w:spacing w:line="360" w:lineRule="auto"/>
              <w:rPr>
                <w:b/>
              </w:rPr>
            </w:pPr>
            <w:r>
              <w:rPr>
                <w:b/>
                <w:sz w:val="22"/>
                <w:szCs w:val="28"/>
              </w:rPr>
              <w:t>3.</w:t>
            </w:r>
            <w:r>
              <w:rPr>
                <w:rFonts w:hint="eastAsia"/>
                <w:b/>
                <w:sz w:val="22"/>
                <w:szCs w:val="28"/>
              </w:rPr>
              <w:t>2.2  声环境</w:t>
            </w:r>
          </w:p>
          <w:p w14:paraId="34B36BEE">
            <w:pPr>
              <w:spacing w:line="360" w:lineRule="auto"/>
              <w:ind w:firstLine="420" w:firstLineChars="200"/>
            </w:pPr>
            <w:r>
              <w:rPr>
                <w:rFonts w:hint="eastAsia"/>
              </w:rPr>
              <w:t>根据调查，项目厂界外50</w:t>
            </w:r>
            <w:r>
              <w:rPr>
                <w:rFonts w:hint="eastAsia"/>
                <w:lang w:val="en-US" w:eastAsia="zh-CN"/>
              </w:rPr>
              <w:t xml:space="preserve"> </w:t>
            </w:r>
            <w:r>
              <w:rPr>
                <w:rFonts w:hint="eastAsia"/>
              </w:rPr>
              <w:t>m范围无声环境保护目标。</w:t>
            </w:r>
          </w:p>
          <w:p w14:paraId="46604443">
            <w:pPr>
              <w:spacing w:line="360" w:lineRule="auto"/>
              <w:rPr>
                <w:b/>
                <w:sz w:val="22"/>
                <w:szCs w:val="28"/>
              </w:rPr>
            </w:pPr>
            <w:r>
              <w:rPr>
                <w:b/>
                <w:sz w:val="22"/>
                <w:szCs w:val="28"/>
              </w:rPr>
              <w:t>3.</w:t>
            </w:r>
            <w:r>
              <w:rPr>
                <w:rFonts w:hint="eastAsia"/>
                <w:b/>
                <w:sz w:val="22"/>
                <w:szCs w:val="28"/>
              </w:rPr>
              <w:t>2.3  地下水环境</w:t>
            </w:r>
          </w:p>
          <w:p w14:paraId="6A6A77FB">
            <w:pPr>
              <w:spacing w:line="360" w:lineRule="auto"/>
              <w:ind w:firstLine="420" w:firstLineChars="200"/>
            </w:pPr>
            <w:r>
              <w:rPr>
                <w:rFonts w:hint="eastAsia"/>
              </w:rPr>
              <w:t>根据调查，项目厂界外500</w:t>
            </w:r>
            <w:r>
              <w:rPr>
                <w:rFonts w:hint="eastAsia"/>
                <w:lang w:val="en-US" w:eastAsia="zh-CN"/>
              </w:rPr>
              <w:t xml:space="preserve"> m</w:t>
            </w:r>
            <w:r>
              <w:rPr>
                <w:rFonts w:hint="eastAsia"/>
              </w:rPr>
              <w:t>范围内无地下水集中式饮用水水源和热水、矿泉水、温泉等特殊地下水资源。</w:t>
            </w:r>
          </w:p>
          <w:p w14:paraId="6D067121">
            <w:pPr>
              <w:spacing w:line="360" w:lineRule="auto"/>
              <w:rPr>
                <w:b/>
                <w:sz w:val="22"/>
                <w:szCs w:val="28"/>
              </w:rPr>
            </w:pPr>
            <w:r>
              <w:rPr>
                <w:b/>
                <w:sz w:val="22"/>
                <w:szCs w:val="28"/>
              </w:rPr>
              <w:t>3.</w:t>
            </w:r>
            <w:r>
              <w:rPr>
                <w:rFonts w:hint="eastAsia"/>
                <w:b/>
                <w:sz w:val="22"/>
                <w:szCs w:val="28"/>
              </w:rPr>
              <w:t>2.4  生态环境</w:t>
            </w:r>
          </w:p>
          <w:p w14:paraId="0BAAE1E4">
            <w:pPr>
              <w:spacing w:line="360" w:lineRule="auto"/>
              <w:ind w:firstLine="420" w:firstLineChars="200"/>
              <w:rPr>
                <w:rFonts w:hint="eastAsia"/>
                <w:kern w:val="0"/>
                <w:szCs w:val="21"/>
              </w:rPr>
            </w:pPr>
            <w:r>
              <w:rPr>
                <w:rFonts w:hint="eastAsia"/>
                <w:kern w:val="0"/>
                <w:szCs w:val="21"/>
              </w:rPr>
              <w:t>本项目位于</w:t>
            </w:r>
            <w:r>
              <w:rPr>
                <w:rFonts w:hint="eastAsia"/>
              </w:rPr>
              <w:t>南湖未来科技园范围内，租用</w:t>
            </w:r>
            <w:r>
              <w:rPr>
                <w:rFonts w:hint="eastAsia"/>
                <w:bCs/>
                <w:szCs w:val="21"/>
              </w:rPr>
              <w:t>传嘉科技（杭州）闲置厂房</w:t>
            </w:r>
            <w:r>
              <w:rPr>
                <w:rFonts w:hint="eastAsia"/>
                <w:kern w:val="0"/>
                <w:szCs w:val="21"/>
              </w:rPr>
              <w:t>，不新增用地面积，不涉及生态环境保护目标。</w:t>
            </w:r>
          </w:p>
          <w:p w14:paraId="6A6CB1DC">
            <w:pPr>
              <w:spacing w:line="360" w:lineRule="auto"/>
              <w:ind w:firstLine="0" w:firstLineChars="0"/>
              <w:rPr>
                <w:rFonts w:hint="eastAsia"/>
                <w:kern w:val="0"/>
                <w:szCs w:val="21"/>
              </w:rPr>
            </w:pPr>
          </w:p>
          <w:p w14:paraId="4F8405B8">
            <w:pPr>
              <w:spacing w:line="360" w:lineRule="auto"/>
              <w:ind w:firstLine="0" w:firstLineChars="0"/>
              <w:rPr>
                <w:rFonts w:hint="eastAsia"/>
                <w:kern w:val="0"/>
                <w:szCs w:val="21"/>
              </w:rPr>
            </w:pPr>
          </w:p>
        </w:tc>
      </w:tr>
      <w:tr w14:paraId="02C41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0" w:type="dxa"/>
            <w:tcMar>
              <w:left w:w="28" w:type="dxa"/>
              <w:right w:w="28" w:type="dxa"/>
            </w:tcMar>
            <w:vAlign w:val="center"/>
          </w:tcPr>
          <w:p w14:paraId="1A5BF25C">
            <w:pPr>
              <w:adjustRightInd w:val="0"/>
              <w:snapToGrid w:val="0"/>
              <w:jc w:val="center"/>
              <w:rPr>
                <w:kern w:val="0"/>
                <w:szCs w:val="21"/>
              </w:rPr>
            </w:pPr>
            <w:r>
              <w:rPr>
                <w:rFonts w:hint="eastAsia"/>
                <w:kern w:val="0"/>
                <w:szCs w:val="21"/>
              </w:rPr>
              <w:t>污染</w:t>
            </w:r>
          </w:p>
          <w:p w14:paraId="41420652">
            <w:pPr>
              <w:adjustRightInd w:val="0"/>
              <w:snapToGrid w:val="0"/>
              <w:jc w:val="center"/>
              <w:rPr>
                <w:kern w:val="0"/>
                <w:szCs w:val="21"/>
              </w:rPr>
            </w:pPr>
            <w:r>
              <w:rPr>
                <w:rFonts w:hint="eastAsia"/>
                <w:kern w:val="0"/>
                <w:szCs w:val="21"/>
              </w:rPr>
              <w:t>物排</w:t>
            </w:r>
          </w:p>
          <w:p w14:paraId="562233B0">
            <w:pPr>
              <w:adjustRightInd w:val="0"/>
              <w:snapToGrid w:val="0"/>
              <w:jc w:val="center"/>
              <w:rPr>
                <w:kern w:val="0"/>
                <w:szCs w:val="21"/>
              </w:rPr>
            </w:pPr>
            <w:r>
              <w:rPr>
                <w:rFonts w:hint="eastAsia"/>
                <w:kern w:val="0"/>
                <w:szCs w:val="21"/>
              </w:rPr>
              <w:t>放控</w:t>
            </w:r>
          </w:p>
          <w:p w14:paraId="52BB755D">
            <w:pPr>
              <w:adjustRightInd w:val="0"/>
              <w:snapToGrid w:val="0"/>
              <w:jc w:val="center"/>
              <w:rPr>
                <w:kern w:val="0"/>
                <w:szCs w:val="21"/>
              </w:rPr>
            </w:pPr>
            <w:r>
              <w:rPr>
                <w:rFonts w:hint="eastAsia"/>
                <w:kern w:val="0"/>
                <w:szCs w:val="21"/>
              </w:rPr>
              <w:t>制标</w:t>
            </w:r>
          </w:p>
          <w:p w14:paraId="7C42AEF4">
            <w:pPr>
              <w:adjustRightInd w:val="0"/>
              <w:snapToGrid w:val="0"/>
              <w:jc w:val="center"/>
              <w:rPr>
                <w:kern w:val="0"/>
                <w:szCs w:val="21"/>
              </w:rPr>
            </w:pPr>
            <w:r>
              <w:rPr>
                <w:rFonts w:hint="eastAsia"/>
                <w:kern w:val="0"/>
                <w:szCs w:val="21"/>
              </w:rPr>
              <w:t>准</w:t>
            </w:r>
          </w:p>
        </w:tc>
        <w:tc>
          <w:tcPr>
            <w:tcW w:w="8190" w:type="dxa"/>
            <w:vAlign w:val="center"/>
          </w:tcPr>
          <w:p w14:paraId="69C14043">
            <w:pPr>
              <w:adjustRightInd w:val="0"/>
              <w:snapToGrid w:val="0"/>
              <w:spacing w:line="360" w:lineRule="auto"/>
              <w:rPr>
                <w:b/>
                <w:sz w:val="24"/>
                <w:szCs w:val="32"/>
              </w:rPr>
            </w:pPr>
            <w:bookmarkStart w:id="38" w:name="_Hlk137821131"/>
            <w:r>
              <w:rPr>
                <w:rFonts w:hint="eastAsia"/>
                <w:b/>
                <w:sz w:val="24"/>
                <w:szCs w:val="32"/>
              </w:rPr>
              <w:t>3.3  污染物排放控制标准</w:t>
            </w:r>
          </w:p>
          <w:p w14:paraId="42C73699">
            <w:pPr>
              <w:adjustRightInd w:val="0"/>
              <w:snapToGrid w:val="0"/>
              <w:spacing w:line="360" w:lineRule="auto"/>
              <w:rPr>
                <w:sz w:val="22"/>
                <w:szCs w:val="28"/>
              </w:rPr>
            </w:pPr>
            <w:r>
              <w:rPr>
                <w:b/>
                <w:sz w:val="22"/>
                <w:szCs w:val="28"/>
              </w:rPr>
              <w:t>3</w:t>
            </w:r>
            <w:r>
              <w:rPr>
                <w:rFonts w:hint="eastAsia"/>
                <w:b/>
                <w:sz w:val="22"/>
                <w:szCs w:val="28"/>
              </w:rPr>
              <w:t>.3.1  废气</w:t>
            </w:r>
          </w:p>
          <w:p w14:paraId="1D1AD55A">
            <w:pPr>
              <w:autoSpaceDE w:val="0"/>
              <w:autoSpaceDN w:val="0"/>
              <w:adjustRightInd w:val="0"/>
              <w:spacing w:line="360" w:lineRule="auto"/>
              <w:ind w:firstLine="420" w:firstLineChars="200"/>
              <w:rPr>
                <w:rFonts w:hint="eastAsia"/>
              </w:rPr>
            </w:pPr>
            <w:r>
              <w:rPr>
                <w:rFonts w:hint="eastAsia"/>
                <w:bCs/>
                <w:kern w:val="0"/>
                <w:szCs w:val="21"/>
              </w:rPr>
              <w:t>本项目产生的废气主要为管料受热废气、UV胶固化废气、涂覆废气</w:t>
            </w:r>
            <w:r>
              <w:rPr>
                <w:rFonts w:hint="eastAsia"/>
                <w:bCs/>
                <w:kern w:val="0"/>
                <w:szCs w:val="21"/>
                <w:lang w:eastAsia="zh-CN"/>
              </w:rPr>
              <w:t>、</w:t>
            </w:r>
            <w:r>
              <w:rPr>
                <w:rFonts w:hint="eastAsia"/>
                <w:bCs/>
                <w:kern w:val="0"/>
                <w:szCs w:val="21"/>
                <w:lang w:val="en-US" w:eastAsia="zh-CN"/>
              </w:rPr>
              <w:t>印刷废气</w:t>
            </w:r>
            <w:r>
              <w:rPr>
                <w:rFonts w:hint="eastAsia"/>
                <w:bCs/>
                <w:kern w:val="0"/>
                <w:szCs w:val="21"/>
                <w:lang w:eastAsia="zh-CN"/>
              </w:rPr>
              <w:t>、</w:t>
            </w:r>
            <w:r>
              <w:rPr>
                <w:rFonts w:hint="eastAsia"/>
                <w:bCs/>
                <w:kern w:val="0"/>
                <w:szCs w:val="21"/>
              </w:rPr>
              <w:t>实验室废气</w:t>
            </w:r>
            <w:r>
              <w:rPr>
                <w:rFonts w:hint="eastAsia"/>
                <w:bCs/>
                <w:kern w:val="0"/>
                <w:szCs w:val="21"/>
                <w:lang w:eastAsia="zh-CN"/>
              </w:rPr>
              <w:t>、</w:t>
            </w:r>
            <w:r>
              <w:rPr>
                <w:rFonts w:hint="eastAsia"/>
                <w:bCs/>
                <w:kern w:val="0"/>
                <w:szCs w:val="21"/>
                <w:lang w:val="en-US" w:eastAsia="zh-CN"/>
              </w:rPr>
              <w:t>危废及化学品仓库废气等</w:t>
            </w:r>
            <w:r>
              <w:rPr>
                <w:rFonts w:hint="eastAsia"/>
                <w:bCs/>
                <w:kern w:val="0"/>
                <w:szCs w:val="21"/>
              </w:rPr>
              <w:t>。</w:t>
            </w:r>
            <w:r>
              <w:rPr>
                <w:rFonts w:hint="eastAsia"/>
              </w:rPr>
              <w:t>亲水涂层、药物涂层生产车间废气在封闭洁净车间收集，经过1套一级活性炭吸附后，通过15 m高排气筒排放。</w:t>
            </w:r>
            <w:r>
              <w:rPr>
                <w:rFonts w:hint="eastAsia"/>
                <w:lang w:val="en-US" w:eastAsia="zh-CN"/>
              </w:rPr>
              <w:t>印刷废气及</w:t>
            </w:r>
            <w:r>
              <w:rPr>
                <w:rFonts w:hint="eastAsia"/>
              </w:rPr>
              <w:t>两个实验室</w:t>
            </w:r>
            <w:r>
              <w:rPr>
                <w:rFonts w:hint="eastAsia"/>
                <w:lang w:val="en-US" w:eastAsia="zh-CN"/>
              </w:rPr>
              <w:t>产生的</w:t>
            </w:r>
            <w:r>
              <w:rPr>
                <w:rFonts w:hint="eastAsia"/>
              </w:rPr>
              <w:t>废气，分别通过通风橱、密闭车间整体收集后，再分别经过1套一级活性炭吸附后，分别通过15 m高排气筒排放；微生物气溶胶经过生物安全柜收集，经过1套HEPA高效过滤器去除，通过15 m高排气筒排放。危化品仓库和化学品仓库废气在封闭房间收集，经过1套一级活性炭吸附后，通过15 m高排气筒排放。</w:t>
            </w:r>
          </w:p>
          <w:p w14:paraId="1CBA2469">
            <w:pPr>
              <w:numPr>
                <w:ilvl w:val="0"/>
                <w:numId w:val="9"/>
              </w:numPr>
              <w:autoSpaceDE w:val="0"/>
              <w:autoSpaceDN w:val="0"/>
              <w:adjustRightInd w:val="0"/>
              <w:spacing w:line="360" w:lineRule="auto"/>
              <w:ind w:firstLine="420" w:firstLineChars="200"/>
              <w:rPr>
                <w:b/>
                <w:kern w:val="0"/>
                <w:szCs w:val="21"/>
              </w:rPr>
            </w:pPr>
            <w:r>
              <w:rPr>
                <w:rFonts w:hint="eastAsia"/>
                <w:lang w:val="en-US" w:eastAsia="zh-CN"/>
              </w:rPr>
              <w:t>有组织废气排放标准</w:t>
            </w:r>
          </w:p>
          <w:p w14:paraId="0D38CDFD">
            <w:pPr>
              <w:numPr>
                <w:ilvl w:val="-1"/>
                <w:numId w:val="0"/>
              </w:numPr>
              <w:autoSpaceDE w:val="0"/>
              <w:autoSpaceDN w:val="0"/>
              <w:adjustRightInd w:val="0"/>
              <w:spacing w:line="360" w:lineRule="auto"/>
              <w:ind w:firstLine="420" w:firstLineChars="200"/>
              <w:rPr>
                <w:rFonts w:hint="eastAsia"/>
                <w:szCs w:val="21"/>
                <w:lang w:val="en-US" w:eastAsia="zh-CN"/>
              </w:rPr>
            </w:pPr>
            <w:r>
              <w:rPr>
                <w:rFonts w:hint="eastAsia"/>
                <w:b w:val="0"/>
                <w:bCs/>
                <w:kern w:val="0"/>
                <w:szCs w:val="21"/>
                <w:lang w:val="en-US" w:eastAsia="zh-CN"/>
              </w:rPr>
              <w:t>本项目设置多个15 m高排气筒，有组织废气执行</w:t>
            </w:r>
            <w:r>
              <w:rPr>
                <w:rFonts w:hint="eastAsia"/>
                <w:szCs w:val="21"/>
              </w:rPr>
              <w:t>《大气污染物综合排放标准》（GB 16297-1996）中表2的二级标准排放限值</w:t>
            </w:r>
            <w:r>
              <w:rPr>
                <w:rFonts w:hint="eastAsia"/>
                <w:szCs w:val="21"/>
                <w:lang w:eastAsia="zh-CN"/>
              </w:rPr>
              <w:t>。</w:t>
            </w:r>
            <w:r>
              <w:rPr>
                <w:rFonts w:hint="eastAsia"/>
                <w:szCs w:val="21"/>
              </w:rPr>
              <w:t>具体标准值见</w:t>
            </w:r>
            <w:r>
              <w:rPr>
                <w:rFonts w:hint="eastAsia"/>
                <w:szCs w:val="21"/>
                <w:lang w:val="en-US" w:eastAsia="zh-CN"/>
              </w:rPr>
              <w:t>下表。</w:t>
            </w:r>
          </w:p>
          <w:p w14:paraId="70138F2C">
            <w:pPr>
              <w:pStyle w:val="16"/>
              <w:widowControl/>
              <w:numPr>
                <w:ilvl w:val="0"/>
                <w:numId w:val="8"/>
              </w:numPr>
              <w:tabs>
                <w:tab w:val="left" w:pos="4515"/>
                <w:tab w:val="left" w:pos="5883"/>
                <w:tab w:val="left" w:pos="8718"/>
              </w:tabs>
              <w:adjustRightInd w:val="0"/>
              <w:snapToGrid w:val="0"/>
              <w:spacing w:line="360" w:lineRule="auto"/>
              <w:jc w:val="center"/>
              <w:rPr>
                <w:rFonts w:ascii="Times New Roman" w:hAnsi="Times New Roman" w:cs="Times New Roman"/>
                <w:bCs/>
                <w:kern w:val="0"/>
              </w:rPr>
            </w:pPr>
            <w:r>
              <w:rPr>
                <w:rFonts w:hint="eastAsia" w:ascii="黑体" w:hAnsi="黑体" w:eastAsia="黑体" w:cs="黑体"/>
                <w:bCs/>
              </w:rPr>
              <w:t xml:space="preserve"> </w:t>
            </w:r>
            <w:r>
              <w:rPr>
                <w:rFonts w:hint="eastAsia" w:ascii="黑体" w:hAnsi="黑体" w:eastAsia="黑体" w:cs="黑体"/>
                <w:bCs/>
                <w:lang w:val="en-US" w:eastAsia="zh-CN"/>
              </w:rPr>
              <w:t>有</w:t>
            </w:r>
            <w:r>
              <w:rPr>
                <w:rFonts w:hint="eastAsia" w:ascii="黑体" w:hAnsi="黑体" w:eastAsia="黑体" w:cs="黑体"/>
                <w:bCs/>
              </w:rPr>
              <w:t>组织排放限值  单位：mg/m</w:t>
            </w:r>
            <w:r>
              <w:rPr>
                <w:rFonts w:hint="eastAsia" w:ascii="黑体" w:hAnsi="黑体" w:eastAsia="黑体" w:cs="黑体"/>
                <w:bCs/>
                <w:vertAlign w:val="superscript"/>
              </w:rPr>
              <w:t>3</w:t>
            </w:r>
          </w:p>
          <w:tbl>
            <w:tblPr>
              <w:tblStyle w:val="27"/>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2464"/>
              <w:gridCol w:w="1349"/>
              <w:gridCol w:w="1867"/>
              <w:gridCol w:w="1400"/>
            </w:tblGrid>
            <w:tr w14:paraId="27101A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86" w:type="pct"/>
                  <w:vMerge w:val="restart"/>
                  <w:tcBorders>
                    <w:tl2br w:val="nil"/>
                    <w:tr2bl w:val="nil"/>
                  </w:tcBorders>
                  <w:vAlign w:val="center"/>
                </w:tcPr>
                <w:p w14:paraId="16B6B240">
                  <w:pPr>
                    <w:keepNext/>
                    <w:snapToGrid w:val="0"/>
                    <w:jc w:val="center"/>
                    <w:rPr>
                      <w:rFonts w:ascii="Times New Roman" w:hAnsi="Times New Roman" w:cs="Times New Roman"/>
                      <w:b w:val="0"/>
                      <w:bCs/>
                      <w:sz w:val="18"/>
                      <w:szCs w:val="18"/>
                    </w:rPr>
                  </w:pPr>
                  <w:r>
                    <w:rPr>
                      <w:rFonts w:hint="default" w:ascii="Times New Roman" w:hAnsi="Times New Roman" w:cs="Times New Roman"/>
                      <w:b w:val="0"/>
                      <w:bCs/>
                      <w:sz w:val="18"/>
                      <w:szCs w:val="18"/>
                    </w:rPr>
                    <w:t>污染物</w:t>
                  </w:r>
                </w:p>
              </w:tc>
              <w:tc>
                <w:tcPr>
                  <w:tcW w:w="4413" w:type="pct"/>
                  <w:gridSpan w:val="4"/>
                  <w:tcBorders>
                    <w:tl2br w:val="nil"/>
                    <w:tr2bl w:val="nil"/>
                  </w:tcBorders>
                  <w:vAlign w:val="center"/>
                </w:tcPr>
                <w:p w14:paraId="6B33AD9B">
                  <w:pPr>
                    <w:keepNext/>
                    <w:snapToGrid w:val="0"/>
                    <w:jc w:val="center"/>
                    <w:rPr>
                      <w:rFonts w:hint="default" w:ascii="Times New Roman" w:hAnsi="Times New Roman" w:cs="Times New Roman"/>
                      <w:b w:val="0"/>
                      <w:bCs/>
                      <w:sz w:val="18"/>
                      <w:szCs w:val="18"/>
                    </w:rPr>
                  </w:pPr>
                  <w:r>
                    <w:rPr>
                      <w:rFonts w:hint="default" w:ascii="Times New Roman" w:hAnsi="Times New Roman" w:cs="Times New Roman"/>
                      <w:b w:val="0"/>
                      <w:bCs/>
                      <w:sz w:val="18"/>
                      <w:szCs w:val="18"/>
                    </w:rPr>
                    <w:t>有组织排放标准</w:t>
                  </w:r>
                </w:p>
              </w:tc>
            </w:tr>
            <w:tr w14:paraId="2E972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86" w:type="pct"/>
                  <w:vMerge w:val="continue"/>
                  <w:tcBorders>
                    <w:tl2br w:val="nil"/>
                    <w:tr2bl w:val="nil"/>
                  </w:tcBorders>
                  <w:vAlign w:val="center"/>
                </w:tcPr>
                <w:p w14:paraId="6DD2A5C2">
                  <w:pPr>
                    <w:keepNext/>
                    <w:snapToGrid w:val="0"/>
                    <w:jc w:val="center"/>
                    <w:rPr>
                      <w:rFonts w:ascii="Times New Roman" w:hAnsi="Times New Roman" w:cs="Times New Roman"/>
                      <w:b w:val="0"/>
                      <w:bCs/>
                      <w:sz w:val="18"/>
                      <w:szCs w:val="18"/>
                    </w:rPr>
                  </w:pPr>
                </w:p>
              </w:tc>
              <w:tc>
                <w:tcPr>
                  <w:tcW w:w="1536" w:type="pct"/>
                  <w:tcBorders>
                    <w:tl2br w:val="nil"/>
                    <w:tr2bl w:val="nil"/>
                  </w:tcBorders>
                  <w:vAlign w:val="center"/>
                </w:tcPr>
                <w:p w14:paraId="5460486F">
                  <w:pPr>
                    <w:keepNext/>
                    <w:snapToGrid w:val="0"/>
                    <w:jc w:val="center"/>
                    <w:rPr>
                      <w:rFonts w:hint="default" w:ascii="Times New Roman" w:hAnsi="Times New Roman" w:cs="Times New Roman"/>
                      <w:b w:val="0"/>
                      <w:bCs/>
                      <w:sz w:val="18"/>
                      <w:szCs w:val="18"/>
                    </w:rPr>
                  </w:pPr>
                  <w:r>
                    <w:rPr>
                      <w:rFonts w:hint="default" w:ascii="Times New Roman" w:hAnsi="Times New Roman" w:cs="Times New Roman"/>
                      <w:b w:val="0"/>
                      <w:bCs/>
                      <w:sz w:val="18"/>
                      <w:szCs w:val="18"/>
                    </w:rPr>
                    <w:t>最高允许排放浓度（mg/m³）</w:t>
                  </w:r>
                </w:p>
              </w:tc>
              <w:tc>
                <w:tcPr>
                  <w:tcW w:w="841" w:type="pct"/>
                  <w:tcBorders>
                    <w:tl2br w:val="nil"/>
                    <w:tr2bl w:val="nil"/>
                  </w:tcBorders>
                  <w:vAlign w:val="center"/>
                </w:tcPr>
                <w:p w14:paraId="7FFC5E6E">
                  <w:pPr>
                    <w:keepNext/>
                    <w:snapToGrid w:val="0"/>
                    <w:jc w:val="center"/>
                    <w:rPr>
                      <w:rFonts w:hint="default" w:ascii="Times New Roman" w:hAnsi="Times New Roman" w:cs="Times New Roman"/>
                      <w:b w:val="0"/>
                      <w:bCs/>
                      <w:sz w:val="18"/>
                      <w:szCs w:val="18"/>
                    </w:rPr>
                  </w:pPr>
                  <w:r>
                    <w:rPr>
                      <w:rFonts w:hint="default" w:ascii="Times New Roman" w:hAnsi="Times New Roman" w:cs="Times New Roman"/>
                      <w:b w:val="0"/>
                      <w:bCs/>
                      <w:sz w:val="18"/>
                      <w:szCs w:val="18"/>
                    </w:rPr>
                    <w:t>排气筒高度（m）</w:t>
                  </w:r>
                </w:p>
              </w:tc>
              <w:tc>
                <w:tcPr>
                  <w:tcW w:w="1164" w:type="pct"/>
                  <w:tcBorders>
                    <w:tl2br w:val="nil"/>
                    <w:tr2bl w:val="nil"/>
                  </w:tcBorders>
                  <w:vAlign w:val="center"/>
                </w:tcPr>
                <w:p w14:paraId="5F578A18">
                  <w:pPr>
                    <w:keepNext/>
                    <w:snapToGrid w:val="0"/>
                    <w:jc w:val="center"/>
                    <w:rPr>
                      <w:rFonts w:hint="default" w:ascii="Times New Roman" w:hAnsi="Times New Roman" w:cs="Times New Roman"/>
                      <w:b w:val="0"/>
                      <w:bCs/>
                      <w:sz w:val="18"/>
                      <w:szCs w:val="18"/>
                    </w:rPr>
                  </w:pPr>
                  <w:r>
                    <w:rPr>
                      <w:rFonts w:hint="default" w:ascii="Times New Roman" w:hAnsi="Times New Roman" w:cs="Times New Roman"/>
                      <w:b w:val="0"/>
                      <w:bCs/>
                      <w:sz w:val="18"/>
                      <w:szCs w:val="18"/>
                    </w:rPr>
                    <w:t>最高允许排放速率（kg/h）</w:t>
                  </w:r>
                </w:p>
              </w:tc>
              <w:tc>
                <w:tcPr>
                  <w:tcW w:w="871" w:type="pct"/>
                  <w:tcBorders>
                    <w:tl2br w:val="nil"/>
                    <w:tr2bl w:val="nil"/>
                  </w:tcBorders>
                  <w:vAlign w:val="center"/>
                </w:tcPr>
                <w:p w14:paraId="2531550F">
                  <w:pPr>
                    <w:keepNext/>
                    <w:snapToGrid w:val="0"/>
                    <w:jc w:val="center"/>
                    <w:rPr>
                      <w:rFonts w:hint="default" w:ascii="Times New Roman" w:hAnsi="Times New Roman" w:eastAsia="宋体" w:cs="Times New Roman"/>
                      <w:b w:val="0"/>
                      <w:bCs/>
                      <w:sz w:val="18"/>
                      <w:szCs w:val="18"/>
                      <w:lang w:val="en-US" w:eastAsia="zh-CN"/>
                    </w:rPr>
                  </w:pPr>
                  <w:r>
                    <w:rPr>
                      <w:rFonts w:hint="default" w:ascii="Times New Roman" w:hAnsi="Times New Roman" w:cs="Times New Roman"/>
                      <w:b w:val="0"/>
                      <w:bCs/>
                      <w:sz w:val="18"/>
                      <w:szCs w:val="18"/>
                      <w:lang w:val="en-US" w:eastAsia="zh-CN"/>
                    </w:rPr>
                    <w:t>严格50%</w:t>
                  </w:r>
                  <w:r>
                    <w:rPr>
                      <w:rFonts w:hint="default" w:ascii="Times New Roman" w:hAnsi="Times New Roman" w:cs="Times New Roman"/>
                      <w:b w:val="0"/>
                      <w:bCs/>
                      <w:sz w:val="18"/>
                      <w:szCs w:val="18"/>
                    </w:rPr>
                    <w:t>（kg/h）</w:t>
                  </w:r>
                  <w:r>
                    <w:rPr>
                      <w:rFonts w:hint="default" w:ascii="Times New Roman" w:hAnsi="Times New Roman" w:cs="Times New Roman"/>
                      <w:b w:val="0"/>
                      <w:bCs/>
                      <w:sz w:val="18"/>
                      <w:szCs w:val="18"/>
                      <w:vertAlign w:val="superscript"/>
                      <w:lang w:val="en-US" w:eastAsia="zh-CN"/>
                    </w:rPr>
                    <w:t>①</w:t>
                  </w:r>
                </w:p>
              </w:tc>
            </w:tr>
            <w:tr w14:paraId="70A70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6" w:type="pct"/>
                  <w:tcBorders>
                    <w:tl2br w:val="nil"/>
                    <w:tr2bl w:val="nil"/>
                  </w:tcBorders>
                  <w:shd w:val="clear" w:color="auto" w:fill="auto"/>
                  <w:vAlign w:val="center"/>
                </w:tcPr>
                <w:p w14:paraId="60DFAE36">
                  <w:pPr>
                    <w:jc w:val="center"/>
                    <w:rPr>
                      <w:rFonts w:hint="default" w:ascii="Times New Roman" w:hAnsi="Times New Roman" w:eastAsia="宋体" w:cs="Times New Roman"/>
                      <w:bCs/>
                      <w:kern w:val="2"/>
                      <w:sz w:val="18"/>
                      <w:szCs w:val="18"/>
                      <w:vertAlign w:val="baseline"/>
                      <w:lang w:val="en-US" w:eastAsia="zh-CN" w:bidi="ar-SA"/>
                    </w:rPr>
                  </w:pPr>
                  <w:r>
                    <w:rPr>
                      <w:rFonts w:hint="default" w:ascii="Times New Roman" w:hAnsi="Times New Roman" w:eastAsia="宋体" w:cs="Times New Roman"/>
                      <w:bCs/>
                      <w:sz w:val="18"/>
                      <w:szCs w:val="18"/>
                      <w:vertAlign w:val="baseline"/>
                      <w:lang w:val="en-US" w:eastAsia="zh-CN"/>
                    </w:rPr>
                    <w:t>氯化氢</w:t>
                  </w:r>
                </w:p>
              </w:tc>
              <w:tc>
                <w:tcPr>
                  <w:tcW w:w="1536" w:type="pct"/>
                  <w:tcBorders>
                    <w:tl2br w:val="nil"/>
                    <w:tr2bl w:val="nil"/>
                  </w:tcBorders>
                  <w:vAlign w:val="center"/>
                </w:tcPr>
                <w:p w14:paraId="218CF75E">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100</w:t>
                  </w:r>
                </w:p>
              </w:tc>
              <w:tc>
                <w:tcPr>
                  <w:tcW w:w="841" w:type="pct"/>
                  <w:tcBorders>
                    <w:tl2br w:val="nil"/>
                    <w:tr2bl w:val="nil"/>
                  </w:tcBorders>
                  <w:vAlign w:val="center"/>
                </w:tcPr>
                <w:p w14:paraId="0821E5BA">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w:t>
                  </w:r>
                </w:p>
              </w:tc>
              <w:tc>
                <w:tcPr>
                  <w:tcW w:w="1164" w:type="pct"/>
                  <w:tcBorders>
                    <w:tl2br w:val="nil"/>
                    <w:tr2bl w:val="nil"/>
                  </w:tcBorders>
                  <w:vAlign w:val="center"/>
                </w:tcPr>
                <w:p w14:paraId="35EB2BEA">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0.26</w:t>
                  </w:r>
                </w:p>
              </w:tc>
              <w:tc>
                <w:tcPr>
                  <w:tcW w:w="871" w:type="pct"/>
                  <w:tcBorders>
                    <w:tl2br w:val="nil"/>
                    <w:tr2bl w:val="nil"/>
                  </w:tcBorders>
                  <w:vAlign w:val="center"/>
                </w:tcPr>
                <w:p w14:paraId="6BEC3A00">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0.13</w:t>
                  </w:r>
                </w:p>
              </w:tc>
            </w:tr>
            <w:tr w14:paraId="0B45E1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6" w:type="pct"/>
                  <w:tcBorders>
                    <w:tl2br w:val="nil"/>
                    <w:tr2bl w:val="nil"/>
                  </w:tcBorders>
                  <w:shd w:val="clear" w:color="auto" w:fill="auto"/>
                  <w:vAlign w:val="center"/>
                </w:tcPr>
                <w:p w14:paraId="1F13170C">
                  <w:pPr>
                    <w:jc w:val="center"/>
                    <w:rPr>
                      <w:rFonts w:hint="default" w:ascii="Times New Roman" w:hAnsi="Times New Roman" w:eastAsia="宋体" w:cs="Times New Roman"/>
                      <w:bCs/>
                      <w:kern w:val="2"/>
                      <w:sz w:val="18"/>
                      <w:szCs w:val="18"/>
                      <w:vertAlign w:val="baseline"/>
                      <w:lang w:val="en-US" w:eastAsia="zh-CN" w:bidi="ar-SA"/>
                    </w:rPr>
                  </w:pPr>
                  <w:r>
                    <w:rPr>
                      <w:rFonts w:hint="default" w:ascii="Times New Roman" w:hAnsi="Times New Roman" w:eastAsia="宋体" w:cs="Times New Roman"/>
                      <w:bCs/>
                      <w:sz w:val="18"/>
                      <w:szCs w:val="18"/>
                      <w:vertAlign w:val="baseline"/>
                      <w:lang w:val="en-US" w:eastAsia="zh-CN"/>
                    </w:rPr>
                    <w:t>硫酸雾</w:t>
                  </w:r>
                </w:p>
              </w:tc>
              <w:tc>
                <w:tcPr>
                  <w:tcW w:w="1536" w:type="pct"/>
                  <w:tcBorders>
                    <w:tl2br w:val="nil"/>
                    <w:tr2bl w:val="nil"/>
                  </w:tcBorders>
                  <w:vAlign w:val="center"/>
                </w:tcPr>
                <w:p w14:paraId="0F65726B">
                  <w:pPr>
                    <w:keepNext/>
                    <w:snapToGrid w:val="0"/>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45</w:t>
                  </w:r>
                </w:p>
                <w:p w14:paraId="27184830">
                  <w:pPr>
                    <w:keepNext/>
                    <w:snapToGrid w:val="0"/>
                    <w:jc w:val="center"/>
                    <w:rPr>
                      <w:rFonts w:hint="default" w:ascii="Times New Roman" w:hAnsi="Times New Roman" w:cs="Times New Roman"/>
                      <w:sz w:val="18"/>
                      <w:szCs w:val="18"/>
                      <w:lang w:val="en-US" w:eastAsia="zh-CN"/>
                    </w:rPr>
                  </w:pPr>
                  <w:r>
                    <w:rPr>
                      <w:rFonts w:hint="eastAsia" w:cs="Times New Roman"/>
                      <w:sz w:val="18"/>
                      <w:szCs w:val="18"/>
                      <w:lang w:val="en-US" w:eastAsia="zh-CN"/>
                    </w:rPr>
                    <w:t>（其他）</w:t>
                  </w:r>
                </w:p>
              </w:tc>
              <w:tc>
                <w:tcPr>
                  <w:tcW w:w="841" w:type="pct"/>
                  <w:tcBorders>
                    <w:tl2br w:val="nil"/>
                    <w:tr2bl w:val="nil"/>
                  </w:tcBorders>
                  <w:vAlign w:val="center"/>
                </w:tcPr>
                <w:p w14:paraId="15ED714E">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w:t>
                  </w:r>
                </w:p>
              </w:tc>
              <w:tc>
                <w:tcPr>
                  <w:tcW w:w="1164" w:type="pct"/>
                  <w:tcBorders>
                    <w:tl2br w:val="nil"/>
                    <w:tr2bl w:val="nil"/>
                  </w:tcBorders>
                  <w:vAlign w:val="center"/>
                </w:tcPr>
                <w:p w14:paraId="56F6841F">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1.5</w:t>
                  </w:r>
                </w:p>
              </w:tc>
              <w:tc>
                <w:tcPr>
                  <w:tcW w:w="871" w:type="pct"/>
                  <w:tcBorders>
                    <w:tl2br w:val="nil"/>
                    <w:tr2bl w:val="nil"/>
                  </w:tcBorders>
                  <w:vAlign w:val="center"/>
                </w:tcPr>
                <w:p w14:paraId="2A655A91">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0.75</w:t>
                  </w:r>
                </w:p>
              </w:tc>
            </w:tr>
            <w:tr w14:paraId="62F6A6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6" w:type="pct"/>
                  <w:tcBorders>
                    <w:tl2br w:val="nil"/>
                    <w:tr2bl w:val="nil"/>
                  </w:tcBorders>
                  <w:shd w:val="clear" w:color="auto" w:fill="auto"/>
                  <w:vAlign w:val="center"/>
                </w:tcPr>
                <w:p w14:paraId="5F0AA345">
                  <w:pPr>
                    <w:jc w:val="center"/>
                    <w:rPr>
                      <w:rFonts w:hint="default" w:ascii="Times New Roman" w:hAnsi="Times New Roman" w:eastAsia="宋体" w:cs="Times New Roman"/>
                      <w:bCs/>
                      <w:kern w:val="2"/>
                      <w:sz w:val="18"/>
                      <w:szCs w:val="18"/>
                      <w:vertAlign w:val="baseline"/>
                      <w:lang w:val="en-US" w:eastAsia="zh-CN" w:bidi="ar-SA"/>
                    </w:rPr>
                  </w:pPr>
                  <w:r>
                    <w:rPr>
                      <w:rFonts w:hint="default" w:ascii="Times New Roman" w:hAnsi="Times New Roman" w:eastAsia="宋体" w:cs="Times New Roman"/>
                      <w:bCs/>
                      <w:sz w:val="18"/>
                      <w:szCs w:val="18"/>
                      <w:vertAlign w:val="baseline"/>
                      <w:lang w:val="en-US" w:eastAsia="zh-CN"/>
                    </w:rPr>
                    <w:t>甲苯</w:t>
                  </w:r>
                </w:p>
              </w:tc>
              <w:tc>
                <w:tcPr>
                  <w:tcW w:w="1536" w:type="pct"/>
                  <w:tcBorders>
                    <w:tl2br w:val="nil"/>
                    <w:tr2bl w:val="nil"/>
                  </w:tcBorders>
                  <w:vAlign w:val="center"/>
                </w:tcPr>
                <w:p w14:paraId="5D21640E">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40</w:t>
                  </w:r>
                </w:p>
              </w:tc>
              <w:tc>
                <w:tcPr>
                  <w:tcW w:w="841" w:type="pct"/>
                  <w:tcBorders>
                    <w:tl2br w:val="nil"/>
                    <w:tr2bl w:val="nil"/>
                  </w:tcBorders>
                  <w:vAlign w:val="center"/>
                </w:tcPr>
                <w:p w14:paraId="21AF60D8">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w:t>
                  </w:r>
                </w:p>
              </w:tc>
              <w:tc>
                <w:tcPr>
                  <w:tcW w:w="1164" w:type="pct"/>
                  <w:tcBorders>
                    <w:tl2br w:val="nil"/>
                    <w:tr2bl w:val="nil"/>
                  </w:tcBorders>
                  <w:vAlign w:val="center"/>
                </w:tcPr>
                <w:p w14:paraId="7D67D327">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3.1</w:t>
                  </w:r>
                </w:p>
              </w:tc>
              <w:tc>
                <w:tcPr>
                  <w:tcW w:w="871" w:type="pct"/>
                  <w:tcBorders>
                    <w:tl2br w:val="nil"/>
                    <w:tr2bl w:val="nil"/>
                  </w:tcBorders>
                  <w:vAlign w:val="center"/>
                </w:tcPr>
                <w:p w14:paraId="29D87EBD">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1.55</w:t>
                  </w:r>
                </w:p>
              </w:tc>
            </w:tr>
            <w:tr w14:paraId="32B0F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6" w:type="pct"/>
                  <w:tcBorders>
                    <w:tl2br w:val="nil"/>
                    <w:tr2bl w:val="nil"/>
                  </w:tcBorders>
                  <w:shd w:val="clear" w:color="auto" w:fill="auto"/>
                  <w:vAlign w:val="center"/>
                </w:tcPr>
                <w:p w14:paraId="42C308EE">
                  <w:pPr>
                    <w:jc w:val="center"/>
                    <w:rPr>
                      <w:rFonts w:hint="default" w:ascii="Times New Roman" w:hAnsi="Times New Roman" w:eastAsia="宋体" w:cs="Times New Roman"/>
                      <w:bCs/>
                      <w:kern w:val="2"/>
                      <w:sz w:val="18"/>
                      <w:szCs w:val="18"/>
                      <w:vertAlign w:val="baseline"/>
                      <w:lang w:val="en-US" w:eastAsia="zh-CN" w:bidi="ar-SA"/>
                    </w:rPr>
                  </w:pPr>
                  <w:r>
                    <w:rPr>
                      <w:rFonts w:hint="default" w:ascii="Times New Roman" w:hAnsi="Times New Roman" w:eastAsia="宋体" w:cs="Times New Roman"/>
                      <w:bCs/>
                      <w:sz w:val="18"/>
                      <w:szCs w:val="18"/>
                      <w:vertAlign w:val="baseline"/>
                      <w:lang w:val="en-US" w:eastAsia="zh-CN"/>
                    </w:rPr>
                    <w:t>苯胺类</w:t>
                  </w:r>
                </w:p>
              </w:tc>
              <w:tc>
                <w:tcPr>
                  <w:tcW w:w="1536" w:type="pct"/>
                  <w:tcBorders>
                    <w:tl2br w:val="nil"/>
                    <w:tr2bl w:val="nil"/>
                  </w:tcBorders>
                  <w:vAlign w:val="center"/>
                </w:tcPr>
                <w:p w14:paraId="5CA6036E">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20</w:t>
                  </w:r>
                </w:p>
              </w:tc>
              <w:tc>
                <w:tcPr>
                  <w:tcW w:w="841" w:type="pct"/>
                  <w:tcBorders>
                    <w:tl2br w:val="nil"/>
                    <w:tr2bl w:val="nil"/>
                  </w:tcBorders>
                  <w:vAlign w:val="center"/>
                </w:tcPr>
                <w:p w14:paraId="720E76CA">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15</w:t>
                  </w:r>
                </w:p>
              </w:tc>
              <w:tc>
                <w:tcPr>
                  <w:tcW w:w="1164" w:type="pct"/>
                  <w:tcBorders>
                    <w:tl2br w:val="nil"/>
                    <w:tr2bl w:val="nil"/>
                  </w:tcBorders>
                  <w:vAlign w:val="center"/>
                </w:tcPr>
                <w:p w14:paraId="4C671E6D">
                  <w:pPr>
                    <w:keepNext/>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0.52</w:t>
                  </w:r>
                </w:p>
              </w:tc>
              <w:tc>
                <w:tcPr>
                  <w:tcW w:w="871" w:type="pct"/>
                  <w:tcBorders>
                    <w:tl2br w:val="nil"/>
                    <w:tr2bl w:val="nil"/>
                  </w:tcBorders>
                  <w:vAlign w:val="center"/>
                </w:tcPr>
                <w:p w14:paraId="12C58C4E">
                  <w:pPr>
                    <w:keepNext/>
                    <w:snapToGrid w:val="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0.26</w:t>
                  </w:r>
                </w:p>
              </w:tc>
            </w:tr>
            <w:tr w14:paraId="63C245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6" w:type="pct"/>
                  <w:tcBorders>
                    <w:tl2br w:val="nil"/>
                    <w:tr2bl w:val="nil"/>
                  </w:tcBorders>
                  <w:shd w:val="clear" w:color="auto" w:fill="auto"/>
                  <w:vAlign w:val="center"/>
                </w:tcPr>
                <w:p w14:paraId="0256DE63">
                  <w:pPr>
                    <w:keepNext/>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非甲烷总烃</w:t>
                  </w:r>
                </w:p>
              </w:tc>
              <w:tc>
                <w:tcPr>
                  <w:tcW w:w="1536" w:type="pct"/>
                  <w:tcBorders>
                    <w:tl2br w:val="nil"/>
                    <w:tr2bl w:val="nil"/>
                  </w:tcBorders>
                  <w:shd w:val="clear" w:color="auto" w:fill="auto"/>
                  <w:vAlign w:val="center"/>
                </w:tcPr>
                <w:p w14:paraId="332F7602">
                  <w:pPr>
                    <w:keepNext/>
                    <w:snapToGrid w:val="0"/>
                    <w:jc w:val="center"/>
                    <w:rPr>
                      <w:rFonts w:hint="default" w:ascii="Times New Roman" w:hAnsi="Times New Roman" w:cs="Times New Roman"/>
                      <w:sz w:val="18"/>
                      <w:szCs w:val="18"/>
                    </w:rPr>
                  </w:pPr>
                  <w:r>
                    <w:rPr>
                      <w:rFonts w:hint="default" w:ascii="Times New Roman" w:hAnsi="Times New Roman" w:cs="Times New Roman"/>
                      <w:sz w:val="18"/>
                      <w:szCs w:val="18"/>
                    </w:rPr>
                    <w:t>120</w:t>
                  </w:r>
                </w:p>
                <w:p w14:paraId="28FEF362">
                  <w:pPr>
                    <w:keepNext/>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（使用溶剂汽油或其他混合烃类物质）</w:t>
                  </w:r>
                </w:p>
              </w:tc>
              <w:tc>
                <w:tcPr>
                  <w:tcW w:w="841" w:type="pct"/>
                  <w:tcBorders>
                    <w:tl2br w:val="nil"/>
                    <w:tr2bl w:val="nil"/>
                  </w:tcBorders>
                  <w:shd w:val="clear" w:color="auto" w:fill="auto"/>
                  <w:vAlign w:val="center"/>
                </w:tcPr>
                <w:p w14:paraId="131D8D1E">
                  <w:pPr>
                    <w:keepNext/>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15</w:t>
                  </w:r>
                </w:p>
              </w:tc>
              <w:tc>
                <w:tcPr>
                  <w:tcW w:w="1164" w:type="pct"/>
                  <w:tcBorders>
                    <w:tl2br w:val="nil"/>
                    <w:tr2bl w:val="nil"/>
                  </w:tcBorders>
                  <w:shd w:val="clear" w:color="auto" w:fill="auto"/>
                  <w:vAlign w:val="center"/>
                </w:tcPr>
                <w:p w14:paraId="03D7F827">
                  <w:pPr>
                    <w:keepNext/>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rPr>
                    <w:t>10</w:t>
                  </w:r>
                </w:p>
              </w:tc>
              <w:tc>
                <w:tcPr>
                  <w:tcW w:w="871" w:type="pct"/>
                  <w:tcBorders>
                    <w:tl2br w:val="nil"/>
                    <w:tr2bl w:val="nil"/>
                  </w:tcBorders>
                  <w:shd w:val="clear" w:color="auto" w:fill="auto"/>
                  <w:vAlign w:val="center"/>
                </w:tcPr>
                <w:p w14:paraId="2A258201">
                  <w:pPr>
                    <w:keepNext/>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5</w:t>
                  </w:r>
                </w:p>
              </w:tc>
            </w:tr>
            <w:tr w14:paraId="04788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tl2br w:val="nil"/>
                    <w:tr2bl w:val="nil"/>
                  </w:tcBorders>
                  <w:vAlign w:val="center"/>
                </w:tcPr>
                <w:p w14:paraId="375B806E">
                  <w:pPr>
                    <w:keepNext/>
                    <w:snapToGrid w:val="0"/>
                    <w:jc w:val="both"/>
                    <w:rPr>
                      <w:rFonts w:hint="default" w:ascii="Times New Roman" w:hAnsi="Times New Roman" w:cs="Times New Roman"/>
                      <w:sz w:val="18"/>
                      <w:szCs w:val="18"/>
                      <w:lang w:val="en-US" w:eastAsia="zh-CN"/>
                    </w:rPr>
                  </w:pPr>
                  <w:r>
                    <w:rPr>
                      <w:rFonts w:hint="eastAsia" w:ascii="宋体" w:hAnsi="宋体" w:cs="宋体"/>
                      <w:b w:val="0"/>
                      <w:bCs w:val="0"/>
                      <w:sz w:val="18"/>
                      <w:szCs w:val="21"/>
                      <w:lang w:val="en-US" w:eastAsia="zh-CN" w:bidi="ar"/>
                    </w:rPr>
                    <w:t>备注：</w:t>
                  </w:r>
                  <w:r>
                    <w:rPr>
                      <w:rFonts w:hint="eastAsia" w:ascii="宋体" w:hAnsi="宋体" w:cs="宋体"/>
                      <w:b w:val="0"/>
                      <w:bCs w:val="0"/>
                      <w:sz w:val="18"/>
                      <w:szCs w:val="21"/>
                      <w:lang w:bidi="ar"/>
                    </w:rPr>
                    <w:t>根据</w:t>
                  </w:r>
                  <w:r>
                    <w:rPr>
                      <w:rFonts w:hint="eastAsia"/>
                      <w:sz w:val="18"/>
                    </w:rPr>
                    <w:t>《大气污染物综合排放标准》（</w:t>
                  </w:r>
                  <w:r>
                    <w:rPr>
                      <w:sz w:val="18"/>
                    </w:rPr>
                    <w:t>GB16297-1996</w:t>
                  </w:r>
                  <w:r>
                    <w:rPr>
                      <w:rFonts w:hint="eastAsia"/>
                      <w:sz w:val="18"/>
                    </w:rPr>
                    <w:t>）</w:t>
                  </w:r>
                  <w:r>
                    <w:rPr>
                      <w:rFonts w:hint="eastAsia"/>
                      <w:sz w:val="18"/>
                      <w:lang w:val="en-US" w:eastAsia="zh-CN"/>
                    </w:rPr>
                    <w:t>7.1条</w:t>
                  </w:r>
                  <w:r>
                    <w:rPr>
                      <w:rFonts w:hint="eastAsia"/>
                      <w:sz w:val="18"/>
                    </w:rPr>
                    <w:t>：排气筒高度应高出周围</w:t>
                  </w:r>
                  <w:r>
                    <w:rPr>
                      <w:sz w:val="18"/>
                    </w:rPr>
                    <w:t>200m</w:t>
                  </w:r>
                  <w:r>
                    <w:rPr>
                      <w:rFonts w:hint="eastAsia"/>
                      <w:sz w:val="18"/>
                    </w:rPr>
                    <w:t>半径范围的建筑</w:t>
                  </w:r>
                  <w:r>
                    <w:rPr>
                      <w:sz w:val="18"/>
                    </w:rPr>
                    <w:t>5m</w:t>
                  </w:r>
                  <w:r>
                    <w:rPr>
                      <w:rFonts w:hint="eastAsia"/>
                      <w:sz w:val="18"/>
                    </w:rPr>
                    <w:t>以上，不能达到该要求的排气筒，应按其高度对应的表列排放速率标准值严格</w:t>
                  </w:r>
                  <w:r>
                    <w:rPr>
                      <w:sz w:val="18"/>
                    </w:rPr>
                    <w:t>50%</w:t>
                  </w:r>
                  <w:r>
                    <w:rPr>
                      <w:rFonts w:hint="eastAsia"/>
                      <w:sz w:val="18"/>
                    </w:rPr>
                    <w:t>执行。本项目已进行相应折算。</w:t>
                  </w:r>
                </w:p>
              </w:tc>
            </w:tr>
          </w:tbl>
          <w:p w14:paraId="7CE80945">
            <w:pPr>
              <w:numPr>
                <w:ilvl w:val="0"/>
                <w:numId w:val="9"/>
              </w:numPr>
              <w:autoSpaceDE w:val="0"/>
              <w:autoSpaceDN w:val="0"/>
              <w:adjustRightInd w:val="0"/>
              <w:spacing w:line="360" w:lineRule="auto"/>
              <w:ind w:firstLine="422" w:firstLineChars="200"/>
              <w:rPr>
                <w:b/>
                <w:kern w:val="0"/>
                <w:szCs w:val="21"/>
              </w:rPr>
            </w:pPr>
            <w:r>
              <w:rPr>
                <w:rFonts w:hint="eastAsia"/>
                <w:b/>
                <w:kern w:val="0"/>
                <w:szCs w:val="21"/>
                <w:lang w:val="en-US" w:eastAsia="zh-CN"/>
              </w:rPr>
              <w:t>厂区内无组织废气排放标准</w:t>
            </w:r>
          </w:p>
          <w:p w14:paraId="78B26B88">
            <w:pPr>
              <w:spacing w:line="360" w:lineRule="auto"/>
              <w:ind w:firstLine="482"/>
              <w:rPr>
                <w:rFonts w:hint="default" w:eastAsia="宋体"/>
                <w:bCs/>
                <w:kern w:val="0"/>
                <w:szCs w:val="21"/>
                <w:lang w:val="en-US" w:eastAsia="zh-CN"/>
              </w:rPr>
            </w:pPr>
            <w:r>
              <w:rPr>
                <w:rFonts w:hint="default"/>
                <w:bCs/>
                <w:kern w:val="0"/>
                <w:szCs w:val="21"/>
                <w:lang w:val="en-US"/>
              </w:rPr>
              <w:t>厂区内车间外无组织非甲烷总烃排放执行《挥发性有机物无组织排放控制标准》（GB 37822-2019）附录A厂区内VOCs无组织排放限值</w:t>
            </w:r>
            <w:r>
              <w:rPr>
                <w:rFonts w:hint="eastAsia"/>
                <w:bCs/>
                <w:kern w:val="0"/>
                <w:szCs w:val="21"/>
                <w:lang w:val="en-US" w:eastAsia="zh-CN"/>
              </w:rPr>
              <w:t>，详见下表。</w:t>
            </w:r>
          </w:p>
          <w:p w14:paraId="36FE4562">
            <w:pPr>
              <w:pStyle w:val="16"/>
              <w:widowControl/>
              <w:numPr>
                <w:ilvl w:val="0"/>
                <w:numId w:val="8"/>
              </w:numPr>
              <w:tabs>
                <w:tab w:val="left" w:pos="4515"/>
                <w:tab w:val="left" w:pos="5883"/>
                <w:tab w:val="left" w:pos="8718"/>
              </w:tabs>
              <w:adjustRightInd w:val="0"/>
              <w:snapToGrid w:val="0"/>
              <w:spacing w:line="360" w:lineRule="auto"/>
              <w:jc w:val="center"/>
              <w:rPr>
                <w:rFonts w:ascii="Times New Roman" w:hAnsi="Times New Roman" w:cs="Times New Roman"/>
                <w:bCs/>
                <w:kern w:val="0"/>
              </w:rPr>
            </w:pPr>
            <w:r>
              <w:rPr>
                <w:rFonts w:hint="eastAsia" w:ascii="黑体" w:hAnsi="黑体" w:eastAsia="黑体" w:cs="黑体"/>
                <w:bCs/>
              </w:rPr>
              <w:t xml:space="preserve"> 厂区内无组织排放限值  单位：mg/m</w:t>
            </w:r>
            <w:r>
              <w:rPr>
                <w:rFonts w:hint="eastAsia" w:ascii="黑体" w:hAnsi="黑体" w:eastAsia="黑体" w:cs="黑体"/>
                <w:bCs/>
                <w:vertAlign w:val="superscript"/>
              </w:rPr>
              <w:t>3</w:t>
            </w:r>
          </w:p>
          <w:tbl>
            <w:tblPr>
              <w:tblStyle w:val="26"/>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1626"/>
              <w:gridCol w:w="2905"/>
              <w:gridCol w:w="2214"/>
            </w:tblGrid>
            <w:tr w14:paraId="37CDB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795" w:type="pct"/>
                  <w:tcBorders>
                    <w:tl2br w:val="nil"/>
                    <w:tr2bl w:val="nil"/>
                  </w:tcBorders>
                  <w:vAlign w:val="center"/>
                </w:tcPr>
                <w:p w14:paraId="6E0CD127">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污染物项目</w:t>
                  </w:r>
                </w:p>
              </w:tc>
              <w:tc>
                <w:tcPr>
                  <w:tcW w:w="1013" w:type="pct"/>
                  <w:tcBorders>
                    <w:tl2br w:val="nil"/>
                    <w:tr2bl w:val="nil"/>
                  </w:tcBorders>
                  <w:vAlign w:val="center"/>
                </w:tcPr>
                <w:p w14:paraId="27FC3725">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特别排放限值</w:t>
                  </w:r>
                </w:p>
              </w:tc>
              <w:tc>
                <w:tcPr>
                  <w:tcW w:w="1810" w:type="pct"/>
                  <w:tcBorders>
                    <w:tl2br w:val="nil"/>
                    <w:tr2bl w:val="nil"/>
                  </w:tcBorders>
                  <w:vAlign w:val="center"/>
                </w:tcPr>
                <w:p w14:paraId="065D01AE">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限值含义</w:t>
                  </w:r>
                </w:p>
              </w:tc>
              <w:tc>
                <w:tcPr>
                  <w:tcW w:w="1379" w:type="pct"/>
                  <w:tcBorders>
                    <w:tl2br w:val="nil"/>
                    <w:tr2bl w:val="nil"/>
                  </w:tcBorders>
                  <w:vAlign w:val="center"/>
                </w:tcPr>
                <w:p w14:paraId="4F0E1FE2">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无组织排放监控位置</w:t>
                  </w:r>
                </w:p>
              </w:tc>
            </w:tr>
            <w:tr w14:paraId="7334A8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pct"/>
                  <w:vMerge w:val="restart"/>
                  <w:tcBorders>
                    <w:tl2br w:val="nil"/>
                    <w:tr2bl w:val="nil"/>
                  </w:tcBorders>
                  <w:vAlign w:val="center"/>
                </w:tcPr>
                <w:p w14:paraId="754F1D94">
                  <w:pPr>
                    <w:pStyle w:val="8"/>
                    <w:ind w:left="0" w:leftChars="0" w:firstLine="0" w:firstLineChars="0"/>
                    <w:jc w:val="center"/>
                    <w:rPr>
                      <w:rFonts w:ascii="Times New Roman" w:hAnsi="Times New Roman" w:cs="Times New Roman"/>
                      <w:color w:val="auto"/>
                      <w:sz w:val="18"/>
                      <w:szCs w:val="18"/>
                    </w:rPr>
                  </w:pPr>
                  <w:r>
                    <w:rPr>
                      <w:rFonts w:hint="default" w:ascii="Times New Roman" w:hAnsi="Times New Roman" w:cs="Times New Roman"/>
                      <w:sz w:val="18"/>
                      <w:szCs w:val="18"/>
                    </w:rPr>
                    <w:t>非甲烷总烃</w:t>
                  </w:r>
                </w:p>
              </w:tc>
              <w:tc>
                <w:tcPr>
                  <w:tcW w:w="1013" w:type="pct"/>
                  <w:tcBorders>
                    <w:tl2br w:val="nil"/>
                    <w:tr2bl w:val="nil"/>
                  </w:tcBorders>
                  <w:vAlign w:val="center"/>
                </w:tcPr>
                <w:p w14:paraId="2B484880">
                  <w:pPr>
                    <w:pStyle w:val="8"/>
                    <w:ind w:left="0" w:leftChars="0" w:firstLine="0" w:firstLineChars="0"/>
                    <w:jc w:val="center"/>
                    <w:rPr>
                      <w:rFonts w:ascii="Times New Roman" w:hAnsi="Times New Roman" w:cs="Times New Roman"/>
                      <w:color w:val="auto"/>
                      <w:sz w:val="18"/>
                      <w:szCs w:val="18"/>
                    </w:rPr>
                  </w:pPr>
                  <w:r>
                    <w:rPr>
                      <w:rFonts w:ascii="Times New Roman" w:hAnsi="Times New Roman" w:cs="Times New Roman"/>
                      <w:color w:val="auto"/>
                      <w:sz w:val="18"/>
                      <w:szCs w:val="18"/>
                    </w:rPr>
                    <w:t>6</w:t>
                  </w:r>
                </w:p>
              </w:tc>
              <w:tc>
                <w:tcPr>
                  <w:tcW w:w="1810" w:type="pct"/>
                  <w:tcBorders>
                    <w:tl2br w:val="nil"/>
                    <w:tr2bl w:val="nil"/>
                  </w:tcBorders>
                  <w:vAlign w:val="center"/>
                </w:tcPr>
                <w:p w14:paraId="5EFE1970">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监控点处1h平均浓度值</w:t>
                  </w:r>
                </w:p>
              </w:tc>
              <w:tc>
                <w:tcPr>
                  <w:tcW w:w="1379" w:type="pct"/>
                  <w:vMerge w:val="restart"/>
                  <w:tcBorders>
                    <w:tl2br w:val="nil"/>
                    <w:tr2bl w:val="nil"/>
                  </w:tcBorders>
                  <w:vAlign w:val="center"/>
                </w:tcPr>
                <w:p w14:paraId="092454D1">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在厂房外设置监控点</w:t>
                  </w:r>
                </w:p>
              </w:tc>
            </w:tr>
            <w:tr w14:paraId="1EA29D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5" w:type="pct"/>
                  <w:vMerge w:val="continue"/>
                  <w:tcBorders>
                    <w:tl2br w:val="nil"/>
                    <w:tr2bl w:val="nil"/>
                  </w:tcBorders>
                  <w:vAlign w:val="center"/>
                </w:tcPr>
                <w:p w14:paraId="09E043F3">
                  <w:pPr>
                    <w:pStyle w:val="8"/>
                    <w:ind w:left="0" w:leftChars="0" w:firstLine="0" w:firstLineChars="0"/>
                    <w:jc w:val="center"/>
                    <w:rPr>
                      <w:rFonts w:ascii="Times New Roman" w:hAnsi="Times New Roman" w:cs="Times New Roman"/>
                      <w:color w:val="auto"/>
                      <w:sz w:val="18"/>
                      <w:szCs w:val="18"/>
                    </w:rPr>
                  </w:pPr>
                </w:p>
              </w:tc>
              <w:tc>
                <w:tcPr>
                  <w:tcW w:w="1013" w:type="pct"/>
                  <w:tcBorders>
                    <w:tl2br w:val="nil"/>
                    <w:tr2bl w:val="nil"/>
                  </w:tcBorders>
                  <w:vAlign w:val="center"/>
                </w:tcPr>
                <w:p w14:paraId="239D5270">
                  <w:pPr>
                    <w:pStyle w:val="8"/>
                    <w:ind w:left="0" w:leftChars="0" w:firstLine="0" w:firstLineChars="0"/>
                    <w:jc w:val="center"/>
                    <w:rPr>
                      <w:rFonts w:ascii="Times New Roman" w:hAnsi="Times New Roman" w:cs="Times New Roman"/>
                      <w:color w:val="auto"/>
                      <w:sz w:val="18"/>
                      <w:szCs w:val="18"/>
                    </w:rPr>
                  </w:pPr>
                  <w:r>
                    <w:rPr>
                      <w:rFonts w:ascii="Times New Roman" w:hAnsi="Times New Roman" w:cs="Times New Roman"/>
                      <w:color w:val="auto"/>
                      <w:sz w:val="18"/>
                      <w:szCs w:val="18"/>
                    </w:rPr>
                    <w:t>20</w:t>
                  </w:r>
                </w:p>
              </w:tc>
              <w:tc>
                <w:tcPr>
                  <w:tcW w:w="1810" w:type="pct"/>
                  <w:tcBorders>
                    <w:tl2br w:val="nil"/>
                    <w:tr2bl w:val="nil"/>
                  </w:tcBorders>
                  <w:vAlign w:val="center"/>
                </w:tcPr>
                <w:p w14:paraId="23BA4C70">
                  <w:pPr>
                    <w:pStyle w:val="8"/>
                    <w:ind w:left="0" w:leftChars="0" w:firstLine="0" w:firstLineChars="0"/>
                    <w:jc w:val="center"/>
                    <w:rPr>
                      <w:rFonts w:ascii="Times New Roman" w:hAnsi="Times New Roman" w:cs="Times New Roman"/>
                      <w:color w:val="auto"/>
                      <w:sz w:val="18"/>
                      <w:szCs w:val="18"/>
                    </w:rPr>
                  </w:pPr>
                  <w:r>
                    <w:rPr>
                      <w:rFonts w:hint="eastAsia" w:ascii="Times New Roman" w:hAnsi="Times New Roman" w:cs="Times New Roman"/>
                      <w:color w:val="auto"/>
                      <w:sz w:val="18"/>
                      <w:szCs w:val="18"/>
                    </w:rPr>
                    <w:t>监控点处任意一次浓度值</w:t>
                  </w:r>
                </w:p>
              </w:tc>
              <w:tc>
                <w:tcPr>
                  <w:tcW w:w="1379" w:type="pct"/>
                  <w:vMerge w:val="continue"/>
                  <w:tcBorders>
                    <w:tl2br w:val="nil"/>
                    <w:tr2bl w:val="nil"/>
                  </w:tcBorders>
                  <w:vAlign w:val="center"/>
                </w:tcPr>
                <w:p w14:paraId="3B141633">
                  <w:pPr>
                    <w:pStyle w:val="8"/>
                    <w:ind w:left="0" w:leftChars="0" w:firstLine="0" w:firstLineChars="0"/>
                    <w:rPr>
                      <w:rFonts w:ascii="Times New Roman" w:hAnsi="Times New Roman" w:cs="Times New Roman"/>
                      <w:color w:val="auto"/>
                      <w:sz w:val="18"/>
                      <w:szCs w:val="18"/>
                    </w:rPr>
                  </w:pPr>
                </w:p>
              </w:tc>
            </w:tr>
          </w:tbl>
          <w:p w14:paraId="08CCABCB">
            <w:pPr>
              <w:numPr>
                <w:ilvl w:val="0"/>
                <w:numId w:val="9"/>
              </w:numPr>
              <w:autoSpaceDE w:val="0"/>
              <w:autoSpaceDN w:val="0"/>
              <w:adjustRightInd w:val="0"/>
              <w:spacing w:line="360" w:lineRule="auto"/>
              <w:ind w:firstLine="422" w:firstLineChars="200"/>
              <w:rPr>
                <w:b/>
                <w:kern w:val="0"/>
                <w:szCs w:val="21"/>
              </w:rPr>
            </w:pPr>
            <w:r>
              <w:rPr>
                <w:rFonts w:hint="eastAsia"/>
                <w:b/>
                <w:kern w:val="0"/>
                <w:szCs w:val="21"/>
                <w:lang w:val="en-US" w:eastAsia="zh-CN"/>
              </w:rPr>
              <w:t>厂界</w:t>
            </w:r>
            <w:r>
              <w:rPr>
                <w:rFonts w:hint="eastAsia"/>
                <w:b/>
                <w:kern w:val="0"/>
                <w:szCs w:val="21"/>
              </w:rPr>
              <w:t>无组织</w:t>
            </w:r>
            <w:r>
              <w:rPr>
                <w:rFonts w:hint="eastAsia"/>
                <w:b/>
                <w:kern w:val="0"/>
                <w:szCs w:val="21"/>
                <w:lang w:val="en-US" w:eastAsia="zh-CN"/>
              </w:rPr>
              <w:t>废气</w:t>
            </w:r>
            <w:r>
              <w:rPr>
                <w:rFonts w:hint="eastAsia"/>
                <w:b/>
                <w:kern w:val="0"/>
                <w:szCs w:val="21"/>
              </w:rPr>
              <w:t>排放标准</w:t>
            </w:r>
          </w:p>
          <w:p w14:paraId="2C99CEA9">
            <w:pPr>
              <w:pStyle w:val="11"/>
              <w:keepNext/>
              <w:spacing w:before="0" w:after="0" w:line="360" w:lineRule="auto"/>
              <w:ind w:firstLine="420" w:firstLineChars="200"/>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rPr>
              <w:t>生产车间废气排放污染因子为非甲烷总烃，</w:t>
            </w:r>
            <w:r>
              <w:rPr>
                <w:rFonts w:hint="eastAsia" w:ascii="Times New Roman" w:hAnsi="Times New Roman" w:eastAsia="宋体"/>
                <w:bCs/>
                <w:kern w:val="0"/>
                <w:sz w:val="21"/>
                <w:szCs w:val="21"/>
                <w:lang w:val="en-US"/>
              </w:rPr>
              <w:t>实验室废气包括甲苯废气、非甲烷总烃、硫酸雾、氯化氢，执行《大气污染物综合排放标准》（GB16297-1996）表2无组织排放监控浓度限值，详见下表</w:t>
            </w:r>
            <w:r>
              <w:rPr>
                <w:rFonts w:hint="eastAsia" w:ascii="Times New Roman" w:hAnsi="Times New Roman" w:eastAsia="宋体"/>
                <w:bCs/>
                <w:kern w:val="0"/>
                <w:sz w:val="21"/>
                <w:szCs w:val="21"/>
                <w:lang w:val="en-US" w:eastAsia="zh-CN"/>
              </w:rPr>
              <w:t>。</w:t>
            </w:r>
          </w:p>
          <w:p w14:paraId="7858339A">
            <w:pPr>
              <w:pStyle w:val="16"/>
              <w:widowControl/>
              <w:numPr>
                <w:ilvl w:val="0"/>
                <w:numId w:val="8"/>
              </w:numPr>
              <w:tabs>
                <w:tab w:val="left" w:pos="4515"/>
                <w:tab w:val="left" w:pos="5883"/>
                <w:tab w:val="left" w:pos="8718"/>
              </w:tabs>
              <w:adjustRightInd w:val="0"/>
              <w:snapToGrid w:val="0"/>
              <w:spacing w:line="360" w:lineRule="auto"/>
              <w:jc w:val="center"/>
              <w:rPr>
                <w:rFonts w:ascii="Times New Roman" w:hAnsi="Times New Roman" w:cs="Times New Roman"/>
                <w:b/>
                <w:bCs/>
              </w:rPr>
            </w:pPr>
            <w:r>
              <w:rPr>
                <w:rFonts w:hint="eastAsia" w:ascii="黑体" w:hAnsi="黑体" w:eastAsia="黑体" w:cs="黑体"/>
                <w:bCs/>
              </w:rPr>
              <w:t xml:space="preserve"> 企业边界大气污染物浓度限值  单位：mg/m</w:t>
            </w:r>
            <w:r>
              <w:rPr>
                <w:rFonts w:hint="eastAsia" w:ascii="黑体" w:hAnsi="黑体" w:eastAsia="黑体" w:cs="黑体"/>
                <w:bCs/>
                <w:vertAlign w:val="superscript"/>
              </w:rPr>
              <w:t>3</w:t>
            </w:r>
          </w:p>
          <w:tbl>
            <w:tblPr>
              <w:tblStyle w:val="27"/>
              <w:tblW w:w="79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427"/>
              <w:gridCol w:w="3753"/>
              <w:gridCol w:w="1994"/>
            </w:tblGrid>
            <w:tr w14:paraId="34F418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Merge w:val="restart"/>
                  <w:tcBorders>
                    <w:tl2br w:val="nil"/>
                    <w:tr2bl w:val="nil"/>
                  </w:tcBorders>
                </w:tcPr>
                <w:p w14:paraId="16F82BB2">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序号</w:t>
                  </w:r>
                </w:p>
              </w:tc>
              <w:tc>
                <w:tcPr>
                  <w:tcW w:w="1427" w:type="dxa"/>
                  <w:vMerge w:val="restart"/>
                  <w:tcBorders>
                    <w:tl2br w:val="nil"/>
                    <w:tr2bl w:val="nil"/>
                  </w:tcBorders>
                </w:tcPr>
                <w:p w14:paraId="00E29250">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污染物</w:t>
                  </w:r>
                </w:p>
              </w:tc>
              <w:tc>
                <w:tcPr>
                  <w:tcW w:w="5747" w:type="dxa"/>
                  <w:gridSpan w:val="2"/>
                  <w:tcBorders>
                    <w:tl2br w:val="nil"/>
                    <w:tr2bl w:val="nil"/>
                  </w:tcBorders>
                </w:tcPr>
                <w:p w14:paraId="65748CFC">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无组织排放监控浓度限值</w:t>
                  </w:r>
                </w:p>
              </w:tc>
            </w:tr>
            <w:tr w14:paraId="3069AC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Merge w:val="continue"/>
                  <w:tcBorders>
                    <w:tl2br w:val="nil"/>
                    <w:tr2bl w:val="nil"/>
                  </w:tcBorders>
                </w:tcPr>
                <w:p w14:paraId="127F2D9C">
                  <w:pPr>
                    <w:jc w:val="center"/>
                    <w:rPr>
                      <w:rFonts w:hint="default" w:ascii="Times New Roman" w:hAnsi="Times New Roman" w:eastAsia="宋体" w:cs="Times New Roman"/>
                      <w:bCs/>
                      <w:sz w:val="18"/>
                      <w:szCs w:val="18"/>
                      <w:vertAlign w:val="baseline"/>
                    </w:rPr>
                  </w:pPr>
                </w:p>
              </w:tc>
              <w:tc>
                <w:tcPr>
                  <w:tcW w:w="1427" w:type="dxa"/>
                  <w:vMerge w:val="continue"/>
                  <w:tcBorders>
                    <w:tl2br w:val="nil"/>
                    <w:tr2bl w:val="nil"/>
                  </w:tcBorders>
                </w:tcPr>
                <w:p w14:paraId="51C377DB">
                  <w:pPr>
                    <w:jc w:val="center"/>
                    <w:rPr>
                      <w:rFonts w:hint="default" w:ascii="Times New Roman" w:hAnsi="Times New Roman" w:eastAsia="宋体" w:cs="Times New Roman"/>
                      <w:bCs/>
                      <w:sz w:val="18"/>
                      <w:szCs w:val="18"/>
                      <w:vertAlign w:val="baseline"/>
                    </w:rPr>
                  </w:pPr>
                </w:p>
              </w:tc>
              <w:tc>
                <w:tcPr>
                  <w:tcW w:w="3753" w:type="dxa"/>
                  <w:tcBorders>
                    <w:tl2br w:val="nil"/>
                    <w:tr2bl w:val="nil"/>
                  </w:tcBorders>
                </w:tcPr>
                <w:p w14:paraId="543119A5">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监控点</w:t>
                  </w:r>
                </w:p>
              </w:tc>
              <w:tc>
                <w:tcPr>
                  <w:tcW w:w="1994" w:type="dxa"/>
                  <w:tcBorders>
                    <w:tl2br w:val="nil"/>
                    <w:tr2bl w:val="nil"/>
                  </w:tcBorders>
                </w:tcPr>
                <w:p w14:paraId="2E783B11">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浓度</w:t>
                  </w:r>
                </w:p>
              </w:tc>
            </w:tr>
            <w:tr w14:paraId="474B5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l2br w:val="nil"/>
                    <w:tr2bl w:val="nil"/>
                  </w:tcBorders>
                </w:tcPr>
                <w:p w14:paraId="10021AB0">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1</w:t>
                  </w:r>
                </w:p>
              </w:tc>
              <w:tc>
                <w:tcPr>
                  <w:tcW w:w="1427" w:type="dxa"/>
                  <w:tcBorders>
                    <w:tl2br w:val="nil"/>
                    <w:tr2bl w:val="nil"/>
                  </w:tcBorders>
                </w:tcPr>
                <w:p w14:paraId="352CBE64">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氯化氢</w:t>
                  </w:r>
                </w:p>
              </w:tc>
              <w:tc>
                <w:tcPr>
                  <w:tcW w:w="3753" w:type="dxa"/>
                  <w:tcBorders>
                    <w:tl2br w:val="nil"/>
                    <w:tr2bl w:val="nil"/>
                  </w:tcBorders>
                </w:tcPr>
                <w:p w14:paraId="30DF8FF1">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周界外浓度最高点</w:t>
                  </w:r>
                </w:p>
              </w:tc>
              <w:tc>
                <w:tcPr>
                  <w:tcW w:w="1994" w:type="dxa"/>
                  <w:tcBorders>
                    <w:tl2br w:val="nil"/>
                    <w:tr2bl w:val="nil"/>
                  </w:tcBorders>
                </w:tcPr>
                <w:p w14:paraId="3BFFAFB5">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0.20</w:t>
                  </w:r>
                </w:p>
              </w:tc>
            </w:tr>
            <w:tr w14:paraId="7923A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l2br w:val="nil"/>
                    <w:tr2bl w:val="nil"/>
                  </w:tcBorders>
                </w:tcPr>
                <w:p w14:paraId="75BC885D">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2</w:t>
                  </w:r>
                </w:p>
              </w:tc>
              <w:tc>
                <w:tcPr>
                  <w:tcW w:w="1427" w:type="dxa"/>
                  <w:tcBorders>
                    <w:tl2br w:val="nil"/>
                    <w:tr2bl w:val="nil"/>
                  </w:tcBorders>
                </w:tcPr>
                <w:p w14:paraId="0F913AF1">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硫酸雾</w:t>
                  </w:r>
                </w:p>
              </w:tc>
              <w:tc>
                <w:tcPr>
                  <w:tcW w:w="3753" w:type="dxa"/>
                  <w:tcBorders>
                    <w:tl2br w:val="nil"/>
                    <w:tr2bl w:val="nil"/>
                  </w:tcBorders>
                </w:tcPr>
                <w:p w14:paraId="65D2957C">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周界外浓度最高点</w:t>
                  </w:r>
                </w:p>
              </w:tc>
              <w:tc>
                <w:tcPr>
                  <w:tcW w:w="1994" w:type="dxa"/>
                  <w:tcBorders>
                    <w:tl2br w:val="nil"/>
                    <w:tr2bl w:val="nil"/>
                  </w:tcBorders>
                </w:tcPr>
                <w:p w14:paraId="75D57C96">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1.2</w:t>
                  </w:r>
                </w:p>
              </w:tc>
            </w:tr>
            <w:tr w14:paraId="3333CF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l2br w:val="nil"/>
                    <w:tr2bl w:val="nil"/>
                  </w:tcBorders>
                </w:tcPr>
                <w:p w14:paraId="08E069FC">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3</w:t>
                  </w:r>
                </w:p>
              </w:tc>
              <w:tc>
                <w:tcPr>
                  <w:tcW w:w="1427" w:type="dxa"/>
                  <w:tcBorders>
                    <w:tl2br w:val="nil"/>
                    <w:tr2bl w:val="nil"/>
                  </w:tcBorders>
                  <w:vAlign w:val="top"/>
                </w:tcPr>
                <w:p w14:paraId="2F715BC9">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甲苯</w:t>
                  </w:r>
                </w:p>
              </w:tc>
              <w:tc>
                <w:tcPr>
                  <w:tcW w:w="3753" w:type="dxa"/>
                  <w:tcBorders>
                    <w:tl2br w:val="nil"/>
                    <w:tr2bl w:val="nil"/>
                  </w:tcBorders>
                </w:tcPr>
                <w:p w14:paraId="5E46FC65">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周界外浓度最高点</w:t>
                  </w:r>
                </w:p>
              </w:tc>
              <w:tc>
                <w:tcPr>
                  <w:tcW w:w="1994" w:type="dxa"/>
                  <w:tcBorders>
                    <w:tl2br w:val="nil"/>
                    <w:tr2bl w:val="nil"/>
                  </w:tcBorders>
                </w:tcPr>
                <w:p w14:paraId="7417168F">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2.4</w:t>
                  </w:r>
                </w:p>
              </w:tc>
            </w:tr>
            <w:tr w14:paraId="74538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l2br w:val="nil"/>
                    <w:tr2bl w:val="nil"/>
                  </w:tcBorders>
                </w:tcPr>
                <w:p w14:paraId="25C70563">
                  <w:pPr>
                    <w:jc w:val="center"/>
                    <w:rPr>
                      <w:rFonts w:hint="default" w:ascii="Times New Roman" w:hAnsi="Times New Roman" w:eastAsia="宋体" w:cs="Times New Roman"/>
                      <w:bCs/>
                      <w:sz w:val="18"/>
                      <w:szCs w:val="18"/>
                      <w:vertAlign w:val="baseline"/>
                      <w:lang w:val="en-US" w:eastAsia="zh-CN"/>
                    </w:rPr>
                  </w:pPr>
                  <w:r>
                    <w:rPr>
                      <w:rFonts w:hint="eastAsia" w:cs="Times New Roman"/>
                      <w:bCs/>
                      <w:sz w:val="18"/>
                      <w:szCs w:val="18"/>
                      <w:vertAlign w:val="baseline"/>
                      <w:lang w:val="en-US" w:eastAsia="zh-CN"/>
                    </w:rPr>
                    <w:t>4</w:t>
                  </w:r>
                </w:p>
              </w:tc>
              <w:tc>
                <w:tcPr>
                  <w:tcW w:w="1427" w:type="dxa"/>
                  <w:tcBorders>
                    <w:tl2br w:val="nil"/>
                    <w:tr2bl w:val="nil"/>
                  </w:tcBorders>
                  <w:vAlign w:val="top"/>
                </w:tcPr>
                <w:p w14:paraId="2D0B1686">
                  <w:pPr>
                    <w:jc w:val="center"/>
                    <w:rPr>
                      <w:rFonts w:hint="default" w:ascii="Times New Roman" w:hAnsi="Times New Roman" w:eastAsia="宋体" w:cs="Times New Roman"/>
                      <w:bCs/>
                      <w:sz w:val="18"/>
                      <w:szCs w:val="18"/>
                      <w:vertAlign w:val="baseline"/>
                    </w:rPr>
                  </w:pPr>
                  <w:r>
                    <w:rPr>
                      <w:rFonts w:hint="default" w:ascii="Times New Roman" w:hAnsi="Times New Roman" w:eastAsia="宋体" w:cs="Times New Roman"/>
                      <w:bCs/>
                      <w:sz w:val="18"/>
                      <w:szCs w:val="18"/>
                      <w:vertAlign w:val="baseline"/>
                      <w:lang w:val="en-US" w:eastAsia="zh-CN"/>
                    </w:rPr>
                    <w:t>苯胺类</w:t>
                  </w:r>
                </w:p>
              </w:tc>
              <w:tc>
                <w:tcPr>
                  <w:tcW w:w="3753" w:type="dxa"/>
                  <w:tcBorders>
                    <w:tl2br w:val="nil"/>
                    <w:tr2bl w:val="nil"/>
                  </w:tcBorders>
                </w:tcPr>
                <w:p w14:paraId="400BECD8">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周界外浓度最高点</w:t>
                  </w:r>
                </w:p>
              </w:tc>
              <w:tc>
                <w:tcPr>
                  <w:tcW w:w="1994" w:type="dxa"/>
                  <w:tcBorders>
                    <w:tl2br w:val="nil"/>
                    <w:tr2bl w:val="nil"/>
                  </w:tcBorders>
                </w:tcPr>
                <w:p w14:paraId="269AA5CD">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0.40</w:t>
                  </w:r>
                </w:p>
              </w:tc>
            </w:tr>
            <w:tr w14:paraId="2DF47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tl2br w:val="nil"/>
                    <w:tr2bl w:val="nil"/>
                  </w:tcBorders>
                </w:tcPr>
                <w:p w14:paraId="09F64C1C">
                  <w:pPr>
                    <w:jc w:val="center"/>
                    <w:rPr>
                      <w:rFonts w:hint="default" w:ascii="Times New Roman" w:hAnsi="Times New Roman" w:eastAsia="宋体" w:cs="Times New Roman"/>
                      <w:bCs/>
                      <w:sz w:val="18"/>
                      <w:szCs w:val="18"/>
                      <w:vertAlign w:val="baseline"/>
                      <w:lang w:val="en-US" w:eastAsia="zh-CN"/>
                    </w:rPr>
                  </w:pPr>
                  <w:r>
                    <w:rPr>
                      <w:rFonts w:hint="eastAsia" w:cs="Times New Roman"/>
                      <w:bCs/>
                      <w:sz w:val="18"/>
                      <w:szCs w:val="18"/>
                      <w:vertAlign w:val="baseline"/>
                      <w:lang w:val="en-US" w:eastAsia="zh-CN"/>
                    </w:rPr>
                    <w:t>5</w:t>
                  </w:r>
                </w:p>
              </w:tc>
              <w:tc>
                <w:tcPr>
                  <w:tcW w:w="1427" w:type="dxa"/>
                  <w:tcBorders>
                    <w:tl2br w:val="nil"/>
                    <w:tr2bl w:val="nil"/>
                  </w:tcBorders>
                  <w:vAlign w:val="top"/>
                </w:tcPr>
                <w:p w14:paraId="316D869C">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cs="Times New Roman"/>
                      <w:bCs/>
                      <w:sz w:val="18"/>
                      <w:szCs w:val="18"/>
                      <w:vertAlign w:val="baseline"/>
                      <w:lang w:val="en-US" w:eastAsia="zh-CN"/>
                    </w:rPr>
                    <w:t>非甲烷总烃</w:t>
                  </w:r>
                </w:p>
              </w:tc>
              <w:tc>
                <w:tcPr>
                  <w:tcW w:w="3753" w:type="dxa"/>
                  <w:tcBorders>
                    <w:tl2br w:val="nil"/>
                    <w:tr2bl w:val="nil"/>
                  </w:tcBorders>
                </w:tcPr>
                <w:p w14:paraId="61CE41D8">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周界外浓度最高点</w:t>
                  </w:r>
                </w:p>
              </w:tc>
              <w:tc>
                <w:tcPr>
                  <w:tcW w:w="1994" w:type="dxa"/>
                  <w:tcBorders>
                    <w:tl2br w:val="nil"/>
                    <w:tr2bl w:val="nil"/>
                  </w:tcBorders>
                </w:tcPr>
                <w:p w14:paraId="3EBB2978">
                  <w:pPr>
                    <w:jc w:val="center"/>
                    <w:rPr>
                      <w:rFonts w:hint="default" w:ascii="Times New Roman" w:hAnsi="Times New Roman" w:eastAsia="宋体" w:cs="Times New Roman"/>
                      <w:bCs/>
                      <w:sz w:val="18"/>
                      <w:szCs w:val="18"/>
                      <w:vertAlign w:val="baseline"/>
                      <w:lang w:val="en-US" w:eastAsia="zh-CN"/>
                    </w:rPr>
                  </w:pPr>
                  <w:r>
                    <w:rPr>
                      <w:rFonts w:hint="default" w:ascii="Times New Roman" w:hAnsi="Times New Roman" w:eastAsia="宋体" w:cs="Times New Roman"/>
                      <w:bCs/>
                      <w:sz w:val="18"/>
                      <w:szCs w:val="18"/>
                      <w:vertAlign w:val="baseline"/>
                      <w:lang w:val="en-US" w:eastAsia="zh-CN"/>
                    </w:rPr>
                    <w:t>4.0</w:t>
                  </w:r>
                </w:p>
              </w:tc>
            </w:tr>
          </w:tbl>
          <w:p w14:paraId="6E5FFC1C">
            <w:pPr>
              <w:rPr>
                <w:rFonts w:hint="eastAsia" w:ascii="黑体" w:hAnsi="黑体" w:eastAsia="黑体" w:cs="黑体"/>
                <w:bCs/>
                <w:vertAlign w:val="superscript"/>
              </w:rPr>
            </w:pPr>
          </w:p>
          <w:p w14:paraId="5F30A1D6">
            <w:pPr>
              <w:spacing w:line="360" w:lineRule="auto"/>
              <w:rPr>
                <w:b/>
                <w:bCs/>
                <w:sz w:val="22"/>
                <w:szCs w:val="22"/>
              </w:rPr>
            </w:pPr>
            <w:r>
              <w:rPr>
                <w:rFonts w:hint="eastAsia"/>
                <w:b/>
                <w:bCs/>
                <w:sz w:val="22"/>
                <w:szCs w:val="22"/>
              </w:rPr>
              <w:t>3.3.2 废水</w:t>
            </w:r>
          </w:p>
          <w:p w14:paraId="664C32A8">
            <w:pPr>
              <w:spacing w:line="360" w:lineRule="auto"/>
              <w:ind w:firstLine="420" w:firstLineChars="200"/>
              <w:rPr>
                <w:szCs w:val="21"/>
              </w:rPr>
            </w:pPr>
            <w:r>
              <w:rPr>
                <w:rFonts w:hint="eastAsia"/>
                <w:szCs w:val="21"/>
              </w:rPr>
              <w:t>本项目生活污水经化粪池预处理后，与生产废水一并纳管排入余杭污水处理厂。其中，纳管废水的pH、SS、BOD</w:t>
            </w:r>
            <w:r>
              <w:rPr>
                <w:szCs w:val="21"/>
                <w:vertAlign w:val="subscript"/>
              </w:rPr>
              <w:t>5</w:t>
            </w:r>
            <w:r>
              <w:rPr>
                <w:rFonts w:hint="eastAsia"/>
                <w:szCs w:val="21"/>
              </w:rPr>
              <w:t>、LAS、石油类、COD</w:t>
            </w:r>
            <w:r>
              <w:rPr>
                <w:szCs w:val="21"/>
                <w:vertAlign w:val="subscript"/>
              </w:rPr>
              <w:t>Cr</w:t>
            </w:r>
            <w:r>
              <w:rPr>
                <w:rFonts w:hint="eastAsia"/>
                <w:szCs w:val="21"/>
              </w:rPr>
              <w:t>等污染物需要满足《污水综合排放标准》（GB 8978-1996）中表4的三级标准排放浓度限值，</w:t>
            </w:r>
            <w:r>
              <w:rPr>
                <w:rFonts w:hint="eastAsia"/>
                <w:szCs w:val="21"/>
                <w:highlight w:val="none"/>
              </w:rPr>
              <w:t>氨氮、总磷</w:t>
            </w:r>
            <w:r>
              <w:rPr>
                <w:rFonts w:hint="eastAsia"/>
                <w:szCs w:val="21"/>
                <w:highlight w:val="none"/>
                <w:lang w:eastAsia="zh-CN"/>
              </w:rPr>
              <w:t>、</w:t>
            </w:r>
            <w:r>
              <w:rPr>
                <w:rFonts w:hint="eastAsia"/>
                <w:szCs w:val="21"/>
                <w:highlight w:val="none"/>
                <w:lang w:val="en-US" w:eastAsia="zh-CN"/>
              </w:rPr>
              <w:t>总氮</w:t>
            </w:r>
            <w:r>
              <w:rPr>
                <w:rFonts w:hint="eastAsia"/>
                <w:szCs w:val="21"/>
              </w:rPr>
              <w:t>等污染物需要满足《工业企业废水氮、磷污染物间接排放</w:t>
            </w:r>
            <w:r>
              <w:rPr>
                <w:rFonts w:hint="eastAsia"/>
                <w:szCs w:val="21"/>
                <w:lang w:val="en-US" w:eastAsia="zh-CN"/>
              </w:rPr>
              <w:t>标准</w:t>
            </w:r>
            <w:r>
              <w:rPr>
                <w:rFonts w:hint="eastAsia"/>
                <w:szCs w:val="21"/>
              </w:rPr>
              <w:t>》（DB 33/ 887-20</w:t>
            </w:r>
            <w:r>
              <w:rPr>
                <w:rFonts w:hint="eastAsia"/>
                <w:szCs w:val="21"/>
                <w:lang w:val="en-US" w:eastAsia="zh-CN"/>
              </w:rPr>
              <w:t>25</w:t>
            </w:r>
            <w:r>
              <w:rPr>
                <w:rFonts w:hint="eastAsia"/>
                <w:szCs w:val="21"/>
              </w:rPr>
              <w:t>）中表1的间接排放限值。</w:t>
            </w:r>
          </w:p>
          <w:p w14:paraId="42775686">
            <w:pPr>
              <w:spacing w:line="360" w:lineRule="auto"/>
              <w:ind w:firstLine="420" w:firstLineChars="200"/>
              <w:rPr>
                <w:szCs w:val="21"/>
              </w:rPr>
            </w:pPr>
            <w:r>
              <w:rPr>
                <w:rFonts w:hint="eastAsia"/>
                <w:szCs w:val="21"/>
              </w:rPr>
              <w:t>余杭污水处理厂出水中，pH、SS、BOD</w:t>
            </w:r>
            <w:r>
              <w:rPr>
                <w:szCs w:val="21"/>
                <w:vertAlign w:val="subscript"/>
              </w:rPr>
              <w:t>5</w:t>
            </w:r>
            <w:r>
              <w:rPr>
                <w:rFonts w:hint="eastAsia"/>
                <w:szCs w:val="21"/>
              </w:rPr>
              <w:t>、LAS、石油类等污染物执行《城镇污水处理厂污染物排放标准》（GB 18918-2002）中表1的一级A标准排放浓度限值，COD</w:t>
            </w:r>
            <w:r>
              <w:rPr>
                <w:szCs w:val="21"/>
                <w:vertAlign w:val="subscript"/>
              </w:rPr>
              <w:t>Cr</w:t>
            </w:r>
            <w:r>
              <w:rPr>
                <w:rFonts w:hint="eastAsia"/>
                <w:szCs w:val="21"/>
              </w:rPr>
              <w:t>、氨氮、总磷、总氮等污染物执行《城镇污水处理厂主要水污染物排放标准》（DB 33/ 2169-2018）中表1的排放限值。</w:t>
            </w:r>
            <w:r>
              <w:rPr>
                <w:rFonts w:hint="eastAsia"/>
                <w:szCs w:val="21"/>
                <w:lang w:val="en-US" w:eastAsia="zh-CN"/>
              </w:rPr>
              <w:t>根据相关管理要求，COD</w:t>
            </w:r>
            <w:r>
              <w:rPr>
                <w:rFonts w:hint="eastAsia"/>
                <w:szCs w:val="21"/>
                <w:vertAlign w:val="subscript"/>
                <w:lang w:val="en-US" w:eastAsia="zh-CN"/>
              </w:rPr>
              <w:t>Cr</w:t>
            </w:r>
            <w:r>
              <w:rPr>
                <w:rFonts w:hint="eastAsia"/>
                <w:szCs w:val="21"/>
                <w:lang w:val="en-US" w:eastAsia="zh-CN"/>
              </w:rPr>
              <w:t>、NH</w:t>
            </w:r>
            <w:r>
              <w:rPr>
                <w:rFonts w:hint="eastAsia"/>
                <w:szCs w:val="21"/>
                <w:vertAlign w:val="subscript"/>
                <w:lang w:val="en-US" w:eastAsia="zh-CN"/>
              </w:rPr>
              <w:t>3</w:t>
            </w:r>
            <w:r>
              <w:rPr>
                <w:rFonts w:hint="eastAsia"/>
                <w:szCs w:val="21"/>
                <w:lang w:val="en-US" w:eastAsia="zh-CN"/>
              </w:rPr>
              <w:t>-N外排环境量，按照余杭污水处理厂一二三期和四期排放口的排放限值的平均值进行计算，即COD</w:t>
            </w:r>
            <w:r>
              <w:rPr>
                <w:rFonts w:hint="eastAsia"/>
                <w:szCs w:val="21"/>
                <w:vertAlign w:val="subscript"/>
                <w:lang w:val="en-US" w:eastAsia="zh-CN"/>
              </w:rPr>
              <w:t xml:space="preserve">Cr </w:t>
            </w:r>
            <w:r>
              <w:rPr>
                <w:rFonts w:hint="eastAsia"/>
                <w:szCs w:val="21"/>
                <w:lang w:val="en-US" w:eastAsia="zh-CN"/>
              </w:rPr>
              <w:t>35 mg/L、NH</w:t>
            </w:r>
            <w:r>
              <w:rPr>
                <w:rFonts w:hint="eastAsia"/>
                <w:szCs w:val="21"/>
                <w:vertAlign w:val="subscript"/>
                <w:lang w:val="en-US" w:eastAsia="zh-CN"/>
              </w:rPr>
              <w:t>3</w:t>
            </w:r>
            <w:r>
              <w:rPr>
                <w:rFonts w:hint="eastAsia"/>
                <w:szCs w:val="21"/>
                <w:lang w:val="en-US" w:eastAsia="zh-CN"/>
              </w:rPr>
              <w:t>-N 1.75 mg/L。</w:t>
            </w:r>
            <w:r>
              <w:rPr>
                <w:rFonts w:hint="eastAsia"/>
                <w:szCs w:val="21"/>
              </w:rPr>
              <w:t>具体标准值见</w:t>
            </w:r>
            <w:r>
              <w:rPr>
                <w:rFonts w:hint="eastAsia"/>
                <w:bCs/>
                <w:szCs w:val="21"/>
              </w:rPr>
              <w:t>下表</w:t>
            </w:r>
            <w:r>
              <w:rPr>
                <w:rFonts w:hint="eastAsia"/>
                <w:szCs w:val="21"/>
              </w:rPr>
              <w:t>。</w:t>
            </w:r>
          </w:p>
          <w:p w14:paraId="2ACA0B5B">
            <w:pPr>
              <w:pStyle w:val="16"/>
              <w:widowControl/>
              <w:numPr>
                <w:ilvl w:val="0"/>
                <w:numId w:val="8"/>
              </w:numPr>
              <w:tabs>
                <w:tab w:val="left" w:pos="4515"/>
                <w:tab w:val="left" w:pos="5883"/>
                <w:tab w:val="left" w:pos="8718"/>
              </w:tabs>
              <w:adjustRightInd w:val="0"/>
              <w:snapToGrid w:val="0"/>
              <w:spacing w:line="360" w:lineRule="auto"/>
              <w:jc w:val="center"/>
              <w:rPr>
                <w:rFonts w:hint="eastAsia" w:ascii="黑体" w:hAnsi="黑体" w:eastAsia="黑体" w:cs="黑体"/>
                <w:bCs/>
              </w:rPr>
            </w:pPr>
            <w:r>
              <w:rPr>
                <w:rFonts w:hint="eastAsia" w:ascii="黑体" w:hAnsi="黑体" w:eastAsia="黑体" w:cs="黑体"/>
                <w:bCs/>
              </w:rPr>
              <w:t>本项目废水排放标准</w:t>
            </w:r>
          </w:p>
          <w:tbl>
            <w:tblPr>
              <w:tblStyle w:val="2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97"/>
              <w:gridCol w:w="870"/>
              <w:gridCol w:w="2497"/>
              <w:gridCol w:w="532"/>
              <w:gridCol w:w="949"/>
              <w:gridCol w:w="1994"/>
            </w:tblGrid>
            <w:tr w14:paraId="647F44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7FE96CCE">
                  <w:pPr>
                    <w:snapToGrid w:val="0"/>
                    <w:jc w:val="center"/>
                    <w:rPr>
                      <w:bCs/>
                      <w:sz w:val="18"/>
                      <w:szCs w:val="18"/>
                    </w:rPr>
                  </w:pPr>
                  <w:r>
                    <w:rPr>
                      <w:rFonts w:hint="eastAsia"/>
                      <w:bCs/>
                      <w:sz w:val="18"/>
                      <w:szCs w:val="18"/>
                    </w:rPr>
                    <w:t>污染物</w:t>
                  </w:r>
                </w:p>
              </w:tc>
              <w:tc>
                <w:tcPr>
                  <w:tcW w:w="247" w:type="pct"/>
                  <w:tcBorders>
                    <w:tl2br w:val="nil"/>
                    <w:tr2bl w:val="nil"/>
                  </w:tcBorders>
                  <w:vAlign w:val="center"/>
                </w:tcPr>
                <w:p w14:paraId="28EB0558">
                  <w:pPr>
                    <w:snapToGrid w:val="0"/>
                    <w:jc w:val="center"/>
                    <w:rPr>
                      <w:bCs/>
                      <w:sz w:val="18"/>
                      <w:szCs w:val="18"/>
                    </w:rPr>
                  </w:pPr>
                  <w:r>
                    <w:rPr>
                      <w:rFonts w:hint="eastAsia"/>
                      <w:bCs/>
                      <w:sz w:val="18"/>
                      <w:szCs w:val="18"/>
                    </w:rPr>
                    <w:t>去向</w:t>
                  </w:r>
                </w:p>
              </w:tc>
              <w:tc>
                <w:tcPr>
                  <w:tcW w:w="542" w:type="pct"/>
                  <w:tcBorders>
                    <w:tl2br w:val="nil"/>
                    <w:tr2bl w:val="nil"/>
                  </w:tcBorders>
                  <w:vAlign w:val="center"/>
                </w:tcPr>
                <w:p w14:paraId="4D668316">
                  <w:pPr>
                    <w:snapToGrid w:val="0"/>
                    <w:jc w:val="center"/>
                    <w:rPr>
                      <w:rFonts w:eastAsiaTheme="minorEastAsia"/>
                      <w:bCs/>
                      <w:sz w:val="18"/>
                      <w:szCs w:val="18"/>
                    </w:rPr>
                  </w:pPr>
                  <w:r>
                    <w:rPr>
                      <w:rFonts w:hint="eastAsia"/>
                      <w:bCs/>
                      <w:sz w:val="18"/>
                      <w:szCs w:val="18"/>
                    </w:rPr>
                    <w:t>浓度限值mg/L</w:t>
                  </w:r>
                </w:p>
              </w:tc>
              <w:tc>
                <w:tcPr>
                  <w:tcW w:w="1555" w:type="pct"/>
                  <w:tcBorders>
                    <w:tl2br w:val="nil"/>
                    <w:tr2bl w:val="nil"/>
                  </w:tcBorders>
                  <w:vAlign w:val="center"/>
                </w:tcPr>
                <w:p w14:paraId="27B01771">
                  <w:pPr>
                    <w:snapToGrid w:val="0"/>
                    <w:jc w:val="center"/>
                    <w:rPr>
                      <w:bCs/>
                      <w:sz w:val="18"/>
                      <w:szCs w:val="18"/>
                    </w:rPr>
                  </w:pPr>
                  <w:r>
                    <w:rPr>
                      <w:rFonts w:hint="eastAsia"/>
                      <w:bCs/>
                      <w:sz w:val="18"/>
                      <w:szCs w:val="18"/>
                    </w:rPr>
                    <w:t>执行标准</w:t>
                  </w:r>
                </w:p>
              </w:tc>
              <w:tc>
                <w:tcPr>
                  <w:tcW w:w="331" w:type="pct"/>
                  <w:tcBorders>
                    <w:tl2br w:val="nil"/>
                    <w:tr2bl w:val="nil"/>
                  </w:tcBorders>
                  <w:vAlign w:val="center"/>
                </w:tcPr>
                <w:p w14:paraId="454DB494">
                  <w:pPr>
                    <w:snapToGrid w:val="0"/>
                    <w:jc w:val="center"/>
                    <w:rPr>
                      <w:bCs/>
                      <w:sz w:val="18"/>
                      <w:szCs w:val="18"/>
                    </w:rPr>
                  </w:pPr>
                  <w:r>
                    <w:rPr>
                      <w:rFonts w:hint="eastAsia"/>
                      <w:bCs/>
                      <w:sz w:val="18"/>
                      <w:szCs w:val="18"/>
                    </w:rPr>
                    <w:t>去向</w:t>
                  </w:r>
                </w:p>
              </w:tc>
              <w:tc>
                <w:tcPr>
                  <w:tcW w:w="591" w:type="pct"/>
                  <w:tcBorders>
                    <w:tl2br w:val="nil"/>
                    <w:tr2bl w:val="nil"/>
                  </w:tcBorders>
                  <w:vAlign w:val="center"/>
                </w:tcPr>
                <w:p w14:paraId="23339FB5">
                  <w:pPr>
                    <w:snapToGrid w:val="0"/>
                    <w:jc w:val="center"/>
                    <w:rPr>
                      <w:bCs/>
                      <w:sz w:val="18"/>
                      <w:szCs w:val="18"/>
                    </w:rPr>
                  </w:pPr>
                  <w:r>
                    <w:rPr>
                      <w:rFonts w:hint="eastAsia"/>
                      <w:bCs/>
                      <w:sz w:val="18"/>
                      <w:szCs w:val="18"/>
                    </w:rPr>
                    <w:t>浓度限值</w:t>
                  </w:r>
                </w:p>
                <w:p w14:paraId="75C01DF0">
                  <w:pPr>
                    <w:snapToGrid w:val="0"/>
                    <w:jc w:val="center"/>
                    <w:rPr>
                      <w:rFonts w:eastAsiaTheme="minorEastAsia"/>
                      <w:bCs/>
                      <w:sz w:val="18"/>
                      <w:szCs w:val="18"/>
                    </w:rPr>
                  </w:pPr>
                  <w:r>
                    <w:rPr>
                      <w:bCs/>
                      <w:sz w:val="18"/>
                      <w:szCs w:val="18"/>
                    </w:rPr>
                    <w:t>mg/L</w:t>
                  </w:r>
                </w:p>
              </w:tc>
              <w:tc>
                <w:tcPr>
                  <w:tcW w:w="1242" w:type="pct"/>
                  <w:tcBorders>
                    <w:tl2br w:val="nil"/>
                    <w:tr2bl w:val="nil"/>
                  </w:tcBorders>
                  <w:vAlign w:val="center"/>
                </w:tcPr>
                <w:p w14:paraId="46ADE503">
                  <w:pPr>
                    <w:snapToGrid w:val="0"/>
                    <w:jc w:val="center"/>
                    <w:rPr>
                      <w:bCs/>
                      <w:sz w:val="18"/>
                      <w:szCs w:val="18"/>
                    </w:rPr>
                  </w:pPr>
                  <w:r>
                    <w:rPr>
                      <w:rFonts w:hint="eastAsia"/>
                      <w:bCs/>
                      <w:sz w:val="18"/>
                      <w:szCs w:val="18"/>
                    </w:rPr>
                    <w:t>执行标准</w:t>
                  </w:r>
                </w:p>
              </w:tc>
            </w:tr>
            <w:tr w14:paraId="3A994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544013BE">
                  <w:pPr>
                    <w:snapToGrid w:val="0"/>
                    <w:jc w:val="center"/>
                    <w:rPr>
                      <w:bCs/>
                      <w:sz w:val="18"/>
                      <w:szCs w:val="18"/>
                    </w:rPr>
                  </w:pPr>
                  <w:r>
                    <w:rPr>
                      <w:bCs/>
                      <w:sz w:val="18"/>
                      <w:szCs w:val="18"/>
                    </w:rPr>
                    <w:t>pH</w:t>
                  </w:r>
                </w:p>
              </w:tc>
              <w:tc>
                <w:tcPr>
                  <w:tcW w:w="247" w:type="pct"/>
                  <w:vMerge w:val="restart"/>
                  <w:tcBorders>
                    <w:tl2br w:val="nil"/>
                    <w:tr2bl w:val="nil"/>
                  </w:tcBorders>
                  <w:vAlign w:val="center"/>
                </w:tcPr>
                <w:p w14:paraId="2E06C946">
                  <w:pPr>
                    <w:snapToGrid w:val="0"/>
                    <w:jc w:val="center"/>
                    <w:rPr>
                      <w:bCs/>
                      <w:sz w:val="18"/>
                      <w:szCs w:val="18"/>
                    </w:rPr>
                  </w:pPr>
                  <w:r>
                    <w:rPr>
                      <w:rFonts w:hint="eastAsia"/>
                      <w:bCs/>
                      <w:sz w:val="18"/>
                      <w:szCs w:val="18"/>
                    </w:rPr>
                    <w:t>纳管</w:t>
                  </w:r>
                </w:p>
                <w:p w14:paraId="13BDE45D">
                  <w:pPr>
                    <w:snapToGrid w:val="0"/>
                    <w:jc w:val="center"/>
                    <w:rPr>
                      <w:bCs/>
                      <w:sz w:val="18"/>
                      <w:szCs w:val="18"/>
                      <w:highlight w:val="yellow"/>
                    </w:rPr>
                  </w:pPr>
                </w:p>
              </w:tc>
              <w:tc>
                <w:tcPr>
                  <w:tcW w:w="542" w:type="pct"/>
                  <w:tcBorders>
                    <w:tl2br w:val="nil"/>
                    <w:tr2bl w:val="nil"/>
                  </w:tcBorders>
                  <w:vAlign w:val="center"/>
                </w:tcPr>
                <w:p w14:paraId="56453F2A">
                  <w:pPr>
                    <w:snapToGrid w:val="0"/>
                    <w:jc w:val="center"/>
                    <w:rPr>
                      <w:bCs/>
                      <w:sz w:val="18"/>
                      <w:szCs w:val="18"/>
                    </w:rPr>
                  </w:pPr>
                  <w:r>
                    <w:rPr>
                      <w:bCs/>
                      <w:sz w:val="18"/>
                      <w:szCs w:val="18"/>
                    </w:rPr>
                    <w:t>6~9</w:t>
                  </w:r>
                </w:p>
              </w:tc>
              <w:tc>
                <w:tcPr>
                  <w:tcW w:w="1555" w:type="pct"/>
                  <w:vMerge w:val="restart"/>
                  <w:tcBorders>
                    <w:tl2br w:val="nil"/>
                    <w:tr2bl w:val="nil"/>
                  </w:tcBorders>
                  <w:vAlign w:val="center"/>
                </w:tcPr>
                <w:p w14:paraId="20AE0377">
                  <w:pPr>
                    <w:snapToGrid w:val="0"/>
                    <w:jc w:val="center"/>
                    <w:rPr>
                      <w:bCs/>
                      <w:sz w:val="18"/>
                      <w:szCs w:val="18"/>
                    </w:rPr>
                  </w:pPr>
                  <w:r>
                    <w:rPr>
                      <w:bCs/>
                      <w:sz w:val="18"/>
                      <w:szCs w:val="18"/>
                    </w:rPr>
                    <w:t>GB 8978-1996</w:t>
                  </w:r>
                </w:p>
              </w:tc>
              <w:tc>
                <w:tcPr>
                  <w:tcW w:w="331" w:type="pct"/>
                  <w:vMerge w:val="restart"/>
                  <w:tcBorders>
                    <w:tl2br w:val="nil"/>
                    <w:tr2bl w:val="nil"/>
                  </w:tcBorders>
                  <w:vAlign w:val="center"/>
                </w:tcPr>
                <w:p w14:paraId="7453619D">
                  <w:pPr>
                    <w:snapToGrid w:val="0"/>
                    <w:jc w:val="center"/>
                    <w:rPr>
                      <w:bCs/>
                      <w:sz w:val="18"/>
                      <w:szCs w:val="18"/>
                    </w:rPr>
                  </w:pPr>
                  <w:r>
                    <w:rPr>
                      <w:rFonts w:hint="eastAsia"/>
                      <w:bCs/>
                      <w:sz w:val="18"/>
                      <w:szCs w:val="18"/>
                    </w:rPr>
                    <w:t>污水处理厂排放</w:t>
                  </w:r>
                </w:p>
              </w:tc>
              <w:tc>
                <w:tcPr>
                  <w:tcW w:w="591" w:type="pct"/>
                  <w:tcBorders>
                    <w:tl2br w:val="nil"/>
                    <w:tr2bl w:val="nil"/>
                  </w:tcBorders>
                  <w:vAlign w:val="center"/>
                </w:tcPr>
                <w:p w14:paraId="02895D0B">
                  <w:pPr>
                    <w:snapToGrid w:val="0"/>
                    <w:jc w:val="center"/>
                    <w:rPr>
                      <w:bCs/>
                      <w:sz w:val="18"/>
                      <w:szCs w:val="18"/>
                    </w:rPr>
                  </w:pPr>
                  <w:r>
                    <w:rPr>
                      <w:bCs/>
                      <w:sz w:val="18"/>
                      <w:szCs w:val="18"/>
                    </w:rPr>
                    <w:t>6~9</w:t>
                  </w:r>
                </w:p>
              </w:tc>
              <w:tc>
                <w:tcPr>
                  <w:tcW w:w="1242" w:type="pct"/>
                  <w:vMerge w:val="restart"/>
                  <w:tcBorders>
                    <w:tl2br w:val="nil"/>
                    <w:tr2bl w:val="nil"/>
                  </w:tcBorders>
                  <w:vAlign w:val="center"/>
                </w:tcPr>
                <w:p w14:paraId="6BC09020">
                  <w:pPr>
                    <w:snapToGrid w:val="0"/>
                    <w:jc w:val="center"/>
                    <w:rPr>
                      <w:bCs/>
                      <w:sz w:val="18"/>
                      <w:szCs w:val="18"/>
                    </w:rPr>
                  </w:pPr>
                  <w:r>
                    <w:rPr>
                      <w:bCs/>
                      <w:sz w:val="18"/>
                      <w:szCs w:val="18"/>
                    </w:rPr>
                    <w:t>GB 18918-2002</w:t>
                  </w:r>
                </w:p>
              </w:tc>
            </w:tr>
            <w:tr w14:paraId="27BAC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07433282">
                  <w:pPr>
                    <w:snapToGrid w:val="0"/>
                    <w:jc w:val="center"/>
                    <w:rPr>
                      <w:bCs/>
                      <w:sz w:val="18"/>
                      <w:szCs w:val="18"/>
                    </w:rPr>
                  </w:pPr>
                  <w:r>
                    <w:rPr>
                      <w:bCs/>
                      <w:sz w:val="18"/>
                      <w:szCs w:val="18"/>
                    </w:rPr>
                    <w:t>SS</w:t>
                  </w:r>
                </w:p>
              </w:tc>
              <w:tc>
                <w:tcPr>
                  <w:tcW w:w="247" w:type="pct"/>
                  <w:vMerge w:val="continue"/>
                  <w:tcBorders>
                    <w:tl2br w:val="nil"/>
                    <w:tr2bl w:val="nil"/>
                  </w:tcBorders>
                  <w:vAlign w:val="center"/>
                </w:tcPr>
                <w:p w14:paraId="52F37E71">
                  <w:pPr>
                    <w:snapToGrid w:val="0"/>
                    <w:jc w:val="center"/>
                    <w:rPr>
                      <w:bCs/>
                      <w:sz w:val="18"/>
                      <w:szCs w:val="18"/>
                    </w:rPr>
                  </w:pPr>
                </w:p>
              </w:tc>
              <w:tc>
                <w:tcPr>
                  <w:tcW w:w="542" w:type="pct"/>
                  <w:tcBorders>
                    <w:tl2br w:val="nil"/>
                    <w:tr2bl w:val="nil"/>
                  </w:tcBorders>
                  <w:vAlign w:val="center"/>
                </w:tcPr>
                <w:p w14:paraId="0BAA4C27">
                  <w:pPr>
                    <w:snapToGrid w:val="0"/>
                    <w:jc w:val="center"/>
                    <w:rPr>
                      <w:bCs/>
                      <w:sz w:val="18"/>
                      <w:szCs w:val="18"/>
                    </w:rPr>
                  </w:pPr>
                  <w:r>
                    <w:rPr>
                      <w:bCs/>
                      <w:sz w:val="18"/>
                      <w:szCs w:val="18"/>
                    </w:rPr>
                    <w:t>400</w:t>
                  </w:r>
                </w:p>
              </w:tc>
              <w:tc>
                <w:tcPr>
                  <w:tcW w:w="1555" w:type="pct"/>
                  <w:vMerge w:val="continue"/>
                  <w:tcBorders>
                    <w:tl2br w:val="nil"/>
                    <w:tr2bl w:val="nil"/>
                  </w:tcBorders>
                  <w:vAlign w:val="center"/>
                </w:tcPr>
                <w:p w14:paraId="23167768">
                  <w:pPr>
                    <w:snapToGrid w:val="0"/>
                    <w:jc w:val="center"/>
                    <w:rPr>
                      <w:bCs/>
                      <w:sz w:val="18"/>
                      <w:szCs w:val="18"/>
                    </w:rPr>
                  </w:pPr>
                </w:p>
              </w:tc>
              <w:tc>
                <w:tcPr>
                  <w:tcW w:w="331" w:type="pct"/>
                  <w:vMerge w:val="continue"/>
                  <w:tcBorders>
                    <w:tl2br w:val="nil"/>
                    <w:tr2bl w:val="nil"/>
                  </w:tcBorders>
                  <w:vAlign w:val="center"/>
                </w:tcPr>
                <w:p w14:paraId="35D1CA15">
                  <w:pPr>
                    <w:snapToGrid w:val="0"/>
                    <w:jc w:val="center"/>
                    <w:rPr>
                      <w:bCs/>
                      <w:sz w:val="18"/>
                      <w:szCs w:val="18"/>
                    </w:rPr>
                  </w:pPr>
                </w:p>
              </w:tc>
              <w:tc>
                <w:tcPr>
                  <w:tcW w:w="591" w:type="pct"/>
                  <w:tcBorders>
                    <w:tl2br w:val="nil"/>
                    <w:tr2bl w:val="nil"/>
                  </w:tcBorders>
                  <w:vAlign w:val="center"/>
                </w:tcPr>
                <w:p w14:paraId="5310F757">
                  <w:pPr>
                    <w:snapToGrid w:val="0"/>
                    <w:jc w:val="center"/>
                    <w:rPr>
                      <w:bCs/>
                      <w:sz w:val="18"/>
                      <w:szCs w:val="18"/>
                    </w:rPr>
                  </w:pPr>
                  <w:r>
                    <w:rPr>
                      <w:bCs/>
                      <w:sz w:val="18"/>
                      <w:szCs w:val="18"/>
                    </w:rPr>
                    <w:t>10</w:t>
                  </w:r>
                </w:p>
              </w:tc>
              <w:tc>
                <w:tcPr>
                  <w:tcW w:w="1242" w:type="pct"/>
                  <w:vMerge w:val="continue"/>
                  <w:tcBorders>
                    <w:tl2br w:val="nil"/>
                    <w:tr2bl w:val="nil"/>
                  </w:tcBorders>
                  <w:vAlign w:val="center"/>
                </w:tcPr>
                <w:p w14:paraId="74534743">
                  <w:pPr>
                    <w:snapToGrid w:val="0"/>
                    <w:jc w:val="center"/>
                    <w:rPr>
                      <w:bCs/>
                      <w:sz w:val="18"/>
                      <w:szCs w:val="18"/>
                    </w:rPr>
                  </w:pPr>
                </w:p>
              </w:tc>
            </w:tr>
            <w:tr w14:paraId="11A0A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4" w:hRule="atLeast"/>
                <w:tblHeader/>
                <w:jc w:val="center"/>
              </w:trPr>
              <w:tc>
                <w:tcPr>
                  <w:tcW w:w="488" w:type="pct"/>
                  <w:tcBorders>
                    <w:tl2br w:val="nil"/>
                    <w:tr2bl w:val="nil"/>
                  </w:tcBorders>
                  <w:vAlign w:val="center"/>
                </w:tcPr>
                <w:p w14:paraId="5448BEE3">
                  <w:pPr>
                    <w:snapToGrid w:val="0"/>
                    <w:jc w:val="center"/>
                    <w:rPr>
                      <w:bCs/>
                      <w:sz w:val="18"/>
                      <w:szCs w:val="18"/>
                      <w:vertAlign w:val="subscript"/>
                    </w:rPr>
                  </w:pPr>
                  <w:r>
                    <w:rPr>
                      <w:bCs/>
                      <w:sz w:val="18"/>
                      <w:szCs w:val="18"/>
                    </w:rPr>
                    <w:t>BOD</w:t>
                  </w:r>
                  <w:r>
                    <w:rPr>
                      <w:bCs/>
                      <w:sz w:val="18"/>
                      <w:szCs w:val="18"/>
                      <w:vertAlign w:val="subscript"/>
                    </w:rPr>
                    <w:t>5</w:t>
                  </w:r>
                </w:p>
              </w:tc>
              <w:tc>
                <w:tcPr>
                  <w:tcW w:w="247" w:type="pct"/>
                  <w:vMerge w:val="continue"/>
                  <w:tcBorders>
                    <w:tl2br w:val="nil"/>
                    <w:tr2bl w:val="nil"/>
                  </w:tcBorders>
                  <w:vAlign w:val="center"/>
                </w:tcPr>
                <w:p w14:paraId="6C2B251B">
                  <w:pPr>
                    <w:snapToGrid w:val="0"/>
                    <w:jc w:val="center"/>
                    <w:rPr>
                      <w:bCs/>
                      <w:sz w:val="18"/>
                      <w:szCs w:val="18"/>
                    </w:rPr>
                  </w:pPr>
                </w:p>
              </w:tc>
              <w:tc>
                <w:tcPr>
                  <w:tcW w:w="542" w:type="pct"/>
                  <w:tcBorders>
                    <w:tl2br w:val="nil"/>
                    <w:tr2bl w:val="nil"/>
                  </w:tcBorders>
                  <w:vAlign w:val="center"/>
                </w:tcPr>
                <w:p w14:paraId="72F58AA5">
                  <w:pPr>
                    <w:snapToGrid w:val="0"/>
                    <w:jc w:val="center"/>
                    <w:rPr>
                      <w:bCs/>
                      <w:sz w:val="18"/>
                      <w:szCs w:val="18"/>
                    </w:rPr>
                  </w:pPr>
                  <w:r>
                    <w:rPr>
                      <w:bCs/>
                      <w:sz w:val="18"/>
                      <w:szCs w:val="18"/>
                    </w:rPr>
                    <w:t>300</w:t>
                  </w:r>
                </w:p>
              </w:tc>
              <w:tc>
                <w:tcPr>
                  <w:tcW w:w="1555" w:type="pct"/>
                  <w:vMerge w:val="continue"/>
                  <w:tcBorders>
                    <w:tl2br w:val="nil"/>
                    <w:tr2bl w:val="nil"/>
                  </w:tcBorders>
                  <w:vAlign w:val="center"/>
                </w:tcPr>
                <w:p w14:paraId="3EA73525">
                  <w:pPr>
                    <w:snapToGrid w:val="0"/>
                    <w:jc w:val="center"/>
                    <w:rPr>
                      <w:bCs/>
                      <w:sz w:val="18"/>
                      <w:szCs w:val="18"/>
                    </w:rPr>
                  </w:pPr>
                </w:p>
              </w:tc>
              <w:tc>
                <w:tcPr>
                  <w:tcW w:w="331" w:type="pct"/>
                  <w:vMerge w:val="continue"/>
                  <w:tcBorders>
                    <w:tl2br w:val="nil"/>
                    <w:tr2bl w:val="nil"/>
                  </w:tcBorders>
                  <w:vAlign w:val="center"/>
                </w:tcPr>
                <w:p w14:paraId="1B39C62B">
                  <w:pPr>
                    <w:snapToGrid w:val="0"/>
                    <w:jc w:val="center"/>
                    <w:rPr>
                      <w:bCs/>
                      <w:sz w:val="18"/>
                      <w:szCs w:val="18"/>
                    </w:rPr>
                  </w:pPr>
                </w:p>
              </w:tc>
              <w:tc>
                <w:tcPr>
                  <w:tcW w:w="591" w:type="pct"/>
                  <w:tcBorders>
                    <w:tl2br w:val="nil"/>
                    <w:tr2bl w:val="nil"/>
                  </w:tcBorders>
                  <w:vAlign w:val="center"/>
                </w:tcPr>
                <w:p w14:paraId="612EA539">
                  <w:pPr>
                    <w:snapToGrid w:val="0"/>
                    <w:jc w:val="center"/>
                    <w:rPr>
                      <w:bCs/>
                      <w:sz w:val="18"/>
                      <w:szCs w:val="18"/>
                    </w:rPr>
                  </w:pPr>
                  <w:r>
                    <w:rPr>
                      <w:bCs/>
                      <w:sz w:val="18"/>
                      <w:szCs w:val="18"/>
                    </w:rPr>
                    <w:t>10</w:t>
                  </w:r>
                </w:p>
              </w:tc>
              <w:tc>
                <w:tcPr>
                  <w:tcW w:w="1242" w:type="pct"/>
                  <w:vMerge w:val="continue"/>
                  <w:tcBorders>
                    <w:tl2br w:val="nil"/>
                    <w:tr2bl w:val="nil"/>
                  </w:tcBorders>
                  <w:vAlign w:val="center"/>
                </w:tcPr>
                <w:p w14:paraId="32138032">
                  <w:pPr>
                    <w:snapToGrid w:val="0"/>
                    <w:jc w:val="center"/>
                    <w:rPr>
                      <w:bCs/>
                      <w:sz w:val="18"/>
                      <w:szCs w:val="18"/>
                    </w:rPr>
                  </w:pPr>
                </w:p>
              </w:tc>
            </w:tr>
            <w:tr w14:paraId="0D306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460758CC">
                  <w:pPr>
                    <w:snapToGrid w:val="0"/>
                    <w:jc w:val="center"/>
                    <w:rPr>
                      <w:bCs/>
                      <w:sz w:val="18"/>
                      <w:szCs w:val="18"/>
                    </w:rPr>
                  </w:pPr>
                  <w:r>
                    <w:rPr>
                      <w:bCs/>
                      <w:sz w:val="18"/>
                      <w:szCs w:val="18"/>
                    </w:rPr>
                    <w:t>LAS</w:t>
                  </w:r>
                </w:p>
              </w:tc>
              <w:tc>
                <w:tcPr>
                  <w:tcW w:w="247" w:type="pct"/>
                  <w:vMerge w:val="continue"/>
                  <w:tcBorders>
                    <w:tl2br w:val="nil"/>
                    <w:tr2bl w:val="nil"/>
                  </w:tcBorders>
                  <w:vAlign w:val="center"/>
                </w:tcPr>
                <w:p w14:paraId="786A19D8">
                  <w:pPr>
                    <w:snapToGrid w:val="0"/>
                    <w:jc w:val="center"/>
                    <w:rPr>
                      <w:bCs/>
                      <w:sz w:val="18"/>
                      <w:szCs w:val="18"/>
                    </w:rPr>
                  </w:pPr>
                </w:p>
              </w:tc>
              <w:tc>
                <w:tcPr>
                  <w:tcW w:w="542" w:type="pct"/>
                  <w:tcBorders>
                    <w:tl2br w:val="nil"/>
                    <w:tr2bl w:val="nil"/>
                  </w:tcBorders>
                  <w:vAlign w:val="center"/>
                </w:tcPr>
                <w:p w14:paraId="01BEE4B8">
                  <w:pPr>
                    <w:snapToGrid w:val="0"/>
                    <w:jc w:val="center"/>
                    <w:rPr>
                      <w:bCs/>
                      <w:sz w:val="18"/>
                      <w:szCs w:val="18"/>
                    </w:rPr>
                  </w:pPr>
                  <w:r>
                    <w:rPr>
                      <w:bCs/>
                      <w:sz w:val="18"/>
                      <w:szCs w:val="18"/>
                    </w:rPr>
                    <w:t>20</w:t>
                  </w:r>
                </w:p>
              </w:tc>
              <w:tc>
                <w:tcPr>
                  <w:tcW w:w="1555" w:type="pct"/>
                  <w:vMerge w:val="continue"/>
                  <w:tcBorders>
                    <w:tl2br w:val="nil"/>
                    <w:tr2bl w:val="nil"/>
                  </w:tcBorders>
                  <w:vAlign w:val="center"/>
                </w:tcPr>
                <w:p w14:paraId="149023EC">
                  <w:pPr>
                    <w:snapToGrid w:val="0"/>
                    <w:jc w:val="center"/>
                    <w:rPr>
                      <w:bCs/>
                      <w:sz w:val="18"/>
                      <w:szCs w:val="18"/>
                    </w:rPr>
                  </w:pPr>
                </w:p>
              </w:tc>
              <w:tc>
                <w:tcPr>
                  <w:tcW w:w="331" w:type="pct"/>
                  <w:vMerge w:val="continue"/>
                  <w:tcBorders>
                    <w:tl2br w:val="nil"/>
                    <w:tr2bl w:val="nil"/>
                  </w:tcBorders>
                  <w:vAlign w:val="center"/>
                </w:tcPr>
                <w:p w14:paraId="2F2413C6">
                  <w:pPr>
                    <w:snapToGrid w:val="0"/>
                    <w:jc w:val="center"/>
                    <w:rPr>
                      <w:bCs/>
                      <w:sz w:val="18"/>
                      <w:szCs w:val="18"/>
                    </w:rPr>
                  </w:pPr>
                </w:p>
              </w:tc>
              <w:tc>
                <w:tcPr>
                  <w:tcW w:w="591" w:type="pct"/>
                  <w:tcBorders>
                    <w:tl2br w:val="nil"/>
                    <w:tr2bl w:val="nil"/>
                  </w:tcBorders>
                  <w:vAlign w:val="center"/>
                </w:tcPr>
                <w:p w14:paraId="53BF00F5">
                  <w:pPr>
                    <w:snapToGrid w:val="0"/>
                    <w:jc w:val="center"/>
                    <w:rPr>
                      <w:bCs/>
                      <w:sz w:val="18"/>
                      <w:szCs w:val="18"/>
                      <w:vertAlign w:val="subscript"/>
                    </w:rPr>
                  </w:pPr>
                  <w:r>
                    <w:rPr>
                      <w:bCs/>
                      <w:sz w:val="18"/>
                      <w:szCs w:val="18"/>
                    </w:rPr>
                    <w:t>0.5</w:t>
                  </w:r>
                </w:p>
              </w:tc>
              <w:tc>
                <w:tcPr>
                  <w:tcW w:w="1242" w:type="pct"/>
                  <w:vMerge w:val="continue"/>
                  <w:tcBorders>
                    <w:tl2br w:val="nil"/>
                    <w:tr2bl w:val="nil"/>
                  </w:tcBorders>
                  <w:vAlign w:val="center"/>
                </w:tcPr>
                <w:p w14:paraId="65D0F65A">
                  <w:pPr>
                    <w:snapToGrid w:val="0"/>
                    <w:jc w:val="center"/>
                    <w:rPr>
                      <w:bCs/>
                      <w:sz w:val="18"/>
                      <w:szCs w:val="18"/>
                    </w:rPr>
                  </w:pPr>
                </w:p>
              </w:tc>
            </w:tr>
            <w:tr w14:paraId="7D99D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010F6633">
                  <w:pPr>
                    <w:snapToGrid w:val="0"/>
                    <w:jc w:val="center"/>
                    <w:rPr>
                      <w:bCs/>
                      <w:sz w:val="18"/>
                      <w:szCs w:val="18"/>
                    </w:rPr>
                  </w:pPr>
                  <w:r>
                    <w:rPr>
                      <w:rFonts w:hint="eastAsia"/>
                      <w:bCs/>
                      <w:sz w:val="18"/>
                      <w:szCs w:val="18"/>
                    </w:rPr>
                    <w:t>石油类</w:t>
                  </w:r>
                </w:p>
              </w:tc>
              <w:tc>
                <w:tcPr>
                  <w:tcW w:w="247" w:type="pct"/>
                  <w:vMerge w:val="continue"/>
                  <w:tcBorders>
                    <w:tl2br w:val="nil"/>
                    <w:tr2bl w:val="nil"/>
                  </w:tcBorders>
                  <w:vAlign w:val="center"/>
                </w:tcPr>
                <w:p w14:paraId="6DF6EB74">
                  <w:pPr>
                    <w:snapToGrid w:val="0"/>
                    <w:jc w:val="center"/>
                    <w:rPr>
                      <w:bCs/>
                      <w:sz w:val="18"/>
                      <w:szCs w:val="18"/>
                    </w:rPr>
                  </w:pPr>
                </w:p>
              </w:tc>
              <w:tc>
                <w:tcPr>
                  <w:tcW w:w="542" w:type="pct"/>
                  <w:tcBorders>
                    <w:tl2br w:val="nil"/>
                    <w:tr2bl w:val="nil"/>
                  </w:tcBorders>
                  <w:vAlign w:val="center"/>
                </w:tcPr>
                <w:p w14:paraId="4DE0F430">
                  <w:pPr>
                    <w:snapToGrid w:val="0"/>
                    <w:jc w:val="center"/>
                    <w:rPr>
                      <w:bCs/>
                      <w:sz w:val="18"/>
                      <w:szCs w:val="18"/>
                    </w:rPr>
                  </w:pPr>
                  <w:r>
                    <w:rPr>
                      <w:bCs/>
                      <w:sz w:val="18"/>
                      <w:szCs w:val="18"/>
                    </w:rPr>
                    <w:t>20</w:t>
                  </w:r>
                </w:p>
              </w:tc>
              <w:tc>
                <w:tcPr>
                  <w:tcW w:w="1555" w:type="pct"/>
                  <w:vMerge w:val="continue"/>
                  <w:tcBorders>
                    <w:tl2br w:val="nil"/>
                    <w:tr2bl w:val="nil"/>
                  </w:tcBorders>
                  <w:vAlign w:val="center"/>
                </w:tcPr>
                <w:p w14:paraId="2E91FB4A">
                  <w:pPr>
                    <w:snapToGrid w:val="0"/>
                    <w:jc w:val="center"/>
                    <w:rPr>
                      <w:bCs/>
                      <w:sz w:val="18"/>
                      <w:szCs w:val="18"/>
                    </w:rPr>
                  </w:pPr>
                </w:p>
              </w:tc>
              <w:tc>
                <w:tcPr>
                  <w:tcW w:w="331" w:type="pct"/>
                  <w:vMerge w:val="continue"/>
                  <w:tcBorders>
                    <w:tl2br w:val="nil"/>
                    <w:tr2bl w:val="nil"/>
                  </w:tcBorders>
                  <w:vAlign w:val="center"/>
                </w:tcPr>
                <w:p w14:paraId="61012F59">
                  <w:pPr>
                    <w:snapToGrid w:val="0"/>
                    <w:jc w:val="center"/>
                    <w:rPr>
                      <w:bCs/>
                      <w:sz w:val="18"/>
                      <w:szCs w:val="18"/>
                    </w:rPr>
                  </w:pPr>
                </w:p>
              </w:tc>
              <w:tc>
                <w:tcPr>
                  <w:tcW w:w="591" w:type="pct"/>
                  <w:tcBorders>
                    <w:tl2br w:val="nil"/>
                    <w:tr2bl w:val="nil"/>
                  </w:tcBorders>
                  <w:vAlign w:val="center"/>
                </w:tcPr>
                <w:p w14:paraId="7A493BDB">
                  <w:pPr>
                    <w:snapToGrid w:val="0"/>
                    <w:jc w:val="center"/>
                    <w:rPr>
                      <w:bCs/>
                      <w:sz w:val="18"/>
                      <w:szCs w:val="18"/>
                    </w:rPr>
                  </w:pPr>
                  <w:r>
                    <w:rPr>
                      <w:bCs/>
                      <w:sz w:val="18"/>
                      <w:szCs w:val="18"/>
                    </w:rPr>
                    <w:t>1</w:t>
                  </w:r>
                </w:p>
              </w:tc>
              <w:tc>
                <w:tcPr>
                  <w:tcW w:w="1242" w:type="pct"/>
                  <w:vMerge w:val="continue"/>
                  <w:tcBorders>
                    <w:tl2br w:val="nil"/>
                    <w:tr2bl w:val="nil"/>
                  </w:tcBorders>
                  <w:vAlign w:val="center"/>
                </w:tcPr>
                <w:p w14:paraId="7B48F783">
                  <w:pPr>
                    <w:snapToGrid w:val="0"/>
                    <w:jc w:val="center"/>
                    <w:rPr>
                      <w:bCs/>
                      <w:sz w:val="18"/>
                      <w:szCs w:val="18"/>
                    </w:rPr>
                  </w:pPr>
                </w:p>
              </w:tc>
            </w:tr>
            <w:tr w14:paraId="52CA2F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55D85991">
                  <w:pPr>
                    <w:snapToGrid w:val="0"/>
                    <w:jc w:val="center"/>
                    <w:rPr>
                      <w:bCs/>
                      <w:sz w:val="18"/>
                      <w:szCs w:val="18"/>
                      <w:vertAlign w:val="subscript"/>
                    </w:rPr>
                  </w:pPr>
                  <w:r>
                    <w:rPr>
                      <w:bCs/>
                      <w:sz w:val="18"/>
                      <w:szCs w:val="18"/>
                    </w:rPr>
                    <w:t>COD</w:t>
                  </w:r>
                  <w:r>
                    <w:rPr>
                      <w:bCs/>
                      <w:sz w:val="18"/>
                      <w:szCs w:val="18"/>
                      <w:vertAlign w:val="subscript"/>
                    </w:rPr>
                    <w:t>Cr</w:t>
                  </w:r>
                </w:p>
              </w:tc>
              <w:tc>
                <w:tcPr>
                  <w:tcW w:w="247" w:type="pct"/>
                  <w:vMerge w:val="continue"/>
                  <w:tcBorders>
                    <w:tl2br w:val="nil"/>
                    <w:tr2bl w:val="nil"/>
                  </w:tcBorders>
                  <w:vAlign w:val="center"/>
                </w:tcPr>
                <w:p w14:paraId="44747F13">
                  <w:pPr>
                    <w:snapToGrid w:val="0"/>
                    <w:jc w:val="center"/>
                    <w:rPr>
                      <w:bCs/>
                      <w:sz w:val="18"/>
                      <w:szCs w:val="18"/>
                    </w:rPr>
                  </w:pPr>
                </w:p>
              </w:tc>
              <w:tc>
                <w:tcPr>
                  <w:tcW w:w="542" w:type="pct"/>
                  <w:tcBorders>
                    <w:tl2br w:val="nil"/>
                    <w:tr2bl w:val="nil"/>
                  </w:tcBorders>
                  <w:vAlign w:val="center"/>
                </w:tcPr>
                <w:p w14:paraId="1C4AEAF4">
                  <w:pPr>
                    <w:snapToGrid w:val="0"/>
                    <w:jc w:val="center"/>
                    <w:rPr>
                      <w:bCs/>
                      <w:sz w:val="18"/>
                      <w:szCs w:val="18"/>
                    </w:rPr>
                  </w:pPr>
                  <w:r>
                    <w:rPr>
                      <w:bCs/>
                      <w:sz w:val="18"/>
                      <w:szCs w:val="18"/>
                    </w:rPr>
                    <w:t>500</w:t>
                  </w:r>
                </w:p>
              </w:tc>
              <w:tc>
                <w:tcPr>
                  <w:tcW w:w="1555" w:type="pct"/>
                  <w:vMerge w:val="continue"/>
                  <w:tcBorders>
                    <w:tl2br w:val="nil"/>
                    <w:tr2bl w:val="nil"/>
                  </w:tcBorders>
                  <w:vAlign w:val="center"/>
                </w:tcPr>
                <w:p w14:paraId="25FF6448">
                  <w:pPr>
                    <w:snapToGrid w:val="0"/>
                    <w:jc w:val="center"/>
                    <w:rPr>
                      <w:bCs/>
                      <w:sz w:val="18"/>
                      <w:szCs w:val="18"/>
                    </w:rPr>
                  </w:pPr>
                </w:p>
              </w:tc>
              <w:tc>
                <w:tcPr>
                  <w:tcW w:w="331" w:type="pct"/>
                  <w:vMerge w:val="continue"/>
                  <w:tcBorders>
                    <w:tl2br w:val="nil"/>
                    <w:tr2bl w:val="nil"/>
                  </w:tcBorders>
                  <w:vAlign w:val="center"/>
                </w:tcPr>
                <w:p w14:paraId="63DCDE04">
                  <w:pPr>
                    <w:snapToGrid w:val="0"/>
                    <w:jc w:val="center"/>
                    <w:rPr>
                      <w:bCs/>
                      <w:sz w:val="18"/>
                      <w:szCs w:val="18"/>
                    </w:rPr>
                  </w:pPr>
                </w:p>
              </w:tc>
              <w:tc>
                <w:tcPr>
                  <w:tcW w:w="591" w:type="pct"/>
                  <w:tcBorders>
                    <w:tl2br w:val="nil"/>
                    <w:tr2bl w:val="nil"/>
                  </w:tcBorders>
                  <w:vAlign w:val="center"/>
                </w:tcPr>
                <w:p w14:paraId="6D050EF5">
                  <w:pPr>
                    <w:snapToGrid w:val="0"/>
                    <w:jc w:val="center"/>
                    <w:rPr>
                      <w:bCs/>
                      <w:sz w:val="18"/>
                      <w:szCs w:val="18"/>
                    </w:rPr>
                  </w:pPr>
                  <w:r>
                    <w:rPr>
                      <w:bCs/>
                      <w:sz w:val="18"/>
                      <w:szCs w:val="18"/>
                    </w:rPr>
                    <w:t>40</w:t>
                  </w:r>
                  <w:r>
                    <w:rPr>
                      <w:rFonts w:hint="eastAsia"/>
                      <w:bCs/>
                      <w:sz w:val="18"/>
                      <w:szCs w:val="18"/>
                      <w:lang w:val="en-US" w:eastAsia="zh-CN"/>
                    </w:rPr>
                    <w:t>②</w:t>
                  </w:r>
                </w:p>
              </w:tc>
              <w:tc>
                <w:tcPr>
                  <w:tcW w:w="1242" w:type="pct"/>
                  <w:vMerge w:val="restart"/>
                  <w:tcBorders>
                    <w:tl2br w:val="nil"/>
                    <w:tr2bl w:val="nil"/>
                  </w:tcBorders>
                  <w:vAlign w:val="center"/>
                </w:tcPr>
                <w:p w14:paraId="341C6EE7">
                  <w:pPr>
                    <w:snapToGrid w:val="0"/>
                    <w:jc w:val="center"/>
                    <w:rPr>
                      <w:rFonts w:hint="eastAsia" w:eastAsia="宋体"/>
                      <w:bCs/>
                      <w:sz w:val="18"/>
                      <w:szCs w:val="18"/>
                      <w:lang w:val="en-US" w:eastAsia="zh-CN"/>
                    </w:rPr>
                  </w:pPr>
                  <w:r>
                    <w:rPr>
                      <w:bCs/>
                      <w:sz w:val="18"/>
                      <w:szCs w:val="18"/>
                    </w:rPr>
                    <w:t>DB 33/ 2169-2018</w:t>
                  </w:r>
                </w:p>
              </w:tc>
            </w:tr>
            <w:tr w14:paraId="2331F1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4AF8D84C">
                  <w:pPr>
                    <w:snapToGrid w:val="0"/>
                    <w:jc w:val="center"/>
                    <w:rPr>
                      <w:bCs/>
                      <w:sz w:val="18"/>
                      <w:szCs w:val="18"/>
                    </w:rPr>
                  </w:pPr>
                  <w:r>
                    <w:rPr>
                      <w:rFonts w:hint="eastAsia"/>
                      <w:bCs/>
                      <w:sz w:val="18"/>
                      <w:szCs w:val="18"/>
                    </w:rPr>
                    <w:t>氨氮</w:t>
                  </w:r>
                </w:p>
              </w:tc>
              <w:tc>
                <w:tcPr>
                  <w:tcW w:w="247" w:type="pct"/>
                  <w:vMerge w:val="continue"/>
                  <w:tcBorders>
                    <w:tl2br w:val="nil"/>
                    <w:tr2bl w:val="nil"/>
                  </w:tcBorders>
                  <w:vAlign w:val="center"/>
                </w:tcPr>
                <w:p w14:paraId="0B176A75">
                  <w:pPr>
                    <w:snapToGrid w:val="0"/>
                    <w:jc w:val="center"/>
                    <w:rPr>
                      <w:bCs/>
                      <w:sz w:val="18"/>
                      <w:szCs w:val="18"/>
                    </w:rPr>
                  </w:pPr>
                </w:p>
              </w:tc>
              <w:tc>
                <w:tcPr>
                  <w:tcW w:w="542" w:type="pct"/>
                  <w:tcBorders>
                    <w:tl2br w:val="nil"/>
                    <w:tr2bl w:val="nil"/>
                  </w:tcBorders>
                  <w:vAlign w:val="center"/>
                </w:tcPr>
                <w:p w14:paraId="4F69EC08">
                  <w:pPr>
                    <w:snapToGrid w:val="0"/>
                    <w:jc w:val="center"/>
                    <w:rPr>
                      <w:bCs/>
                      <w:sz w:val="18"/>
                      <w:szCs w:val="18"/>
                    </w:rPr>
                  </w:pPr>
                  <w:r>
                    <w:rPr>
                      <w:bCs/>
                      <w:sz w:val="18"/>
                      <w:szCs w:val="18"/>
                    </w:rPr>
                    <w:t>35</w:t>
                  </w:r>
                </w:p>
              </w:tc>
              <w:tc>
                <w:tcPr>
                  <w:tcW w:w="1555" w:type="pct"/>
                  <w:vMerge w:val="restart"/>
                  <w:tcBorders>
                    <w:tl2br w:val="nil"/>
                    <w:tr2bl w:val="nil"/>
                  </w:tcBorders>
                  <w:vAlign w:val="center"/>
                </w:tcPr>
                <w:p w14:paraId="7B3D49DE">
                  <w:pPr>
                    <w:snapToGrid w:val="0"/>
                    <w:jc w:val="center"/>
                    <w:rPr>
                      <w:bCs/>
                      <w:sz w:val="18"/>
                      <w:szCs w:val="18"/>
                      <w:highlight w:val="yellow"/>
                    </w:rPr>
                  </w:pPr>
                  <w:r>
                    <w:rPr>
                      <w:bCs/>
                      <w:sz w:val="18"/>
                      <w:szCs w:val="18"/>
                    </w:rPr>
                    <w:t>DB 33/ 887-20</w:t>
                  </w:r>
                  <w:r>
                    <w:rPr>
                      <w:rFonts w:hint="eastAsia"/>
                      <w:bCs/>
                      <w:sz w:val="18"/>
                      <w:szCs w:val="18"/>
                      <w:lang w:val="en-US" w:eastAsia="zh-CN"/>
                    </w:rPr>
                    <w:t>25</w:t>
                  </w:r>
                </w:p>
              </w:tc>
              <w:tc>
                <w:tcPr>
                  <w:tcW w:w="331" w:type="pct"/>
                  <w:vMerge w:val="continue"/>
                  <w:tcBorders>
                    <w:tl2br w:val="nil"/>
                    <w:tr2bl w:val="nil"/>
                  </w:tcBorders>
                  <w:vAlign w:val="center"/>
                </w:tcPr>
                <w:p w14:paraId="4A4B70BD">
                  <w:pPr>
                    <w:snapToGrid w:val="0"/>
                    <w:jc w:val="center"/>
                    <w:rPr>
                      <w:bCs/>
                      <w:sz w:val="18"/>
                      <w:szCs w:val="18"/>
                    </w:rPr>
                  </w:pPr>
                </w:p>
              </w:tc>
              <w:tc>
                <w:tcPr>
                  <w:tcW w:w="591" w:type="pct"/>
                  <w:tcBorders>
                    <w:tl2br w:val="nil"/>
                    <w:tr2bl w:val="nil"/>
                  </w:tcBorders>
                  <w:vAlign w:val="center"/>
                </w:tcPr>
                <w:p w14:paraId="2E661038">
                  <w:pPr>
                    <w:snapToGrid w:val="0"/>
                    <w:jc w:val="center"/>
                    <w:rPr>
                      <w:bCs/>
                      <w:sz w:val="18"/>
                      <w:szCs w:val="18"/>
                    </w:rPr>
                  </w:pPr>
                  <w:r>
                    <w:rPr>
                      <w:bCs/>
                      <w:sz w:val="18"/>
                      <w:szCs w:val="18"/>
                    </w:rPr>
                    <w:t>2(4)</w:t>
                  </w:r>
                  <w:r>
                    <w:rPr>
                      <w:rFonts w:hint="eastAsia"/>
                      <w:bCs/>
                      <w:sz w:val="18"/>
                      <w:szCs w:val="18"/>
                      <w:vertAlign w:val="baseline"/>
                    </w:rPr>
                    <w:t>①</w:t>
                  </w:r>
                  <w:r>
                    <w:rPr>
                      <w:rFonts w:hint="eastAsia"/>
                      <w:bCs/>
                      <w:sz w:val="18"/>
                      <w:szCs w:val="18"/>
                      <w:lang w:val="en-US" w:eastAsia="zh-CN"/>
                    </w:rPr>
                    <w:t>②</w:t>
                  </w:r>
                </w:p>
              </w:tc>
              <w:tc>
                <w:tcPr>
                  <w:tcW w:w="1242" w:type="pct"/>
                  <w:vMerge w:val="continue"/>
                  <w:tcBorders>
                    <w:tl2br w:val="nil"/>
                    <w:tr2bl w:val="nil"/>
                  </w:tcBorders>
                  <w:vAlign w:val="center"/>
                </w:tcPr>
                <w:p w14:paraId="64CCF525">
                  <w:pPr>
                    <w:snapToGrid w:val="0"/>
                    <w:jc w:val="left"/>
                    <w:rPr>
                      <w:bCs/>
                      <w:sz w:val="18"/>
                      <w:szCs w:val="18"/>
                    </w:rPr>
                  </w:pPr>
                </w:p>
              </w:tc>
            </w:tr>
            <w:tr w14:paraId="3AAB0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01AF65DB">
                  <w:pPr>
                    <w:snapToGrid w:val="0"/>
                    <w:jc w:val="center"/>
                    <w:rPr>
                      <w:bCs/>
                      <w:sz w:val="18"/>
                      <w:szCs w:val="18"/>
                    </w:rPr>
                  </w:pPr>
                  <w:r>
                    <w:rPr>
                      <w:rFonts w:hint="eastAsia"/>
                      <w:bCs/>
                      <w:sz w:val="18"/>
                      <w:szCs w:val="18"/>
                    </w:rPr>
                    <w:t>总磷</w:t>
                  </w:r>
                </w:p>
              </w:tc>
              <w:tc>
                <w:tcPr>
                  <w:tcW w:w="247" w:type="pct"/>
                  <w:vMerge w:val="continue"/>
                  <w:tcBorders>
                    <w:tl2br w:val="nil"/>
                    <w:tr2bl w:val="nil"/>
                  </w:tcBorders>
                  <w:vAlign w:val="center"/>
                </w:tcPr>
                <w:p w14:paraId="668C1BBD">
                  <w:pPr>
                    <w:snapToGrid w:val="0"/>
                    <w:jc w:val="center"/>
                    <w:rPr>
                      <w:bCs/>
                      <w:sz w:val="18"/>
                      <w:szCs w:val="18"/>
                    </w:rPr>
                  </w:pPr>
                </w:p>
              </w:tc>
              <w:tc>
                <w:tcPr>
                  <w:tcW w:w="542" w:type="pct"/>
                  <w:tcBorders>
                    <w:tl2br w:val="nil"/>
                    <w:tr2bl w:val="nil"/>
                  </w:tcBorders>
                  <w:vAlign w:val="center"/>
                </w:tcPr>
                <w:p w14:paraId="17E5E328">
                  <w:pPr>
                    <w:snapToGrid w:val="0"/>
                    <w:jc w:val="center"/>
                    <w:rPr>
                      <w:bCs/>
                      <w:sz w:val="18"/>
                      <w:szCs w:val="18"/>
                    </w:rPr>
                  </w:pPr>
                  <w:r>
                    <w:rPr>
                      <w:bCs/>
                      <w:sz w:val="18"/>
                      <w:szCs w:val="18"/>
                    </w:rPr>
                    <w:t>8</w:t>
                  </w:r>
                </w:p>
              </w:tc>
              <w:tc>
                <w:tcPr>
                  <w:tcW w:w="1555" w:type="pct"/>
                  <w:vMerge w:val="continue"/>
                  <w:tcBorders>
                    <w:tl2br w:val="nil"/>
                    <w:tr2bl w:val="nil"/>
                  </w:tcBorders>
                  <w:vAlign w:val="center"/>
                </w:tcPr>
                <w:p w14:paraId="3D6B900C">
                  <w:pPr>
                    <w:snapToGrid w:val="0"/>
                    <w:jc w:val="center"/>
                    <w:rPr>
                      <w:bCs/>
                      <w:sz w:val="18"/>
                      <w:szCs w:val="18"/>
                    </w:rPr>
                  </w:pPr>
                </w:p>
              </w:tc>
              <w:tc>
                <w:tcPr>
                  <w:tcW w:w="331" w:type="pct"/>
                  <w:vMerge w:val="continue"/>
                  <w:tcBorders>
                    <w:tl2br w:val="nil"/>
                    <w:tr2bl w:val="nil"/>
                  </w:tcBorders>
                  <w:vAlign w:val="center"/>
                </w:tcPr>
                <w:p w14:paraId="3D2E704A">
                  <w:pPr>
                    <w:snapToGrid w:val="0"/>
                    <w:jc w:val="center"/>
                    <w:rPr>
                      <w:bCs/>
                      <w:sz w:val="18"/>
                      <w:szCs w:val="18"/>
                    </w:rPr>
                  </w:pPr>
                </w:p>
              </w:tc>
              <w:tc>
                <w:tcPr>
                  <w:tcW w:w="591" w:type="pct"/>
                  <w:tcBorders>
                    <w:tl2br w:val="nil"/>
                    <w:tr2bl w:val="nil"/>
                  </w:tcBorders>
                  <w:vAlign w:val="center"/>
                </w:tcPr>
                <w:p w14:paraId="106E31E9">
                  <w:pPr>
                    <w:snapToGrid w:val="0"/>
                    <w:jc w:val="center"/>
                    <w:rPr>
                      <w:bCs/>
                      <w:sz w:val="18"/>
                      <w:szCs w:val="18"/>
                    </w:rPr>
                  </w:pPr>
                  <w:r>
                    <w:rPr>
                      <w:bCs/>
                      <w:sz w:val="18"/>
                      <w:szCs w:val="18"/>
                    </w:rPr>
                    <w:t>0.3</w:t>
                  </w:r>
                </w:p>
              </w:tc>
              <w:tc>
                <w:tcPr>
                  <w:tcW w:w="1242" w:type="pct"/>
                  <w:vMerge w:val="continue"/>
                  <w:tcBorders>
                    <w:tl2br w:val="nil"/>
                    <w:tr2bl w:val="nil"/>
                  </w:tcBorders>
                  <w:vAlign w:val="center"/>
                </w:tcPr>
                <w:p w14:paraId="083E3793">
                  <w:pPr>
                    <w:snapToGrid w:val="0"/>
                    <w:jc w:val="left"/>
                    <w:rPr>
                      <w:bCs/>
                      <w:sz w:val="18"/>
                      <w:szCs w:val="18"/>
                    </w:rPr>
                  </w:pPr>
                </w:p>
              </w:tc>
            </w:tr>
            <w:tr w14:paraId="74224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3B417A10">
                  <w:pPr>
                    <w:snapToGrid w:val="0"/>
                    <w:jc w:val="center"/>
                    <w:rPr>
                      <w:bCs/>
                      <w:sz w:val="18"/>
                      <w:szCs w:val="18"/>
                      <w:highlight w:val="none"/>
                    </w:rPr>
                  </w:pPr>
                  <w:r>
                    <w:rPr>
                      <w:rFonts w:hint="eastAsia"/>
                      <w:bCs/>
                      <w:sz w:val="18"/>
                      <w:szCs w:val="18"/>
                      <w:highlight w:val="none"/>
                    </w:rPr>
                    <w:t>总氮</w:t>
                  </w:r>
                </w:p>
              </w:tc>
              <w:tc>
                <w:tcPr>
                  <w:tcW w:w="247" w:type="pct"/>
                  <w:vMerge w:val="continue"/>
                  <w:tcBorders>
                    <w:tl2br w:val="nil"/>
                    <w:tr2bl w:val="nil"/>
                  </w:tcBorders>
                  <w:vAlign w:val="center"/>
                </w:tcPr>
                <w:p w14:paraId="78E2979D">
                  <w:pPr>
                    <w:snapToGrid w:val="0"/>
                    <w:jc w:val="center"/>
                    <w:rPr>
                      <w:bCs/>
                      <w:sz w:val="18"/>
                      <w:szCs w:val="18"/>
                      <w:highlight w:val="none"/>
                    </w:rPr>
                  </w:pPr>
                </w:p>
              </w:tc>
              <w:tc>
                <w:tcPr>
                  <w:tcW w:w="542" w:type="pct"/>
                  <w:tcBorders>
                    <w:tl2br w:val="nil"/>
                    <w:tr2bl w:val="nil"/>
                  </w:tcBorders>
                  <w:vAlign w:val="center"/>
                </w:tcPr>
                <w:p w14:paraId="681B7439">
                  <w:pPr>
                    <w:snapToGrid w:val="0"/>
                    <w:jc w:val="center"/>
                    <w:rPr>
                      <w:bCs/>
                      <w:sz w:val="18"/>
                      <w:szCs w:val="18"/>
                      <w:highlight w:val="none"/>
                    </w:rPr>
                  </w:pPr>
                  <w:r>
                    <w:rPr>
                      <w:rFonts w:hint="eastAsia"/>
                      <w:bCs/>
                      <w:sz w:val="18"/>
                      <w:szCs w:val="18"/>
                      <w:highlight w:val="none"/>
                      <w:lang w:val="en-US" w:eastAsia="zh-CN"/>
                    </w:rPr>
                    <w:t>70</w:t>
                  </w:r>
                </w:p>
              </w:tc>
              <w:tc>
                <w:tcPr>
                  <w:tcW w:w="1555" w:type="pct"/>
                  <w:vMerge w:val="continue"/>
                  <w:tcBorders>
                    <w:tl2br w:val="nil"/>
                    <w:tr2bl w:val="nil"/>
                  </w:tcBorders>
                  <w:vAlign w:val="center"/>
                </w:tcPr>
                <w:p w14:paraId="7182BD31">
                  <w:pPr>
                    <w:snapToGrid w:val="0"/>
                    <w:jc w:val="center"/>
                    <w:rPr>
                      <w:bCs/>
                      <w:sz w:val="18"/>
                      <w:szCs w:val="18"/>
                      <w:highlight w:val="yellow"/>
                    </w:rPr>
                  </w:pPr>
                </w:p>
              </w:tc>
              <w:tc>
                <w:tcPr>
                  <w:tcW w:w="331" w:type="pct"/>
                  <w:vMerge w:val="continue"/>
                  <w:tcBorders>
                    <w:tl2br w:val="nil"/>
                    <w:tr2bl w:val="nil"/>
                  </w:tcBorders>
                  <w:vAlign w:val="center"/>
                </w:tcPr>
                <w:p w14:paraId="6EF7D2A2">
                  <w:pPr>
                    <w:snapToGrid w:val="0"/>
                    <w:jc w:val="center"/>
                    <w:rPr>
                      <w:bCs/>
                      <w:sz w:val="18"/>
                      <w:szCs w:val="18"/>
                    </w:rPr>
                  </w:pPr>
                </w:p>
              </w:tc>
              <w:tc>
                <w:tcPr>
                  <w:tcW w:w="591" w:type="pct"/>
                  <w:tcBorders>
                    <w:tl2br w:val="nil"/>
                    <w:tr2bl w:val="nil"/>
                  </w:tcBorders>
                  <w:vAlign w:val="center"/>
                </w:tcPr>
                <w:p w14:paraId="7DD4C8B0">
                  <w:pPr>
                    <w:snapToGrid w:val="0"/>
                    <w:jc w:val="center"/>
                    <w:rPr>
                      <w:bCs/>
                      <w:sz w:val="18"/>
                      <w:szCs w:val="18"/>
                    </w:rPr>
                  </w:pPr>
                  <w:r>
                    <w:rPr>
                      <w:bCs/>
                      <w:sz w:val="18"/>
                      <w:szCs w:val="18"/>
                    </w:rPr>
                    <w:t>12(15)</w:t>
                  </w:r>
                  <w:r>
                    <w:rPr>
                      <w:rFonts w:hint="eastAsia"/>
                      <w:bCs/>
                      <w:sz w:val="18"/>
                      <w:szCs w:val="18"/>
                      <w:vertAlign w:val="baseline"/>
                    </w:rPr>
                    <w:t>①</w:t>
                  </w:r>
                </w:p>
              </w:tc>
              <w:tc>
                <w:tcPr>
                  <w:tcW w:w="1242" w:type="pct"/>
                  <w:vMerge w:val="continue"/>
                  <w:tcBorders>
                    <w:tl2br w:val="nil"/>
                    <w:tr2bl w:val="nil"/>
                  </w:tcBorders>
                  <w:vAlign w:val="center"/>
                </w:tcPr>
                <w:p w14:paraId="2E78D1F8">
                  <w:pPr>
                    <w:snapToGrid w:val="0"/>
                    <w:jc w:val="left"/>
                    <w:rPr>
                      <w:bCs/>
                      <w:sz w:val="18"/>
                      <w:szCs w:val="18"/>
                    </w:rPr>
                  </w:pPr>
                </w:p>
              </w:tc>
            </w:tr>
          </w:tbl>
          <w:p w14:paraId="36BCFBC6">
            <w:pPr>
              <w:spacing w:line="240" w:lineRule="auto"/>
              <w:rPr>
                <w:rFonts w:hint="eastAsia" w:eastAsia="宋体"/>
                <w:sz w:val="18"/>
                <w:szCs w:val="18"/>
                <w:lang w:val="en-US" w:eastAsia="zh-CN"/>
              </w:rPr>
            </w:pPr>
            <w:r>
              <w:rPr>
                <w:rFonts w:hint="eastAsia"/>
                <w:b/>
                <w:bCs/>
                <w:sz w:val="18"/>
                <w:szCs w:val="18"/>
              </w:rPr>
              <w:t>注：</w:t>
            </w:r>
            <w:r>
              <w:rPr>
                <w:rFonts w:hint="eastAsia"/>
                <w:sz w:val="18"/>
                <w:szCs w:val="18"/>
              </w:rPr>
              <w:t>① 括号内数值为每年11月1日至次年3月31日执行。</w:t>
            </w:r>
            <w:r>
              <w:rPr>
                <w:rFonts w:hint="eastAsia"/>
                <w:sz w:val="18"/>
                <w:szCs w:val="18"/>
                <w:lang w:val="en-US" w:eastAsia="zh-CN"/>
              </w:rPr>
              <w:t>②</w:t>
            </w:r>
            <w:r>
              <w:rPr>
                <w:rFonts w:hint="eastAsia" w:ascii="Times New Roman" w:hAnsi="Times New Roman" w:eastAsia="宋体" w:cs="Times New Roman"/>
                <w:i w:val="0"/>
                <w:iCs w:val="0"/>
                <w:color w:val="000000"/>
                <w:kern w:val="0"/>
                <w:sz w:val="18"/>
                <w:szCs w:val="18"/>
                <w:u w:val="none"/>
                <w:lang w:val="en-US" w:eastAsia="zh-CN" w:bidi="ar"/>
              </w:rPr>
              <w:t>COD</w:t>
            </w:r>
            <w:r>
              <w:rPr>
                <w:rFonts w:hint="eastAsia" w:ascii="Times New Roman" w:hAnsi="Times New Roman" w:eastAsia="宋体" w:cs="Times New Roman"/>
                <w:i w:val="0"/>
                <w:iCs w:val="0"/>
                <w:color w:val="000000"/>
                <w:kern w:val="0"/>
                <w:sz w:val="18"/>
                <w:szCs w:val="18"/>
                <w:u w:val="none"/>
                <w:vertAlign w:val="subscript"/>
                <w:lang w:val="en-US" w:eastAsia="zh-CN" w:bidi="ar"/>
              </w:rPr>
              <w:t>Cr</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r>
              <w:rPr>
                <w:rFonts w:hint="eastAsia" w:ascii="Times New Roman" w:hAnsi="Times New Roman" w:eastAsia="宋体" w:cs="Times New Roman"/>
                <w:i w:val="0"/>
                <w:iCs w:val="0"/>
                <w:color w:val="000000"/>
                <w:kern w:val="0"/>
                <w:sz w:val="18"/>
                <w:szCs w:val="18"/>
                <w:u w:val="none"/>
                <w:lang w:val="en-US" w:eastAsia="zh-CN" w:bidi="ar"/>
              </w:rPr>
              <w:t>排环境量，按照余杭污水处理厂一二三期和四期排放口</w:t>
            </w:r>
            <w:r>
              <w:rPr>
                <w:rFonts w:hint="eastAsia" w:cs="Times New Roman"/>
                <w:i w:val="0"/>
                <w:iCs w:val="0"/>
                <w:color w:val="000000"/>
                <w:kern w:val="0"/>
                <w:sz w:val="18"/>
                <w:szCs w:val="18"/>
                <w:u w:val="none"/>
                <w:lang w:val="en-US" w:eastAsia="zh-CN" w:bidi="ar"/>
              </w:rPr>
              <w:t>的</w:t>
            </w:r>
            <w:r>
              <w:rPr>
                <w:rFonts w:hint="eastAsia" w:ascii="Times New Roman" w:hAnsi="Times New Roman" w:eastAsia="宋体" w:cs="Times New Roman"/>
                <w:i w:val="0"/>
                <w:iCs w:val="0"/>
                <w:color w:val="000000"/>
                <w:kern w:val="0"/>
                <w:sz w:val="18"/>
                <w:szCs w:val="18"/>
                <w:u w:val="none"/>
                <w:lang w:val="en-US" w:eastAsia="zh-CN" w:bidi="ar"/>
              </w:rPr>
              <w:t>排放限值的平均值进行计算</w:t>
            </w:r>
            <w:r>
              <w:rPr>
                <w:rFonts w:hint="eastAsia" w:cs="Times New Roman"/>
                <w:i w:val="0"/>
                <w:iCs w:val="0"/>
                <w:color w:val="000000"/>
                <w:kern w:val="0"/>
                <w:sz w:val="18"/>
                <w:szCs w:val="18"/>
                <w:u w:val="none"/>
                <w:lang w:val="en-US" w:eastAsia="zh-CN" w:bidi="ar"/>
              </w:rPr>
              <w:t>，即COD</w:t>
            </w:r>
            <w:r>
              <w:rPr>
                <w:rFonts w:hint="eastAsia" w:cs="Times New Roman"/>
                <w:i w:val="0"/>
                <w:iCs w:val="0"/>
                <w:color w:val="000000"/>
                <w:kern w:val="0"/>
                <w:sz w:val="18"/>
                <w:szCs w:val="18"/>
                <w:u w:val="none"/>
                <w:vertAlign w:val="subscript"/>
                <w:lang w:val="en-US" w:eastAsia="zh-CN" w:bidi="ar"/>
              </w:rPr>
              <w:t xml:space="preserve">Cr </w:t>
            </w:r>
            <w:r>
              <w:rPr>
                <w:rFonts w:hint="eastAsia" w:cs="Times New Roman"/>
                <w:i w:val="0"/>
                <w:iCs w:val="0"/>
                <w:color w:val="000000"/>
                <w:kern w:val="0"/>
                <w:sz w:val="18"/>
                <w:szCs w:val="18"/>
                <w:u w:val="none"/>
                <w:lang w:val="en-US" w:eastAsia="zh-CN" w:bidi="ar"/>
              </w:rPr>
              <w:t>35 mg/L、NH</w:t>
            </w:r>
            <w:r>
              <w:rPr>
                <w:rFonts w:hint="eastAsia" w:cs="Times New Roman"/>
                <w:i w:val="0"/>
                <w:iCs w:val="0"/>
                <w:color w:val="000000"/>
                <w:kern w:val="0"/>
                <w:sz w:val="18"/>
                <w:szCs w:val="18"/>
                <w:u w:val="none"/>
                <w:vertAlign w:val="subscript"/>
                <w:lang w:val="en-US" w:eastAsia="zh-CN" w:bidi="ar"/>
              </w:rPr>
              <w:t>3</w:t>
            </w:r>
            <w:r>
              <w:rPr>
                <w:rFonts w:hint="eastAsia" w:cs="Times New Roman"/>
                <w:i w:val="0"/>
                <w:iCs w:val="0"/>
                <w:color w:val="000000"/>
                <w:kern w:val="0"/>
                <w:sz w:val="18"/>
                <w:szCs w:val="18"/>
                <w:u w:val="none"/>
                <w:lang w:val="en-US" w:eastAsia="zh-CN" w:bidi="ar"/>
              </w:rPr>
              <w:t>-N 1.75 mg/L</w:t>
            </w:r>
            <w:r>
              <w:rPr>
                <w:rFonts w:hint="eastAsia" w:ascii="Times New Roman" w:hAnsi="Times New Roman" w:eastAsia="宋体" w:cs="Times New Roman"/>
                <w:i w:val="0"/>
                <w:iCs w:val="0"/>
                <w:color w:val="000000"/>
                <w:kern w:val="0"/>
                <w:sz w:val="18"/>
                <w:szCs w:val="18"/>
                <w:u w:val="none"/>
                <w:lang w:val="en-US" w:eastAsia="zh-CN" w:bidi="ar"/>
              </w:rPr>
              <w:t>。</w:t>
            </w:r>
          </w:p>
          <w:bookmarkEnd w:id="38"/>
          <w:p w14:paraId="65E5DEAA">
            <w:pPr>
              <w:adjustRightInd w:val="0"/>
              <w:snapToGrid w:val="0"/>
              <w:spacing w:line="360" w:lineRule="auto"/>
              <w:rPr>
                <w:b/>
                <w:sz w:val="22"/>
                <w:szCs w:val="28"/>
              </w:rPr>
            </w:pPr>
            <w:r>
              <w:rPr>
                <w:b/>
                <w:sz w:val="22"/>
                <w:szCs w:val="28"/>
              </w:rPr>
              <w:t>3.</w:t>
            </w:r>
            <w:r>
              <w:rPr>
                <w:rFonts w:hint="eastAsia"/>
                <w:b/>
                <w:sz w:val="22"/>
                <w:szCs w:val="28"/>
              </w:rPr>
              <w:t>3.3 噪声</w:t>
            </w:r>
          </w:p>
          <w:p w14:paraId="13F75059">
            <w:pPr>
              <w:snapToGrid w:val="0"/>
              <w:spacing w:line="360" w:lineRule="auto"/>
              <w:ind w:firstLine="420" w:firstLineChars="200"/>
            </w:pPr>
            <w:r>
              <w:rPr>
                <w:rFonts w:hint="eastAsia"/>
              </w:rPr>
              <w:t>项目营运期间，四周厂界噪声执行《工业企业厂界环境噪声排放标准》(GB12348-2008)中的2类标准，具体标准值见</w:t>
            </w:r>
            <w:r>
              <w:rPr>
                <w:rFonts w:hint="eastAsia"/>
                <w:bCs/>
                <w:szCs w:val="21"/>
              </w:rPr>
              <w:t>下表</w:t>
            </w:r>
            <w:r>
              <w:rPr>
                <w:rFonts w:hint="eastAsia"/>
              </w:rPr>
              <w:t>。</w:t>
            </w:r>
          </w:p>
          <w:p w14:paraId="57996249">
            <w:pPr>
              <w:pStyle w:val="16"/>
              <w:widowControl/>
              <w:numPr>
                <w:ilvl w:val="0"/>
                <w:numId w:val="8"/>
              </w:numPr>
              <w:tabs>
                <w:tab w:val="left" w:pos="4515"/>
                <w:tab w:val="left" w:pos="5883"/>
                <w:tab w:val="left" w:pos="8718"/>
              </w:tabs>
              <w:adjustRightInd w:val="0"/>
              <w:snapToGrid w:val="0"/>
              <w:spacing w:line="360" w:lineRule="auto"/>
              <w:jc w:val="center"/>
              <w:rPr>
                <w:rFonts w:hint="eastAsia" w:ascii="黑体" w:hAnsi="黑体" w:eastAsia="黑体" w:cs="黑体"/>
                <w:bCs/>
              </w:rPr>
            </w:pPr>
            <w:r>
              <w:rPr>
                <w:rFonts w:hint="eastAsia" w:ascii="黑体" w:hAnsi="黑体" w:eastAsia="黑体" w:cs="黑体"/>
                <w:bCs/>
              </w:rPr>
              <w:t>本项目噪声排放标准</w:t>
            </w:r>
          </w:p>
          <w:tbl>
            <w:tblPr>
              <w:tblStyle w:val="26"/>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2674"/>
              <w:gridCol w:w="2675"/>
              <w:gridCol w:w="2672"/>
            </w:tblGrid>
            <w:tr w14:paraId="621522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vMerge w:val="restart"/>
                  <w:tcBorders>
                    <w:tl2br w:val="nil"/>
                    <w:tr2bl w:val="nil"/>
                  </w:tcBorders>
                  <w:vAlign w:val="center"/>
                </w:tcPr>
                <w:p w14:paraId="0E8C9FE2">
                  <w:pPr>
                    <w:adjustRightInd w:val="0"/>
                    <w:snapToGrid w:val="0"/>
                    <w:jc w:val="center"/>
                    <w:rPr>
                      <w:sz w:val="18"/>
                      <w:szCs w:val="18"/>
                    </w:rPr>
                  </w:pPr>
                  <w:r>
                    <w:rPr>
                      <w:rFonts w:hint="eastAsia"/>
                      <w:sz w:val="18"/>
                      <w:szCs w:val="18"/>
                    </w:rPr>
                    <w:t>类别</w:t>
                  </w:r>
                </w:p>
              </w:tc>
              <w:tc>
                <w:tcPr>
                  <w:tcW w:w="3332" w:type="pct"/>
                  <w:gridSpan w:val="2"/>
                  <w:tcBorders>
                    <w:tl2br w:val="nil"/>
                    <w:tr2bl w:val="nil"/>
                  </w:tcBorders>
                  <w:vAlign w:val="center"/>
                </w:tcPr>
                <w:p w14:paraId="36BAEA70">
                  <w:pPr>
                    <w:adjustRightInd w:val="0"/>
                    <w:snapToGrid w:val="0"/>
                    <w:jc w:val="center"/>
                    <w:rPr>
                      <w:sz w:val="18"/>
                      <w:szCs w:val="18"/>
                    </w:rPr>
                  </w:pPr>
                  <w:r>
                    <w:rPr>
                      <w:rFonts w:hint="eastAsia"/>
                      <w:sz w:val="18"/>
                      <w:szCs w:val="18"/>
                    </w:rPr>
                    <w:t>等效声级L</w:t>
                  </w:r>
                  <w:r>
                    <w:rPr>
                      <w:sz w:val="18"/>
                      <w:szCs w:val="18"/>
                      <w:vertAlign w:val="subscript"/>
                    </w:rPr>
                    <w:t>eq</w:t>
                  </w:r>
                  <w:r>
                    <w:rPr>
                      <w:sz w:val="18"/>
                      <w:szCs w:val="18"/>
                    </w:rPr>
                    <w:t>/dB(A)</w:t>
                  </w:r>
                </w:p>
              </w:tc>
            </w:tr>
            <w:tr w14:paraId="71778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vMerge w:val="continue"/>
                  <w:tcBorders>
                    <w:tl2br w:val="nil"/>
                    <w:tr2bl w:val="nil"/>
                  </w:tcBorders>
                  <w:vAlign w:val="center"/>
                </w:tcPr>
                <w:p w14:paraId="2EBA9494">
                  <w:pPr>
                    <w:adjustRightInd w:val="0"/>
                    <w:snapToGrid w:val="0"/>
                    <w:jc w:val="center"/>
                    <w:rPr>
                      <w:sz w:val="18"/>
                      <w:szCs w:val="18"/>
                    </w:rPr>
                  </w:pPr>
                </w:p>
              </w:tc>
              <w:tc>
                <w:tcPr>
                  <w:tcW w:w="1667" w:type="pct"/>
                  <w:tcBorders>
                    <w:tl2br w:val="nil"/>
                    <w:tr2bl w:val="nil"/>
                  </w:tcBorders>
                  <w:vAlign w:val="center"/>
                </w:tcPr>
                <w:p w14:paraId="44159C89">
                  <w:pPr>
                    <w:pStyle w:val="16"/>
                    <w:adjustRightInd w:val="0"/>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昼间</w:t>
                  </w:r>
                </w:p>
              </w:tc>
              <w:tc>
                <w:tcPr>
                  <w:tcW w:w="1665" w:type="pct"/>
                  <w:tcBorders>
                    <w:tl2br w:val="nil"/>
                    <w:tr2bl w:val="nil"/>
                  </w:tcBorders>
                  <w:vAlign w:val="center"/>
                </w:tcPr>
                <w:p w14:paraId="5CFBCDFA">
                  <w:pPr>
                    <w:pStyle w:val="16"/>
                    <w:adjustRightInd w:val="0"/>
                    <w:snapToGrid w:val="0"/>
                    <w:ind w:left="360" w:hanging="360"/>
                    <w:jc w:val="center"/>
                    <w:rPr>
                      <w:rFonts w:ascii="Times New Roman" w:hAnsi="Times New Roman" w:cs="Times New Roman"/>
                      <w:kern w:val="0"/>
                      <w:sz w:val="18"/>
                      <w:szCs w:val="18"/>
                    </w:rPr>
                  </w:pPr>
                  <w:r>
                    <w:rPr>
                      <w:rFonts w:hint="eastAsia" w:ascii="Times New Roman" w:hAnsi="Times New Roman" w:cs="Times New Roman"/>
                      <w:kern w:val="0"/>
                      <w:sz w:val="18"/>
                      <w:szCs w:val="18"/>
                    </w:rPr>
                    <w:t>夜间</w:t>
                  </w:r>
                </w:p>
              </w:tc>
            </w:tr>
            <w:tr w14:paraId="3D58A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tcBorders>
                    <w:tl2br w:val="nil"/>
                    <w:tr2bl w:val="nil"/>
                  </w:tcBorders>
                  <w:vAlign w:val="center"/>
                </w:tcPr>
                <w:p w14:paraId="7994001B">
                  <w:pPr>
                    <w:adjustRightInd w:val="0"/>
                    <w:snapToGrid w:val="0"/>
                    <w:jc w:val="center"/>
                    <w:rPr>
                      <w:sz w:val="18"/>
                      <w:szCs w:val="18"/>
                    </w:rPr>
                  </w:pPr>
                  <w:r>
                    <w:rPr>
                      <w:rFonts w:hint="eastAsia"/>
                      <w:sz w:val="18"/>
                      <w:szCs w:val="18"/>
                    </w:rPr>
                    <w:t>2类</w:t>
                  </w:r>
                </w:p>
              </w:tc>
              <w:tc>
                <w:tcPr>
                  <w:tcW w:w="1667" w:type="pct"/>
                  <w:tcBorders>
                    <w:tl2br w:val="nil"/>
                    <w:tr2bl w:val="nil"/>
                  </w:tcBorders>
                  <w:vAlign w:val="center"/>
                </w:tcPr>
                <w:p w14:paraId="07F10DDB">
                  <w:pPr>
                    <w:adjustRightInd w:val="0"/>
                    <w:snapToGrid w:val="0"/>
                    <w:jc w:val="center"/>
                    <w:rPr>
                      <w:rFonts w:hint="eastAsia"/>
                      <w:sz w:val="18"/>
                      <w:szCs w:val="18"/>
                    </w:rPr>
                  </w:pPr>
                  <w:r>
                    <w:rPr>
                      <w:sz w:val="18"/>
                      <w:szCs w:val="18"/>
                    </w:rPr>
                    <w:t>6</w:t>
                  </w:r>
                  <w:r>
                    <w:rPr>
                      <w:rFonts w:hint="eastAsia"/>
                      <w:sz w:val="18"/>
                      <w:szCs w:val="18"/>
                    </w:rPr>
                    <w:t>0</w:t>
                  </w:r>
                </w:p>
              </w:tc>
              <w:tc>
                <w:tcPr>
                  <w:tcW w:w="1665" w:type="pct"/>
                  <w:tcBorders>
                    <w:tl2br w:val="nil"/>
                    <w:tr2bl w:val="nil"/>
                  </w:tcBorders>
                  <w:vAlign w:val="center"/>
                </w:tcPr>
                <w:p w14:paraId="5A5DE518">
                  <w:pPr>
                    <w:adjustRightInd w:val="0"/>
                    <w:snapToGrid w:val="0"/>
                    <w:jc w:val="center"/>
                    <w:rPr>
                      <w:rFonts w:hint="eastAsia"/>
                      <w:sz w:val="18"/>
                      <w:szCs w:val="18"/>
                    </w:rPr>
                  </w:pPr>
                  <w:r>
                    <w:rPr>
                      <w:sz w:val="18"/>
                      <w:szCs w:val="18"/>
                    </w:rPr>
                    <w:t>5</w:t>
                  </w:r>
                  <w:r>
                    <w:rPr>
                      <w:rFonts w:hint="eastAsia"/>
                      <w:sz w:val="18"/>
                      <w:szCs w:val="18"/>
                    </w:rPr>
                    <w:t>0</w:t>
                  </w:r>
                </w:p>
              </w:tc>
            </w:tr>
          </w:tbl>
          <w:p w14:paraId="18E9EABF">
            <w:pPr>
              <w:adjustRightInd w:val="0"/>
              <w:snapToGrid w:val="0"/>
              <w:spacing w:line="360" w:lineRule="auto"/>
              <w:rPr>
                <w:b/>
                <w:sz w:val="22"/>
                <w:szCs w:val="28"/>
              </w:rPr>
            </w:pPr>
            <w:r>
              <w:rPr>
                <w:b/>
                <w:sz w:val="22"/>
                <w:szCs w:val="28"/>
              </w:rPr>
              <w:t>3.</w:t>
            </w:r>
            <w:r>
              <w:rPr>
                <w:rFonts w:hint="eastAsia"/>
                <w:b/>
                <w:sz w:val="22"/>
                <w:szCs w:val="28"/>
              </w:rPr>
              <w:t>3.4固体废物控制标准</w:t>
            </w:r>
          </w:p>
          <w:p w14:paraId="71602955">
            <w:pPr>
              <w:spacing w:line="360" w:lineRule="auto"/>
              <w:ind w:firstLine="420" w:firstLineChars="200"/>
            </w:pPr>
            <w:r>
              <w:rPr>
                <w:rFonts w:hint="eastAsia"/>
              </w:rPr>
              <w:t>本项目一般工业固体废物采用库房储存，根据《一般工业固体废物贮存和填埋污染控制标准》</w:t>
            </w:r>
            <w:r>
              <w:rPr>
                <w:rFonts w:hint="eastAsia"/>
                <w:lang w:val="en-US" w:eastAsia="zh-CN"/>
              </w:rPr>
              <w:t>(</w:t>
            </w:r>
            <w:r>
              <w:rPr>
                <w:rFonts w:hint="eastAsia"/>
              </w:rPr>
              <w:t>GB18599-2020</w:t>
            </w:r>
            <w:r>
              <w:rPr>
                <w:rFonts w:hint="eastAsia"/>
                <w:lang w:val="en-US" w:eastAsia="zh-CN"/>
              </w:rPr>
              <w:t>)</w:t>
            </w:r>
            <w:r>
              <w:rPr>
                <w:rFonts w:hint="eastAsia"/>
              </w:rPr>
              <w:t>中适用范围可知，采用库房、包装工具（罐、桶、包装袋等）贮存一般工业固体废物过程的污染控制，不适用该标准，其贮存场所应满足防渗漏、防雨淋、防扬尘等环境保护要求，企业应按照《环境保护图形标志-固体废物贮存(处置场)(含2023修改单)》</w:t>
            </w:r>
            <w:r>
              <w:rPr>
                <w:rFonts w:hint="eastAsia"/>
                <w:lang w:val="en-US" w:eastAsia="zh-CN"/>
              </w:rPr>
              <w:t>(</w:t>
            </w:r>
            <w:r>
              <w:rPr>
                <w:rFonts w:hint="eastAsia"/>
              </w:rPr>
              <w:t>GB15562.2-1995</w:t>
            </w:r>
            <w:r>
              <w:rPr>
                <w:rFonts w:hint="eastAsia"/>
                <w:lang w:val="en-US" w:eastAsia="zh-CN"/>
              </w:rPr>
              <w:t>)</w:t>
            </w:r>
            <w:r>
              <w:rPr>
                <w:rFonts w:hint="eastAsia"/>
              </w:rPr>
              <w:t>的要求标注一般固废贮存场所；危险废物的贮存执行《危险废物贮存污染控制标准》（GB18</w:t>
            </w:r>
            <w:r>
              <w:rPr>
                <w:rFonts w:hint="eastAsia"/>
                <w:lang w:val="en-US" w:eastAsia="zh-CN"/>
              </w:rPr>
              <w:t>59</w:t>
            </w:r>
            <w:r>
              <w:rPr>
                <w:rFonts w:hint="eastAsia"/>
              </w:rPr>
              <w:t>7-2023）和《危险废物识别标志设置技术规范》（HJ1276-2022）。</w:t>
            </w:r>
          </w:p>
        </w:tc>
      </w:tr>
      <w:tr w14:paraId="0BF60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vAlign w:val="center"/>
          </w:tcPr>
          <w:p w14:paraId="41769210">
            <w:pPr>
              <w:adjustRightInd w:val="0"/>
              <w:snapToGrid w:val="0"/>
              <w:jc w:val="center"/>
              <w:rPr>
                <w:kern w:val="0"/>
                <w:szCs w:val="21"/>
              </w:rPr>
            </w:pPr>
            <w:r>
              <w:rPr>
                <w:rFonts w:hint="eastAsia"/>
                <w:kern w:val="0"/>
                <w:szCs w:val="21"/>
              </w:rPr>
              <w:t>总量</w:t>
            </w:r>
          </w:p>
          <w:p w14:paraId="17D99265">
            <w:pPr>
              <w:adjustRightInd w:val="0"/>
              <w:snapToGrid w:val="0"/>
              <w:jc w:val="center"/>
              <w:rPr>
                <w:kern w:val="0"/>
                <w:szCs w:val="21"/>
              </w:rPr>
            </w:pPr>
            <w:r>
              <w:rPr>
                <w:rFonts w:hint="eastAsia"/>
                <w:kern w:val="0"/>
                <w:szCs w:val="21"/>
              </w:rPr>
              <w:t>控制</w:t>
            </w:r>
          </w:p>
          <w:p w14:paraId="0F4003B2">
            <w:pPr>
              <w:adjustRightInd w:val="0"/>
              <w:snapToGrid w:val="0"/>
              <w:jc w:val="center"/>
              <w:rPr>
                <w:kern w:val="0"/>
                <w:szCs w:val="21"/>
              </w:rPr>
            </w:pPr>
            <w:r>
              <w:rPr>
                <w:rFonts w:hint="eastAsia"/>
                <w:kern w:val="0"/>
                <w:szCs w:val="21"/>
              </w:rPr>
              <w:t>指标</w:t>
            </w:r>
          </w:p>
        </w:tc>
        <w:tc>
          <w:tcPr>
            <w:tcW w:w="8190" w:type="dxa"/>
            <w:vAlign w:val="center"/>
          </w:tcPr>
          <w:p w14:paraId="2E943E1A">
            <w:pPr>
              <w:adjustRightInd w:val="0"/>
              <w:snapToGrid w:val="0"/>
              <w:spacing w:line="360" w:lineRule="auto"/>
              <w:rPr>
                <w:b/>
              </w:rPr>
            </w:pPr>
            <w:r>
              <w:rPr>
                <w:rFonts w:hint="eastAsia"/>
                <w:b/>
              </w:rPr>
              <w:t>3.4 总量控制</w:t>
            </w:r>
          </w:p>
          <w:p w14:paraId="371A19A0">
            <w:pPr>
              <w:adjustRightInd w:val="0"/>
              <w:snapToGrid w:val="0"/>
              <w:spacing w:line="360" w:lineRule="auto"/>
              <w:rPr>
                <w:b/>
              </w:rPr>
            </w:pPr>
            <w:r>
              <w:rPr>
                <w:b/>
              </w:rPr>
              <w:t>3</w:t>
            </w:r>
            <w:r>
              <w:rPr>
                <w:rFonts w:hint="eastAsia"/>
                <w:b/>
              </w:rPr>
              <w:t>.4.1 总量控制指标</w:t>
            </w:r>
          </w:p>
          <w:p w14:paraId="0DA30B8B">
            <w:pPr>
              <w:adjustRightInd w:val="0"/>
              <w:snapToGrid w:val="0"/>
              <w:spacing w:line="360" w:lineRule="auto"/>
              <w:ind w:firstLine="420" w:firstLineChars="200"/>
            </w:pPr>
            <w:r>
              <w:rPr>
                <w:rFonts w:hint="eastAsia"/>
              </w:rPr>
              <w:t>根据现行的环保管理要求，污染物排放总量控制仍是我国现阶段强有力的环保管理措施，主要总量控制指标为：二氧化硫（SO</w:t>
            </w:r>
            <w:r>
              <w:rPr>
                <w:vertAlign w:val="subscript"/>
              </w:rPr>
              <w:t>2</w:t>
            </w:r>
            <w:r>
              <w:rPr>
                <w:rFonts w:hint="eastAsia"/>
              </w:rPr>
              <w:t>）、化学需氧量（COD）、氨氮（NH</w:t>
            </w:r>
            <w:r>
              <w:rPr>
                <w:vertAlign w:val="subscript"/>
              </w:rPr>
              <w:t>3</w:t>
            </w:r>
            <w:r>
              <w:rPr>
                <w:rFonts w:hint="eastAsia"/>
              </w:rPr>
              <w:t>-N）和氮氧化物（NOx）及工业烟粉尘、重金属、挥发性有机物（VOCs）。</w:t>
            </w:r>
          </w:p>
          <w:p w14:paraId="260D72C3">
            <w:pPr>
              <w:adjustRightInd w:val="0"/>
              <w:snapToGrid w:val="0"/>
              <w:spacing w:line="360" w:lineRule="auto"/>
              <w:ind w:firstLine="420" w:firstLineChars="200"/>
            </w:pPr>
            <w:r>
              <w:rPr>
                <w:rFonts w:hint="eastAsia"/>
              </w:rPr>
              <w:t>根据文件要求及工程分析，本项目总量控制指标为化学需氧量、氨氮、VOCs。</w:t>
            </w:r>
          </w:p>
          <w:p w14:paraId="0A8EDFA2">
            <w:pPr>
              <w:adjustRightInd w:val="0"/>
              <w:snapToGrid w:val="0"/>
              <w:spacing w:line="360" w:lineRule="auto"/>
              <w:rPr>
                <w:b/>
              </w:rPr>
            </w:pPr>
            <w:r>
              <w:rPr>
                <w:rFonts w:hint="eastAsia"/>
                <w:b/>
              </w:rPr>
              <w:t>3.4.2  总量平衡方案</w:t>
            </w:r>
          </w:p>
          <w:p w14:paraId="1E403234">
            <w:pPr>
              <w:topLinePunct/>
              <w:autoSpaceDE w:val="0"/>
              <w:autoSpaceDN w:val="0"/>
              <w:adjustRightInd w:val="0"/>
              <w:snapToGrid w:val="0"/>
              <w:spacing w:line="360" w:lineRule="auto"/>
              <w:ind w:firstLine="420" w:firstLineChars="200"/>
              <w:rPr>
                <w:color w:val="auto"/>
                <w:sz w:val="24"/>
              </w:rPr>
            </w:pPr>
            <w:r>
              <w:rPr>
                <w:rFonts w:hint="eastAsia"/>
                <w:sz w:val="21"/>
                <w:szCs w:val="21"/>
              </w:rPr>
              <w:t>根据《建设项目主要污染物排放总量指标审核及管理暂行办法》（环发〔2014〕197号），“上一年度环境空气质量年平均浓度不达标的城市、水环境质量未达到要求的市县，相关污染物应按照建设项目所需替代的主要污染物排放总量指标的2倍进行削减替代（燃煤发电机组大气污染物排放浓度基本达到燃气轮机组排放限值的除外）；细颗粒物（PM</w:t>
            </w:r>
            <w:r>
              <w:rPr>
                <w:sz w:val="21"/>
                <w:szCs w:val="21"/>
                <w:vertAlign w:val="subscript"/>
              </w:rPr>
              <w:t>2.5</w:t>
            </w:r>
            <w:r>
              <w:rPr>
                <w:rFonts w:hint="eastAsia"/>
                <w:sz w:val="21"/>
                <w:szCs w:val="21"/>
              </w:rPr>
              <w:t>）年平均浓度不达标的城市，二氧化硫、氮氧化物、烟粉尘、挥发性有机物四项污染物均需进行2倍削减替代（燃煤发电机组大气污染物排放浓度基本达到燃气轮机组排放限值的除外）。地方有更严格倍量替代要求的，按照相关规定执行”。</w:t>
            </w:r>
          </w:p>
          <w:p w14:paraId="37665DF2">
            <w:pPr>
              <w:spacing w:line="360" w:lineRule="auto"/>
              <w:ind w:firstLine="420" w:firstLineChars="200"/>
              <w:rPr>
                <w:rFonts w:hint="eastAsia"/>
                <w:bCs/>
              </w:rPr>
            </w:pPr>
            <w:r>
              <w:rPr>
                <w:rFonts w:hint="eastAsia"/>
                <w:bCs/>
              </w:rPr>
              <w:t>根据《关于印发余杭区环境空气质量提质进位三年行动方案（2024-2026年）的通知》（“美丽余杭”办〔2024〕10号），全区工业项目新增VOCs排放量实行2倍替代削减。</w:t>
            </w:r>
          </w:p>
          <w:p w14:paraId="6399810F">
            <w:pPr>
              <w:pStyle w:val="16"/>
              <w:widowControl/>
              <w:numPr>
                <w:ilvl w:val="0"/>
                <w:numId w:val="8"/>
              </w:numPr>
              <w:tabs>
                <w:tab w:val="left" w:pos="4515"/>
                <w:tab w:val="left" w:pos="5883"/>
                <w:tab w:val="left" w:pos="8718"/>
              </w:tabs>
              <w:adjustRightInd w:val="0"/>
              <w:snapToGrid w:val="0"/>
              <w:spacing w:line="360" w:lineRule="auto"/>
              <w:jc w:val="center"/>
              <w:rPr>
                <w:rFonts w:hint="eastAsia" w:ascii="黑体" w:hAnsi="黑体" w:eastAsia="黑体" w:cs="黑体"/>
                <w:bCs/>
                <w:lang w:val="zh-CN"/>
              </w:rPr>
            </w:pPr>
            <w:r>
              <w:rPr>
                <w:rFonts w:hint="eastAsia" w:ascii="黑体" w:hAnsi="黑体" w:eastAsia="黑体" w:cs="黑体"/>
                <w:bCs/>
                <w:lang w:val="zh-CN"/>
              </w:rPr>
              <w:t>项目</w:t>
            </w:r>
            <w:r>
              <w:rPr>
                <w:rFonts w:hint="eastAsia" w:ascii="黑体" w:hAnsi="黑体" w:eastAsia="黑体" w:cs="黑体"/>
                <w:bCs/>
                <w:lang w:val="en-US" w:eastAsia="zh-CN"/>
              </w:rPr>
              <w:t>污染物总量平衡方案</w:t>
            </w:r>
            <w:r>
              <w:rPr>
                <w:rFonts w:hint="eastAsia" w:ascii="黑体" w:hAnsi="黑体" w:eastAsia="黑体" w:cs="黑体"/>
                <w:bCs/>
                <w:lang w:val="zh-CN"/>
              </w:rPr>
              <w:t xml:space="preserve">  单位：</w:t>
            </w:r>
            <w:r>
              <w:rPr>
                <w:rFonts w:hint="eastAsia" w:ascii="黑体" w:hAnsi="黑体" w:eastAsia="黑体" w:cs="黑体"/>
                <w:bCs/>
                <w:lang w:val="en-US" w:eastAsia="zh-CN"/>
              </w:rPr>
              <w:t>t</w:t>
            </w:r>
            <w:r>
              <w:rPr>
                <w:rFonts w:hint="eastAsia" w:ascii="黑体" w:hAnsi="黑体" w:eastAsia="黑体" w:cs="黑体"/>
                <w:bCs/>
                <w:lang w:val="zh-CN"/>
              </w:rPr>
              <w:t>/a</w:t>
            </w:r>
          </w:p>
          <w:tbl>
            <w:tblPr>
              <w:tblStyle w:val="26"/>
              <w:tblW w:w="802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81"/>
              <w:gridCol w:w="780"/>
              <w:gridCol w:w="782"/>
              <w:gridCol w:w="840"/>
              <w:gridCol w:w="975"/>
              <w:gridCol w:w="1402"/>
              <w:gridCol w:w="753"/>
              <w:gridCol w:w="774"/>
              <w:gridCol w:w="1136"/>
            </w:tblGrid>
            <w:tr w14:paraId="19C42B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48" w:type="pct"/>
                  <w:gridSpan w:val="2"/>
                  <w:tcBorders>
                    <w:tl2br w:val="nil"/>
                    <w:tr2bl w:val="nil"/>
                  </w:tcBorders>
                  <w:shd w:val="clear" w:color="auto" w:fill="auto"/>
                  <w:vAlign w:val="center"/>
                </w:tcPr>
                <w:p w14:paraId="1C47FB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w:t>
                  </w:r>
                </w:p>
              </w:tc>
              <w:tc>
                <w:tcPr>
                  <w:tcW w:w="487" w:type="pct"/>
                  <w:tcBorders>
                    <w:tl2br w:val="nil"/>
                    <w:tr2bl w:val="nil"/>
                  </w:tcBorders>
                  <w:shd w:val="clear" w:color="auto" w:fill="auto"/>
                  <w:vAlign w:val="center"/>
                </w:tcPr>
                <w:p w14:paraId="6C7E8D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搬迁前审批量</w:t>
                  </w:r>
                </w:p>
              </w:tc>
              <w:tc>
                <w:tcPr>
                  <w:tcW w:w="523" w:type="pct"/>
                  <w:tcBorders>
                    <w:tl2br w:val="nil"/>
                    <w:tr2bl w:val="nil"/>
                  </w:tcBorders>
                  <w:shd w:val="clear" w:color="auto" w:fill="auto"/>
                  <w:vAlign w:val="center"/>
                </w:tcPr>
                <w:p w14:paraId="1D95E8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本项目排放量</w:t>
                  </w:r>
                </w:p>
              </w:tc>
              <w:tc>
                <w:tcPr>
                  <w:tcW w:w="607" w:type="pct"/>
                  <w:tcBorders>
                    <w:tl2br w:val="nil"/>
                    <w:tr2bl w:val="nil"/>
                  </w:tcBorders>
                  <w:shd w:val="clear" w:color="auto" w:fill="auto"/>
                  <w:vAlign w:val="center"/>
                </w:tcPr>
                <w:p w14:paraId="15E0D2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以新代老削减量</w:t>
                  </w:r>
                </w:p>
              </w:tc>
              <w:tc>
                <w:tcPr>
                  <w:tcW w:w="873" w:type="pct"/>
                  <w:tcBorders>
                    <w:tl2br w:val="nil"/>
                    <w:tr2bl w:val="nil"/>
                  </w:tcBorders>
                  <w:shd w:val="clear" w:color="auto" w:fill="auto"/>
                  <w:vAlign w:val="center"/>
                </w:tcPr>
                <w:p w14:paraId="2B707A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搬迁后全厂总量控制建议值</w:t>
                  </w:r>
                </w:p>
              </w:tc>
              <w:tc>
                <w:tcPr>
                  <w:tcW w:w="469" w:type="pct"/>
                  <w:tcBorders>
                    <w:tl2br w:val="nil"/>
                    <w:tr2bl w:val="nil"/>
                  </w:tcBorders>
                  <w:shd w:val="clear" w:color="auto" w:fill="auto"/>
                  <w:vAlign w:val="center"/>
                </w:tcPr>
                <w:p w14:paraId="1AA436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变化量</w:t>
                  </w:r>
                </w:p>
              </w:tc>
              <w:tc>
                <w:tcPr>
                  <w:tcW w:w="482" w:type="pct"/>
                  <w:tcBorders>
                    <w:tl2br w:val="nil"/>
                    <w:tr2bl w:val="nil"/>
                  </w:tcBorders>
                  <w:shd w:val="clear" w:color="auto" w:fill="auto"/>
                  <w:vAlign w:val="center"/>
                </w:tcPr>
                <w:p w14:paraId="6829C8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区域削减比例</w:t>
                  </w:r>
                </w:p>
              </w:tc>
              <w:tc>
                <w:tcPr>
                  <w:tcW w:w="707" w:type="pct"/>
                  <w:tcBorders>
                    <w:tl2br w:val="nil"/>
                    <w:tr2bl w:val="nil"/>
                  </w:tcBorders>
                  <w:shd w:val="clear" w:color="auto" w:fill="auto"/>
                  <w:vAlign w:val="center"/>
                </w:tcPr>
                <w:p w14:paraId="430BCE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新增区域削减替代量</w:t>
                  </w:r>
                </w:p>
              </w:tc>
            </w:tr>
            <w:tr w14:paraId="554218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shd w:val="clear" w:color="auto" w:fill="auto"/>
                  <w:vAlign w:val="center"/>
                </w:tcPr>
                <w:p w14:paraId="3DA1E4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w:t>
                  </w:r>
                </w:p>
              </w:tc>
              <w:tc>
                <w:tcPr>
                  <w:tcW w:w="486" w:type="pct"/>
                  <w:tcBorders>
                    <w:tl2br w:val="nil"/>
                    <w:tr2bl w:val="nil"/>
                  </w:tcBorders>
                  <w:shd w:val="clear" w:color="auto" w:fill="auto"/>
                  <w:vAlign w:val="center"/>
                </w:tcPr>
                <w:p w14:paraId="015DFD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VOCs</w:t>
                  </w:r>
                </w:p>
              </w:tc>
              <w:tc>
                <w:tcPr>
                  <w:tcW w:w="487" w:type="pct"/>
                  <w:tcBorders>
                    <w:tl2br w:val="nil"/>
                    <w:tr2bl w:val="nil"/>
                  </w:tcBorders>
                  <w:shd w:val="clear" w:color="auto" w:fill="auto"/>
                  <w:vAlign w:val="center"/>
                </w:tcPr>
                <w:p w14:paraId="3665EB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523" w:type="pct"/>
                  <w:tcBorders>
                    <w:tl2br w:val="nil"/>
                    <w:tr2bl w:val="nil"/>
                  </w:tcBorders>
                  <w:shd w:val="clear" w:color="auto" w:fill="auto"/>
                  <w:vAlign w:val="center"/>
                </w:tcPr>
                <w:p w14:paraId="67CB1F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0.092</w:t>
                  </w:r>
                </w:p>
              </w:tc>
              <w:tc>
                <w:tcPr>
                  <w:tcW w:w="607" w:type="pct"/>
                  <w:tcBorders>
                    <w:tl2br w:val="nil"/>
                    <w:tr2bl w:val="nil"/>
                  </w:tcBorders>
                  <w:shd w:val="clear" w:color="auto" w:fill="auto"/>
                  <w:vAlign w:val="center"/>
                </w:tcPr>
                <w:p w14:paraId="0F32BF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873" w:type="pct"/>
                  <w:tcBorders>
                    <w:tl2br w:val="nil"/>
                    <w:tr2bl w:val="nil"/>
                  </w:tcBorders>
                  <w:shd w:val="clear" w:color="auto" w:fill="auto"/>
                  <w:vAlign w:val="center"/>
                </w:tcPr>
                <w:p w14:paraId="2F52C3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0.092</w:t>
                  </w:r>
                </w:p>
              </w:tc>
              <w:tc>
                <w:tcPr>
                  <w:tcW w:w="469" w:type="pct"/>
                  <w:tcBorders>
                    <w:tl2br w:val="nil"/>
                    <w:tr2bl w:val="nil"/>
                  </w:tcBorders>
                  <w:shd w:val="clear" w:color="auto" w:fill="auto"/>
                  <w:noWrap/>
                  <w:vAlign w:val="center"/>
                </w:tcPr>
                <w:p w14:paraId="32D6FC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+0.077</w:t>
                  </w:r>
                </w:p>
              </w:tc>
              <w:tc>
                <w:tcPr>
                  <w:tcW w:w="482" w:type="pct"/>
                  <w:tcBorders>
                    <w:tl2br w:val="nil"/>
                    <w:tr2bl w:val="nil"/>
                  </w:tcBorders>
                  <w:shd w:val="clear" w:color="auto" w:fill="auto"/>
                  <w:vAlign w:val="center"/>
                </w:tcPr>
                <w:p w14:paraId="7C33DB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707" w:type="pct"/>
                  <w:tcBorders>
                    <w:tl2br w:val="nil"/>
                    <w:tr2bl w:val="nil"/>
                  </w:tcBorders>
                  <w:shd w:val="clear" w:color="auto" w:fill="auto"/>
                  <w:vAlign w:val="center"/>
                </w:tcPr>
                <w:p w14:paraId="564528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0.154</w:t>
                  </w:r>
                </w:p>
              </w:tc>
            </w:tr>
            <w:tr w14:paraId="5415F4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62" w:type="pct"/>
                  <w:vMerge w:val="restart"/>
                  <w:tcBorders>
                    <w:tl2br w:val="nil"/>
                    <w:tr2bl w:val="nil"/>
                  </w:tcBorders>
                  <w:shd w:val="clear" w:color="auto" w:fill="auto"/>
                  <w:vAlign w:val="center"/>
                </w:tcPr>
                <w:p w14:paraId="345000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w:t>
                  </w:r>
                </w:p>
              </w:tc>
              <w:tc>
                <w:tcPr>
                  <w:tcW w:w="486" w:type="pct"/>
                  <w:tcBorders>
                    <w:tl2br w:val="nil"/>
                    <w:tr2bl w:val="nil"/>
                  </w:tcBorders>
                  <w:shd w:val="clear" w:color="auto" w:fill="auto"/>
                  <w:vAlign w:val="center"/>
                </w:tcPr>
                <w:p w14:paraId="354598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废水量</w:t>
                  </w:r>
                </w:p>
              </w:tc>
              <w:tc>
                <w:tcPr>
                  <w:tcW w:w="487" w:type="pct"/>
                  <w:tcBorders>
                    <w:tl2br w:val="nil"/>
                    <w:tr2bl w:val="nil"/>
                  </w:tcBorders>
                  <w:shd w:val="clear" w:color="auto" w:fill="auto"/>
                  <w:vAlign w:val="center"/>
                </w:tcPr>
                <w:p w14:paraId="1F942B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523" w:type="pct"/>
                  <w:tcBorders>
                    <w:tl2br w:val="nil"/>
                    <w:tr2bl w:val="nil"/>
                  </w:tcBorders>
                  <w:shd w:val="clear" w:color="auto" w:fill="auto"/>
                  <w:vAlign w:val="center"/>
                </w:tcPr>
                <w:p w14:paraId="3CAB83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821.4</w:t>
                  </w:r>
                </w:p>
              </w:tc>
              <w:tc>
                <w:tcPr>
                  <w:tcW w:w="607" w:type="pct"/>
                  <w:tcBorders>
                    <w:tl2br w:val="nil"/>
                    <w:tr2bl w:val="nil"/>
                  </w:tcBorders>
                  <w:shd w:val="clear" w:color="auto" w:fill="auto"/>
                  <w:vAlign w:val="center"/>
                </w:tcPr>
                <w:p w14:paraId="2AA93B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873" w:type="pct"/>
                  <w:tcBorders>
                    <w:tl2br w:val="nil"/>
                    <w:tr2bl w:val="nil"/>
                  </w:tcBorders>
                  <w:shd w:val="clear" w:color="auto" w:fill="auto"/>
                  <w:vAlign w:val="center"/>
                </w:tcPr>
                <w:p w14:paraId="493538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821.4</w:t>
                  </w:r>
                </w:p>
              </w:tc>
              <w:tc>
                <w:tcPr>
                  <w:tcW w:w="469" w:type="pct"/>
                  <w:tcBorders>
                    <w:tl2br w:val="nil"/>
                    <w:tr2bl w:val="nil"/>
                  </w:tcBorders>
                  <w:shd w:val="clear" w:color="auto" w:fill="auto"/>
                  <w:noWrap/>
                  <w:vAlign w:val="center"/>
                </w:tcPr>
                <w:p w14:paraId="2C9240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w:t>
                  </w:r>
                </w:p>
              </w:tc>
              <w:tc>
                <w:tcPr>
                  <w:tcW w:w="482" w:type="pct"/>
                  <w:tcBorders>
                    <w:tl2br w:val="nil"/>
                    <w:tr2bl w:val="nil"/>
                  </w:tcBorders>
                  <w:shd w:val="clear" w:color="auto" w:fill="auto"/>
                  <w:vAlign w:val="center"/>
                </w:tcPr>
                <w:p w14:paraId="370B72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07" w:type="pct"/>
                  <w:tcBorders>
                    <w:tl2br w:val="nil"/>
                    <w:tr2bl w:val="nil"/>
                  </w:tcBorders>
                  <w:shd w:val="clear" w:color="auto" w:fill="auto"/>
                  <w:vAlign w:val="center"/>
                </w:tcPr>
                <w:p w14:paraId="515E4D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14:paraId="6B2DE0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62" w:type="pct"/>
                  <w:vMerge w:val="continue"/>
                  <w:tcBorders>
                    <w:tl2br w:val="nil"/>
                    <w:tr2bl w:val="nil"/>
                  </w:tcBorders>
                  <w:shd w:val="clear" w:color="auto" w:fill="auto"/>
                  <w:vAlign w:val="center"/>
                </w:tcPr>
                <w:p w14:paraId="72F2A1EC">
                  <w:pPr>
                    <w:jc w:val="center"/>
                    <w:rPr>
                      <w:rFonts w:hint="default" w:ascii="Times New Roman" w:hAnsi="Times New Roman" w:eastAsia="宋体" w:cs="Times New Roman"/>
                      <w:i w:val="0"/>
                      <w:iCs w:val="0"/>
                      <w:color w:val="000000"/>
                      <w:sz w:val="18"/>
                      <w:szCs w:val="18"/>
                      <w:u w:val="none"/>
                    </w:rPr>
                  </w:pPr>
                </w:p>
              </w:tc>
              <w:tc>
                <w:tcPr>
                  <w:tcW w:w="486" w:type="pct"/>
                  <w:tcBorders>
                    <w:tl2br w:val="nil"/>
                    <w:tr2bl w:val="nil"/>
                  </w:tcBorders>
                  <w:shd w:val="clear" w:color="auto" w:fill="auto"/>
                  <w:vAlign w:val="center"/>
                </w:tcPr>
                <w:p w14:paraId="1DE732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487" w:type="pct"/>
                  <w:tcBorders>
                    <w:tl2br w:val="nil"/>
                    <w:tr2bl w:val="nil"/>
                  </w:tcBorders>
                  <w:shd w:val="clear" w:color="auto" w:fill="auto"/>
                  <w:vAlign w:val="center"/>
                </w:tcPr>
                <w:p w14:paraId="69FC33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p>
              </w:tc>
              <w:tc>
                <w:tcPr>
                  <w:tcW w:w="523" w:type="pct"/>
                  <w:tcBorders>
                    <w:tl2br w:val="nil"/>
                    <w:tr2bl w:val="nil"/>
                  </w:tcBorders>
                  <w:shd w:val="clear" w:color="auto" w:fill="auto"/>
                  <w:vAlign w:val="center"/>
                </w:tcPr>
                <w:p w14:paraId="3D380F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0.029</w:t>
                  </w:r>
                </w:p>
              </w:tc>
              <w:tc>
                <w:tcPr>
                  <w:tcW w:w="607" w:type="pct"/>
                  <w:tcBorders>
                    <w:tl2br w:val="nil"/>
                    <w:tr2bl w:val="nil"/>
                  </w:tcBorders>
                  <w:shd w:val="clear" w:color="auto" w:fill="auto"/>
                  <w:vAlign w:val="center"/>
                </w:tcPr>
                <w:p w14:paraId="459FB9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p>
              </w:tc>
              <w:tc>
                <w:tcPr>
                  <w:tcW w:w="873" w:type="pct"/>
                  <w:tcBorders>
                    <w:tl2br w:val="nil"/>
                    <w:tr2bl w:val="nil"/>
                  </w:tcBorders>
                  <w:shd w:val="clear" w:color="auto" w:fill="auto"/>
                  <w:vAlign w:val="center"/>
                </w:tcPr>
                <w:p w14:paraId="59D28B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0.029</w:t>
                  </w:r>
                </w:p>
              </w:tc>
              <w:tc>
                <w:tcPr>
                  <w:tcW w:w="469" w:type="pct"/>
                  <w:tcBorders>
                    <w:tl2br w:val="nil"/>
                    <w:tr2bl w:val="nil"/>
                  </w:tcBorders>
                  <w:shd w:val="clear" w:color="auto" w:fill="auto"/>
                  <w:noWrap/>
                  <w:vAlign w:val="center"/>
                </w:tcPr>
                <w:p w14:paraId="53E9F0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-0.012</w:t>
                  </w:r>
                </w:p>
              </w:tc>
              <w:tc>
                <w:tcPr>
                  <w:tcW w:w="482" w:type="pct"/>
                  <w:tcBorders>
                    <w:tl2br w:val="nil"/>
                    <w:tr2bl w:val="nil"/>
                  </w:tcBorders>
                  <w:shd w:val="clear" w:color="auto" w:fill="auto"/>
                  <w:vAlign w:val="center"/>
                </w:tcPr>
                <w:p w14:paraId="44A33C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07" w:type="pct"/>
                  <w:tcBorders>
                    <w:tl2br w:val="nil"/>
                    <w:tr2bl w:val="nil"/>
                  </w:tcBorders>
                  <w:shd w:val="clear" w:color="auto" w:fill="auto"/>
                  <w:vAlign w:val="center"/>
                </w:tcPr>
                <w:p w14:paraId="35F4BD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14:paraId="32EF65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62" w:type="pct"/>
                  <w:vMerge w:val="continue"/>
                  <w:tcBorders>
                    <w:tl2br w:val="nil"/>
                    <w:tr2bl w:val="nil"/>
                  </w:tcBorders>
                  <w:shd w:val="clear" w:color="auto" w:fill="auto"/>
                  <w:vAlign w:val="center"/>
                </w:tcPr>
                <w:p w14:paraId="7409B945">
                  <w:pPr>
                    <w:jc w:val="center"/>
                    <w:rPr>
                      <w:rFonts w:hint="default" w:ascii="Times New Roman" w:hAnsi="Times New Roman" w:eastAsia="宋体" w:cs="Times New Roman"/>
                      <w:i w:val="0"/>
                      <w:iCs w:val="0"/>
                      <w:color w:val="000000"/>
                      <w:sz w:val="18"/>
                      <w:szCs w:val="18"/>
                      <w:u w:val="none"/>
                    </w:rPr>
                  </w:pPr>
                </w:p>
              </w:tc>
              <w:tc>
                <w:tcPr>
                  <w:tcW w:w="486" w:type="pct"/>
                  <w:tcBorders>
                    <w:tl2br w:val="nil"/>
                    <w:tr2bl w:val="nil"/>
                  </w:tcBorders>
                  <w:shd w:val="clear" w:color="auto" w:fill="auto"/>
                  <w:vAlign w:val="center"/>
                </w:tcPr>
                <w:p w14:paraId="03E2C9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氨氮</w:t>
                  </w:r>
                </w:p>
              </w:tc>
              <w:tc>
                <w:tcPr>
                  <w:tcW w:w="487" w:type="pct"/>
                  <w:tcBorders>
                    <w:tl2br w:val="nil"/>
                    <w:tr2bl w:val="nil"/>
                  </w:tcBorders>
                  <w:shd w:val="clear" w:color="auto" w:fill="auto"/>
                  <w:vAlign w:val="center"/>
                </w:tcPr>
                <w:p w14:paraId="4D6418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523" w:type="pct"/>
                  <w:tcBorders>
                    <w:tl2br w:val="nil"/>
                    <w:tr2bl w:val="nil"/>
                  </w:tcBorders>
                  <w:shd w:val="clear" w:color="auto" w:fill="auto"/>
                  <w:vAlign w:val="center"/>
                </w:tcPr>
                <w:p w14:paraId="6DBD41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607" w:type="pct"/>
                  <w:tcBorders>
                    <w:tl2br w:val="nil"/>
                    <w:tr2bl w:val="nil"/>
                  </w:tcBorders>
                  <w:shd w:val="clear" w:color="auto" w:fill="auto"/>
                  <w:vAlign w:val="center"/>
                </w:tcPr>
                <w:p w14:paraId="77D159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873" w:type="pct"/>
                  <w:tcBorders>
                    <w:tl2br w:val="nil"/>
                    <w:tr2bl w:val="nil"/>
                  </w:tcBorders>
                  <w:shd w:val="clear" w:color="auto" w:fill="auto"/>
                  <w:vAlign w:val="center"/>
                </w:tcPr>
                <w:p w14:paraId="698B8E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469" w:type="pct"/>
                  <w:tcBorders>
                    <w:tl2br w:val="nil"/>
                    <w:tr2bl w:val="nil"/>
                  </w:tcBorders>
                  <w:shd w:val="clear" w:color="auto" w:fill="auto"/>
                  <w:noWrap/>
                  <w:vAlign w:val="center"/>
                </w:tcPr>
                <w:p w14:paraId="2A4293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-0.004</w:t>
                  </w:r>
                </w:p>
              </w:tc>
              <w:tc>
                <w:tcPr>
                  <w:tcW w:w="482" w:type="pct"/>
                  <w:tcBorders>
                    <w:tl2br w:val="nil"/>
                    <w:tr2bl w:val="nil"/>
                  </w:tcBorders>
                  <w:shd w:val="clear" w:color="auto" w:fill="auto"/>
                  <w:vAlign w:val="center"/>
                </w:tcPr>
                <w:p w14:paraId="0B82A5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07" w:type="pct"/>
                  <w:tcBorders>
                    <w:tl2br w:val="nil"/>
                    <w:tr2bl w:val="nil"/>
                  </w:tcBorders>
                  <w:shd w:val="clear" w:color="auto" w:fill="auto"/>
                  <w:vAlign w:val="center"/>
                </w:tcPr>
                <w:p w14:paraId="6FE0A5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bl>
          <w:p w14:paraId="02FC24AA">
            <w:pPr>
              <w:topLinePunct/>
              <w:autoSpaceDE w:val="0"/>
              <w:autoSpaceDN w:val="0"/>
              <w:adjustRightInd w:val="0"/>
              <w:snapToGrid w:val="0"/>
              <w:spacing w:before="0" w:beforeLines="-2147483648" w:line="360" w:lineRule="auto"/>
              <w:ind w:firstLine="420" w:firstLineChars="200"/>
              <w:rPr>
                <w:color w:val="auto"/>
                <w:sz w:val="21"/>
                <w:szCs w:val="21"/>
                <w:highlight w:val="none"/>
              </w:rPr>
            </w:pPr>
            <w:r>
              <w:rPr>
                <w:rFonts w:hint="eastAsia" w:ascii="宋体" w:hAnsi="宋体" w:eastAsia="宋体" w:cs="宋体"/>
                <w:sz w:val="21"/>
                <w:szCs w:val="21"/>
              </w:rPr>
              <w:t>结合以上本项目实施前后总量排放变化分析，本项目实施后废水污染物总量控制指标较现有项目总量控制要求</w:t>
            </w:r>
            <w:r>
              <w:rPr>
                <w:rFonts w:hint="eastAsia" w:ascii="宋体" w:hAnsi="宋体" w:eastAsia="宋体" w:cs="宋体"/>
                <w:sz w:val="21"/>
                <w:szCs w:val="21"/>
                <w:lang w:val="en-US" w:eastAsia="zh-CN"/>
              </w:rPr>
              <w:t>减少，不需要进行替代削减；</w:t>
            </w:r>
            <w:r>
              <w:rPr>
                <w:rFonts w:hint="eastAsia"/>
                <w:color w:val="auto"/>
                <w:sz w:val="21"/>
                <w:szCs w:val="21"/>
              </w:rPr>
              <w:t>本项目总量指标VOCs按1:</w:t>
            </w:r>
            <w:r>
              <w:rPr>
                <w:rFonts w:hint="eastAsia"/>
                <w:color w:val="auto"/>
                <w:sz w:val="21"/>
                <w:szCs w:val="21"/>
                <w:lang w:val="en-US" w:eastAsia="zh-CN"/>
              </w:rPr>
              <w:t>2</w:t>
            </w:r>
            <w:r>
              <w:rPr>
                <w:rFonts w:hint="eastAsia"/>
                <w:color w:val="auto"/>
                <w:sz w:val="21"/>
                <w:szCs w:val="21"/>
              </w:rPr>
              <w:t>进行削减替代</w:t>
            </w:r>
            <w:r>
              <w:rPr>
                <w:rFonts w:hint="eastAsia" w:ascii="宋体" w:hAnsi="宋体" w:eastAsia="宋体" w:cs="宋体"/>
                <w:sz w:val="21"/>
                <w:szCs w:val="21"/>
              </w:rPr>
              <w:t>。</w:t>
            </w:r>
            <w:r>
              <w:rPr>
                <w:rFonts w:hint="eastAsia"/>
                <w:color w:val="auto"/>
                <w:sz w:val="21"/>
                <w:szCs w:val="21"/>
                <w:lang w:val="en-US" w:eastAsia="zh-CN"/>
              </w:rPr>
              <w:t>项目搬迁后</w:t>
            </w:r>
            <w:r>
              <w:rPr>
                <w:rFonts w:hint="eastAsia"/>
                <w:color w:val="auto"/>
                <w:sz w:val="21"/>
                <w:szCs w:val="21"/>
              </w:rPr>
              <w:t>全厂污染物总量控制建议值为：</w:t>
            </w:r>
            <w:bookmarkStart w:id="39" w:name="_Hlk136878304"/>
            <w:r>
              <w:rPr>
                <w:rFonts w:hint="eastAsia"/>
                <w:color w:val="auto"/>
                <w:sz w:val="21"/>
                <w:szCs w:val="21"/>
                <w:lang w:val="en-US" w:eastAsia="zh-CN"/>
              </w:rPr>
              <w:t xml:space="preserve">VOCs 0.092 </w:t>
            </w:r>
            <w:r>
              <w:rPr>
                <w:rFonts w:hint="eastAsia"/>
                <w:color w:val="auto"/>
                <w:sz w:val="21"/>
                <w:szCs w:val="21"/>
              </w:rPr>
              <w:t>t/a、</w:t>
            </w:r>
            <w:bookmarkEnd w:id="39"/>
            <w:r>
              <w:rPr>
                <w:rFonts w:hint="default" w:ascii="Times New Roman" w:hAnsi="Times New Roman" w:cs="Times New Roman"/>
                <w:sz w:val="21"/>
                <w:szCs w:val="21"/>
                <w:lang w:val="en-US" w:eastAsia="zh-CN"/>
              </w:rPr>
              <w:t>COD</w:t>
            </w:r>
            <w:r>
              <w:rPr>
                <w:color w:val="auto"/>
                <w:sz w:val="21"/>
                <w:szCs w:val="21"/>
                <w:vertAlign w:val="subscript"/>
              </w:rPr>
              <w:t>C</w:t>
            </w:r>
            <w:r>
              <w:rPr>
                <w:rFonts w:hint="eastAsia"/>
                <w:color w:val="auto"/>
                <w:sz w:val="21"/>
                <w:szCs w:val="21"/>
                <w:vertAlign w:val="subscript"/>
              </w:rPr>
              <w:t>r</w:t>
            </w:r>
            <w:r>
              <w:rPr>
                <w:rFonts w:hint="eastAsia" w:cs="Times New Roman"/>
                <w:sz w:val="21"/>
                <w:szCs w:val="21"/>
                <w:lang w:val="en-US" w:eastAsia="zh-CN"/>
              </w:rPr>
              <w:t xml:space="preserve"> </w:t>
            </w:r>
            <w:r>
              <w:rPr>
                <w:rFonts w:hint="eastAsia"/>
                <w:color w:val="auto"/>
                <w:sz w:val="21"/>
                <w:szCs w:val="21"/>
                <w:lang w:val="en-US" w:eastAsia="zh-CN"/>
              </w:rPr>
              <w:t xml:space="preserve">0.029 </w:t>
            </w:r>
            <w:r>
              <w:rPr>
                <w:rFonts w:hint="eastAsia"/>
                <w:color w:val="auto"/>
                <w:sz w:val="21"/>
                <w:szCs w:val="21"/>
              </w:rPr>
              <w:t>t/a、</w:t>
            </w:r>
            <w:r>
              <w:rPr>
                <w:rFonts w:hint="default" w:ascii="Times New Roman" w:hAnsi="Times New Roman" w:cs="Times New Roman"/>
                <w:sz w:val="21"/>
                <w:szCs w:val="21"/>
                <w:lang w:val="en-US" w:eastAsia="zh-CN"/>
              </w:rPr>
              <w:t>氨氮</w:t>
            </w:r>
            <w:r>
              <w:rPr>
                <w:rFonts w:hint="eastAsia" w:ascii="Times New Roman" w:hAnsi="Times New Roman" w:cs="Times New Roman"/>
                <w:sz w:val="21"/>
                <w:szCs w:val="21"/>
                <w:lang w:val="en-US" w:eastAsia="zh-CN"/>
              </w:rPr>
              <w:t xml:space="preserve"> </w:t>
            </w:r>
            <w:r>
              <w:rPr>
                <w:rFonts w:hint="eastAsia"/>
                <w:color w:val="auto"/>
                <w:sz w:val="21"/>
                <w:szCs w:val="21"/>
                <w:lang w:val="en-US" w:eastAsia="zh-CN"/>
              </w:rPr>
              <w:t>0.001</w:t>
            </w:r>
            <w:r>
              <w:rPr>
                <w:rFonts w:hint="eastAsia"/>
                <w:color w:val="auto"/>
                <w:sz w:val="21"/>
                <w:szCs w:val="21"/>
              </w:rPr>
              <w:t>t/a。新增</w:t>
            </w:r>
            <w:r>
              <w:rPr>
                <w:rFonts w:hint="eastAsia"/>
                <w:color w:val="auto"/>
                <w:sz w:val="21"/>
                <w:szCs w:val="21"/>
                <w:lang w:val="en-US" w:eastAsia="zh-CN"/>
              </w:rPr>
              <w:t>VOCs</w:t>
            </w:r>
            <w:r>
              <w:rPr>
                <w:rFonts w:hint="eastAsia"/>
                <w:color w:val="auto"/>
                <w:sz w:val="21"/>
                <w:szCs w:val="21"/>
              </w:rPr>
              <w:t>总量指标需按照有关规定</w:t>
            </w:r>
            <w:r>
              <w:rPr>
                <w:rFonts w:hint="eastAsia"/>
                <w:color w:val="auto"/>
                <w:sz w:val="21"/>
                <w:szCs w:val="21"/>
                <w:lang w:val="en-US" w:eastAsia="zh-CN"/>
              </w:rPr>
              <w:t>进行削</w:t>
            </w:r>
            <w:r>
              <w:rPr>
                <w:rFonts w:hint="eastAsia"/>
                <w:color w:val="auto"/>
                <w:sz w:val="21"/>
                <w:szCs w:val="21"/>
                <w:highlight w:val="none"/>
                <w:lang w:val="en-US" w:eastAsia="zh-CN"/>
              </w:rPr>
              <w:t>减替代，并拟从杭州时进印务有限公司调剂。</w:t>
            </w:r>
          </w:p>
          <w:p w14:paraId="575CB9B5">
            <w:pPr>
              <w:adjustRightInd w:val="0"/>
              <w:snapToGrid w:val="0"/>
              <w:spacing w:line="360" w:lineRule="auto"/>
              <w:ind w:firstLine="0" w:firstLineChars="0"/>
              <w:rPr>
                <w:kern w:val="0"/>
                <w:szCs w:val="21"/>
              </w:rPr>
            </w:pPr>
          </w:p>
        </w:tc>
      </w:tr>
    </w:tbl>
    <w:p w14:paraId="6A674A61">
      <w:pPr>
        <w:pStyle w:val="22"/>
        <w:jc w:val="center"/>
        <w:outlineLvl w:val="0"/>
        <w:rPr>
          <w:rFonts w:ascii="Times New Roman" w:hAnsi="Times New Roman" w:eastAsia="黑体"/>
          <w:snapToGrid w:val="0"/>
          <w:sz w:val="30"/>
          <w:szCs w:val="30"/>
        </w:rPr>
      </w:pPr>
      <w:r>
        <w:rPr>
          <w:rFonts w:ascii="Times New Roman" w:hAnsi="Times New Roman" w:eastAsia="黑体"/>
          <w:snapToGrid w:val="0"/>
          <w:sz w:val="36"/>
          <w:szCs w:val="36"/>
        </w:rPr>
        <w:br w:type="page"/>
      </w:r>
      <w:bookmarkStart w:id="40" w:name="_Toc9516"/>
      <w:bookmarkStart w:id="41" w:name="_Toc11644"/>
      <w:bookmarkStart w:id="42" w:name="_Toc28047"/>
      <w:bookmarkStart w:id="43" w:name="_Toc23952"/>
      <w:bookmarkStart w:id="44" w:name="_Toc16161"/>
      <w:r>
        <w:rPr>
          <w:rFonts w:hint="eastAsia" w:ascii="Times New Roman" w:hAnsi="Times New Roman" w:eastAsia="黑体"/>
          <w:snapToGrid w:val="0"/>
          <w:sz w:val="30"/>
          <w:szCs w:val="30"/>
        </w:rPr>
        <w:t>四、主要环境影响和保护措施</w:t>
      </w:r>
      <w:bookmarkEnd w:id="40"/>
      <w:bookmarkEnd w:id="41"/>
      <w:bookmarkEnd w:id="42"/>
      <w:bookmarkEnd w:id="43"/>
      <w:bookmarkEnd w:id="44"/>
    </w:p>
    <w:tbl>
      <w:tblPr>
        <w:tblStyle w:val="26"/>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525"/>
      </w:tblGrid>
      <w:tr w14:paraId="64899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456" w:type="dxa"/>
            <w:tcMar>
              <w:left w:w="28" w:type="dxa"/>
              <w:right w:w="28" w:type="dxa"/>
            </w:tcMar>
            <w:vAlign w:val="center"/>
          </w:tcPr>
          <w:p w14:paraId="2A393903">
            <w:pPr>
              <w:pStyle w:val="22"/>
              <w:adjustRightInd w:val="0"/>
              <w:snapToGrid w:val="0"/>
              <w:spacing w:before="0" w:beforeAutospacing="0" w:after="0" w:afterAutospacing="0"/>
              <w:jc w:val="center"/>
              <w:rPr>
                <w:rFonts w:ascii="Times New Roman" w:hAnsi="Times New Roman"/>
                <w:kern w:val="2"/>
                <w:sz w:val="21"/>
                <w:szCs w:val="21"/>
              </w:rPr>
            </w:pPr>
            <w:r>
              <w:rPr>
                <w:rFonts w:hint="eastAsia" w:ascii="Times New Roman" w:hAnsi="Times New Roman"/>
                <w:kern w:val="2"/>
                <w:sz w:val="21"/>
                <w:szCs w:val="21"/>
              </w:rPr>
              <w:t>施工</w:t>
            </w:r>
          </w:p>
          <w:p w14:paraId="25F8CB56">
            <w:pPr>
              <w:pStyle w:val="22"/>
              <w:adjustRightInd w:val="0"/>
              <w:snapToGrid w:val="0"/>
              <w:spacing w:before="0" w:beforeAutospacing="0" w:after="0" w:afterAutospacing="0"/>
              <w:jc w:val="center"/>
              <w:rPr>
                <w:rFonts w:ascii="Times New Roman" w:hAnsi="Times New Roman"/>
                <w:kern w:val="2"/>
                <w:sz w:val="21"/>
                <w:szCs w:val="21"/>
              </w:rPr>
            </w:pPr>
            <w:r>
              <w:rPr>
                <w:rFonts w:hint="eastAsia" w:ascii="Times New Roman" w:hAnsi="Times New Roman"/>
                <w:kern w:val="2"/>
                <w:sz w:val="21"/>
                <w:szCs w:val="21"/>
              </w:rPr>
              <w:t>期环</w:t>
            </w:r>
          </w:p>
          <w:p w14:paraId="4D9ECB91">
            <w:pPr>
              <w:pStyle w:val="22"/>
              <w:adjustRightInd w:val="0"/>
              <w:snapToGrid w:val="0"/>
              <w:spacing w:before="0" w:beforeAutospacing="0" w:after="0" w:afterAutospacing="0"/>
              <w:jc w:val="center"/>
              <w:rPr>
                <w:rFonts w:ascii="Times New Roman" w:hAnsi="Times New Roman"/>
                <w:kern w:val="2"/>
                <w:sz w:val="21"/>
                <w:szCs w:val="21"/>
              </w:rPr>
            </w:pPr>
            <w:r>
              <w:rPr>
                <w:rFonts w:hint="eastAsia" w:ascii="Times New Roman" w:hAnsi="Times New Roman"/>
                <w:kern w:val="2"/>
                <w:sz w:val="21"/>
                <w:szCs w:val="21"/>
              </w:rPr>
              <w:t>境保</w:t>
            </w:r>
          </w:p>
          <w:p w14:paraId="59B36061">
            <w:pPr>
              <w:pStyle w:val="22"/>
              <w:adjustRightInd w:val="0"/>
              <w:snapToGrid w:val="0"/>
              <w:spacing w:before="0" w:beforeAutospacing="0" w:after="0" w:afterAutospacing="0"/>
              <w:jc w:val="center"/>
              <w:rPr>
                <w:rFonts w:ascii="Times New Roman" w:hAnsi="Times New Roman"/>
                <w:kern w:val="2"/>
                <w:sz w:val="21"/>
                <w:szCs w:val="21"/>
              </w:rPr>
            </w:pPr>
            <w:r>
              <w:rPr>
                <w:rFonts w:hint="eastAsia" w:ascii="Times New Roman" w:hAnsi="Times New Roman"/>
                <w:kern w:val="2"/>
                <w:sz w:val="21"/>
                <w:szCs w:val="21"/>
              </w:rPr>
              <w:t>护措</w:t>
            </w:r>
          </w:p>
          <w:p w14:paraId="5E512703">
            <w:pPr>
              <w:pStyle w:val="22"/>
              <w:adjustRightInd w:val="0"/>
              <w:snapToGrid w:val="0"/>
              <w:spacing w:before="0" w:beforeAutospacing="0" w:after="0" w:afterAutospacing="0"/>
              <w:jc w:val="center"/>
              <w:rPr>
                <w:rFonts w:ascii="Times New Roman" w:hAnsi="Times New Roman"/>
                <w:bCs/>
                <w:kern w:val="2"/>
                <w:sz w:val="21"/>
                <w:szCs w:val="21"/>
              </w:rPr>
            </w:pPr>
            <w:r>
              <w:rPr>
                <w:rFonts w:hint="eastAsia" w:ascii="Times New Roman" w:hAnsi="Times New Roman"/>
                <w:kern w:val="2"/>
                <w:sz w:val="21"/>
                <w:szCs w:val="21"/>
              </w:rPr>
              <w:t>施</w:t>
            </w:r>
          </w:p>
        </w:tc>
        <w:tc>
          <w:tcPr>
            <w:tcW w:w="8525" w:type="dxa"/>
            <w:vAlign w:val="center"/>
          </w:tcPr>
          <w:p w14:paraId="4960543F">
            <w:pPr>
              <w:spacing w:line="360" w:lineRule="auto"/>
              <w:rPr>
                <w:b/>
                <w:bCs/>
                <w:sz w:val="24"/>
                <w:szCs w:val="32"/>
              </w:rPr>
            </w:pPr>
            <w:bookmarkStart w:id="45" w:name="_Toc168895921"/>
            <w:bookmarkStart w:id="46" w:name="_Toc146340904"/>
            <w:bookmarkStart w:id="47" w:name="_Toc167868829"/>
            <w:bookmarkStart w:id="48" w:name="_Toc165189875"/>
            <w:bookmarkStart w:id="49" w:name="_Toc217286893"/>
            <w:r>
              <w:rPr>
                <w:rFonts w:hint="eastAsia"/>
                <w:b/>
                <w:bCs/>
                <w:sz w:val="24"/>
                <w:szCs w:val="32"/>
              </w:rPr>
              <w:t>4.1  施工期环境影响保护措施</w:t>
            </w:r>
          </w:p>
          <w:p w14:paraId="330A53AF">
            <w:pPr>
              <w:spacing w:line="360" w:lineRule="auto"/>
              <w:ind w:firstLine="420" w:firstLineChars="200"/>
            </w:pPr>
            <w:r>
              <w:rPr>
                <w:rFonts w:hint="eastAsia"/>
              </w:rPr>
              <w:t>本项目利用的现有闲置厂房进行</w:t>
            </w:r>
            <w:r>
              <w:rPr>
                <w:rFonts w:hint="eastAsia"/>
                <w:lang w:val="en-US" w:eastAsia="zh-CN"/>
              </w:rPr>
              <w:t>生产和</w:t>
            </w:r>
            <w:r>
              <w:rPr>
                <w:rFonts w:hint="eastAsia"/>
              </w:rPr>
              <w:t>研发，项目施工期影响主要为设备安装等过程产生的噪声。但施工期周期较短，施工面较小，只要企业加强施工期管理，禁止夜间施工，减少对外界的噪声、粉尘的影响，则本项目施工期影响较小。</w:t>
            </w:r>
          </w:p>
          <w:p w14:paraId="2E50780B">
            <w:pPr>
              <w:spacing w:line="360" w:lineRule="auto"/>
              <w:ind w:firstLine="420" w:firstLineChars="200"/>
            </w:pPr>
            <w:r>
              <w:rPr>
                <w:rFonts w:hint="eastAsia"/>
              </w:rPr>
              <w:t>综上，本项目施工期环境影响较小，本环评主要针对营运期的环境影响进行分析、预测、评价。</w:t>
            </w:r>
            <w:bookmarkEnd w:id="45"/>
            <w:bookmarkEnd w:id="46"/>
            <w:bookmarkEnd w:id="47"/>
            <w:bookmarkEnd w:id="48"/>
            <w:bookmarkEnd w:id="49"/>
          </w:p>
        </w:tc>
      </w:tr>
      <w:tr w14:paraId="59ADF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4" w:hRule="atLeast"/>
          <w:jc w:val="center"/>
        </w:trPr>
        <w:tc>
          <w:tcPr>
            <w:tcW w:w="456" w:type="dxa"/>
            <w:tcMar>
              <w:left w:w="28" w:type="dxa"/>
              <w:right w:w="28" w:type="dxa"/>
            </w:tcMar>
            <w:vAlign w:val="center"/>
          </w:tcPr>
          <w:p w14:paraId="4E9A6623">
            <w:pPr>
              <w:adjustRightInd w:val="0"/>
              <w:snapToGrid w:val="0"/>
              <w:jc w:val="center"/>
              <w:rPr>
                <w:bCs/>
                <w:szCs w:val="21"/>
              </w:rPr>
            </w:pPr>
            <w:r>
              <w:rPr>
                <w:rFonts w:hint="eastAsia"/>
                <w:bCs/>
                <w:szCs w:val="21"/>
              </w:rPr>
              <w:t>运营</w:t>
            </w:r>
          </w:p>
          <w:p w14:paraId="1392EE75">
            <w:pPr>
              <w:adjustRightInd w:val="0"/>
              <w:snapToGrid w:val="0"/>
              <w:jc w:val="center"/>
              <w:rPr>
                <w:bCs/>
                <w:szCs w:val="21"/>
              </w:rPr>
            </w:pPr>
            <w:r>
              <w:rPr>
                <w:rFonts w:hint="eastAsia"/>
                <w:bCs/>
                <w:szCs w:val="21"/>
              </w:rPr>
              <w:t>期环</w:t>
            </w:r>
          </w:p>
          <w:p w14:paraId="53D56EAB">
            <w:pPr>
              <w:adjustRightInd w:val="0"/>
              <w:snapToGrid w:val="0"/>
              <w:jc w:val="center"/>
              <w:rPr>
                <w:bCs/>
                <w:szCs w:val="21"/>
              </w:rPr>
            </w:pPr>
            <w:r>
              <w:rPr>
                <w:rFonts w:hint="eastAsia"/>
                <w:bCs/>
                <w:szCs w:val="21"/>
              </w:rPr>
              <w:t>境影</w:t>
            </w:r>
          </w:p>
          <w:p w14:paraId="4F929CAD">
            <w:pPr>
              <w:adjustRightInd w:val="0"/>
              <w:snapToGrid w:val="0"/>
              <w:jc w:val="center"/>
              <w:rPr>
                <w:bCs/>
                <w:szCs w:val="21"/>
              </w:rPr>
            </w:pPr>
            <w:r>
              <w:rPr>
                <w:rFonts w:hint="eastAsia"/>
                <w:bCs/>
                <w:szCs w:val="21"/>
              </w:rPr>
              <w:t>响和</w:t>
            </w:r>
          </w:p>
          <w:p w14:paraId="1E6046FE">
            <w:pPr>
              <w:adjustRightInd w:val="0"/>
              <w:snapToGrid w:val="0"/>
              <w:jc w:val="center"/>
              <w:rPr>
                <w:bCs/>
                <w:szCs w:val="21"/>
              </w:rPr>
            </w:pPr>
            <w:r>
              <w:rPr>
                <w:rFonts w:hint="eastAsia"/>
                <w:bCs/>
                <w:szCs w:val="21"/>
              </w:rPr>
              <w:t>保护</w:t>
            </w:r>
          </w:p>
          <w:p w14:paraId="01DB9AA4">
            <w:pPr>
              <w:adjustRightInd w:val="0"/>
              <w:snapToGrid w:val="0"/>
              <w:jc w:val="center"/>
              <w:rPr>
                <w:bCs/>
                <w:szCs w:val="21"/>
              </w:rPr>
            </w:pPr>
            <w:r>
              <w:rPr>
                <w:rFonts w:hint="eastAsia"/>
                <w:bCs/>
                <w:szCs w:val="21"/>
              </w:rPr>
              <w:t>措施</w:t>
            </w:r>
          </w:p>
        </w:tc>
        <w:tc>
          <w:tcPr>
            <w:tcW w:w="8525" w:type="dxa"/>
            <w:vAlign w:val="center"/>
          </w:tcPr>
          <w:p w14:paraId="14720008">
            <w:pPr>
              <w:autoSpaceDE w:val="0"/>
              <w:autoSpaceDN w:val="0"/>
              <w:adjustRightInd w:val="0"/>
              <w:spacing w:line="360" w:lineRule="auto"/>
              <w:rPr>
                <w:b/>
                <w:spacing w:val="-10"/>
                <w:sz w:val="24"/>
              </w:rPr>
            </w:pPr>
            <w:r>
              <w:rPr>
                <w:rFonts w:hint="eastAsia"/>
                <w:b/>
                <w:spacing w:val="-10"/>
                <w:sz w:val="24"/>
              </w:rPr>
              <w:t>4.2  运营期环境影响保护措施</w:t>
            </w:r>
          </w:p>
          <w:p w14:paraId="224C0F48">
            <w:pPr>
              <w:autoSpaceDE w:val="0"/>
              <w:autoSpaceDN w:val="0"/>
              <w:adjustRightInd w:val="0"/>
              <w:spacing w:line="360" w:lineRule="auto"/>
              <w:rPr>
                <w:b/>
                <w:spacing w:val="-10"/>
                <w:sz w:val="22"/>
                <w:szCs w:val="22"/>
              </w:rPr>
            </w:pPr>
            <w:r>
              <w:rPr>
                <w:rFonts w:hint="eastAsia"/>
                <w:b/>
                <w:spacing w:val="-10"/>
                <w:sz w:val="22"/>
                <w:szCs w:val="22"/>
              </w:rPr>
              <w:t>4.2.1  废气</w:t>
            </w:r>
          </w:p>
          <w:p w14:paraId="08416942">
            <w:pPr>
              <w:autoSpaceDE w:val="0"/>
              <w:autoSpaceDN w:val="0"/>
              <w:adjustRightInd w:val="0"/>
              <w:spacing w:line="360" w:lineRule="auto"/>
              <w:rPr>
                <w:b/>
                <w:spacing w:val="-10"/>
                <w:szCs w:val="21"/>
              </w:rPr>
            </w:pPr>
            <w:r>
              <w:rPr>
                <w:rFonts w:hint="eastAsia"/>
                <w:b/>
                <w:spacing w:val="-10"/>
                <w:szCs w:val="21"/>
              </w:rPr>
              <w:t>1、废气污染源强核算</w:t>
            </w:r>
          </w:p>
          <w:p w14:paraId="4993B75C">
            <w:pPr>
              <w:autoSpaceDE w:val="0"/>
              <w:autoSpaceDN w:val="0"/>
              <w:adjustRightInd w:val="0"/>
              <w:spacing w:line="360" w:lineRule="auto"/>
              <w:ind w:firstLine="380" w:firstLineChars="200"/>
              <w:rPr>
                <w:bCs/>
                <w:spacing w:val="-10"/>
                <w:szCs w:val="21"/>
              </w:rPr>
            </w:pPr>
            <w:r>
              <w:rPr>
                <w:rFonts w:hint="eastAsia"/>
                <w:bCs/>
                <w:spacing w:val="-10"/>
                <w:szCs w:val="21"/>
              </w:rPr>
              <w:t>本项目运营期废气包括管料受热废气G1、UV胶废气G2、涂覆废气G3、封口废气G4、</w:t>
            </w:r>
            <w:r>
              <w:rPr>
                <w:rFonts w:hint="eastAsia"/>
                <w:bCs/>
                <w:spacing w:val="-10"/>
                <w:szCs w:val="21"/>
                <w:lang w:val="en-US" w:eastAsia="zh-CN"/>
              </w:rPr>
              <w:t>配液酸雾G5、印刷废气G6、</w:t>
            </w:r>
            <w:r>
              <w:rPr>
                <w:rFonts w:hint="eastAsia"/>
                <w:bCs/>
                <w:spacing w:val="-10"/>
                <w:szCs w:val="21"/>
              </w:rPr>
              <w:t>实验室废气G</w:t>
            </w:r>
            <w:r>
              <w:rPr>
                <w:rFonts w:hint="eastAsia"/>
                <w:bCs/>
                <w:spacing w:val="-10"/>
                <w:szCs w:val="21"/>
                <w:lang w:val="en-US" w:eastAsia="zh-CN"/>
              </w:rPr>
              <w:t>7</w:t>
            </w:r>
            <w:r>
              <w:rPr>
                <w:rFonts w:hint="eastAsia"/>
                <w:bCs/>
                <w:spacing w:val="-10"/>
                <w:szCs w:val="21"/>
              </w:rPr>
              <w:t>、微生物气溶胶G</w:t>
            </w:r>
            <w:r>
              <w:rPr>
                <w:rFonts w:hint="eastAsia"/>
                <w:bCs/>
                <w:spacing w:val="-10"/>
                <w:szCs w:val="21"/>
                <w:lang w:val="en-US" w:eastAsia="zh-CN"/>
              </w:rPr>
              <w:t>8、危废及化学品仓库废气G9</w:t>
            </w:r>
            <w:r>
              <w:rPr>
                <w:rFonts w:hint="eastAsia"/>
                <w:bCs/>
                <w:spacing w:val="-10"/>
                <w:szCs w:val="21"/>
              </w:rPr>
              <w:t>。</w:t>
            </w:r>
          </w:p>
          <w:p w14:paraId="769C4949">
            <w:pPr>
              <w:numPr>
                <w:ilvl w:val="0"/>
                <w:numId w:val="10"/>
              </w:numPr>
              <w:autoSpaceDE w:val="0"/>
              <w:autoSpaceDN w:val="0"/>
              <w:adjustRightInd w:val="0"/>
              <w:spacing w:line="360" w:lineRule="auto"/>
              <w:rPr>
                <w:b/>
                <w:spacing w:val="-10"/>
                <w:szCs w:val="21"/>
              </w:rPr>
            </w:pPr>
            <w:r>
              <w:rPr>
                <w:rFonts w:hint="eastAsia"/>
                <w:b/>
                <w:spacing w:val="-10"/>
                <w:szCs w:val="21"/>
              </w:rPr>
              <w:t>管料受热废气G1</w:t>
            </w:r>
          </w:p>
          <w:p w14:paraId="74A10233">
            <w:pPr>
              <w:pStyle w:val="16"/>
              <w:spacing w:line="360" w:lineRule="auto"/>
              <w:ind w:firstLine="380" w:firstLineChars="200"/>
              <w:rPr>
                <w:rFonts w:hint="default" w:eastAsia="宋体"/>
                <w:highlight w:val="none"/>
                <w:lang w:val="en-US" w:eastAsia="zh-CN"/>
              </w:rPr>
            </w:pPr>
            <w:r>
              <w:rPr>
                <w:rFonts w:hint="eastAsia" w:ascii="Times New Roman" w:hAnsi="Times New Roman" w:cs="Times New Roman"/>
                <w:bCs/>
                <w:spacing w:val="-10"/>
              </w:rPr>
              <w:t>外购的不同规格管件在成型、焊接、折叠过程中受热（50-80℃左右），</w:t>
            </w:r>
            <w:r>
              <w:rPr>
                <w:rFonts w:hint="eastAsia"/>
              </w:rPr>
              <w:t>根据工艺流程分析，球囊成型等工序均属于对塑料零部件局部加热进行加工，废气产生原理与注塑工序类似。</w:t>
            </w:r>
            <w:r>
              <w:rPr>
                <w:rFonts w:hint="eastAsia" w:ascii="Times New Roman" w:hAnsi="Times New Roman" w:cs="Times New Roman"/>
                <w:bCs/>
              </w:rPr>
              <w:t>参照《排放源统计调查产排污核算方法和系数手册 292 塑料制品业系数手册》中，2929塑料零件及其他塑料制品制造行业系数表，配料-混合-挤出/注塑工艺，产污系数取值2.7 千克/吨-产品。项目年产球囊导管15万套、封堵止血器30</w:t>
            </w:r>
            <w:r>
              <w:rPr>
                <w:rFonts w:hint="eastAsia" w:ascii="Times New Roman" w:hAnsi="Times New Roman" w:cs="Times New Roman"/>
                <w:bCs/>
                <w:highlight w:val="none"/>
              </w:rPr>
              <w:t>万套，折合质量约50吨，</w:t>
            </w:r>
            <w:r>
              <w:rPr>
                <w:rFonts w:hint="eastAsia" w:ascii="Times New Roman" w:hAnsi="Times New Roman" w:cs="Times New Roman"/>
                <w:bCs/>
                <w:highlight w:val="none"/>
                <w:lang w:val="en-US" w:eastAsia="zh-CN"/>
              </w:rPr>
              <w:t>局部加热面积按照20%计算，</w:t>
            </w:r>
            <w:r>
              <w:rPr>
                <w:rFonts w:hint="eastAsia" w:ascii="Times New Roman" w:hAnsi="Times New Roman" w:cs="Times New Roman"/>
                <w:bCs/>
                <w:highlight w:val="none"/>
              </w:rPr>
              <w:t>则管料受热废气非甲烷总烃产生量为</w:t>
            </w:r>
            <w:r>
              <w:rPr>
                <w:rFonts w:hint="eastAsia" w:ascii="Times New Roman" w:hAnsi="Times New Roman" w:cs="Times New Roman"/>
                <w:bCs/>
                <w:highlight w:val="none"/>
                <w:lang w:val="en-US" w:eastAsia="zh-CN"/>
              </w:rPr>
              <w:t>50 t×2.7 kg/t-产品=</w:t>
            </w:r>
            <w:r>
              <w:rPr>
                <w:rFonts w:hint="eastAsia" w:ascii="Times New Roman" w:hAnsi="Times New Roman" w:cs="Times New Roman"/>
                <w:bCs/>
                <w:highlight w:val="none"/>
              </w:rPr>
              <w:t>0.</w:t>
            </w:r>
            <w:r>
              <w:rPr>
                <w:rFonts w:hint="eastAsia" w:ascii="Times New Roman" w:hAnsi="Times New Roman" w:cs="Times New Roman"/>
                <w:bCs/>
                <w:highlight w:val="none"/>
                <w:lang w:val="en-US" w:eastAsia="zh-CN"/>
              </w:rPr>
              <w:t>027</w:t>
            </w:r>
            <w:r>
              <w:rPr>
                <w:rFonts w:hint="eastAsia" w:ascii="Times New Roman" w:hAnsi="Times New Roman" w:cs="Times New Roman"/>
                <w:bCs/>
                <w:highlight w:val="none"/>
              </w:rPr>
              <w:t xml:space="preserve"> t/a。</w:t>
            </w:r>
            <w:r>
              <w:rPr>
                <w:rFonts w:hint="eastAsia" w:ascii="Times New Roman" w:hAnsi="Times New Roman" w:cs="Times New Roman"/>
                <w:bCs/>
                <w:highlight w:val="none"/>
                <w:lang w:val="en-US" w:eastAsia="zh-CN"/>
              </w:rPr>
              <w:t>该工序VOC产生量较小，无组织排放浓度达标，拟加强车间换气，车间内无组织排放。</w:t>
            </w:r>
          </w:p>
          <w:p w14:paraId="280D0237">
            <w:pPr>
              <w:pStyle w:val="16"/>
              <w:numPr>
                <w:ilvl w:val="0"/>
                <w:numId w:val="10"/>
              </w:numPr>
              <w:spacing w:line="360" w:lineRule="auto"/>
              <w:rPr>
                <w:rFonts w:ascii="Times New Roman" w:hAnsi="Times New Roman" w:cs="Times New Roman"/>
                <w:b/>
                <w:highlight w:val="none"/>
              </w:rPr>
            </w:pPr>
            <w:r>
              <w:rPr>
                <w:rFonts w:hint="eastAsia" w:ascii="Times New Roman" w:hAnsi="Times New Roman" w:cs="Times New Roman"/>
                <w:b/>
                <w:highlight w:val="none"/>
              </w:rPr>
              <w:t>UV胶废气G2</w:t>
            </w:r>
          </w:p>
          <w:p w14:paraId="11981280">
            <w:pPr>
              <w:pStyle w:val="16"/>
              <w:spacing w:line="360" w:lineRule="auto"/>
              <w:ind w:firstLine="420" w:firstLineChars="200"/>
              <w:rPr>
                <w:rFonts w:hint="default" w:ascii="Times New Roman" w:hAnsi="Times New Roman" w:eastAsia="宋体" w:cs="Times New Roman"/>
                <w:bCs/>
                <w:lang w:val="en-US" w:eastAsia="zh-CN"/>
              </w:rPr>
            </w:pPr>
            <w:r>
              <w:rPr>
                <w:rFonts w:hint="eastAsia" w:ascii="Times New Roman" w:hAnsi="Times New Roman" w:cs="Times New Roman"/>
                <w:bCs/>
              </w:rPr>
              <w:t>本项目生产时需要使用UV胶进行粘接，粘接后使用UV光源控制器固化，UV胶年使用量0.15 t。本项目使用UV胶</w:t>
            </w:r>
            <w:r>
              <w:rPr>
                <w:rFonts w:hint="eastAsia" w:ascii="Times New Roman" w:hAnsi="Times New Roman" w:cs="Times New Roman"/>
                <w:bCs/>
                <w:lang w:val="en-US" w:eastAsia="zh-CN"/>
              </w:rPr>
              <w:t>属于丙烯酸酯类本体型胶粘剂，具体各组分含量见表2-6；根据MSDS，挥发性组分含量</w:t>
            </w:r>
            <w:r>
              <w:rPr>
                <w:rFonts w:hint="default" w:ascii="Times New Roman" w:hAnsi="Times New Roman" w:cs="Times New Roman"/>
                <w:bCs/>
                <w:lang w:val="en-US" w:eastAsia="zh-CN"/>
              </w:rPr>
              <w:t>≤</w:t>
            </w:r>
            <w:r>
              <w:rPr>
                <w:rFonts w:hint="eastAsia" w:ascii="Times New Roman" w:hAnsi="Times New Roman" w:cs="Times New Roman"/>
                <w:bCs/>
                <w:lang w:val="en-US" w:eastAsia="zh-CN"/>
              </w:rPr>
              <w:t>80 g/kg</w:t>
            </w:r>
            <w:r>
              <w:rPr>
                <w:rFonts w:hint="eastAsia" w:ascii="Times New Roman" w:hAnsi="Times New Roman" w:cs="Times New Roman"/>
                <w:bCs/>
              </w:rPr>
              <w:t>，</w:t>
            </w:r>
            <w:r>
              <w:rPr>
                <w:rFonts w:hint="eastAsia" w:ascii="Times New Roman" w:hAnsi="Times New Roman" w:cs="Times New Roman"/>
                <w:bCs/>
                <w:lang w:val="en-US" w:eastAsia="zh-CN"/>
              </w:rPr>
              <w:t>满足</w:t>
            </w:r>
            <w:r>
              <w:rPr>
                <w:rFonts w:hint="eastAsia" w:ascii="Times New Roman" w:hAnsi="Times New Roman" w:cs="Times New Roman"/>
                <w:bCs/>
              </w:rPr>
              <w:t>《胶粘剂挥发性有机化合物限量》（GB 33372-2020）中表3对VOC含量</w:t>
            </w:r>
            <w:r>
              <w:rPr>
                <w:rFonts w:hint="eastAsia" w:ascii="Times New Roman" w:hAnsi="Times New Roman" w:cs="Times New Roman"/>
                <w:bCs/>
                <w:lang w:val="en-US" w:eastAsia="zh-CN"/>
              </w:rPr>
              <w:t>不应超过</w:t>
            </w:r>
            <w:r>
              <w:rPr>
                <w:rFonts w:hint="eastAsia" w:ascii="Times New Roman" w:hAnsi="Times New Roman" w:cs="Times New Roman"/>
                <w:bCs/>
              </w:rPr>
              <w:t>200 g/kg限值</w:t>
            </w:r>
            <w:r>
              <w:rPr>
                <w:rFonts w:hint="eastAsia" w:ascii="Times New Roman" w:hAnsi="Times New Roman" w:cs="Times New Roman"/>
                <w:bCs/>
                <w:highlight w:val="none"/>
              </w:rPr>
              <w:t>的规定。本次环评按最不利情况计算，</w:t>
            </w:r>
            <w:r>
              <w:rPr>
                <w:rFonts w:hint="eastAsia" w:ascii="Times New Roman" w:hAnsi="Times New Roman" w:cs="Times New Roman"/>
                <w:bCs/>
                <w:highlight w:val="none"/>
                <w:lang w:val="en-US" w:eastAsia="zh-CN"/>
              </w:rPr>
              <w:t>挥发性组分全部挥发，</w:t>
            </w:r>
            <w:r>
              <w:rPr>
                <w:rFonts w:hint="eastAsia" w:ascii="Times New Roman" w:hAnsi="Times New Roman" w:cs="Times New Roman"/>
                <w:bCs/>
                <w:highlight w:val="none"/>
              </w:rPr>
              <w:t>则本项目UV胶废气产生量为</w:t>
            </w:r>
            <w:r>
              <w:rPr>
                <w:rFonts w:hint="eastAsia" w:ascii="Times New Roman" w:hAnsi="Times New Roman" w:cs="Times New Roman"/>
                <w:bCs/>
                <w:highlight w:val="none"/>
                <w:lang w:val="en-US" w:eastAsia="zh-CN"/>
              </w:rPr>
              <w:t>0.15 t×80 g/kg=</w:t>
            </w:r>
            <w:r>
              <w:rPr>
                <w:rFonts w:hint="eastAsia" w:ascii="Times New Roman" w:hAnsi="Times New Roman" w:cs="Times New Roman"/>
                <w:bCs/>
                <w:highlight w:val="none"/>
              </w:rPr>
              <w:t>0.0</w:t>
            </w:r>
            <w:r>
              <w:rPr>
                <w:rFonts w:hint="eastAsia" w:ascii="Times New Roman" w:hAnsi="Times New Roman" w:cs="Times New Roman"/>
                <w:bCs/>
                <w:highlight w:val="none"/>
                <w:lang w:val="en-US" w:eastAsia="zh-CN"/>
              </w:rPr>
              <w:t>12</w:t>
            </w:r>
            <w:r>
              <w:rPr>
                <w:rFonts w:hint="eastAsia" w:ascii="Times New Roman" w:hAnsi="Times New Roman" w:cs="Times New Roman"/>
                <w:bCs/>
                <w:highlight w:val="none"/>
              </w:rPr>
              <w:t xml:space="preserve"> t/a。</w:t>
            </w:r>
            <w:r>
              <w:rPr>
                <w:rFonts w:hint="eastAsia" w:ascii="Times New Roman" w:hAnsi="Times New Roman" w:cs="Times New Roman"/>
                <w:bCs/>
                <w:highlight w:val="none"/>
                <w:lang w:val="en-US" w:eastAsia="zh-CN"/>
              </w:rPr>
              <w:t>根据《</w:t>
            </w:r>
            <w:r>
              <w:rPr>
                <w:rFonts w:hint="eastAsia" w:ascii="Times New Roman" w:hAnsi="Times New Roman" w:cs="Times New Roman"/>
                <w:bCs/>
                <w:highlight w:val="none"/>
              </w:rPr>
              <w:t>浙江省低挥发性有机物含量原辅材料源头替代技术指南 总则（试行）</w:t>
            </w:r>
            <w:r>
              <w:rPr>
                <w:rFonts w:hint="eastAsia" w:ascii="Times New Roman" w:hAnsi="Times New Roman" w:cs="Times New Roman"/>
                <w:bCs/>
                <w:highlight w:val="none"/>
                <w:lang w:val="en-US" w:eastAsia="zh-CN"/>
              </w:rPr>
              <w:t>》，使用的原辅材料VOCs含量（质量比）低于10%的工序，无组织排放浓度达标的，可不要求采取VOCs无组织排放收集措施。该工序所使用UV胶VOC含量约为8%，VOC产生量较小，车间内无组织排放。</w:t>
            </w:r>
          </w:p>
          <w:p w14:paraId="25909934">
            <w:pPr>
              <w:pStyle w:val="16"/>
              <w:numPr>
                <w:ilvl w:val="0"/>
                <w:numId w:val="10"/>
              </w:numPr>
              <w:spacing w:line="360" w:lineRule="auto"/>
              <w:rPr>
                <w:rFonts w:ascii="Times New Roman" w:hAnsi="Times New Roman" w:cs="Times New Roman"/>
                <w:b/>
              </w:rPr>
            </w:pPr>
            <w:r>
              <w:rPr>
                <w:rFonts w:hint="eastAsia" w:ascii="Times New Roman" w:hAnsi="Times New Roman" w:cs="Times New Roman"/>
                <w:b/>
              </w:rPr>
              <w:t>涂覆废气G3</w:t>
            </w:r>
          </w:p>
          <w:p w14:paraId="55F2356A">
            <w:pPr>
              <w:pStyle w:val="16"/>
              <w:spacing w:line="360" w:lineRule="auto"/>
              <w:rPr>
                <w:rFonts w:ascii="Times New Roman" w:hAnsi="Times New Roman" w:cs="Times New Roman"/>
                <w:b/>
              </w:rPr>
            </w:pPr>
            <w:r>
              <w:rPr>
                <w:rFonts w:hint="eastAsia" w:ascii="Times New Roman" w:hAnsi="Times New Roman" w:cs="Times New Roman"/>
                <w:b/>
              </w:rPr>
              <w:t>① 球囊导管生产</w:t>
            </w:r>
          </w:p>
          <w:p w14:paraId="45DC199C">
            <w:pPr>
              <w:pStyle w:val="16"/>
              <w:spacing w:line="360" w:lineRule="auto"/>
              <w:ind w:firstLine="420" w:firstLineChars="200"/>
              <w:rPr>
                <w:rFonts w:hint="default" w:ascii="Times New Roman" w:hAnsi="Times New Roman" w:eastAsia="宋体" w:cs="Times New Roman"/>
                <w:bCs/>
                <w:lang w:val="en-US" w:eastAsia="zh-CN"/>
              </w:rPr>
            </w:pPr>
            <w:r>
              <w:rPr>
                <w:rFonts w:hint="eastAsia" w:ascii="Times New Roman" w:hAnsi="Times New Roman" w:cs="Times New Roman"/>
                <w:bCs/>
              </w:rPr>
              <w:t>球囊导管涂覆环节需要使用</w:t>
            </w:r>
            <w:r>
              <w:rPr>
                <w:rFonts w:hint="eastAsia" w:ascii="Times New Roman" w:hAnsi="Times New Roman" w:cs="Times New Roman"/>
                <w:bCs/>
                <w:lang w:val="en-US" w:eastAsia="zh-CN"/>
              </w:rPr>
              <w:t>医用亲水润滑涂层</w:t>
            </w:r>
            <w:r>
              <w:rPr>
                <w:rFonts w:hint="eastAsia" w:ascii="Times New Roman" w:hAnsi="Times New Roman" w:cs="Times New Roman"/>
                <w:bCs/>
              </w:rPr>
              <w:t>、紫杉醇和雷帕霉素，亲水涂层在</w:t>
            </w:r>
            <w:r>
              <w:rPr>
                <w:rFonts w:hint="eastAsia" w:ascii="Times New Roman" w:hAnsi="Times New Roman" w:cs="Times New Roman"/>
                <w:bCs/>
                <w:lang w:val="en-US" w:eastAsia="zh-CN"/>
              </w:rPr>
              <w:t>涂覆过程中</w:t>
            </w:r>
            <w:r>
              <w:rPr>
                <w:rFonts w:hint="eastAsia" w:ascii="Times New Roman" w:hAnsi="Times New Roman" w:cs="Times New Roman"/>
                <w:bCs/>
              </w:rPr>
              <w:t>产生挥发性有机废气。</w:t>
            </w:r>
            <w:r>
              <w:rPr>
                <w:rFonts w:hint="eastAsia" w:ascii="Times New Roman" w:hAnsi="Times New Roman" w:cs="Times New Roman"/>
                <w:bCs/>
                <w:lang w:val="en-US" w:eastAsia="zh-CN"/>
              </w:rPr>
              <w:t>亲水涂层的组分如表2-7所示，年用量150 L/a，按照最不利情况计算，酒精全部挥发，</w:t>
            </w:r>
            <w:r>
              <w:rPr>
                <w:rFonts w:hint="eastAsia" w:ascii="Times New Roman" w:hAnsi="Times New Roman" w:cs="Times New Roman"/>
                <w:bCs/>
              </w:rPr>
              <w:t>则核算后球囊导管生产涂覆环节产生的涂覆废气为</w:t>
            </w:r>
            <w:r>
              <w:rPr>
                <w:rFonts w:hint="eastAsia" w:ascii="Times New Roman" w:hAnsi="Times New Roman" w:cs="Times New Roman"/>
                <w:bCs/>
                <w:lang w:val="en-US" w:eastAsia="zh-CN"/>
              </w:rPr>
              <w:t>150 L×75%×0.789 g/cm</w:t>
            </w:r>
            <w:r>
              <w:rPr>
                <w:rFonts w:hint="eastAsia" w:ascii="Times New Roman" w:hAnsi="Times New Roman" w:cs="Times New Roman"/>
                <w:bCs/>
                <w:vertAlign w:val="superscript"/>
                <w:lang w:val="en-US" w:eastAsia="zh-CN"/>
              </w:rPr>
              <w:t>3</w:t>
            </w:r>
            <w:r>
              <w:rPr>
                <w:rFonts w:hint="eastAsia" w:ascii="Times New Roman" w:hAnsi="Times New Roman" w:cs="Times New Roman"/>
                <w:bCs/>
                <w:lang w:val="en-US" w:eastAsia="zh-CN"/>
              </w:rPr>
              <w:t>=0.09</w:t>
            </w:r>
            <w:r>
              <w:rPr>
                <w:rFonts w:hint="eastAsia" w:ascii="Times New Roman" w:hAnsi="Times New Roman" w:cs="Times New Roman"/>
                <w:bCs/>
              </w:rPr>
              <w:t xml:space="preserve"> t/a。</w:t>
            </w:r>
            <w:r>
              <w:rPr>
                <w:rFonts w:hint="eastAsia" w:ascii="Times New Roman" w:hAnsi="Times New Roman" w:cs="Times New Roman"/>
                <w:bCs/>
                <w:lang w:val="en-US" w:eastAsia="zh-CN"/>
              </w:rPr>
              <w:t>该工序在亲水涂层车间操作，车间整体收集，收集效率按80%计。</w:t>
            </w:r>
          </w:p>
          <w:p w14:paraId="268F4488">
            <w:pPr>
              <w:pStyle w:val="16"/>
              <w:spacing w:line="360" w:lineRule="auto"/>
              <w:rPr>
                <w:rFonts w:ascii="Times New Roman" w:hAnsi="Times New Roman" w:cs="Times New Roman"/>
                <w:b/>
              </w:rPr>
            </w:pPr>
            <w:r>
              <w:rPr>
                <w:rFonts w:hint="eastAsia" w:ascii="Times New Roman" w:hAnsi="Times New Roman" w:cs="Times New Roman"/>
                <w:b/>
              </w:rPr>
              <w:t>② 封堵止血器生产</w:t>
            </w:r>
          </w:p>
          <w:p w14:paraId="55E8C26B">
            <w:pPr>
              <w:pStyle w:val="16"/>
              <w:spacing w:line="360" w:lineRule="auto"/>
              <w:ind w:firstLine="420" w:firstLineChars="200"/>
              <w:rPr>
                <w:rFonts w:ascii="Times New Roman" w:hAnsi="Times New Roman" w:cs="Times New Roman"/>
                <w:bCs/>
              </w:rPr>
            </w:pPr>
            <w:r>
              <w:rPr>
                <w:rFonts w:hint="eastAsia" w:ascii="Times New Roman" w:hAnsi="Times New Roman" w:cs="Times New Roman"/>
                <w:bCs/>
              </w:rPr>
              <w:t>封堵止血器涂覆环节需要使用硅油、硅脂，原料本身VOC含量较低，但其涂覆液中含少量挥发性稀释剂及助剂，在烘干过程中挥发产生少量VOCs废气。硅油主要成分</w:t>
            </w:r>
            <w:r>
              <w:rPr>
                <w:rFonts w:hint="eastAsia" w:ascii="Times New Roman" w:hAnsi="Times New Roman" w:cs="Times New Roman"/>
                <w:bCs/>
                <w:lang w:val="en-US" w:eastAsia="zh-CN"/>
              </w:rPr>
              <w:t>见表2-7，本项目硅油使用量极小</w:t>
            </w:r>
            <w:r>
              <w:rPr>
                <w:rFonts w:hint="eastAsia" w:ascii="Times New Roman" w:hAnsi="Times New Roman" w:cs="Times New Roman"/>
                <w:bCs/>
              </w:rPr>
              <w:t>，涂覆环节产生VOCs废气量极小，本次评价不作定量分析。</w:t>
            </w:r>
            <w:r>
              <w:rPr>
                <w:rFonts w:hint="eastAsia" w:ascii="Times New Roman" w:hAnsi="Times New Roman" w:cs="Times New Roman"/>
                <w:bCs/>
                <w:lang w:val="en-US" w:eastAsia="zh-CN"/>
              </w:rPr>
              <w:t>废气通过车间整体收集，收集效率按80%计。</w:t>
            </w:r>
          </w:p>
          <w:p w14:paraId="42A1A354">
            <w:pPr>
              <w:pStyle w:val="16"/>
              <w:numPr>
                <w:ilvl w:val="0"/>
                <w:numId w:val="10"/>
              </w:numPr>
              <w:spacing w:line="360" w:lineRule="auto"/>
              <w:rPr>
                <w:rFonts w:ascii="Times New Roman" w:hAnsi="Times New Roman" w:cs="Times New Roman"/>
                <w:b/>
              </w:rPr>
            </w:pPr>
            <w:r>
              <w:rPr>
                <w:rFonts w:hint="eastAsia" w:ascii="Times New Roman" w:hAnsi="Times New Roman" w:cs="Times New Roman"/>
                <w:b/>
              </w:rPr>
              <w:t>封口废气G4</w:t>
            </w:r>
          </w:p>
          <w:p w14:paraId="49142F53">
            <w:pPr>
              <w:pStyle w:val="16"/>
              <w:spacing w:line="360" w:lineRule="auto"/>
              <w:ind w:firstLine="420" w:firstLineChars="200"/>
              <w:rPr>
                <w:rFonts w:hint="eastAsia" w:ascii="Times New Roman" w:hAnsi="Times New Roman" w:cs="Times New Roman"/>
                <w:bCs/>
              </w:rPr>
            </w:pPr>
            <w:r>
              <w:rPr>
                <w:rFonts w:hint="eastAsia" w:ascii="Times New Roman" w:hAnsi="Times New Roman" w:cs="Times New Roman"/>
                <w:bCs/>
              </w:rPr>
              <w:t>包装材料封口时受热会产生少量有机废气，本项目封口面积小，产生的有机废气量极少，故本次评价对封口废气不作定量分析</w:t>
            </w:r>
            <w:r>
              <w:rPr>
                <w:rFonts w:hint="eastAsia" w:ascii="Times New Roman" w:hAnsi="Times New Roman" w:cs="Times New Roman"/>
                <w:bCs/>
                <w:lang w:eastAsia="zh-CN"/>
              </w:rPr>
              <w:t>，</w:t>
            </w:r>
            <w:r>
              <w:rPr>
                <w:rFonts w:hint="eastAsia" w:ascii="Times New Roman" w:hAnsi="Times New Roman" w:cs="Times New Roman"/>
                <w:bCs/>
                <w:lang w:val="en-US" w:eastAsia="zh-CN"/>
              </w:rPr>
              <w:t>车间内无组织排放</w:t>
            </w:r>
            <w:r>
              <w:rPr>
                <w:rFonts w:hint="eastAsia" w:ascii="Times New Roman" w:hAnsi="Times New Roman" w:cs="Times New Roman"/>
                <w:bCs/>
              </w:rPr>
              <w:t>。</w:t>
            </w:r>
          </w:p>
          <w:p w14:paraId="634CE7A3">
            <w:pPr>
              <w:pStyle w:val="16"/>
              <w:numPr>
                <w:ilvl w:val="0"/>
                <w:numId w:val="10"/>
              </w:numPr>
              <w:spacing w:line="360" w:lineRule="auto"/>
              <w:rPr>
                <w:rFonts w:ascii="Times New Roman" w:hAnsi="Times New Roman" w:cs="Times New Roman"/>
                <w:b/>
              </w:rPr>
            </w:pPr>
            <w:r>
              <w:rPr>
                <w:rFonts w:hint="eastAsia" w:ascii="Times New Roman" w:hAnsi="Times New Roman" w:cs="Times New Roman"/>
                <w:b/>
                <w:lang w:val="en-US" w:eastAsia="zh-CN"/>
              </w:rPr>
              <w:t>配液酸雾</w:t>
            </w:r>
            <w:r>
              <w:rPr>
                <w:rFonts w:ascii="Times New Roman" w:hAnsi="Times New Roman" w:cs="Times New Roman"/>
                <w:b/>
              </w:rPr>
              <w:t>G5</w:t>
            </w:r>
          </w:p>
          <w:p w14:paraId="73D31C0B">
            <w:pPr>
              <w:pStyle w:val="17"/>
              <w:spacing w:line="360" w:lineRule="auto"/>
              <w:ind w:firstLine="420" w:firstLineChars="200"/>
              <w:rPr>
                <w:rFonts w:hint="default" w:eastAsia="宋体"/>
                <w:lang w:val="en-US" w:eastAsia="zh-CN"/>
              </w:rPr>
            </w:pPr>
            <w:r>
              <w:rPr>
                <w:rFonts w:hint="eastAsia"/>
                <w:lang w:val="en-US" w:eastAsia="zh-CN"/>
              </w:rPr>
              <w:t>封堵止血器生产过程中需要配置溶液，产生少量酸雾，此环节在通风橱内进行，使用盐酸量极少，产生的配液酸雾本次评价不作定量分析，通过通风橱收集。</w:t>
            </w:r>
          </w:p>
          <w:p w14:paraId="0FAA7B93">
            <w:pPr>
              <w:pStyle w:val="16"/>
              <w:numPr>
                <w:ilvl w:val="0"/>
                <w:numId w:val="10"/>
              </w:numPr>
              <w:spacing w:line="360" w:lineRule="auto"/>
              <w:rPr>
                <w:rFonts w:ascii="Times New Roman" w:hAnsi="Times New Roman" w:cs="Times New Roman"/>
                <w:b/>
              </w:rPr>
            </w:pPr>
            <w:r>
              <w:rPr>
                <w:rFonts w:hint="eastAsia" w:ascii="Times New Roman" w:hAnsi="Times New Roman" w:cs="Times New Roman"/>
                <w:b/>
                <w:lang w:val="en-US" w:eastAsia="zh-CN"/>
              </w:rPr>
              <w:t>印刷废气G6</w:t>
            </w:r>
          </w:p>
          <w:p w14:paraId="28BDD420">
            <w:pPr>
              <w:spacing w:line="360" w:lineRule="auto"/>
              <w:ind w:firstLine="420" w:firstLineChars="200"/>
              <w:rPr>
                <w:rFonts w:hint="default"/>
                <w:lang w:val="en-US" w:eastAsia="zh-CN"/>
              </w:rPr>
            </w:pPr>
            <w:r>
              <w:rPr>
                <w:rFonts w:hint="eastAsia"/>
                <w:lang w:val="en-US" w:eastAsia="zh-CN"/>
              </w:rPr>
              <w:t>本项目在部分配件（导管等）上印刷标记带，产生印刷废气。根据MSDS，油墨属于溶剂油墨-网印油墨，VOC含量（质量分数）为32.9%，符合《油墨中可挥发性有机化合物(VOCs)含量的限值》(GB 38507-2020)中相关要求。本项目油墨、稀释剂和固化剂合计使用量1.6 kg/a，产生废气量极小，本次评价不作定量分析。</w:t>
            </w:r>
            <w:r>
              <w:rPr>
                <w:rFonts w:hint="eastAsia" w:ascii="Times New Roman" w:hAnsi="Times New Roman" w:cs="Times New Roman"/>
                <w:bCs/>
                <w:lang w:val="en-US" w:eastAsia="zh-CN"/>
              </w:rPr>
              <w:t>该工序在</w:t>
            </w:r>
            <w:r>
              <w:rPr>
                <w:rFonts w:hint="eastAsia" w:cs="Times New Roman"/>
                <w:bCs/>
                <w:lang w:val="en-US" w:eastAsia="zh-CN"/>
              </w:rPr>
              <w:t>油墨车间进行，</w:t>
            </w:r>
            <w:r>
              <w:rPr>
                <w:rFonts w:hint="eastAsia" w:ascii="Times New Roman" w:hAnsi="Times New Roman" w:cs="Times New Roman"/>
                <w:bCs/>
                <w:lang w:val="en-US" w:eastAsia="zh-CN"/>
              </w:rPr>
              <w:t>车间整体收集，收集效率按80%计。</w:t>
            </w:r>
          </w:p>
          <w:p w14:paraId="20349030">
            <w:pPr>
              <w:pStyle w:val="16"/>
              <w:numPr>
                <w:ilvl w:val="0"/>
                <w:numId w:val="10"/>
              </w:numPr>
              <w:spacing w:line="360" w:lineRule="auto"/>
              <w:rPr>
                <w:rFonts w:ascii="Times New Roman" w:hAnsi="Times New Roman" w:cs="Times New Roman"/>
                <w:b/>
              </w:rPr>
            </w:pPr>
            <w:r>
              <w:rPr>
                <w:rFonts w:hint="eastAsia" w:ascii="Times New Roman" w:hAnsi="Times New Roman" w:cs="Times New Roman"/>
                <w:b/>
                <w:lang w:val="en-US" w:eastAsia="zh-CN"/>
              </w:rPr>
              <w:t>实验室废气G7</w:t>
            </w:r>
          </w:p>
          <w:p w14:paraId="426303F7">
            <w:pPr>
              <w:pStyle w:val="16"/>
              <w:spacing w:line="360" w:lineRule="auto"/>
              <w:ind w:firstLine="420" w:firstLineChars="200"/>
              <w:rPr>
                <w:rFonts w:ascii="Times New Roman" w:hAnsi="Times New Roman" w:cs="Times New Roman"/>
              </w:rPr>
            </w:pPr>
            <w:r>
              <w:rPr>
                <w:rFonts w:hint="eastAsia" w:ascii="Times New Roman" w:hAnsi="Times New Roman" w:cs="Times New Roman"/>
                <w:bCs/>
              </w:rPr>
              <w:t>本项目实验室检测过程中使用酸性、有机溶剂等，在使用过程中挥发、产生酸性气体和有机废气。项目各类有机溶剂年使用量约为0.03 t/a，</w:t>
            </w:r>
            <w:r>
              <w:rPr>
                <w:rFonts w:hint="eastAsia" w:ascii="Times New Roman" w:hAnsi="Times New Roman" w:cs="Times New Roman"/>
                <w:bCs/>
                <w:lang w:val="en-US" w:eastAsia="zh-CN"/>
              </w:rPr>
              <w:t>其中，用于研发实验车间的检测试剂量约占40%，用于理化室及气相室的检测试剂量约占60%。</w:t>
            </w:r>
            <w:r>
              <w:rPr>
                <w:rFonts w:hint="eastAsia" w:ascii="Times New Roman" w:hAnsi="Times New Roman" w:cs="Times New Roman"/>
                <w:bCs/>
              </w:rPr>
              <w:t>按最不利情况</w:t>
            </w:r>
            <w:r>
              <w:rPr>
                <w:rFonts w:hint="eastAsia" w:ascii="Times New Roman" w:hAnsi="Times New Roman" w:cs="Times New Roman"/>
                <w:bCs/>
                <w:lang w:val="en-US" w:eastAsia="zh-CN"/>
              </w:rPr>
              <w:t>核算</w:t>
            </w:r>
            <w:r>
              <w:rPr>
                <w:rFonts w:hint="eastAsia" w:ascii="Times New Roman" w:hAnsi="Times New Roman" w:cs="Times New Roman"/>
                <w:bCs/>
                <w:lang w:eastAsia="zh-CN"/>
              </w:rPr>
              <w:t>，</w:t>
            </w:r>
            <w:r>
              <w:rPr>
                <w:rFonts w:hint="eastAsia" w:ascii="Times New Roman" w:hAnsi="Times New Roman" w:cs="Times New Roman"/>
                <w:bCs/>
                <w:lang w:val="en-US" w:eastAsia="zh-CN"/>
              </w:rPr>
              <w:t>使用试剂</w:t>
            </w:r>
            <w:r>
              <w:rPr>
                <w:rFonts w:hint="eastAsia" w:ascii="Times New Roman" w:hAnsi="Times New Roman" w:cs="Times New Roman"/>
                <w:bCs/>
              </w:rPr>
              <w:t>全部挥发，则VOCs</w:t>
            </w:r>
            <w:r>
              <w:rPr>
                <w:rFonts w:hint="eastAsia" w:ascii="Times New Roman" w:hAnsi="Times New Roman" w:cs="Times New Roman"/>
                <w:bCs/>
                <w:lang w:val="en-US" w:eastAsia="zh-CN"/>
              </w:rPr>
              <w:t>总</w:t>
            </w:r>
            <w:r>
              <w:rPr>
                <w:rFonts w:hint="eastAsia" w:ascii="Times New Roman" w:hAnsi="Times New Roman" w:cs="Times New Roman"/>
                <w:bCs/>
              </w:rPr>
              <w:t>产生量为0.03 t/a。各类无机酸中，硫酸使用量为5 L/a，盐酸使用量为2 L/a，高氯酸使用量为1 L/a，硝酸使用量为</w:t>
            </w:r>
            <w:r>
              <w:rPr>
                <w:rFonts w:hint="eastAsia" w:ascii="Times New Roman" w:hAnsi="Times New Roman" w:cs="Times New Roman"/>
                <w:bCs/>
                <w:lang w:val="en-US" w:eastAsia="zh-CN"/>
              </w:rPr>
              <w:t>0.5</w:t>
            </w:r>
            <w:r>
              <w:rPr>
                <w:rFonts w:hint="eastAsia" w:ascii="Times New Roman" w:hAnsi="Times New Roman" w:cs="Times New Roman"/>
                <w:bCs/>
              </w:rPr>
              <w:t xml:space="preserve"> L/a</w:t>
            </w:r>
            <w:r>
              <w:rPr>
                <w:rFonts w:hint="eastAsia" w:ascii="Times New Roman" w:hAnsi="Times New Roman" w:cs="Times New Roman"/>
                <w:bCs/>
                <w:lang w:eastAsia="zh-CN"/>
              </w:rPr>
              <w:t>，</w:t>
            </w:r>
            <w:r>
              <w:rPr>
                <w:rFonts w:hint="eastAsia" w:ascii="Times New Roman" w:hAnsi="Times New Roman" w:cs="Times New Roman"/>
                <w:bCs/>
                <w:lang w:val="en-US" w:eastAsia="zh-CN"/>
              </w:rPr>
              <w:t>二苯胺使用量为0.5 kg/a</w:t>
            </w:r>
            <w:r>
              <w:rPr>
                <w:rFonts w:hint="eastAsia" w:ascii="Times New Roman" w:hAnsi="Times New Roman" w:cs="Times New Roman"/>
                <w:bCs/>
              </w:rPr>
              <w:t>。因其使用量很小，</w:t>
            </w:r>
            <w:r>
              <w:rPr>
                <w:rFonts w:hint="eastAsia" w:ascii="Times New Roman" w:hAnsi="Times New Roman" w:cs="Times New Roman"/>
                <w:bCs/>
                <w:lang w:val="en-US" w:eastAsia="zh-CN"/>
              </w:rPr>
              <w:t>在通风橱内操作，</w:t>
            </w:r>
            <w:r>
              <w:rPr>
                <w:rFonts w:hint="eastAsia" w:ascii="Times New Roman" w:hAnsi="Times New Roman" w:cs="Times New Roman"/>
                <w:bCs/>
              </w:rPr>
              <w:t>常温操作不易挥发，产生的酸性气体</w:t>
            </w:r>
            <w:r>
              <w:rPr>
                <w:rFonts w:hint="eastAsia" w:ascii="Times New Roman" w:hAnsi="Times New Roman" w:cs="Times New Roman"/>
                <w:bCs/>
                <w:lang w:val="en-US" w:eastAsia="zh-CN"/>
              </w:rPr>
              <w:t>和其他特征污染物量极</w:t>
            </w:r>
            <w:r>
              <w:rPr>
                <w:rFonts w:hint="eastAsia" w:ascii="Times New Roman" w:hAnsi="Times New Roman" w:cs="Times New Roman"/>
                <w:bCs/>
              </w:rPr>
              <w:t>小，本次环评不作定量分析。</w:t>
            </w:r>
            <w:r>
              <w:rPr>
                <w:rFonts w:hint="eastAsia" w:ascii="Times New Roman" w:hAnsi="Times New Roman" w:cs="Times New Roman"/>
                <w:bCs/>
                <w:lang w:val="en-US" w:eastAsia="zh-CN"/>
              </w:rPr>
              <w:t>废气通过通风橱和车间整体收集，收集效率按80%计。</w:t>
            </w:r>
          </w:p>
          <w:p w14:paraId="405B5419">
            <w:pPr>
              <w:pStyle w:val="16"/>
              <w:numPr>
                <w:ilvl w:val="0"/>
                <w:numId w:val="10"/>
              </w:numPr>
              <w:spacing w:line="360" w:lineRule="auto"/>
              <w:rPr>
                <w:rFonts w:ascii="Times New Roman" w:hAnsi="Times New Roman" w:cs="Times New Roman"/>
                <w:b/>
              </w:rPr>
            </w:pPr>
            <w:r>
              <w:rPr>
                <w:rFonts w:hint="eastAsia" w:ascii="Times New Roman" w:hAnsi="Times New Roman" w:cs="Times New Roman"/>
                <w:b/>
                <w:lang w:val="en-US" w:eastAsia="zh-CN"/>
              </w:rPr>
              <w:t>微生物气溶胶G8</w:t>
            </w:r>
          </w:p>
          <w:p w14:paraId="48434ED1">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Times New Roman" w:hAnsi="Times New Roman" w:cs="Times New Roman"/>
              </w:rPr>
              <w:t>本项目实验室检测过程需要进行浮游菌检测，在检测过程中可能有少量微生物以气溶胶状态逸散，要求企业在生物安全柜内进行操作。企业设置符合国际生物安全分级标准的专用生物安全柜，生物安全柜内环境呈负压状态，微生物气溶胶不会排放到实验室空气环境中，二级生物安全柜一般设有空气过滤系统（HEPA过滤器），其中HEPA过滤器能过滤空气中的细菌和病毒有机体，且HEPA保证拦截空中疾病传输，对于直径0.3 μm的颗粒，HEPA过滤器可以截留99.97%，而对于更大或更小的颗粒则可以截留99.99%。本次环评不对微生物气溶胶废气进行定量分析。</w:t>
            </w:r>
            <w:r>
              <w:rPr>
                <w:rFonts w:hint="eastAsia" w:ascii="Times New Roman" w:hAnsi="Times New Roman" w:cs="Times New Roman"/>
                <w:lang w:val="en-US" w:eastAsia="zh-CN"/>
              </w:rPr>
              <w:t>废气通过专用生物安全柜负压收集，收集效率按100%计。</w:t>
            </w:r>
          </w:p>
          <w:p w14:paraId="729367DE">
            <w:pPr>
              <w:pStyle w:val="16"/>
              <w:numPr>
                <w:ilvl w:val="0"/>
                <w:numId w:val="10"/>
              </w:numPr>
              <w:spacing w:line="360" w:lineRule="auto"/>
              <w:rPr>
                <w:rFonts w:ascii="Times New Roman" w:hAnsi="Times New Roman" w:cs="Times New Roman"/>
                <w:b/>
              </w:rPr>
            </w:pPr>
            <w:r>
              <w:rPr>
                <w:rFonts w:hint="eastAsia" w:ascii="Times New Roman" w:hAnsi="Times New Roman" w:cs="Times New Roman"/>
                <w:b/>
                <w:lang w:val="en-US" w:eastAsia="zh-CN"/>
              </w:rPr>
              <w:t>危废、化学品仓库废气G9</w:t>
            </w:r>
          </w:p>
          <w:p w14:paraId="7603E171">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实验前使用试剂储存在化学品仓库中；废弃试剂瓶、实验废液储存在危化品仓库中，可能产生少量废气。由于本项目所有试剂均密闭保存，危险废物通过瓶、桶、袋等容器密闭保存，此部分废气量极小，且产生量、产生浓度难以估计，本次环评不定量分析。</w:t>
            </w:r>
          </w:p>
          <w:p w14:paraId="41553FB1">
            <w:pPr>
              <w:pStyle w:val="17"/>
            </w:pPr>
          </w:p>
          <w:p w14:paraId="0BDFD273">
            <w:pPr>
              <w:keepNext/>
              <w:keepLines/>
              <w:numPr>
                <w:ilvl w:val="0"/>
                <w:numId w:val="11"/>
              </w:numPr>
              <w:spacing w:line="360" w:lineRule="auto"/>
              <w:rPr>
                <w:b/>
                <w:bCs/>
                <w:szCs w:val="21"/>
              </w:rPr>
            </w:pPr>
            <w:r>
              <w:rPr>
                <w:rFonts w:hint="eastAsia"/>
                <w:b/>
                <w:bCs/>
                <w:szCs w:val="21"/>
              </w:rPr>
              <w:t>废气污染处理措施</w:t>
            </w:r>
          </w:p>
          <w:p w14:paraId="2A548E71">
            <w:pPr>
              <w:keepNext/>
              <w:keepLines/>
              <w:spacing w:line="360" w:lineRule="auto"/>
              <w:ind w:firstLine="420" w:firstLineChars="200"/>
              <w:rPr>
                <w:rFonts w:hint="eastAsia"/>
                <w:szCs w:val="21"/>
                <w:lang w:val="en-US" w:eastAsia="zh-CN"/>
              </w:rPr>
            </w:pPr>
            <w:r>
              <w:rPr>
                <w:rFonts w:hint="eastAsia" w:eastAsia="宋体" w:cs="Times New Roman"/>
                <w:kern w:val="0"/>
                <w:szCs w:val="21"/>
                <w:lang w:val="en-US" w:eastAsia="zh-CN"/>
              </w:rPr>
              <w:t>集气管道和排气筒</w:t>
            </w:r>
            <w:r>
              <w:rPr>
                <w:rFonts w:hint="eastAsia" w:cs="Times New Roman"/>
                <w:kern w:val="0"/>
                <w:szCs w:val="21"/>
                <w:lang w:val="en-US" w:eastAsia="zh-CN"/>
              </w:rPr>
              <w:t>布置，综合考虑了各车间的平面布置和送、排风需求。根据</w:t>
            </w:r>
            <w:r>
              <w:rPr>
                <w:rFonts w:hint="eastAsia" w:eastAsia="宋体" w:cs="Times New Roman"/>
                <w:kern w:val="0"/>
                <w:szCs w:val="21"/>
                <w:lang w:val="en-US" w:eastAsia="zh-CN"/>
              </w:rPr>
              <w:t>设计</w:t>
            </w:r>
            <w:r>
              <w:rPr>
                <w:rFonts w:hint="eastAsia" w:cs="Times New Roman"/>
                <w:kern w:val="0"/>
                <w:szCs w:val="21"/>
                <w:lang w:val="en-US" w:eastAsia="zh-CN"/>
              </w:rPr>
              <w:t>，</w:t>
            </w:r>
            <w:r>
              <w:rPr>
                <w:rFonts w:hint="eastAsia"/>
                <w:szCs w:val="21"/>
                <w:lang w:val="en-US" w:eastAsia="zh-CN"/>
              </w:rPr>
              <w:t>化学品仓库和危废仓库采用密闭洁净车间整体收集，经过一级活性炭吸附后，通过15 m高排气筒（DA001）排放。部分车间采用密闭洁净车间整体收集，经过一级活性炭吸附后，通过15 m高排气筒（DA002~DA004）有组织排放。阳性对照室废气，经过通风橱收集后，经过1套高效HEPA过滤器后，通过15 m高排气筒（DA005）有组织排放。主要生产车间（万级洁净车间）的组装、包装等区域，采用车间通风系统无组织排放。</w:t>
            </w:r>
          </w:p>
          <w:p w14:paraId="7509D965">
            <w:pPr>
              <w:keepNext/>
              <w:keepLines/>
              <w:spacing w:line="360" w:lineRule="auto"/>
              <w:ind w:firstLine="420" w:firstLineChars="200"/>
              <w:rPr>
                <w:rFonts w:hint="eastAsia"/>
                <w:szCs w:val="21"/>
              </w:rPr>
            </w:pPr>
            <w:r>
              <w:rPr>
                <w:rFonts w:hint="eastAsia"/>
                <w:szCs w:val="21"/>
              </w:rPr>
              <w:t>项目主要废气污染防治措施汇总见</w:t>
            </w:r>
            <w:r>
              <w:rPr>
                <w:rFonts w:hint="eastAsia"/>
                <w:bCs/>
                <w:szCs w:val="21"/>
              </w:rPr>
              <w:t>下表</w:t>
            </w:r>
            <w:r>
              <w:rPr>
                <w:rFonts w:hint="eastAsia"/>
                <w:szCs w:val="21"/>
              </w:rPr>
              <w:t>：</w:t>
            </w:r>
          </w:p>
          <w:p w14:paraId="25EFDE2F">
            <w:pPr>
              <w:keepNext/>
              <w:keepLines/>
              <w:spacing w:line="360" w:lineRule="auto"/>
              <w:rPr>
                <w:rFonts w:hint="eastAsia"/>
                <w:szCs w:val="21"/>
              </w:rPr>
            </w:pPr>
          </w:p>
          <w:p w14:paraId="5205B3A9">
            <w:pPr>
              <w:keepNext/>
              <w:keepLines/>
              <w:spacing w:line="360" w:lineRule="auto"/>
              <w:rPr>
                <w:rFonts w:hint="eastAsia"/>
                <w:szCs w:val="21"/>
              </w:rPr>
            </w:pPr>
          </w:p>
        </w:tc>
      </w:tr>
    </w:tbl>
    <w:p w14:paraId="2E2C10BA">
      <w:pPr>
        <w:adjustRightInd w:val="0"/>
        <w:snapToGrid w:val="0"/>
        <w:spacing w:line="360" w:lineRule="auto"/>
        <w:rPr>
          <w:b/>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2CDD42DE">
      <w:pPr>
        <w:numPr>
          <w:ilvl w:val="0"/>
          <w:numId w:val="12"/>
        </w:numPr>
        <w:spacing w:line="360" w:lineRule="auto"/>
        <w:jc w:val="center"/>
        <w:rPr>
          <w:rFonts w:hint="eastAsia" w:ascii="黑体" w:hAnsi="黑体" w:eastAsia="黑体" w:cs="黑体"/>
        </w:rPr>
      </w:pPr>
      <w:r>
        <w:rPr>
          <w:rFonts w:hint="eastAsia" w:ascii="黑体" w:hAnsi="黑体" w:eastAsia="黑体" w:cs="黑体"/>
        </w:rPr>
        <w:t xml:space="preserve"> 项目废气收集及处理措施</w:t>
      </w:r>
    </w:p>
    <w:tbl>
      <w:tblPr>
        <w:tblStyle w:val="2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84"/>
        <w:gridCol w:w="2239"/>
        <w:gridCol w:w="2356"/>
        <w:gridCol w:w="5194"/>
        <w:gridCol w:w="2375"/>
        <w:gridCol w:w="2611"/>
        <w:gridCol w:w="2611"/>
        <w:gridCol w:w="1984"/>
      </w:tblGrid>
      <w:tr w14:paraId="4F6FD0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496D17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561" w:type="pct"/>
            <w:tcBorders>
              <w:tl2br w:val="nil"/>
              <w:tr2bl w:val="nil"/>
            </w:tcBorders>
            <w:shd w:val="clear" w:color="auto" w:fill="auto"/>
            <w:noWrap/>
            <w:vAlign w:val="center"/>
          </w:tcPr>
          <w:p w14:paraId="15C212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车间</w:t>
            </w:r>
          </w:p>
        </w:tc>
        <w:tc>
          <w:tcPr>
            <w:tcW w:w="590" w:type="pct"/>
            <w:tcBorders>
              <w:tl2br w:val="nil"/>
              <w:tr2bl w:val="nil"/>
            </w:tcBorders>
            <w:shd w:val="clear" w:color="auto" w:fill="auto"/>
            <w:noWrap/>
            <w:vAlign w:val="center"/>
          </w:tcPr>
          <w:p w14:paraId="0BDF70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污染源种类</w:t>
            </w:r>
          </w:p>
        </w:tc>
        <w:tc>
          <w:tcPr>
            <w:tcW w:w="1301" w:type="pct"/>
            <w:tcBorders>
              <w:tl2br w:val="nil"/>
              <w:tr2bl w:val="nil"/>
            </w:tcBorders>
            <w:shd w:val="clear" w:color="auto" w:fill="auto"/>
            <w:noWrap/>
            <w:vAlign w:val="center"/>
          </w:tcPr>
          <w:p w14:paraId="24E6F0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污染因子</w:t>
            </w:r>
          </w:p>
        </w:tc>
        <w:tc>
          <w:tcPr>
            <w:tcW w:w="595" w:type="pct"/>
            <w:tcBorders>
              <w:tl2br w:val="nil"/>
              <w:tr2bl w:val="nil"/>
            </w:tcBorders>
            <w:shd w:val="clear" w:color="auto" w:fill="auto"/>
            <w:noWrap/>
            <w:vAlign w:val="center"/>
          </w:tcPr>
          <w:p w14:paraId="430F1F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废气收集措施</w:t>
            </w:r>
          </w:p>
        </w:tc>
        <w:tc>
          <w:tcPr>
            <w:tcW w:w="654" w:type="pct"/>
            <w:tcBorders>
              <w:tl2br w:val="nil"/>
              <w:tr2bl w:val="nil"/>
            </w:tcBorders>
            <w:shd w:val="clear" w:color="auto" w:fill="auto"/>
            <w:noWrap/>
            <w:vAlign w:val="center"/>
          </w:tcPr>
          <w:p w14:paraId="716498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收集效率</w:t>
            </w:r>
          </w:p>
        </w:tc>
        <w:tc>
          <w:tcPr>
            <w:tcW w:w="654" w:type="pct"/>
            <w:tcBorders>
              <w:tl2br w:val="nil"/>
              <w:tr2bl w:val="nil"/>
            </w:tcBorders>
            <w:shd w:val="clear" w:color="auto" w:fill="auto"/>
            <w:noWrap/>
            <w:vAlign w:val="center"/>
          </w:tcPr>
          <w:p w14:paraId="423FFB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处理措施</w:t>
            </w:r>
          </w:p>
        </w:tc>
        <w:tc>
          <w:tcPr>
            <w:tcW w:w="497" w:type="pct"/>
            <w:tcBorders>
              <w:tl2br w:val="nil"/>
              <w:tr2bl w:val="nil"/>
            </w:tcBorders>
            <w:shd w:val="clear" w:color="auto" w:fill="auto"/>
            <w:noWrap/>
            <w:vAlign w:val="center"/>
          </w:tcPr>
          <w:p w14:paraId="6A2DA3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排气筒</w:t>
            </w:r>
          </w:p>
        </w:tc>
      </w:tr>
      <w:tr w14:paraId="476950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31F4CB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561" w:type="pct"/>
            <w:tcBorders>
              <w:tl2br w:val="nil"/>
              <w:tr2bl w:val="nil"/>
            </w:tcBorders>
            <w:shd w:val="clear" w:color="auto" w:fill="auto"/>
            <w:noWrap/>
            <w:vAlign w:val="center"/>
          </w:tcPr>
          <w:p w14:paraId="72AECB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危废、化学品仓库①</w:t>
            </w:r>
          </w:p>
        </w:tc>
        <w:tc>
          <w:tcPr>
            <w:tcW w:w="590" w:type="pct"/>
            <w:tcBorders>
              <w:tl2br w:val="nil"/>
              <w:tr2bl w:val="nil"/>
            </w:tcBorders>
            <w:shd w:val="clear" w:color="auto" w:fill="auto"/>
            <w:noWrap/>
            <w:vAlign w:val="center"/>
          </w:tcPr>
          <w:p w14:paraId="75B53B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01" w:type="pct"/>
            <w:tcBorders>
              <w:tl2br w:val="nil"/>
              <w:tr2bl w:val="nil"/>
            </w:tcBorders>
            <w:shd w:val="clear" w:color="auto" w:fill="auto"/>
            <w:noWrap/>
            <w:vAlign w:val="center"/>
          </w:tcPr>
          <w:p w14:paraId="0D7FE8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苯胺类、甲苯、硫酸雾、氯化氢、非甲烷总烃</w:t>
            </w:r>
          </w:p>
        </w:tc>
        <w:tc>
          <w:tcPr>
            <w:tcW w:w="595" w:type="pct"/>
            <w:tcBorders>
              <w:tl2br w:val="nil"/>
              <w:tr2bl w:val="nil"/>
            </w:tcBorders>
            <w:shd w:val="clear" w:color="auto" w:fill="auto"/>
            <w:noWrap/>
            <w:vAlign w:val="center"/>
          </w:tcPr>
          <w:p w14:paraId="3A3512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车间整体收集</w:t>
            </w:r>
          </w:p>
        </w:tc>
        <w:tc>
          <w:tcPr>
            <w:tcW w:w="654" w:type="pct"/>
            <w:tcBorders>
              <w:tl2br w:val="nil"/>
              <w:tr2bl w:val="nil"/>
            </w:tcBorders>
            <w:shd w:val="clear" w:color="auto" w:fill="auto"/>
            <w:noWrap/>
            <w:vAlign w:val="center"/>
          </w:tcPr>
          <w:p w14:paraId="506099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w:t>
            </w:r>
          </w:p>
        </w:tc>
        <w:tc>
          <w:tcPr>
            <w:tcW w:w="654" w:type="pct"/>
            <w:tcBorders>
              <w:tl2br w:val="nil"/>
              <w:tr2bl w:val="nil"/>
            </w:tcBorders>
            <w:shd w:val="clear" w:color="auto" w:fill="auto"/>
            <w:noWrap/>
            <w:vAlign w:val="center"/>
          </w:tcPr>
          <w:p w14:paraId="52CA5C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一级活性炭</w:t>
            </w:r>
            <w:r>
              <w:rPr>
                <w:rFonts w:hint="eastAsia" w:cs="Times New Roman"/>
                <w:i w:val="0"/>
                <w:iCs w:val="0"/>
                <w:color w:val="000000"/>
                <w:kern w:val="0"/>
                <w:sz w:val="18"/>
                <w:szCs w:val="18"/>
                <w:u w:val="none"/>
                <w:lang w:val="en-US" w:eastAsia="zh-CN" w:bidi="ar"/>
              </w:rPr>
              <w:t>吸附</w:t>
            </w:r>
          </w:p>
        </w:tc>
        <w:tc>
          <w:tcPr>
            <w:tcW w:w="497" w:type="pct"/>
            <w:tcBorders>
              <w:tl2br w:val="nil"/>
              <w:tr2bl w:val="nil"/>
            </w:tcBorders>
            <w:shd w:val="clear" w:color="auto" w:fill="auto"/>
            <w:noWrap/>
            <w:vAlign w:val="center"/>
          </w:tcPr>
          <w:p w14:paraId="31D0F4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DA001</w:t>
            </w:r>
          </w:p>
        </w:tc>
      </w:tr>
      <w:tr w14:paraId="1C9E22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515555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561" w:type="pct"/>
            <w:tcBorders>
              <w:tl2br w:val="nil"/>
              <w:tr2bl w:val="nil"/>
            </w:tcBorders>
            <w:shd w:val="clear" w:color="auto" w:fill="auto"/>
            <w:noWrap/>
            <w:vAlign w:val="center"/>
          </w:tcPr>
          <w:p w14:paraId="384A85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油墨、研发试验②</w:t>
            </w:r>
          </w:p>
        </w:tc>
        <w:tc>
          <w:tcPr>
            <w:tcW w:w="590" w:type="pct"/>
            <w:tcBorders>
              <w:tl2br w:val="nil"/>
              <w:tr2bl w:val="nil"/>
            </w:tcBorders>
            <w:shd w:val="clear" w:color="auto" w:fill="auto"/>
            <w:noWrap/>
            <w:vAlign w:val="center"/>
          </w:tcPr>
          <w:p w14:paraId="6DA816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实验室废气</w:t>
            </w:r>
          </w:p>
        </w:tc>
        <w:tc>
          <w:tcPr>
            <w:tcW w:w="1301" w:type="pct"/>
            <w:tcBorders>
              <w:tl2br w:val="nil"/>
              <w:tr2bl w:val="nil"/>
            </w:tcBorders>
            <w:shd w:val="clear" w:color="auto" w:fill="auto"/>
            <w:noWrap/>
            <w:vAlign w:val="center"/>
          </w:tcPr>
          <w:p w14:paraId="6721F0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苯胺类、甲苯、硫酸雾、氯化氢、非甲烷总烃</w:t>
            </w:r>
          </w:p>
        </w:tc>
        <w:tc>
          <w:tcPr>
            <w:tcW w:w="595" w:type="pct"/>
            <w:tcBorders>
              <w:tl2br w:val="nil"/>
              <w:tr2bl w:val="nil"/>
            </w:tcBorders>
            <w:shd w:val="clear" w:color="auto" w:fill="auto"/>
            <w:noWrap/>
            <w:vAlign w:val="center"/>
          </w:tcPr>
          <w:p w14:paraId="1E3E88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车间整体收集</w:t>
            </w:r>
          </w:p>
        </w:tc>
        <w:tc>
          <w:tcPr>
            <w:tcW w:w="654" w:type="pct"/>
            <w:tcBorders>
              <w:tl2br w:val="nil"/>
              <w:tr2bl w:val="nil"/>
            </w:tcBorders>
            <w:shd w:val="clear" w:color="auto" w:fill="auto"/>
            <w:noWrap/>
            <w:vAlign w:val="center"/>
          </w:tcPr>
          <w:p w14:paraId="429E7B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80%</w:t>
            </w:r>
          </w:p>
        </w:tc>
        <w:tc>
          <w:tcPr>
            <w:tcW w:w="654" w:type="pct"/>
            <w:tcBorders>
              <w:tl2br w:val="nil"/>
              <w:tr2bl w:val="nil"/>
            </w:tcBorders>
            <w:shd w:val="clear" w:color="auto" w:fill="auto"/>
            <w:noWrap/>
            <w:vAlign w:val="center"/>
          </w:tcPr>
          <w:p w14:paraId="1527EA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一级活性炭</w:t>
            </w:r>
            <w:r>
              <w:rPr>
                <w:rFonts w:hint="eastAsia" w:cs="Times New Roman"/>
                <w:i w:val="0"/>
                <w:iCs w:val="0"/>
                <w:color w:val="000000"/>
                <w:kern w:val="0"/>
                <w:sz w:val="18"/>
                <w:szCs w:val="18"/>
                <w:u w:val="none"/>
                <w:lang w:val="en-US" w:eastAsia="zh-CN" w:bidi="ar"/>
              </w:rPr>
              <w:t>吸附</w:t>
            </w:r>
          </w:p>
        </w:tc>
        <w:tc>
          <w:tcPr>
            <w:tcW w:w="497" w:type="pct"/>
            <w:tcBorders>
              <w:tl2br w:val="nil"/>
              <w:tr2bl w:val="nil"/>
            </w:tcBorders>
            <w:shd w:val="clear" w:color="auto" w:fill="auto"/>
            <w:noWrap/>
            <w:vAlign w:val="center"/>
          </w:tcPr>
          <w:p w14:paraId="640C7C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DA002</w:t>
            </w:r>
          </w:p>
        </w:tc>
      </w:tr>
      <w:tr w14:paraId="4E18C9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37A567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3</w:t>
            </w:r>
          </w:p>
        </w:tc>
        <w:tc>
          <w:tcPr>
            <w:tcW w:w="561" w:type="pct"/>
            <w:tcBorders>
              <w:tl2br w:val="nil"/>
              <w:tr2bl w:val="nil"/>
            </w:tcBorders>
            <w:shd w:val="clear" w:color="auto" w:fill="auto"/>
            <w:noWrap/>
            <w:vAlign w:val="center"/>
          </w:tcPr>
          <w:p w14:paraId="11E3AB6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气相室、理化室</w:t>
            </w:r>
            <w:r>
              <w:rPr>
                <w:rFonts w:hint="eastAsia" w:cs="Times New Roman"/>
                <w:i w:val="0"/>
                <w:iCs w:val="0"/>
                <w:color w:val="000000"/>
                <w:kern w:val="0"/>
                <w:sz w:val="18"/>
                <w:szCs w:val="18"/>
                <w:u w:val="none"/>
                <w:lang w:val="en-US" w:eastAsia="zh-CN" w:bidi="ar"/>
              </w:rPr>
              <w:t>③</w:t>
            </w:r>
          </w:p>
        </w:tc>
        <w:tc>
          <w:tcPr>
            <w:tcW w:w="590" w:type="pct"/>
            <w:tcBorders>
              <w:tl2br w:val="nil"/>
              <w:tr2bl w:val="nil"/>
            </w:tcBorders>
            <w:shd w:val="clear" w:color="auto" w:fill="auto"/>
            <w:noWrap/>
            <w:vAlign w:val="center"/>
          </w:tcPr>
          <w:p w14:paraId="6658D94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实验室废气</w:t>
            </w:r>
          </w:p>
        </w:tc>
        <w:tc>
          <w:tcPr>
            <w:tcW w:w="1301" w:type="pct"/>
            <w:tcBorders>
              <w:tl2br w:val="nil"/>
              <w:tr2bl w:val="nil"/>
            </w:tcBorders>
            <w:shd w:val="clear" w:color="auto" w:fill="auto"/>
            <w:noWrap/>
            <w:vAlign w:val="center"/>
          </w:tcPr>
          <w:p w14:paraId="7BFC61A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苯胺类、甲苯、硫酸雾、氯化氢、非甲烷总烃</w:t>
            </w:r>
          </w:p>
        </w:tc>
        <w:tc>
          <w:tcPr>
            <w:tcW w:w="595" w:type="pct"/>
            <w:tcBorders>
              <w:tl2br w:val="nil"/>
              <w:tr2bl w:val="nil"/>
            </w:tcBorders>
            <w:shd w:val="clear" w:color="auto" w:fill="auto"/>
            <w:noWrap/>
            <w:vAlign w:val="center"/>
          </w:tcPr>
          <w:p w14:paraId="5302939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车间整体收集、通风橱收集</w:t>
            </w:r>
          </w:p>
        </w:tc>
        <w:tc>
          <w:tcPr>
            <w:tcW w:w="654" w:type="pct"/>
            <w:tcBorders>
              <w:tl2br w:val="nil"/>
              <w:tr2bl w:val="nil"/>
            </w:tcBorders>
            <w:shd w:val="clear" w:color="auto" w:fill="auto"/>
            <w:noWrap/>
            <w:vAlign w:val="center"/>
          </w:tcPr>
          <w:p w14:paraId="5214E8A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80%</w:t>
            </w:r>
          </w:p>
        </w:tc>
        <w:tc>
          <w:tcPr>
            <w:tcW w:w="654" w:type="pct"/>
            <w:tcBorders>
              <w:tl2br w:val="nil"/>
              <w:tr2bl w:val="nil"/>
            </w:tcBorders>
            <w:shd w:val="clear" w:color="auto" w:fill="auto"/>
            <w:noWrap/>
            <w:vAlign w:val="center"/>
          </w:tcPr>
          <w:p w14:paraId="5716EF0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一级活性炭</w:t>
            </w:r>
            <w:r>
              <w:rPr>
                <w:rFonts w:hint="eastAsia" w:cs="Times New Roman"/>
                <w:i w:val="0"/>
                <w:iCs w:val="0"/>
                <w:color w:val="000000"/>
                <w:kern w:val="0"/>
                <w:sz w:val="18"/>
                <w:szCs w:val="18"/>
                <w:u w:val="none"/>
                <w:lang w:val="en-US" w:eastAsia="zh-CN" w:bidi="ar"/>
              </w:rPr>
              <w:t>吸附</w:t>
            </w:r>
          </w:p>
        </w:tc>
        <w:tc>
          <w:tcPr>
            <w:tcW w:w="497" w:type="pct"/>
            <w:tcBorders>
              <w:tl2br w:val="nil"/>
              <w:tr2bl w:val="nil"/>
            </w:tcBorders>
            <w:shd w:val="clear" w:color="auto" w:fill="auto"/>
            <w:noWrap/>
            <w:vAlign w:val="center"/>
          </w:tcPr>
          <w:p w14:paraId="628C452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DA00</w:t>
            </w:r>
            <w:r>
              <w:rPr>
                <w:rFonts w:hint="eastAsia" w:cs="Times New Roman"/>
                <w:i w:val="0"/>
                <w:iCs w:val="0"/>
                <w:color w:val="000000"/>
                <w:kern w:val="0"/>
                <w:sz w:val="18"/>
                <w:szCs w:val="18"/>
                <w:u w:val="none"/>
                <w:lang w:val="en-US" w:eastAsia="zh-CN" w:bidi="ar"/>
              </w:rPr>
              <w:t>3</w:t>
            </w:r>
          </w:p>
        </w:tc>
      </w:tr>
      <w:tr w14:paraId="62F233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126638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561" w:type="pct"/>
            <w:tcBorders>
              <w:tl2br w:val="nil"/>
              <w:tr2bl w:val="nil"/>
            </w:tcBorders>
            <w:shd w:val="clear" w:color="auto" w:fill="auto"/>
            <w:noWrap/>
            <w:vAlign w:val="center"/>
          </w:tcPr>
          <w:p w14:paraId="7FAABA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药物涂层、亲水涂层</w:t>
            </w:r>
          </w:p>
        </w:tc>
        <w:tc>
          <w:tcPr>
            <w:tcW w:w="590" w:type="pct"/>
            <w:tcBorders>
              <w:tl2br w:val="nil"/>
              <w:tr2bl w:val="nil"/>
            </w:tcBorders>
            <w:shd w:val="clear" w:color="auto" w:fill="auto"/>
            <w:noWrap/>
            <w:vAlign w:val="center"/>
          </w:tcPr>
          <w:p w14:paraId="20E16E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涂覆废气</w:t>
            </w:r>
          </w:p>
        </w:tc>
        <w:tc>
          <w:tcPr>
            <w:tcW w:w="1301" w:type="pct"/>
            <w:tcBorders>
              <w:tl2br w:val="nil"/>
              <w:tr2bl w:val="nil"/>
            </w:tcBorders>
            <w:shd w:val="clear" w:color="auto" w:fill="auto"/>
            <w:noWrap/>
            <w:vAlign w:val="center"/>
          </w:tcPr>
          <w:p w14:paraId="500D2B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595" w:type="pct"/>
            <w:tcBorders>
              <w:tl2br w:val="nil"/>
              <w:tr2bl w:val="nil"/>
            </w:tcBorders>
            <w:shd w:val="clear" w:color="auto" w:fill="auto"/>
            <w:noWrap/>
            <w:vAlign w:val="center"/>
          </w:tcPr>
          <w:p w14:paraId="61869D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车间整体收集</w:t>
            </w:r>
          </w:p>
        </w:tc>
        <w:tc>
          <w:tcPr>
            <w:tcW w:w="654" w:type="pct"/>
            <w:tcBorders>
              <w:tl2br w:val="nil"/>
              <w:tr2bl w:val="nil"/>
            </w:tcBorders>
            <w:shd w:val="clear" w:color="auto" w:fill="auto"/>
            <w:noWrap/>
            <w:vAlign w:val="center"/>
          </w:tcPr>
          <w:p w14:paraId="3C763D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80%</w:t>
            </w:r>
          </w:p>
        </w:tc>
        <w:tc>
          <w:tcPr>
            <w:tcW w:w="654" w:type="pct"/>
            <w:tcBorders>
              <w:tl2br w:val="nil"/>
              <w:tr2bl w:val="nil"/>
            </w:tcBorders>
            <w:shd w:val="clear" w:color="auto" w:fill="auto"/>
            <w:noWrap/>
            <w:vAlign w:val="center"/>
          </w:tcPr>
          <w:p w14:paraId="565EA1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一级活性炭</w:t>
            </w:r>
            <w:r>
              <w:rPr>
                <w:rFonts w:hint="eastAsia" w:cs="Times New Roman"/>
                <w:i w:val="0"/>
                <w:iCs w:val="0"/>
                <w:color w:val="000000"/>
                <w:kern w:val="0"/>
                <w:sz w:val="18"/>
                <w:szCs w:val="18"/>
                <w:u w:val="none"/>
                <w:lang w:val="en-US" w:eastAsia="zh-CN" w:bidi="ar"/>
              </w:rPr>
              <w:t>吸附</w:t>
            </w:r>
          </w:p>
        </w:tc>
        <w:tc>
          <w:tcPr>
            <w:tcW w:w="497" w:type="pct"/>
            <w:tcBorders>
              <w:tl2br w:val="nil"/>
              <w:tr2bl w:val="nil"/>
            </w:tcBorders>
            <w:shd w:val="clear" w:color="auto" w:fill="auto"/>
            <w:noWrap/>
            <w:vAlign w:val="center"/>
          </w:tcPr>
          <w:p w14:paraId="3ED5C4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w:t>
            </w:r>
            <w:r>
              <w:rPr>
                <w:rFonts w:hint="eastAsia" w:cs="Times New Roman"/>
                <w:i w:val="0"/>
                <w:iCs w:val="0"/>
                <w:color w:val="000000"/>
                <w:kern w:val="0"/>
                <w:sz w:val="18"/>
                <w:szCs w:val="18"/>
                <w:u w:val="none"/>
                <w:lang w:val="en-US" w:eastAsia="zh-CN" w:bidi="ar"/>
              </w:rPr>
              <w:t>4</w:t>
            </w:r>
          </w:p>
        </w:tc>
      </w:tr>
      <w:tr w14:paraId="6084CF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 w:type="pct"/>
            <w:tcBorders>
              <w:tl2br w:val="nil"/>
              <w:tr2bl w:val="nil"/>
            </w:tcBorders>
            <w:shd w:val="clear" w:color="auto" w:fill="auto"/>
            <w:noWrap/>
            <w:vAlign w:val="center"/>
          </w:tcPr>
          <w:p w14:paraId="2C0EBC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561" w:type="pct"/>
            <w:tcBorders>
              <w:tl2br w:val="nil"/>
              <w:tr2bl w:val="nil"/>
            </w:tcBorders>
            <w:shd w:val="clear" w:color="auto" w:fill="auto"/>
            <w:noWrap/>
            <w:vAlign w:val="center"/>
          </w:tcPr>
          <w:p w14:paraId="7D119C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阳性室</w:t>
            </w:r>
          </w:p>
        </w:tc>
        <w:tc>
          <w:tcPr>
            <w:tcW w:w="590" w:type="pct"/>
            <w:tcBorders>
              <w:tl2br w:val="nil"/>
              <w:tr2bl w:val="nil"/>
            </w:tcBorders>
            <w:shd w:val="clear" w:color="auto" w:fill="auto"/>
            <w:noWrap/>
            <w:vAlign w:val="center"/>
          </w:tcPr>
          <w:p w14:paraId="7D9E92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微生物气溶胶</w:t>
            </w:r>
          </w:p>
        </w:tc>
        <w:tc>
          <w:tcPr>
            <w:tcW w:w="1301" w:type="pct"/>
            <w:tcBorders>
              <w:tl2br w:val="nil"/>
              <w:tr2bl w:val="nil"/>
            </w:tcBorders>
            <w:shd w:val="clear" w:color="auto" w:fill="auto"/>
            <w:noWrap/>
            <w:vAlign w:val="center"/>
          </w:tcPr>
          <w:p w14:paraId="68B91B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微生物气溶胶</w:t>
            </w:r>
          </w:p>
        </w:tc>
        <w:tc>
          <w:tcPr>
            <w:tcW w:w="595" w:type="pct"/>
            <w:tcBorders>
              <w:tl2br w:val="nil"/>
              <w:tr2bl w:val="nil"/>
            </w:tcBorders>
            <w:shd w:val="clear" w:color="auto" w:fill="auto"/>
            <w:noWrap/>
            <w:vAlign w:val="center"/>
          </w:tcPr>
          <w:p w14:paraId="6ED6F4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通风橱收集</w:t>
            </w:r>
          </w:p>
        </w:tc>
        <w:tc>
          <w:tcPr>
            <w:tcW w:w="654" w:type="pct"/>
            <w:tcBorders>
              <w:tl2br w:val="nil"/>
              <w:tr2bl w:val="nil"/>
            </w:tcBorders>
            <w:shd w:val="clear" w:color="auto" w:fill="auto"/>
            <w:noWrap/>
            <w:vAlign w:val="center"/>
          </w:tcPr>
          <w:p w14:paraId="2B7B0E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cs="Times New Roman"/>
                <w:i w:val="0"/>
                <w:iCs w:val="0"/>
                <w:color w:val="000000"/>
                <w:kern w:val="0"/>
                <w:sz w:val="18"/>
                <w:szCs w:val="18"/>
                <w:u w:val="none"/>
                <w:lang w:val="en-US" w:eastAsia="zh-CN" w:bidi="ar"/>
              </w:rPr>
              <w:t>100%</w:t>
            </w:r>
          </w:p>
        </w:tc>
        <w:tc>
          <w:tcPr>
            <w:tcW w:w="654" w:type="pct"/>
            <w:tcBorders>
              <w:tl2br w:val="nil"/>
              <w:tr2bl w:val="nil"/>
            </w:tcBorders>
            <w:shd w:val="clear" w:color="auto" w:fill="auto"/>
            <w:noWrap/>
            <w:vAlign w:val="center"/>
          </w:tcPr>
          <w:p w14:paraId="6ED975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高效HEPA过滤</w:t>
            </w:r>
          </w:p>
        </w:tc>
        <w:tc>
          <w:tcPr>
            <w:tcW w:w="497" w:type="pct"/>
            <w:tcBorders>
              <w:tl2br w:val="nil"/>
              <w:tr2bl w:val="nil"/>
            </w:tcBorders>
            <w:shd w:val="clear" w:color="auto" w:fill="auto"/>
            <w:noWrap/>
            <w:vAlign w:val="center"/>
          </w:tcPr>
          <w:p w14:paraId="13383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w:t>
            </w:r>
            <w:r>
              <w:rPr>
                <w:rFonts w:hint="eastAsia" w:cs="Times New Roman"/>
                <w:i w:val="0"/>
                <w:iCs w:val="0"/>
                <w:color w:val="000000"/>
                <w:kern w:val="0"/>
                <w:sz w:val="18"/>
                <w:szCs w:val="18"/>
                <w:u w:val="none"/>
                <w:lang w:val="en-US" w:eastAsia="zh-CN" w:bidi="ar"/>
              </w:rPr>
              <w:t>5</w:t>
            </w:r>
          </w:p>
        </w:tc>
      </w:tr>
      <w:tr w14:paraId="4148E1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5000" w:type="pct"/>
            <w:gridSpan w:val="8"/>
            <w:tcBorders>
              <w:tl2br w:val="nil"/>
              <w:tr2bl w:val="nil"/>
            </w:tcBorders>
            <w:shd w:val="clear" w:color="auto" w:fill="auto"/>
            <w:noWrap/>
            <w:vAlign w:val="center"/>
          </w:tcPr>
          <w:p w14:paraId="1670D5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备注：①根据</w:t>
            </w:r>
            <w:r>
              <w:rPr>
                <w:rFonts w:hint="eastAsia" w:cs="Times New Roman"/>
                <w:i w:val="0"/>
                <w:iCs w:val="0"/>
                <w:color w:val="000000"/>
                <w:kern w:val="0"/>
                <w:sz w:val="18"/>
                <w:szCs w:val="18"/>
                <w:u w:val="none"/>
                <w:lang w:val="en-US" w:eastAsia="zh-CN" w:bidi="ar"/>
              </w:rPr>
              <w:t>相关管理</w:t>
            </w:r>
            <w:r>
              <w:rPr>
                <w:rFonts w:hint="default" w:ascii="Times New Roman" w:hAnsi="Times New Roman" w:eastAsia="宋体" w:cs="Times New Roman"/>
                <w:i w:val="0"/>
                <w:iCs w:val="0"/>
                <w:color w:val="000000"/>
                <w:kern w:val="0"/>
                <w:sz w:val="18"/>
                <w:szCs w:val="18"/>
                <w:u w:val="none"/>
                <w:lang w:val="en-US" w:eastAsia="zh-CN" w:bidi="ar"/>
              </w:rPr>
              <w:t>要求，危废仓库、化学品仓库设计了废气收集处理设施，但本次环评不对此环节废气进行定量分析</w:t>
            </w:r>
            <w:r>
              <w:rPr>
                <w:rFonts w:hint="eastAsia"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②</w:t>
            </w:r>
            <w:r>
              <w:rPr>
                <w:rFonts w:hint="eastAsia" w:cs="Times New Roman"/>
                <w:i w:val="0"/>
                <w:iCs w:val="0"/>
                <w:color w:val="000000"/>
                <w:kern w:val="0"/>
                <w:sz w:val="18"/>
                <w:szCs w:val="18"/>
                <w:u w:val="none"/>
                <w:lang w:val="en-US" w:eastAsia="zh-CN" w:bidi="ar"/>
              </w:rPr>
              <w:t>油墨室</w:t>
            </w:r>
            <w:r>
              <w:rPr>
                <w:rFonts w:hint="default" w:ascii="Times New Roman" w:hAnsi="Times New Roman" w:eastAsia="宋体" w:cs="Times New Roman"/>
                <w:i w:val="0"/>
                <w:iCs w:val="0"/>
                <w:color w:val="000000"/>
                <w:kern w:val="0"/>
                <w:sz w:val="18"/>
                <w:szCs w:val="18"/>
                <w:u w:val="none"/>
                <w:lang w:val="en-US" w:eastAsia="zh-CN" w:bidi="ar"/>
              </w:rPr>
              <w:t>进行印刷</w:t>
            </w:r>
            <w:r>
              <w:rPr>
                <w:rFonts w:hint="eastAsia" w:cs="Times New Roman"/>
                <w:i w:val="0"/>
                <w:iCs w:val="0"/>
                <w:color w:val="000000"/>
                <w:kern w:val="0"/>
                <w:sz w:val="18"/>
                <w:szCs w:val="18"/>
                <w:u w:val="none"/>
                <w:lang w:val="en-US" w:eastAsia="zh-CN" w:bidi="ar"/>
              </w:rPr>
              <w:t>，废气不定量分析；研发试验室主要进行</w:t>
            </w:r>
            <w:r>
              <w:rPr>
                <w:rFonts w:hint="default" w:ascii="Times New Roman" w:hAnsi="Times New Roman" w:eastAsia="宋体" w:cs="Times New Roman"/>
                <w:i w:val="0"/>
                <w:iCs w:val="0"/>
                <w:color w:val="000000"/>
                <w:kern w:val="0"/>
                <w:sz w:val="18"/>
                <w:szCs w:val="18"/>
                <w:u w:val="none"/>
                <w:lang w:val="en-US" w:eastAsia="zh-CN" w:bidi="ar"/>
              </w:rPr>
              <w:t>实验室检测等操作，各类试剂用量约占总用量</w:t>
            </w:r>
            <w:r>
              <w:rPr>
                <w:rFonts w:hint="eastAsia" w:cs="Times New Roman"/>
                <w:i w:val="0"/>
                <w:iCs w:val="0"/>
                <w:color w:val="000000"/>
                <w:kern w:val="0"/>
                <w:sz w:val="18"/>
                <w:szCs w:val="18"/>
                <w:u w:val="none"/>
                <w:lang w:val="en-US" w:eastAsia="zh-CN" w:bidi="ar"/>
              </w:rPr>
              <w:t>4</w:t>
            </w: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；③</w:t>
            </w:r>
            <w:r>
              <w:rPr>
                <w:rFonts w:hint="default" w:ascii="Times New Roman" w:hAnsi="Times New Roman" w:eastAsia="宋体" w:cs="Times New Roman"/>
                <w:i w:val="0"/>
                <w:iCs w:val="0"/>
                <w:color w:val="000000"/>
                <w:kern w:val="0"/>
                <w:sz w:val="18"/>
                <w:szCs w:val="18"/>
                <w:u w:val="none"/>
                <w:lang w:val="en-US" w:eastAsia="zh-CN" w:bidi="ar"/>
              </w:rPr>
              <w:t>主要进行实验室检测等操作，各类试剂用量约占总用量</w:t>
            </w:r>
            <w:r>
              <w:rPr>
                <w:rFonts w:hint="eastAsia" w:cs="Times New Roman"/>
                <w:i w:val="0"/>
                <w:iCs w:val="0"/>
                <w:color w:val="000000"/>
                <w:kern w:val="0"/>
                <w:sz w:val="18"/>
                <w:szCs w:val="18"/>
                <w:u w:val="none"/>
                <w:lang w:val="en-US" w:eastAsia="zh-CN" w:bidi="ar"/>
              </w:rPr>
              <w:t>6</w:t>
            </w:r>
            <w:r>
              <w:rPr>
                <w:rFonts w:hint="default" w:ascii="Times New Roman" w:hAnsi="Times New Roman" w:eastAsia="宋体" w:cs="Times New Roman"/>
                <w:i w:val="0"/>
                <w:iCs w:val="0"/>
                <w:color w:val="000000"/>
                <w:kern w:val="0"/>
                <w:sz w:val="18"/>
                <w:szCs w:val="18"/>
                <w:u w:val="none"/>
                <w:lang w:val="en-US" w:eastAsia="zh-CN" w:bidi="ar"/>
              </w:rPr>
              <w:t>0%。</w:t>
            </w:r>
          </w:p>
        </w:tc>
      </w:tr>
    </w:tbl>
    <w:p w14:paraId="53EF5979">
      <w:pPr>
        <w:adjustRightInd w:val="0"/>
        <w:snapToGrid w:val="0"/>
        <w:spacing w:line="360" w:lineRule="auto"/>
        <w:rPr>
          <w:rFonts w:hint="eastAsia"/>
          <w:b w:val="0"/>
          <w:bCs/>
          <w:kern w:val="0"/>
          <w:sz w:val="21"/>
          <w:szCs w:val="21"/>
          <w:lang w:val="en-US" w:eastAsia="zh-CN"/>
        </w:rPr>
      </w:pPr>
    </w:p>
    <w:p w14:paraId="68E0A768">
      <w:pPr>
        <w:adjustRightInd w:val="0"/>
        <w:snapToGrid w:val="0"/>
        <w:spacing w:line="360" w:lineRule="auto"/>
        <w:ind w:firstLine="420" w:firstLineChars="200"/>
        <w:rPr>
          <w:rFonts w:hint="default" w:eastAsia="宋体"/>
          <w:b w:val="0"/>
          <w:bCs/>
          <w:kern w:val="0"/>
          <w:sz w:val="21"/>
          <w:szCs w:val="21"/>
          <w:lang w:val="en-US" w:eastAsia="zh-CN"/>
        </w:rPr>
      </w:pPr>
      <w:r>
        <w:rPr>
          <w:rFonts w:hint="eastAsia"/>
          <w:b w:val="0"/>
          <w:bCs/>
          <w:kern w:val="0"/>
          <w:sz w:val="21"/>
          <w:szCs w:val="21"/>
          <w:lang w:val="en-US" w:eastAsia="zh-CN"/>
        </w:rPr>
        <w:t>根据上表描述，本次环评中定量进行源强核算的污染源为DA002（实验室废气）、DA003（实验室废气）、DA004（涂覆废气），以及车间无组织排放（管料受热废气、UV胶废气）。</w:t>
      </w:r>
    </w:p>
    <w:p w14:paraId="76891E1F">
      <w:pPr>
        <w:numPr>
          <w:ilvl w:val="0"/>
          <w:numId w:val="11"/>
        </w:numPr>
        <w:adjustRightInd w:val="0"/>
        <w:snapToGrid w:val="0"/>
        <w:spacing w:line="360" w:lineRule="auto"/>
        <w:rPr>
          <w:b/>
          <w:bCs/>
        </w:rPr>
      </w:pPr>
      <w:r>
        <w:rPr>
          <w:rFonts w:hint="eastAsia" w:ascii="宋体" w:hAnsi="宋体" w:cs="宋体"/>
          <w:b/>
          <w:kern w:val="0"/>
          <w:szCs w:val="21"/>
        </w:rPr>
        <w:t>废气污染源强核算结果</w:t>
      </w:r>
    </w:p>
    <w:p w14:paraId="77C82182">
      <w:pPr>
        <w:adjustRightInd w:val="0"/>
        <w:snapToGrid w:val="0"/>
        <w:spacing w:line="360" w:lineRule="auto"/>
        <w:ind w:firstLine="420" w:firstLineChars="200"/>
        <w:rPr>
          <w:rFonts w:hint="eastAsia" w:ascii="宋体" w:hAnsi="宋体" w:cs="宋体"/>
          <w:b/>
          <w:kern w:val="0"/>
          <w:szCs w:val="21"/>
        </w:rPr>
      </w:pPr>
      <w:r>
        <w:rPr>
          <w:rFonts w:hint="eastAsia"/>
          <w:szCs w:val="21"/>
        </w:rPr>
        <w:t>项目废气污染源源强核算结果见</w:t>
      </w:r>
      <w:r>
        <w:rPr>
          <w:rFonts w:hint="eastAsia"/>
          <w:bCs/>
          <w:szCs w:val="21"/>
        </w:rPr>
        <w:t>下表</w:t>
      </w:r>
      <w:r>
        <w:rPr>
          <w:rFonts w:hint="eastAsia"/>
          <w:szCs w:val="21"/>
        </w:rPr>
        <w:t>：</w:t>
      </w:r>
    </w:p>
    <w:p w14:paraId="4C4E3FE5">
      <w:pPr>
        <w:numPr>
          <w:ilvl w:val="0"/>
          <w:numId w:val="12"/>
        </w:numPr>
        <w:spacing w:line="360" w:lineRule="auto"/>
        <w:jc w:val="center"/>
        <w:rPr>
          <w:rFonts w:hint="eastAsia" w:ascii="黑体" w:hAnsi="黑体" w:eastAsia="黑体" w:cs="黑体"/>
          <w:kern w:val="0"/>
          <w:szCs w:val="21"/>
        </w:rPr>
      </w:pPr>
      <w:r>
        <w:rPr>
          <w:rFonts w:hint="eastAsia" w:ascii="黑体" w:hAnsi="黑体" w:eastAsia="黑体" w:cs="黑体"/>
          <w:spacing w:val="-10"/>
          <w:szCs w:val="21"/>
        </w:rPr>
        <w:t xml:space="preserve"> </w:t>
      </w:r>
      <w:r>
        <w:rPr>
          <w:rFonts w:hint="eastAsia" w:ascii="黑体" w:hAnsi="黑体" w:eastAsia="黑体" w:cs="黑体"/>
          <w:spacing w:val="-10"/>
          <w:szCs w:val="21"/>
          <w:lang w:val="zh-CN"/>
        </w:rPr>
        <w:t>项目废气污染源源强核算结果及相关参数一览表</w:t>
      </w:r>
    </w:p>
    <w:tbl>
      <w:tblPr>
        <w:tblStyle w:val="2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36"/>
        <w:gridCol w:w="1656"/>
        <w:gridCol w:w="1561"/>
        <w:gridCol w:w="756"/>
        <w:gridCol w:w="757"/>
        <w:gridCol w:w="936"/>
        <w:gridCol w:w="1116"/>
        <w:gridCol w:w="936"/>
        <w:gridCol w:w="756"/>
        <w:gridCol w:w="936"/>
        <w:gridCol w:w="1979"/>
        <w:gridCol w:w="936"/>
        <w:gridCol w:w="936"/>
        <w:gridCol w:w="936"/>
        <w:gridCol w:w="1116"/>
        <w:gridCol w:w="936"/>
        <w:gridCol w:w="756"/>
        <w:gridCol w:w="936"/>
        <w:gridCol w:w="1077"/>
      </w:tblGrid>
      <w:tr w14:paraId="49CE44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212" w:type="pct"/>
            <w:vMerge w:val="restart"/>
            <w:tcBorders>
              <w:tl2br w:val="nil"/>
              <w:tr2bl w:val="nil"/>
            </w:tcBorders>
            <w:shd w:val="clear" w:color="auto" w:fill="auto"/>
            <w:noWrap/>
            <w:vAlign w:val="center"/>
          </w:tcPr>
          <w:p w14:paraId="634D9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工序</w:t>
            </w:r>
          </w:p>
        </w:tc>
        <w:tc>
          <w:tcPr>
            <w:tcW w:w="425" w:type="pct"/>
            <w:vMerge w:val="restart"/>
            <w:tcBorders>
              <w:tl2br w:val="nil"/>
              <w:tr2bl w:val="nil"/>
            </w:tcBorders>
            <w:shd w:val="clear" w:color="auto" w:fill="auto"/>
            <w:noWrap/>
            <w:vAlign w:val="center"/>
          </w:tcPr>
          <w:p w14:paraId="70361F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装置/产污环节</w:t>
            </w:r>
          </w:p>
        </w:tc>
        <w:tc>
          <w:tcPr>
            <w:tcW w:w="683" w:type="pct"/>
            <w:gridSpan w:val="2"/>
            <w:vMerge w:val="restart"/>
            <w:tcBorders>
              <w:tl2br w:val="nil"/>
              <w:tr2bl w:val="nil"/>
            </w:tcBorders>
            <w:shd w:val="clear" w:color="auto" w:fill="auto"/>
            <w:noWrap/>
            <w:vAlign w:val="center"/>
          </w:tcPr>
          <w:p w14:paraId="4BD277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w:t>
            </w:r>
          </w:p>
        </w:tc>
        <w:tc>
          <w:tcPr>
            <w:tcW w:w="250" w:type="pct"/>
            <w:vMerge w:val="restart"/>
            <w:tcBorders>
              <w:tl2br w:val="nil"/>
              <w:tr2bl w:val="nil"/>
            </w:tcBorders>
            <w:shd w:val="clear" w:color="auto" w:fill="auto"/>
            <w:noWrap/>
            <w:vAlign w:val="center"/>
          </w:tcPr>
          <w:p w14:paraId="7A9E1B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1097" w:type="pct"/>
            <w:gridSpan w:val="5"/>
            <w:tcBorders>
              <w:tl2br w:val="nil"/>
              <w:tr2bl w:val="nil"/>
            </w:tcBorders>
            <w:shd w:val="clear" w:color="auto" w:fill="auto"/>
            <w:noWrap/>
            <w:vAlign w:val="center"/>
          </w:tcPr>
          <w:p w14:paraId="3678A0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污染物产生</w:t>
            </w:r>
          </w:p>
        </w:tc>
        <w:tc>
          <w:tcPr>
            <w:tcW w:w="1021" w:type="pct"/>
            <w:gridSpan w:val="3"/>
            <w:tcBorders>
              <w:tl2br w:val="nil"/>
              <w:tr2bl w:val="nil"/>
            </w:tcBorders>
            <w:shd w:val="clear" w:color="auto" w:fill="auto"/>
            <w:noWrap/>
            <w:vAlign w:val="center"/>
          </w:tcPr>
          <w:p w14:paraId="5BA1B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治理措施</w:t>
            </w:r>
          </w:p>
        </w:tc>
        <w:tc>
          <w:tcPr>
            <w:tcW w:w="1065" w:type="pct"/>
            <w:gridSpan w:val="5"/>
            <w:tcBorders>
              <w:tl2br w:val="nil"/>
              <w:tr2bl w:val="nil"/>
            </w:tcBorders>
            <w:shd w:val="clear" w:color="auto" w:fill="auto"/>
            <w:noWrap/>
            <w:vAlign w:val="center"/>
          </w:tcPr>
          <w:p w14:paraId="6A56BA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污染物排放</w:t>
            </w:r>
          </w:p>
        </w:tc>
        <w:tc>
          <w:tcPr>
            <w:tcW w:w="244" w:type="pct"/>
            <w:tcBorders>
              <w:tl2br w:val="nil"/>
              <w:tr2bl w:val="nil"/>
            </w:tcBorders>
            <w:shd w:val="clear" w:color="auto" w:fill="auto"/>
            <w:noWrap/>
            <w:vAlign w:val="center"/>
          </w:tcPr>
          <w:p w14:paraId="31834D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排放时间/h</w:t>
            </w:r>
          </w:p>
        </w:tc>
      </w:tr>
      <w:tr w14:paraId="31E6BD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1C56A25C">
            <w:pPr>
              <w:jc w:val="center"/>
              <w:rPr>
                <w:rFonts w:hint="default" w:ascii="Times New Roman" w:hAnsi="Times New Roman" w:eastAsia="宋体" w:cs="Times New Roman"/>
                <w:i w:val="0"/>
                <w:iCs w:val="0"/>
                <w:color w:val="000000"/>
                <w:sz w:val="18"/>
                <w:szCs w:val="18"/>
                <w:u w:val="none"/>
              </w:rPr>
            </w:pPr>
          </w:p>
        </w:tc>
        <w:tc>
          <w:tcPr>
            <w:tcW w:w="425" w:type="pct"/>
            <w:vMerge w:val="continue"/>
            <w:tcBorders>
              <w:tl2br w:val="nil"/>
              <w:tr2bl w:val="nil"/>
            </w:tcBorders>
            <w:shd w:val="clear" w:color="auto" w:fill="auto"/>
            <w:noWrap/>
            <w:vAlign w:val="center"/>
          </w:tcPr>
          <w:p w14:paraId="6A5061BC">
            <w:pPr>
              <w:jc w:val="center"/>
              <w:rPr>
                <w:rFonts w:hint="default" w:ascii="Times New Roman" w:hAnsi="Times New Roman" w:eastAsia="宋体" w:cs="Times New Roman"/>
                <w:i w:val="0"/>
                <w:iCs w:val="0"/>
                <w:color w:val="000000"/>
                <w:sz w:val="18"/>
                <w:szCs w:val="18"/>
                <w:u w:val="none"/>
              </w:rPr>
            </w:pPr>
          </w:p>
        </w:tc>
        <w:tc>
          <w:tcPr>
            <w:tcW w:w="683" w:type="pct"/>
            <w:gridSpan w:val="2"/>
            <w:vMerge w:val="continue"/>
            <w:tcBorders>
              <w:tl2br w:val="nil"/>
              <w:tr2bl w:val="nil"/>
            </w:tcBorders>
            <w:shd w:val="clear" w:color="auto" w:fill="auto"/>
            <w:noWrap/>
            <w:vAlign w:val="center"/>
          </w:tcPr>
          <w:p w14:paraId="7B462962">
            <w:pPr>
              <w:jc w:val="center"/>
              <w:rPr>
                <w:rFonts w:hint="default" w:ascii="Times New Roman" w:hAnsi="Times New Roman" w:eastAsia="宋体" w:cs="Times New Roman"/>
                <w:i w:val="0"/>
                <w:iCs w:val="0"/>
                <w:color w:val="000000"/>
                <w:sz w:val="18"/>
                <w:szCs w:val="18"/>
                <w:u w:val="none"/>
              </w:rPr>
            </w:pPr>
          </w:p>
        </w:tc>
        <w:tc>
          <w:tcPr>
            <w:tcW w:w="250" w:type="pct"/>
            <w:vMerge w:val="continue"/>
            <w:tcBorders>
              <w:tl2br w:val="nil"/>
              <w:tr2bl w:val="nil"/>
            </w:tcBorders>
            <w:shd w:val="clear" w:color="auto" w:fill="auto"/>
            <w:noWrap/>
            <w:vAlign w:val="center"/>
          </w:tcPr>
          <w:p w14:paraId="0D8F2254">
            <w:pPr>
              <w:jc w:val="center"/>
              <w:rPr>
                <w:rFonts w:hint="default" w:ascii="Times New Roman" w:hAnsi="Times New Roman" w:eastAsia="宋体" w:cs="Times New Roman"/>
                <w:i w:val="0"/>
                <w:iCs w:val="0"/>
                <w:color w:val="000000"/>
                <w:sz w:val="18"/>
                <w:szCs w:val="18"/>
                <w:u w:val="none"/>
              </w:rPr>
            </w:pPr>
          </w:p>
        </w:tc>
        <w:tc>
          <w:tcPr>
            <w:tcW w:w="244" w:type="pct"/>
            <w:vMerge w:val="restart"/>
            <w:tcBorders>
              <w:tl2br w:val="nil"/>
              <w:tr2bl w:val="nil"/>
            </w:tcBorders>
            <w:shd w:val="clear" w:color="auto" w:fill="auto"/>
            <w:noWrap/>
            <w:vAlign w:val="center"/>
          </w:tcPr>
          <w:p w14:paraId="6973AA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252" w:type="pct"/>
            <w:tcBorders>
              <w:tl2br w:val="nil"/>
              <w:tr2bl w:val="nil"/>
            </w:tcBorders>
            <w:shd w:val="clear" w:color="auto" w:fill="auto"/>
            <w:noWrap/>
            <w:vAlign w:val="center"/>
          </w:tcPr>
          <w:p w14:paraId="7536EC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废气产生量</w:t>
            </w:r>
          </w:p>
        </w:tc>
        <w:tc>
          <w:tcPr>
            <w:tcW w:w="213" w:type="pct"/>
            <w:tcBorders>
              <w:tl2br w:val="nil"/>
              <w:tr2bl w:val="nil"/>
            </w:tcBorders>
            <w:shd w:val="clear" w:color="auto" w:fill="auto"/>
            <w:noWrap/>
            <w:vAlign w:val="center"/>
          </w:tcPr>
          <w:p w14:paraId="1309B4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产生浓度</w:t>
            </w:r>
          </w:p>
        </w:tc>
        <w:tc>
          <w:tcPr>
            <w:tcW w:w="173" w:type="pct"/>
            <w:tcBorders>
              <w:tl2br w:val="nil"/>
              <w:tr2bl w:val="nil"/>
            </w:tcBorders>
            <w:shd w:val="clear" w:color="auto" w:fill="auto"/>
            <w:noWrap/>
            <w:vAlign w:val="center"/>
          </w:tcPr>
          <w:p w14:paraId="193E3A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产生量</w:t>
            </w:r>
          </w:p>
        </w:tc>
        <w:tc>
          <w:tcPr>
            <w:tcW w:w="214" w:type="pct"/>
            <w:tcBorders>
              <w:tl2br w:val="nil"/>
              <w:tr2bl w:val="nil"/>
            </w:tcBorders>
            <w:shd w:val="clear" w:color="auto" w:fill="auto"/>
            <w:noWrap/>
            <w:vAlign w:val="center"/>
          </w:tcPr>
          <w:p w14:paraId="62BF63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产生速率</w:t>
            </w:r>
          </w:p>
        </w:tc>
        <w:tc>
          <w:tcPr>
            <w:tcW w:w="594" w:type="pct"/>
            <w:vMerge w:val="restart"/>
            <w:tcBorders>
              <w:tl2br w:val="nil"/>
              <w:tr2bl w:val="nil"/>
            </w:tcBorders>
            <w:shd w:val="clear" w:color="auto" w:fill="auto"/>
            <w:noWrap/>
            <w:vAlign w:val="center"/>
          </w:tcPr>
          <w:p w14:paraId="17552E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工艺</w:t>
            </w:r>
          </w:p>
        </w:tc>
        <w:tc>
          <w:tcPr>
            <w:tcW w:w="213" w:type="pct"/>
            <w:vMerge w:val="restart"/>
            <w:tcBorders>
              <w:tl2br w:val="nil"/>
              <w:tr2bl w:val="nil"/>
            </w:tcBorders>
            <w:shd w:val="clear" w:color="auto" w:fill="auto"/>
            <w:noWrap/>
            <w:vAlign w:val="center"/>
          </w:tcPr>
          <w:p w14:paraId="4E5D40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收集效率</w:t>
            </w:r>
          </w:p>
        </w:tc>
        <w:tc>
          <w:tcPr>
            <w:tcW w:w="214" w:type="pct"/>
            <w:vMerge w:val="restart"/>
            <w:tcBorders>
              <w:tl2br w:val="nil"/>
              <w:tr2bl w:val="nil"/>
            </w:tcBorders>
            <w:shd w:val="clear" w:color="auto" w:fill="auto"/>
            <w:noWrap/>
            <w:vAlign w:val="center"/>
          </w:tcPr>
          <w:p w14:paraId="7ADCAB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处理效率</w:t>
            </w:r>
          </w:p>
        </w:tc>
        <w:tc>
          <w:tcPr>
            <w:tcW w:w="213" w:type="pct"/>
            <w:vMerge w:val="restart"/>
            <w:tcBorders>
              <w:tl2br w:val="nil"/>
              <w:tr2bl w:val="nil"/>
            </w:tcBorders>
            <w:shd w:val="clear" w:color="auto" w:fill="auto"/>
            <w:noWrap/>
            <w:vAlign w:val="center"/>
          </w:tcPr>
          <w:p w14:paraId="4BBA8C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252" w:type="pct"/>
            <w:tcBorders>
              <w:tl2br w:val="nil"/>
              <w:tr2bl w:val="nil"/>
            </w:tcBorders>
            <w:shd w:val="clear" w:color="auto" w:fill="auto"/>
            <w:noWrap/>
            <w:vAlign w:val="center"/>
          </w:tcPr>
          <w:p w14:paraId="30E6BE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废气排放量</w:t>
            </w:r>
          </w:p>
        </w:tc>
        <w:tc>
          <w:tcPr>
            <w:tcW w:w="213" w:type="pct"/>
            <w:tcBorders>
              <w:tl2br w:val="nil"/>
              <w:tr2bl w:val="nil"/>
            </w:tcBorders>
            <w:shd w:val="clear" w:color="auto" w:fill="auto"/>
            <w:noWrap/>
            <w:vAlign w:val="center"/>
          </w:tcPr>
          <w:p w14:paraId="19CB78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排放浓度</w:t>
            </w:r>
          </w:p>
        </w:tc>
        <w:tc>
          <w:tcPr>
            <w:tcW w:w="173" w:type="pct"/>
            <w:tcBorders>
              <w:tl2br w:val="nil"/>
              <w:tr2bl w:val="nil"/>
            </w:tcBorders>
            <w:shd w:val="clear" w:color="auto" w:fill="auto"/>
            <w:noWrap/>
            <w:vAlign w:val="center"/>
          </w:tcPr>
          <w:p w14:paraId="74BF6F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排放量</w:t>
            </w:r>
          </w:p>
        </w:tc>
        <w:tc>
          <w:tcPr>
            <w:tcW w:w="214" w:type="pct"/>
            <w:tcBorders>
              <w:tl2br w:val="nil"/>
              <w:tr2bl w:val="nil"/>
            </w:tcBorders>
            <w:shd w:val="clear" w:color="auto" w:fill="auto"/>
            <w:noWrap/>
            <w:vAlign w:val="center"/>
          </w:tcPr>
          <w:p w14:paraId="00AA76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排放速率</w:t>
            </w:r>
          </w:p>
        </w:tc>
        <w:tc>
          <w:tcPr>
            <w:tcW w:w="244" w:type="pct"/>
            <w:tcBorders>
              <w:tl2br w:val="nil"/>
              <w:tr2bl w:val="nil"/>
            </w:tcBorders>
            <w:shd w:val="clear" w:color="auto" w:fill="auto"/>
            <w:noWrap/>
            <w:vAlign w:val="center"/>
          </w:tcPr>
          <w:p w14:paraId="648DB6C0">
            <w:pPr>
              <w:jc w:val="center"/>
              <w:rPr>
                <w:rFonts w:hint="default" w:ascii="Times New Roman" w:hAnsi="Times New Roman" w:eastAsia="宋体" w:cs="Times New Roman"/>
                <w:i w:val="0"/>
                <w:iCs w:val="0"/>
                <w:color w:val="000000"/>
                <w:sz w:val="18"/>
                <w:szCs w:val="18"/>
                <w:u w:val="none"/>
              </w:rPr>
            </w:pPr>
          </w:p>
        </w:tc>
      </w:tr>
      <w:tr w14:paraId="3E8ED3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29E4FB99">
            <w:pPr>
              <w:jc w:val="center"/>
              <w:rPr>
                <w:rFonts w:hint="default" w:ascii="Times New Roman" w:hAnsi="Times New Roman" w:eastAsia="宋体" w:cs="Times New Roman"/>
                <w:i w:val="0"/>
                <w:iCs w:val="0"/>
                <w:color w:val="000000"/>
                <w:sz w:val="18"/>
                <w:szCs w:val="18"/>
                <w:u w:val="none"/>
              </w:rPr>
            </w:pPr>
          </w:p>
        </w:tc>
        <w:tc>
          <w:tcPr>
            <w:tcW w:w="425" w:type="pct"/>
            <w:vMerge w:val="continue"/>
            <w:tcBorders>
              <w:tl2br w:val="nil"/>
              <w:tr2bl w:val="nil"/>
            </w:tcBorders>
            <w:shd w:val="clear" w:color="auto" w:fill="auto"/>
            <w:noWrap/>
            <w:vAlign w:val="center"/>
          </w:tcPr>
          <w:p w14:paraId="1F1DB2A1">
            <w:pPr>
              <w:jc w:val="center"/>
              <w:rPr>
                <w:rFonts w:hint="default" w:ascii="Times New Roman" w:hAnsi="Times New Roman" w:eastAsia="宋体" w:cs="Times New Roman"/>
                <w:i w:val="0"/>
                <w:iCs w:val="0"/>
                <w:color w:val="000000"/>
                <w:sz w:val="18"/>
                <w:szCs w:val="18"/>
                <w:u w:val="none"/>
              </w:rPr>
            </w:pPr>
          </w:p>
        </w:tc>
        <w:tc>
          <w:tcPr>
            <w:tcW w:w="683" w:type="pct"/>
            <w:gridSpan w:val="2"/>
            <w:vMerge w:val="continue"/>
            <w:tcBorders>
              <w:tl2br w:val="nil"/>
              <w:tr2bl w:val="nil"/>
            </w:tcBorders>
            <w:shd w:val="clear" w:color="auto" w:fill="auto"/>
            <w:noWrap/>
            <w:vAlign w:val="center"/>
          </w:tcPr>
          <w:p w14:paraId="43D16901">
            <w:pPr>
              <w:jc w:val="center"/>
              <w:rPr>
                <w:rFonts w:hint="default" w:ascii="Times New Roman" w:hAnsi="Times New Roman" w:eastAsia="宋体" w:cs="Times New Roman"/>
                <w:i w:val="0"/>
                <w:iCs w:val="0"/>
                <w:color w:val="000000"/>
                <w:sz w:val="18"/>
                <w:szCs w:val="18"/>
                <w:u w:val="none"/>
              </w:rPr>
            </w:pPr>
          </w:p>
        </w:tc>
        <w:tc>
          <w:tcPr>
            <w:tcW w:w="250" w:type="pct"/>
            <w:vMerge w:val="continue"/>
            <w:tcBorders>
              <w:tl2br w:val="nil"/>
              <w:tr2bl w:val="nil"/>
            </w:tcBorders>
            <w:shd w:val="clear" w:color="auto" w:fill="auto"/>
            <w:noWrap/>
            <w:vAlign w:val="center"/>
          </w:tcPr>
          <w:p w14:paraId="5DCB83BE">
            <w:pPr>
              <w:jc w:val="center"/>
              <w:rPr>
                <w:rFonts w:hint="default" w:ascii="Times New Roman" w:hAnsi="Times New Roman" w:eastAsia="宋体" w:cs="Times New Roman"/>
                <w:i w:val="0"/>
                <w:iCs w:val="0"/>
                <w:color w:val="000000"/>
                <w:sz w:val="18"/>
                <w:szCs w:val="18"/>
                <w:u w:val="none"/>
              </w:rPr>
            </w:pPr>
          </w:p>
        </w:tc>
        <w:tc>
          <w:tcPr>
            <w:tcW w:w="244" w:type="pct"/>
            <w:vMerge w:val="continue"/>
            <w:tcBorders>
              <w:tl2br w:val="nil"/>
              <w:tr2bl w:val="nil"/>
            </w:tcBorders>
            <w:shd w:val="clear" w:color="auto" w:fill="auto"/>
            <w:noWrap/>
            <w:vAlign w:val="center"/>
          </w:tcPr>
          <w:p w14:paraId="73B475D0">
            <w:pPr>
              <w:jc w:val="center"/>
              <w:rPr>
                <w:rFonts w:hint="default" w:ascii="Times New Roman" w:hAnsi="Times New Roman" w:eastAsia="宋体" w:cs="Times New Roman"/>
                <w:i w:val="0"/>
                <w:iCs w:val="0"/>
                <w:color w:val="000000"/>
                <w:sz w:val="18"/>
                <w:szCs w:val="18"/>
                <w:u w:val="none"/>
              </w:rPr>
            </w:pPr>
          </w:p>
        </w:tc>
        <w:tc>
          <w:tcPr>
            <w:tcW w:w="252" w:type="pct"/>
            <w:tcBorders>
              <w:tl2br w:val="nil"/>
              <w:tr2bl w:val="nil"/>
            </w:tcBorders>
            <w:shd w:val="clear" w:color="auto" w:fill="auto"/>
            <w:noWrap/>
            <w:vAlign w:val="center"/>
          </w:tcPr>
          <w:p w14:paraId="4420B7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m³/h</w:t>
            </w:r>
          </w:p>
        </w:tc>
        <w:tc>
          <w:tcPr>
            <w:tcW w:w="213" w:type="pct"/>
            <w:tcBorders>
              <w:tl2br w:val="nil"/>
              <w:tr2bl w:val="nil"/>
            </w:tcBorders>
            <w:shd w:val="clear" w:color="auto" w:fill="auto"/>
            <w:noWrap/>
            <w:vAlign w:val="center"/>
          </w:tcPr>
          <w:p w14:paraId="6FB22F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mg/m³</w:t>
            </w:r>
          </w:p>
        </w:tc>
        <w:tc>
          <w:tcPr>
            <w:tcW w:w="173" w:type="pct"/>
            <w:tcBorders>
              <w:tl2br w:val="nil"/>
              <w:tr2bl w:val="nil"/>
            </w:tcBorders>
            <w:shd w:val="clear" w:color="auto" w:fill="auto"/>
            <w:noWrap/>
            <w:vAlign w:val="center"/>
          </w:tcPr>
          <w:p w14:paraId="322199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w:t>
            </w:r>
          </w:p>
        </w:tc>
        <w:tc>
          <w:tcPr>
            <w:tcW w:w="214" w:type="pct"/>
            <w:tcBorders>
              <w:tl2br w:val="nil"/>
              <w:tr2bl w:val="nil"/>
            </w:tcBorders>
            <w:shd w:val="clear" w:color="auto" w:fill="auto"/>
            <w:noWrap/>
            <w:vAlign w:val="center"/>
          </w:tcPr>
          <w:p w14:paraId="2EDF0B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kg/h</w:t>
            </w:r>
          </w:p>
        </w:tc>
        <w:tc>
          <w:tcPr>
            <w:tcW w:w="594" w:type="pct"/>
            <w:vMerge w:val="continue"/>
            <w:tcBorders>
              <w:tl2br w:val="nil"/>
              <w:tr2bl w:val="nil"/>
            </w:tcBorders>
            <w:shd w:val="clear" w:color="auto" w:fill="auto"/>
            <w:noWrap/>
            <w:vAlign w:val="center"/>
          </w:tcPr>
          <w:p w14:paraId="4499C843">
            <w:pPr>
              <w:jc w:val="center"/>
              <w:rPr>
                <w:rFonts w:hint="default" w:ascii="Times New Roman" w:hAnsi="Times New Roman" w:eastAsia="宋体" w:cs="Times New Roman"/>
                <w:i w:val="0"/>
                <w:iCs w:val="0"/>
                <w:color w:val="000000"/>
                <w:sz w:val="18"/>
                <w:szCs w:val="18"/>
                <w:u w:val="none"/>
              </w:rPr>
            </w:pPr>
          </w:p>
        </w:tc>
        <w:tc>
          <w:tcPr>
            <w:tcW w:w="213" w:type="pct"/>
            <w:vMerge w:val="continue"/>
            <w:tcBorders>
              <w:tl2br w:val="nil"/>
              <w:tr2bl w:val="nil"/>
            </w:tcBorders>
            <w:shd w:val="clear" w:color="auto" w:fill="auto"/>
            <w:noWrap/>
            <w:vAlign w:val="center"/>
          </w:tcPr>
          <w:p w14:paraId="7C5BB67A">
            <w:pPr>
              <w:jc w:val="center"/>
              <w:rPr>
                <w:rFonts w:hint="default" w:ascii="Times New Roman" w:hAnsi="Times New Roman" w:eastAsia="宋体" w:cs="Times New Roman"/>
                <w:i w:val="0"/>
                <w:iCs w:val="0"/>
                <w:color w:val="000000"/>
                <w:sz w:val="18"/>
                <w:szCs w:val="18"/>
                <w:u w:val="none"/>
              </w:rPr>
            </w:pPr>
          </w:p>
        </w:tc>
        <w:tc>
          <w:tcPr>
            <w:tcW w:w="214" w:type="pct"/>
            <w:vMerge w:val="continue"/>
            <w:tcBorders>
              <w:tl2br w:val="nil"/>
              <w:tr2bl w:val="nil"/>
            </w:tcBorders>
            <w:shd w:val="clear" w:color="auto" w:fill="auto"/>
            <w:noWrap/>
            <w:vAlign w:val="center"/>
          </w:tcPr>
          <w:p w14:paraId="28297996">
            <w:pPr>
              <w:jc w:val="center"/>
              <w:rPr>
                <w:rFonts w:hint="default" w:ascii="Times New Roman" w:hAnsi="Times New Roman" w:eastAsia="宋体" w:cs="Times New Roman"/>
                <w:i w:val="0"/>
                <w:iCs w:val="0"/>
                <w:color w:val="000000"/>
                <w:sz w:val="18"/>
                <w:szCs w:val="18"/>
                <w:u w:val="none"/>
              </w:rPr>
            </w:pPr>
          </w:p>
        </w:tc>
        <w:tc>
          <w:tcPr>
            <w:tcW w:w="213" w:type="pct"/>
            <w:vMerge w:val="continue"/>
            <w:tcBorders>
              <w:tl2br w:val="nil"/>
              <w:tr2bl w:val="nil"/>
            </w:tcBorders>
            <w:shd w:val="clear" w:color="auto" w:fill="auto"/>
            <w:noWrap/>
            <w:vAlign w:val="center"/>
          </w:tcPr>
          <w:p w14:paraId="25412A7C">
            <w:pPr>
              <w:jc w:val="center"/>
              <w:rPr>
                <w:rFonts w:hint="default" w:ascii="Times New Roman" w:hAnsi="Times New Roman" w:eastAsia="宋体" w:cs="Times New Roman"/>
                <w:i w:val="0"/>
                <w:iCs w:val="0"/>
                <w:color w:val="000000"/>
                <w:sz w:val="18"/>
                <w:szCs w:val="18"/>
                <w:u w:val="none"/>
              </w:rPr>
            </w:pPr>
          </w:p>
        </w:tc>
        <w:tc>
          <w:tcPr>
            <w:tcW w:w="252" w:type="pct"/>
            <w:tcBorders>
              <w:tl2br w:val="nil"/>
              <w:tr2bl w:val="nil"/>
            </w:tcBorders>
            <w:shd w:val="clear" w:color="auto" w:fill="auto"/>
            <w:noWrap/>
            <w:vAlign w:val="center"/>
          </w:tcPr>
          <w:p w14:paraId="286565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m³/h</w:t>
            </w:r>
          </w:p>
        </w:tc>
        <w:tc>
          <w:tcPr>
            <w:tcW w:w="213" w:type="pct"/>
            <w:tcBorders>
              <w:tl2br w:val="nil"/>
              <w:tr2bl w:val="nil"/>
            </w:tcBorders>
            <w:shd w:val="clear" w:color="auto" w:fill="auto"/>
            <w:noWrap/>
            <w:vAlign w:val="center"/>
          </w:tcPr>
          <w:p w14:paraId="01571D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mg/m³</w:t>
            </w:r>
          </w:p>
        </w:tc>
        <w:tc>
          <w:tcPr>
            <w:tcW w:w="173" w:type="pct"/>
            <w:tcBorders>
              <w:tl2br w:val="nil"/>
              <w:tr2bl w:val="nil"/>
            </w:tcBorders>
            <w:shd w:val="clear" w:color="auto" w:fill="auto"/>
            <w:noWrap/>
            <w:vAlign w:val="center"/>
          </w:tcPr>
          <w:p w14:paraId="1E2E23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w:t>
            </w:r>
          </w:p>
        </w:tc>
        <w:tc>
          <w:tcPr>
            <w:tcW w:w="214" w:type="pct"/>
            <w:tcBorders>
              <w:tl2br w:val="nil"/>
              <w:tr2bl w:val="nil"/>
            </w:tcBorders>
            <w:shd w:val="clear" w:color="auto" w:fill="auto"/>
            <w:noWrap/>
            <w:vAlign w:val="center"/>
          </w:tcPr>
          <w:p w14:paraId="625E33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kg/h</w:t>
            </w:r>
          </w:p>
        </w:tc>
        <w:tc>
          <w:tcPr>
            <w:tcW w:w="244" w:type="pct"/>
            <w:tcBorders>
              <w:tl2br w:val="nil"/>
              <w:tr2bl w:val="nil"/>
            </w:tcBorders>
            <w:shd w:val="clear" w:color="auto" w:fill="auto"/>
            <w:noWrap/>
            <w:vAlign w:val="center"/>
          </w:tcPr>
          <w:p w14:paraId="40329910">
            <w:pPr>
              <w:jc w:val="center"/>
              <w:rPr>
                <w:rFonts w:hint="default" w:ascii="Times New Roman" w:hAnsi="Times New Roman" w:eastAsia="宋体" w:cs="Times New Roman"/>
                <w:i w:val="0"/>
                <w:iCs w:val="0"/>
                <w:color w:val="000000"/>
                <w:sz w:val="18"/>
                <w:szCs w:val="18"/>
                <w:u w:val="none"/>
              </w:rPr>
            </w:pPr>
          </w:p>
        </w:tc>
      </w:tr>
      <w:tr w14:paraId="07F863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restart"/>
            <w:tcBorders>
              <w:tl2br w:val="nil"/>
              <w:tr2bl w:val="nil"/>
            </w:tcBorders>
            <w:shd w:val="clear" w:color="auto" w:fill="auto"/>
            <w:noWrap/>
            <w:vAlign w:val="center"/>
          </w:tcPr>
          <w:p w14:paraId="32502D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产品生产</w:t>
            </w:r>
          </w:p>
        </w:tc>
        <w:tc>
          <w:tcPr>
            <w:tcW w:w="425" w:type="pct"/>
            <w:tcBorders>
              <w:tl2br w:val="nil"/>
              <w:tr2bl w:val="nil"/>
            </w:tcBorders>
            <w:shd w:val="clear" w:color="auto" w:fill="auto"/>
            <w:noWrap/>
            <w:vAlign w:val="center"/>
          </w:tcPr>
          <w:p w14:paraId="25CD5B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球囊成型、焊接、</w:t>
            </w:r>
          </w:p>
          <w:p w14:paraId="6CD1B35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固化、热交联</w:t>
            </w:r>
          </w:p>
        </w:tc>
        <w:tc>
          <w:tcPr>
            <w:tcW w:w="428" w:type="pct"/>
            <w:tcBorders>
              <w:tl2br w:val="nil"/>
              <w:tr2bl w:val="nil"/>
            </w:tcBorders>
            <w:shd w:val="clear" w:color="auto" w:fill="auto"/>
            <w:noWrap/>
            <w:vAlign w:val="center"/>
          </w:tcPr>
          <w:p w14:paraId="5C92DE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G1管料受热废气</w:t>
            </w:r>
          </w:p>
        </w:tc>
        <w:tc>
          <w:tcPr>
            <w:tcW w:w="254" w:type="pct"/>
            <w:tcBorders>
              <w:tl2br w:val="nil"/>
              <w:tr2bl w:val="nil"/>
            </w:tcBorders>
            <w:shd w:val="clear" w:color="auto" w:fill="auto"/>
            <w:noWrap/>
            <w:vAlign w:val="center"/>
          </w:tcPr>
          <w:p w14:paraId="7EC94E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2266CA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79A403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产污系数</w:t>
            </w:r>
          </w:p>
        </w:tc>
        <w:tc>
          <w:tcPr>
            <w:tcW w:w="252" w:type="pct"/>
            <w:tcBorders>
              <w:tl2br w:val="nil"/>
              <w:tr2bl w:val="nil"/>
            </w:tcBorders>
            <w:shd w:val="clear" w:color="auto" w:fill="auto"/>
            <w:noWrap/>
            <w:vAlign w:val="center"/>
          </w:tcPr>
          <w:p w14:paraId="48F676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57E890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213CF6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0.027 </w:t>
            </w:r>
          </w:p>
        </w:tc>
        <w:tc>
          <w:tcPr>
            <w:tcW w:w="214" w:type="pct"/>
            <w:tcBorders>
              <w:tl2br w:val="nil"/>
              <w:tr2bl w:val="nil"/>
            </w:tcBorders>
            <w:shd w:val="clear" w:color="auto" w:fill="auto"/>
            <w:noWrap/>
            <w:vAlign w:val="center"/>
          </w:tcPr>
          <w:p w14:paraId="3A1D1F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0.014 </w:t>
            </w:r>
          </w:p>
        </w:tc>
        <w:tc>
          <w:tcPr>
            <w:tcW w:w="594" w:type="pct"/>
            <w:tcBorders>
              <w:tl2br w:val="nil"/>
              <w:tr2bl w:val="nil"/>
            </w:tcBorders>
            <w:shd w:val="clear" w:color="auto" w:fill="auto"/>
            <w:noWrap/>
            <w:vAlign w:val="center"/>
          </w:tcPr>
          <w:p w14:paraId="21E992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54FD00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0A35C1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544138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产污系数</w:t>
            </w:r>
          </w:p>
        </w:tc>
        <w:tc>
          <w:tcPr>
            <w:tcW w:w="252" w:type="pct"/>
            <w:tcBorders>
              <w:tl2br w:val="nil"/>
              <w:tr2bl w:val="nil"/>
            </w:tcBorders>
            <w:shd w:val="clear" w:color="auto" w:fill="auto"/>
            <w:noWrap/>
            <w:vAlign w:val="center"/>
          </w:tcPr>
          <w:p w14:paraId="2B07FA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E84D5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06AFF6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0.027 </w:t>
            </w:r>
          </w:p>
        </w:tc>
        <w:tc>
          <w:tcPr>
            <w:tcW w:w="214" w:type="pct"/>
            <w:tcBorders>
              <w:tl2br w:val="nil"/>
              <w:tr2bl w:val="nil"/>
            </w:tcBorders>
            <w:shd w:val="clear" w:color="auto" w:fill="auto"/>
            <w:noWrap/>
            <w:vAlign w:val="center"/>
          </w:tcPr>
          <w:p w14:paraId="2D9082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0.014 </w:t>
            </w:r>
          </w:p>
        </w:tc>
        <w:tc>
          <w:tcPr>
            <w:tcW w:w="244" w:type="pct"/>
            <w:tcBorders>
              <w:tl2br w:val="nil"/>
              <w:tr2bl w:val="nil"/>
            </w:tcBorders>
            <w:shd w:val="clear" w:color="auto" w:fill="auto"/>
            <w:noWrap/>
            <w:vAlign w:val="center"/>
          </w:tcPr>
          <w:p w14:paraId="3D7967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3572D0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1A458FE1">
            <w:pPr>
              <w:jc w:val="center"/>
              <w:rPr>
                <w:rFonts w:hint="default" w:ascii="Times New Roman" w:hAnsi="Times New Roman" w:eastAsia="宋体" w:cs="Times New Roman"/>
                <w:i w:val="0"/>
                <w:iCs w:val="0"/>
                <w:color w:val="auto"/>
                <w:sz w:val="18"/>
                <w:szCs w:val="18"/>
                <w:u w:val="none"/>
              </w:rPr>
            </w:pPr>
          </w:p>
        </w:tc>
        <w:tc>
          <w:tcPr>
            <w:tcW w:w="425" w:type="pct"/>
            <w:tcBorders>
              <w:tl2br w:val="nil"/>
              <w:tr2bl w:val="nil"/>
            </w:tcBorders>
            <w:shd w:val="clear" w:color="auto" w:fill="auto"/>
            <w:noWrap/>
            <w:vAlign w:val="center"/>
          </w:tcPr>
          <w:p w14:paraId="1C0A08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焊接、固化</w:t>
            </w:r>
          </w:p>
        </w:tc>
        <w:tc>
          <w:tcPr>
            <w:tcW w:w="428" w:type="pct"/>
            <w:tcBorders>
              <w:tl2br w:val="nil"/>
              <w:tr2bl w:val="nil"/>
            </w:tcBorders>
            <w:shd w:val="clear" w:color="auto" w:fill="auto"/>
            <w:noWrap/>
            <w:vAlign w:val="center"/>
          </w:tcPr>
          <w:p w14:paraId="0D5E11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G2</w:t>
            </w:r>
            <w:r>
              <w:rPr>
                <w:rFonts w:hint="eastAsia" w:cs="Times New Roman"/>
                <w:i w:val="0"/>
                <w:iCs w:val="0"/>
                <w:color w:val="auto"/>
                <w:kern w:val="0"/>
                <w:sz w:val="18"/>
                <w:szCs w:val="18"/>
                <w:u w:val="none"/>
                <w:lang w:val="en-US" w:eastAsia="zh-CN" w:bidi="ar"/>
              </w:rPr>
              <w:t xml:space="preserve"> </w:t>
            </w:r>
            <w:r>
              <w:rPr>
                <w:rFonts w:hint="default" w:ascii="Times New Roman" w:hAnsi="Times New Roman" w:eastAsia="宋体" w:cs="Times New Roman"/>
                <w:i w:val="0"/>
                <w:iCs w:val="0"/>
                <w:color w:val="auto"/>
                <w:kern w:val="0"/>
                <w:sz w:val="18"/>
                <w:szCs w:val="18"/>
                <w:u w:val="none"/>
                <w:lang w:val="en-US" w:eastAsia="zh-CN" w:bidi="ar"/>
              </w:rPr>
              <w:t>UV胶废气</w:t>
            </w:r>
          </w:p>
        </w:tc>
        <w:tc>
          <w:tcPr>
            <w:tcW w:w="254" w:type="pct"/>
            <w:tcBorders>
              <w:tl2br w:val="nil"/>
              <w:tr2bl w:val="nil"/>
            </w:tcBorders>
            <w:shd w:val="clear" w:color="auto" w:fill="auto"/>
            <w:noWrap/>
            <w:vAlign w:val="center"/>
          </w:tcPr>
          <w:p w14:paraId="536914A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7D796D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055030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2D9AED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3B98C3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2B63EA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214" w:type="pct"/>
            <w:tcBorders>
              <w:tl2br w:val="nil"/>
              <w:tr2bl w:val="nil"/>
            </w:tcBorders>
            <w:shd w:val="clear" w:color="auto" w:fill="auto"/>
            <w:noWrap/>
            <w:vAlign w:val="center"/>
          </w:tcPr>
          <w:p w14:paraId="2D1A46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594" w:type="pct"/>
            <w:tcBorders>
              <w:tl2br w:val="nil"/>
              <w:tr2bl w:val="nil"/>
            </w:tcBorders>
            <w:shd w:val="clear" w:color="auto" w:fill="auto"/>
            <w:noWrap/>
            <w:vAlign w:val="center"/>
          </w:tcPr>
          <w:p w14:paraId="6D0A2F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2DAF43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108AE1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18F51F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53AF7F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407838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276391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214" w:type="pct"/>
            <w:tcBorders>
              <w:tl2br w:val="nil"/>
              <w:tr2bl w:val="nil"/>
            </w:tcBorders>
            <w:shd w:val="clear" w:color="auto" w:fill="auto"/>
            <w:noWrap/>
            <w:vAlign w:val="center"/>
          </w:tcPr>
          <w:p w14:paraId="6E9309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244" w:type="pct"/>
            <w:tcBorders>
              <w:tl2br w:val="nil"/>
              <w:tr2bl w:val="nil"/>
            </w:tcBorders>
            <w:shd w:val="clear" w:color="auto" w:fill="auto"/>
            <w:noWrap/>
            <w:vAlign w:val="center"/>
          </w:tcPr>
          <w:p w14:paraId="0AEF16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662C2A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0C76F6DF">
            <w:pPr>
              <w:jc w:val="center"/>
              <w:rPr>
                <w:rFonts w:hint="default" w:ascii="Times New Roman" w:hAnsi="Times New Roman" w:eastAsia="宋体" w:cs="Times New Roman"/>
                <w:i w:val="0"/>
                <w:iCs w:val="0"/>
                <w:color w:val="auto"/>
                <w:sz w:val="18"/>
                <w:szCs w:val="18"/>
                <w:u w:val="none"/>
              </w:rPr>
            </w:pPr>
          </w:p>
        </w:tc>
        <w:tc>
          <w:tcPr>
            <w:tcW w:w="425" w:type="pct"/>
            <w:vMerge w:val="restart"/>
            <w:tcBorders>
              <w:tl2br w:val="nil"/>
              <w:tr2bl w:val="nil"/>
            </w:tcBorders>
            <w:shd w:val="clear" w:color="auto" w:fill="auto"/>
            <w:noWrap/>
            <w:vAlign w:val="center"/>
          </w:tcPr>
          <w:p w14:paraId="6AD267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涂覆</w:t>
            </w:r>
          </w:p>
        </w:tc>
        <w:tc>
          <w:tcPr>
            <w:tcW w:w="428" w:type="pct"/>
            <w:vMerge w:val="restart"/>
            <w:tcBorders>
              <w:tl2br w:val="nil"/>
              <w:tr2bl w:val="nil"/>
            </w:tcBorders>
            <w:shd w:val="clear" w:color="auto" w:fill="auto"/>
            <w:noWrap/>
            <w:vAlign w:val="center"/>
          </w:tcPr>
          <w:p w14:paraId="2E4367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G3涂覆废气</w:t>
            </w:r>
          </w:p>
        </w:tc>
        <w:tc>
          <w:tcPr>
            <w:tcW w:w="254" w:type="pct"/>
            <w:tcBorders>
              <w:tl2br w:val="nil"/>
              <w:tr2bl w:val="nil"/>
            </w:tcBorders>
            <w:shd w:val="clear" w:color="auto" w:fill="auto"/>
            <w:noWrap/>
            <w:vAlign w:val="center"/>
          </w:tcPr>
          <w:p w14:paraId="32F654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DA004</w:t>
            </w:r>
          </w:p>
        </w:tc>
        <w:tc>
          <w:tcPr>
            <w:tcW w:w="250" w:type="pct"/>
            <w:tcBorders>
              <w:tl2br w:val="nil"/>
              <w:tr2bl w:val="nil"/>
            </w:tcBorders>
            <w:shd w:val="clear" w:color="auto" w:fill="auto"/>
            <w:noWrap/>
            <w:vAlign w:val="center"/>
          </w:tcPr>
          <w:p w14:paraId="6BB805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172761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3AC79C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32983C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173" w:type="pct"/>
            <w:tcBorders>
              <w:tl2br w:val="nil"/>
              <w:tr2bl w:val="nil"/>
            </w:tcBorders>
            <w:shd w:val="clear" w:color="auto" w:fill="auto"/>
            <w:noWrap/>
            <w:vAlign w:val="center"/>
          </w:tcPr>
          <w:p w14:paraId="4DBBF8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0.072 </w:t>
            </w:r>
          </w:p>
        </w:tc>
        <w:tc>
          <w:tcPr>
            <w:tcW w:w="214" w:type="pct"/>
            <w:tcBorders>
              <w:tl2br w:val="nil"/>
              <w:tr2bl w:val="nil"/>
            </w:tcBorders>
            <w:shd w:val="clear" w:color="auto" w:fill="auto"/>
            <w:noWrap/>
            <w:vAlign w:val="center"/>
          </w:tcPr>
          <w:p w14:paraId="7CCCD9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0.036 </w:t>
            </w:r>
          </w:p>
        </w:tc>
        <w:tc>
          <w:tcPr>
            <w:tcW w:w="594" w:type="pct"/>
            <w:tcBorders>
              <w:tl2br w:val="nil"/>
              <w:tr2bl w:val="nil"/>
            </w:tcBorders>
            <w:shd w:val="clear" w:color="auto" w:fill="auto"/>
            <w:noWrap/>
            <w:vAlign w:val="center"/>
          </w:tcPr>
          <w:p w14:paraId="26F02B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密闭房间收集+</w:t>
            </w:r>
          </w:p>
          <w:p w14:paraId="1CAFFE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一级活性炭吸附</w:t>
            </w:r>
          </w:p>
        </w:tc>
        <w:tc>
          <w:tcPr>
            <w:tcW w:w="213" w:type="pct"/>
            <w:tcBorders>
              <w:tl2br w:val="nil"/>
              <w:tr2bl w:val="nil"/>
            </w:tcBorders>
            <w:shd w:val="clear" w:color="auto" w:fill="auto"/>
            <w:noWrap/>
            <w:vAlign w:val="center"/>
          </w:tcPr>
          <w:p w14:paraId="1240908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80%</w:t>
            </w:r>
          </w:p>
        </w:tc>
        <w:tc>
          <w:tcPr>
            <w:tcW w:w="214" w:type="pct"/>
            <w:tcBorders>
              <w:tl2br w:val="nil"/>
              <w:tr2bl w:val="nil"/>
            </w:tcBorders>
            <w:shd w:val="clear" w:color="auto" w:fill="auto"/>
            <w:noWrap/>
            <w:vAlign w:val="center"/>
          </w:tcPr>
          <w:p w14:paraId="6B8ABA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70%</w:t>
            </w:r>
          </w:p>
        </w:tc>
        <w:tc>
          <w:tcPr>
            <w:tcW w:w="213" w:type="pct"/>
            <w:tcBorders>
              <w:tl2br w:val="nil"/>
              <w:tr2bl w:val="nil"/>
            </w:tcBorders>
            <w:shd w:val="clear" w:color="auto" w:fill="auto"/>
            <w:noWrap/>
            <w:vAlign w:val="center"/>
          </w:tcPr>
          <w:p w14:paraId="0AD4D7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629FE5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04102A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2.7</w:t>
            </w:r>
          </w:p>
        </w:tc>
        <w:tc>
          <w:tcPr>
            <w:tcW w:w="173" w:type="pct"/>
            <w:tcBorders>
              <w:tl2br w:val="nil"/>
              <w:tr2bl w:val="nil"/>
            </w:tcBorders>
            <w:shd w:val="clear" w:color="auto" w:fill="auto"/>
            <w:noWrap/>
            <w:vAlign w:val="center"/>
          </w:tcPr>
          <w:p w14:paraId="24F1CF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0.022 </w:t>
            </w:r>
          </w:p>
        </w:tc>
        <w:tc>
          <w:tcPr>
            <w:tcW w:w="214" w:type="pct"/>
            <w:tcBorders>
              <w:tl2br w:val="nil"/>
              <w:tr2bl w:val="nil"/>
            </w:tcBorders>
            <w:shd w:val="clear" w:color="auto" w:fill="auto"/>
            <w:noWrap/>
            <w:vAlign w:val="center"/>
          </w:tcPr>
          <w:p w14:paraId="00B8D1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0.011 </w:t>
            </w:r>
          </w:p>
        </w:tc>
        <w:tc>
          <w:tcPr>
            <w:tcW w:w="244" w:type="pct"/>
            <w:tcBorders>
              <w:tl2br w:val="nil"/>
              <w:tr2bl w:val="nil"/>
            </w:tcBorders>
            <w:shd w:val="clear" w:color="auto" w:fill="auto"/>
            <w:noWrap/>
            <w:vAlign w:val="center"/>
          </w:tcPr>
          <w:p w14:paraId="6500D5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6693FA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5DC530EF">
            <w:pPr>
              <w:jc w:val="center"/>
              <w:rPr>
                <w:rFonts w:hint="default" w:ascii="Times New Roman" w:hAnsi="Times New Roman" w:eastAsia="宋体" w:cs="Times New Roman"/>
                <w:i w:val="0"/>
                <w:iCs w:val="0"/>
                <w:color w:val="auto"/>
                <w:sz w:val="18"/>
                <w:szCs w:val="18"/>
                <w:u w:val="none"/>
              </w:rPr>
            </w:pPr>
          </w:p>
        </w:tc>
        <w:tc>
          <w:tcPr>
            <w:tcW w:w="425" w:type="pct"/>
            <w:vMerge w:val="continue"/>
            <w:tcBorders>
              <w:tl2br w:val="nil"/>
              <w:tr2bl w:val="nil"/>
            </w:tcBorders>
            <w:shd w:val="clear" w:color="auto" w:fill="auto"/>
            <w:noWrap/>
            <w:vAlign w:val="center"/>
          </w:tcPr>
          <w:p w14:paraId="6380C803">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6C0BBC78">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423CC2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7F44DC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588C93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0A5D9D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0CEE908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57B920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0.018 </w:t>
            </w:r>
          </w:p>
        </w:tc>
        <w:tc>
          <w:tcPr>
            <w:tcW w:w="214" w:type="pct"/>
            <w:tcBorders>
              <w:tl2br w:val="nil"/>
              <w:tr2bl w:val="nil"/>
            </w:tcBorders>
            <w:shd w:val="clear" w:color="auto" w:fill="auto"/>
            <w:noWrap/>
            <w:vAlign w:val="center"/>
          </w:tcPr>
          <w:p w14:paraId="440E20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0.009 </w:t>
            </w:r>
          </w:p>
        </w:tc>
        <w:tc>
          <w:tcPr>
            <w:tcW w:w="594" w:type="pct"/>
            <w:tcBorders>
              <w:tl2br w:val="nil"/>
              <w:tr2bl w:val="nil"/>
            </w:tcBorders>
            <w:shd w:val="clear" w:color="auto" w:fill="auto"/>
            <w:noWrap/>
            <w:vAlign w:val="center"/>
          </w:tcPr>
          <w:p w14:paraId="5B1B6F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5B4B99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2CF9A1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672BBC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59A344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2DC99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45E77E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0.018 </w:t>
            </w:r>
          </w:p>
        </w:tc>
        <w:tc>
          <w:tcPr>
            <w:tcW w:w="214" w:type="pct"/>
            <w:tcBorders>
              <w:tl2br w:val="nil"/>
              <w:tr2bl w:val="nil"/>
            </w:tcBorders>
            <w:shd w:val="clear" w:color="auto" w:fill="auto"/>
            <w:noWrap/>
            <w:vAlign w:val="center"/>
          </w:tcPr>
          <w:p w14:paraId="295A92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44" w:type="pct"/>
            <w:tcBorders>
              <w:tl2br w:val="nil"/>
              <w:tr2bl w:val="nil"/>
            </w:tcBorders>
            <w:shd w:val="clear" w:color="auto" w:fill="auto"/>
            <w:noWrap/>
            <w:vAlign w:val="center"/>
          </w:tcPr>
          <w:p w14:paraId="725D9D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30EE90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restart"/>
            <w:tcBorders>
              <w:tl2br w:val="nil"/>
              <w:tr2bl w:val="nil"/>
            </w:tcBorders>
            <w:shd w:val="clear" w:color="auto" w:fill="auto"/>
            <w:noWrap/>
            <w:vAlign w:val="center"/>
          </w:tcPr>
          <w:p w14:paraId="2C4F68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产品检测</w:t>
            </w:r>
          </w:p>
        </w:tc>
        <w:tc>
          <w:tcPr>
            <w:tcW w:w="425" w:type="pct"/>
            <w:vMerge w:val="restart"/>
            <w:tcBorders>
              <w:tl2br w:val="nil"/>
              <w:tr2bl w:val="nil"/>
            </w:tcBorders>
            <w:shd w:val="clear" w:color="auto" w:fill="auto"/>
            <w:noWrap/>
            <w:vAlign w:val="center"/>
          </w:tcPr>
          <w:p w14:paraId="705916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检测</w:t>
            </w:r>
          </w:p>
        </w:tc>
        <w:tc>
          <w:tcPr>
            <w:tcW w:w="428" w:type="pct"/>
            <w:vMerge w:val="restart"/>
            <w:tcBorders>
              <w:tl2br w:val="nil"/>
              <w:tr2bl w:val="nil"/>
            </w:tcBorders>
            <w:shd w:val="clear" w:color="auto" w:fill="auto"/>
            <w:noWrap/>
            <w:vAlign w:val="center"/>
          </w:tcPr>
          <w:p w14:paraId="0A56418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G6实验室废气</w:t>
            </w:r>
          </w:p>
        </w:tc>
        <w:tc>
          <w:tcPr>
            <w:tcW w:w="254" w:type="pct"/>
            <w:tcBorders>
              <w:tl2br w:val="nil"/>
              <w:tr2bl w:val="nil"/>
            </w:tcBorders>
            <w:shd w:val="clear" w:color="auto" w:fill="auto"/>
            <w:noWrap/>
            <w:vAlign w:val="center"/>
          </w:tcPr>
          <w:p w14:paraId="459766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DA002</w:t>
            </w:r>
          </w:p>
        </w:tc>
        <w:tc>
          <w:tcPr>
            <w:tcW w:w="250" w:type="pct"/>
            <w:tcBorders>
              <w:tl2br w:val="nil"/>
              <w:tr2bl w:val="nil"/>
            </w:tcBorders>
            <w:shd w:val="clear" w:color="auto" w:fill="auto"/>
            <w:noWrap/>
            <w:vAlign w:val="center"/>
          </w:tcPr>
          <w:p w14:paraId="6F50F3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109AFA8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5020CD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26F90E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173" w:type="pct"/>
            <w:tcBorders>
              <w:tl2br w:val="nil"/>
              <w:tr2bl w:val="nil"/>
            </w:tcBorders>
            <w:shd w:val="clear" w:color="auto" w:fill="auto"/>
            <w:noWrap/>
            <w:vAlign w:val="center"/>
          </w:tcPr>
          <w:p w14:paraId="026DCE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214" w:type="pct"/>
            <w:tcBorders>
              <w:tl2br w:val="nil"/>
              <w:tr2bl w:val="nil"/>
            </w:tcBorders>
            <w:shd w:val="clear" w:color="auto" w:fill="auto"/>
            <w:noWrap/>
            <w:vAlign w:val="center"/>
          </w:tcPr>
          <w:p w14:paraId="750EE3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0.005 </w:t>
            </w:r>
          </w:p>
        </w:tc>
        <w:tc>
          <w:tcPr>
            <w:tcW w:w="594" w:type="pct"/>
            <w:tcBorders>
              <w:tl2br w:val="nil"/>
              <w:tr2bl w:val="nil"/>
            </w:tcBorders>
            <w:shd w:val="clear" w:color="auto" w:fill="auto"/>
            <w:noWrap/>
            <w:vAlign w:val="center"/>
          </w:tcPr>
          <w:p w14:paraId="0FACF3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密闭房间收集+</w:t>
            </w:r>
          </w:p>
          <w:p w14:paraId="4AA8E1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一级活性炭吸附</w:t>
            </w:r>
          </w:p>
        </w:tc>
        <w:tc>
          <w:tcPr>
            <w:tcW w:w="213" w:type="pct"/>
            <w:tcBorders>
              <w:tl2br w:val="nil"/>
              <w:tr2bl w:val="nil"/>
            </w:tcBorders>
            <w:shd w:val="clear" w:color="auto" w:fill="auto"/>
            <w:noWrap/>
            <w:vAlign w:val="center"/>
          </w:tcPr>
          <w:p w14:paraId="4E0F48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80%</w:t>
            </w:r>
          </w:p>
        </w:tc>
        <w:tc>
          <w:tcPr>
            <w:tcW w:w="214" w:type="pct"/>
            <w:tcBorders>
              <w:tl2br w:val="nil"/>
              <w:tr2bl w:val="nil"/>
            </w:tcBorders>
            <w:shd w:val="clear" w:color="auto" w:fill="auto"/>
            <w:noWrap/>
            <w:vAlign w:val="center"/>
          </w:tcPr>
          <w:p w14:paraId="2E7D3C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70%</w:t>
            </w:r>
          </w:p>
        </w:tc>
        <w:tc>
          <w:tcPr>
            <w:tcW w:w="213" w:type="pct"/>
            <w:tcBorders>
              <w:tl2br w:val="nil"/>
              <w:tr2bl w:val="nil"/>
            </w:tcBorders>
            <w:shd w:val="clear" w:color="auto" w:fill="auto"/>
            <w:noWrap/>
            <w:vAlign w:val="center"/>
          </w:tcPr>
          <w:p w14:paraId="16C525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0D98B0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7A365E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0.36</w:t>
            </w:r>
          </w:p>
        </w:tc>
        <w:tc>
          <w:tcPr>
            <w:tcW w:w="173" w:type="pct"/>
            <w:tcBorders>
              <w:tl2br w:val="nil"/>
              <w:tr2bl w:val="nil"/>
            </w:tcBorders>
            <w:shd w:val="clear" w:color="auto" w:fill="auto"/>
            <w:noWrap/>
            <w:vAlign w:val="center"/>
          </w:tcPr>
          <w:p w14:paraId="400810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0.003 </w:t>
            </w:r>
          </w:p>
        </w:tc>
        <w:tc>
          <w:tcPr>
            <w:tcW w:w="214" w:type="pct"/>
            <w:tcBorders>
              <w:tl2br w:val="nil"/>
              <w:tr2bl w:val="nil"/>
            </w:tcBorders>
            <w:shd w:val="clear" w:color="auto" w:fill="auto"/>
            <w:noWrap/>
            <w:vAlign w:val="center"/>
          </w:tcPr>
          <w:p w14:paraId="4C3EAA8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 </w:t>
            </w:r>
          </w:p>
        </w:tc>
        <w:tc>
          <w:tcPr>
            <w:tcW w:w="244" w:type="pct"/>
            <w:tcBorders>
              <w:tl2br w:val="nil"/>
              <w:tr2bl w:val="nil"/>
            </w:tcBorders>
            <w:shd w:val="clear" w:color="auto" w:fill="auto"/>
            <w:noWrap/>
            <w:vAlign w:val="center"/>
          </w:tcPr>
          <w:p w14:paraId="546E51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5D9563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66A509FF">
            <w:pPr>
              <w:jc w:val="center"/>
              <w:rPr>
                <w:rFonts w:hint="default" w:ascii="Times New Roman" w:hAnsi="Times New Roman" w:eastAsia="宋体" w:cs="Times New Roman"/>
                <w:i w:val="0"/>
                <w:iCs w:val="0"/>
                <w:color w:val="auto"/>
                <w:sz w:val="18"/>
                <w:szCs w:val="18"/>
                <w:u w:val="none"/>
              </w:rPr>
            </w:pPr>
          </w:p>
        </w:tc>
        <w:tc>
          <w:tcPr>
            <w:tcW w:w="425" w:type="pct"/>
            <w:vMerge w:val="continue"/>
            <w:tcBorders>
              <w:tl2br w:val="nil"/>
              <w:tr2bl w:val="nil"/>
            </w:tcBorders>
            <w:shd w:val="clear" w:color="auto" w:fill="auto"/>
            <w:noWrap/>
            <w:vAlign w:val="center"/>
          </w:tcPr>
          <w:p w14:paraId="519AD129">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19781CBA">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430A70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6BFB7B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2341E3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5FC8E4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6F643F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74534D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214" w:type="pct"/>
            <w:tcBorders>
              <w:tl2br w:val="nil"/>
              <w:tr2bl w:val="nil"/>
            </w:tcBorders>
            <w:shd w:val="clear" w:color="auto" w:fill="auto"/>
            <w:noWrap/>
            <w:vAlign w:val="center"/>
          </w:tcPr>
          <w:p w14:paraId="42C752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 </w:t>
            </w:r>
          </w:p>
        </w:tc>
        <w:tc>
          <w:tcPr>
            <w:tcW w:w="594" w:type="pct"/>
            <w:tcBorders>
              <w:tl2br w:val="nil"/>
              <w:tr2bl w:val="nil"/>
            </w:tcBorders>
            <w:shd w:val="clear" w:color="auto" w:fill="auto"/>
            <w:noWrap/>
            <w:vAlign w:val="center"/>
          </w:tcPr>
          <w:p w14:paraId="0902DB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042060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0EF706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1BF46C4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07DD8F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5C4DE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784A65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214" w:type="pct"/>
            <w:tcBorders>
              <w:tl2br w:val="nil"/>
              <w:tr2bl w:val="nil"/>
            </w:tcBorders>
            <w:shd w:val="clear" w:color="auto" w:fill="auto"/>
            <w:noWrap/>
            <w:vAlign w:val="center"/>
          </w:tcPr>
          <w:p w14:paraId="10CB80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44" w:type="pct"/>
            <w:tcBorders>
              <w:tl2br w:val="nil"/>
              <w:tr2bl w:val="nil"/>
            </w:tcBorders>
            <w:shd w:val="clear" w:color="auto" w:fill="auto"/>
            <w:noWrap/>
            <w:vAlign w:val="center"/>
          </w:tcPr>
          <w:p w14:paraId="54436F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1F3DF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73BCE25E">
            <w:pPr>
              <w:jc w:val="center"/>
              <w:rPr>
                <w:rFonts w:hint="default" w:ascii="Times New Roman" w:hAnsi="Times New Roman" w:eastAsia="宋体" w:cs="Times New Roman"/>
                <w:i w:val="0"/>
                <w:iCs w:val="0"/>
                <w:color w:val="auto"/>
                <w:sz w:val="18"/>
                <w:szCs w:val="18"/>
                <w:u w:val="none"/>
              </w:rPr>
            </w:pPr>
          </w:p>
        </w:tc>
        <w:tc>
          <w:tcPr>
            <w:tcW w:w="425" w:type="pct"/>
            <w:vMerge w:val="continue"/>
            <w:tcBorders>
              <w:tl2br w:val="nil"/>
              <w:tr2bl w:val="nil"/>
            </w:tcBorders>
            <w:shd w:val="clear" w:color="auto" w:fill="auto"/>
            <w:noWrap/>
            <w:vAlign w:val="center"/>
          </w:tcPr>
          <w:p w14:paraId="4E60A79F">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3BE1FCFE">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7D68F8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DA003</w:t>
            </w:r>
          </w:p>
        </w:tc>
        <w:tc>
          <w:tcPr>
            <w:tcW w:w="250" w:type="pct"/>
            <w:tcBorders>
              <w:tl2br w:val="nil"/>
              <w:tr2bl w:val="nil"/>
            </w:tcBorders>
            <w:shd w:val="clear" w:color="auto" w:fill="auto"/>
            <w:noWrap/>
            <w:vAlign w:val="center"/>
          </w:tcPr>
          <w:p w14:paraId="633555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6FBE10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785C24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6E71B0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w:t>
            </w:r>
          </w:p>
        </w:tc>
        <w:tc>
          <w:tcPr>
            <w:tcW w:w="173" w:type="pct"/>
            <w:tcBorders>
              <w:tl2br w:val="nil"/>
              <w:tr2bl w:val="nil"/>
            </w:tcBorders>
            <w:shd w:val="clear" w:color="auto" w:fill="auto"/>
            <w:noWrap/>
            <w:vAlign w:val="center"/>
          </w:tcPr>
          <w:p w14:paraId="42A38E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0.014 </w:t>
            </w:r>
          </w:p>
        </w:tc>
        <w:tc>
          <w:tcPr>
            <w:tcW w:w="214" w:type="pct"/>
            <w:tcBorders>
              <w:tl2br w:val="nil"/>
              <w:tr2bl w:val="nil"/>
            </w:tcBorders>
            <w:shd w:val="clear" w:color="auto" w:fill="auto"/>
            <w:noWrap/>
            <w:vAlign w:val="center"/>
          </w:tcPr>
          <w:p w14:paraId="6EC4857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0.007 </w:t>
            </w:r>
          </w:p>
        </w:tc>
        <w:tc>
          <w:tcPr>
            <w:tcW w:w="594" w:type="pct"/>
            <w:tcBorders>
              <w:tl2br w:val="nil"/>
              <w:tr2bl w:val="nil"/>
            </w:tcBorders>
            <w:shd w:val="clear" w:color="auto" w:fill="auto"/>
            <w:noWrap/>
            <w:vAlign w:val="center"/>
          </w:tcPr>
          <w:p w14:paraId="061617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密闭房间收集+</w:t>
            </w:r>
          </w:p>
          <w:p w14:paraId="3BE06D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一级活性炭吸附</w:t>
            </w:r>
          </w:p>
        </w:tc>
        <w:tc>
          <w:tcPr>
            <w:tcW w:w="213" w:type="pct"/>
            <w:tcBorders>
              <w:tl2br w:val="nil"/>
              <w:tr2bl w:val="nil"/>
            </w:tcBorders>
            <w:shd w:val="clear" w:color="auto" w:fill="auto"/>
            <w:noWrap/>
            <w:vAlign w:val="center"/>
          </w:tcPr>
          <w:p w14:paraId="559727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80%</w:t>
            </w:r>
          </w:p>
        </w:tc>
        <w:tc>
          <w:tcPr>
            <w:tcW w:w="214" w:type="pct"/>
            <w:tcBorders>
              <w:tl2br w:val="nil"/>
              <w:tr2bl w:val="nil"/>
            </w:tcBorders>
            <w:shd w:val="clear" w:color="auto" w:fill="auto"/>
            <w:noWrap/>
            <w:vAlign w:val="center"/>
          </w:tcPr>
          <w:p w14:paraId="7B8ACA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70%</w:t>
            </w:r>
          </w:p>
        </w:tc>
        <w:tc>
          <w:tcPr>
            <w:tcW w:w="213" w:type="pct"/>
            <w:tcBorders>
              <w:tl2br w:val="nil"/>
              <w:tr2bl w:val="nil"/>
            </w:tcBorders>
            <w:shd w:val="clear" w:color="auto" w:fill="auto"/>
            <w:noWrap/>
            <w:vAlign w:val="center"/>
          </w:tcPr>
          <w:p w14:paraId="02F1F3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5419DB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228A7B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0.54</w:t>
            </w:r>
          </w:p>
        </w:tc>
        <w:tc>
          <w:tcPr>
            <w:tcW w:w="173" w:type="pct"/>
            <w:tcBorders>
              <w:tl2br w:val="nil"/>
              <w:tr2bl w:val="nil"/>
            </w:tcBorders>
            <w:shd w:val="clear" w:color="auto" w:fill="auto"/>
            <w:noWrap/>
            <w:vAlign w:val="center"/>
          </w:tcPr>
          <w:p w14:paraId="119182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0.004 </w:t>
            </w:r>
          </w:p>
        </w:tc>
        <w:tc>
          <w:tcPr>
            <w:tcW w:w="214" w:type="pct"/>
            <w:tcBorders>
              <w:tl2br w:val="nil"/>
              <w:tr2bl w:val="nil"/>
            </w:tcBorders>
            <w:shd w:val="clear" w:color="auto" w:fill="auto"/>
            <w:noWrap/>
            <w:vAlign w:val="center"/>
          </w:tcPr>
          <w:p w14:paraId="616ACC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244" w:type="pct"/>
            <w:tcBorders>
              <w:tl2br w:val="nil"/>
              <w:tr2bl w:val="nil"/>
            </w:tcBorders>
            <w:shd w:val="clear" w:color="auto" w:fill="auto"/>
            <w:noWrap/>
            <w:vAlign w:val="center"/>
          </w:tcPr>
          <w:p w14:paraId="4BE0EE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74A610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12" w:type="pct"/>
            <w:vMerge w:val="continue"/>
            <w:tcBorders>
              <w:tl2br w:val="nil"/>
              <w:tr2bl w:val="nil"/>
            </w:tcBorders>
            <w:shd w:val="clear" w:color="auto" w:fill="auto"/>
            <w:noWrap/>
            <w:vAlign w:val="center"/>
          </w:tcPr>
          <w:p w14:paraId="2BD89604">
            <w:pPr>
              <w:jc w:val="center"/>
              <w:rPr>
                <w:rFonts w:hint="default" w:ascii="Times New Roman" w:hAnsi="Times New Roman" w:eastAsia="宋体" w:cs="Times New Roman"/>
                <w:i w:val="0"/>
                <w:iCs w:val="0"/>
                <w:color w:val="auto"/>
                <w:sz w:val="18"/>
                <w:szCs w:val="18"/>
                <w:u w:val="none"/>
              </w:rPr>
            </w:pPr>
          </w:p>
        </w:tc>
        <w:tc>
          <w:tcPr>
            <w:tcW w:w="425" w:type="pct"/>
            <w:vMerge w:val="continue"/>
            <w:tcBorders>
              <w:tl2br w:val="nil"/>
              <w:tr2bl w:val="nil"/>
            </w:tcBorders>
            <w:shd w:val="clear" w:color="auto" w:fill="auto"/>
            <w:noWrap/>
            <w:vAlign w:val="center"/>
          </w:tcPr>
          <w:p w14:paraId="5EAC50EF">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32DAF5D5">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2B3571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11C6FD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160F0D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18CECA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212100F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726AC2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0.004 </w:t>
            </w:r>
          </w:p>
        </w:tc>
        <w:tc>
          <w:tcPr>
            <w:tcW w:w="214" w:type="pct"/>
            <w:tcBorders>
              <w:tl2br w:val="nil"/>
              <w:tr2bl w:val="nil"/>
            </w:tcBorders>
            <w:shd w:val="clear" w:color="auto" w:fill="auto"/>
            <w:noWrap/>
            <w:vAlign w:val="center"/>
          </w:tcPr>
          <w:p w14:paraId="184F5D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594" w:type="pct"/>
            <w:tcBorders>
              <w:tl2br w:val="nil"/>
              <w:tr2bl w:val="nil"/>
            </w:tcBorders>
            <w:shd w:val="clear" w:color="auto" w:fill="auto"/>
            <w:noWrap/>
            <w:vAlign w:val="center"/>
          </w:tcPr>
          <w:p w14:paraId="0836D1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825E1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662FAB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2D7C40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物料衡算</w:t>
            </w:r>
          </w:p>
        </w:tc>
        <w:tc>
          <w:tcPr>
            <w:tcW w:w="252" w:type="pct"/>
            <w:tcBorders>
              <w:tl2br w:val="nil"/>
              <w:tr2bl w:val="nil"/>
            </w:tcBorders>
            <w:shd w:val="clear" w:color="auto" w:fill="auto"/>
            <w:noWrap/>
            <w:vAlign w:val="center"/>
          </w:tcPr>
          <w:p w14:paraId="702B79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F666B2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01EFED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0.004 </w:t>
            </w:r>
          </w:p>
        </w:tc>
        <w:tc>
          <w:tcPr>
            <w:tcW w:w="214" w:type="pct"/>
            <w:tcBorders>
              <w:tl2br w:val="nil"/>
              <w:tr2bl w:val="nil"/>
            </w:tcBorders>
            <w:shd w:val="clear" w:color="auto" w:fill="auto"/>
            <w:noWrap/>
            <w:vAlign w:val="center"/>
          </w:tcPr>
          <w:p w14:paraId="6CCE54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44" w:type="pct"/>
            <w:tcBorders>
              <w:tl2br w:val="nil"/>
              <w:tr2bl w:val="nil"/>
            </w:tcBorders>
            <w:shd w:val="clear" w:color="auto" w:fill="auto"/>
            <w:noWrap/>
            <w:vAlign w:val="center"/>
          </w:tcPr>
          <w:p w14:paraId="52BF9D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5E0F28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637" w:type="pct"/>
            <w:gridSpan w:val="2"/>
            <w:vMerge w:val="restart"/>
            <w:tcBorders>
              <w:tl2br w:val="nil"/>
              <w:tr2bl w:val="nil"/>
            </w:tcBorders>
            <w:shd w:val="clear" w:color="auto" w:fill="auto"/>
            <w:noWrap/>
            <w:vAlign w:val="center"/>
          </w:tcPr>
          <w:p w14:paraId="7E772F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合计</w:t>
            </w:r>
          </w:p>
        </w:tc>
        <w:tc>
          <w:tcPr>
            <w:tcW w:w="428" w:type="pct"/>
            <w:vMerge w:val="restart"/>
            <w:tcBorders>
              <w:tl2br w:val="nil"/>
              <w:tr2bl w:val="nil"/>
            </w:tcBorders>
            <w:shd w:val="clear" w:color="auto" w:fill="auto"/>
            <w:noWrap/>
            <w:vAlign w:val="center"/>
          </w:tcPr>
          <w:p w14:paraId="6714E2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有组织</w:t>
            </w:r>
          </w:p>
        </w:tc>
        <w:tc>
          <w:tcPr>
            <w:tcW w:w="254" w:type="pct"/>
            <w:tcBorders>
              <w:tl2br w:val="nil"/>
              <w:tr2bl w:val="nil"/>
            </w:tcBorders>
            <w:shd w:val="clear" w:color="auto" w:fill="auto"/>
            <w:noWrap/>
            <w:vAlign w:val="center"/>
          </w:tcPr>
          <w:p w14:paraId="5A7449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DA002</w:t>
            </w:r>
          </w:p>
        </w:tc>
        <w:tc>
          <w:tcPr>
            <w:tcW w:w="250" w:type="pct"/>
            <w:tcBorders>
              <w:tl2br w:val="nil"/>
              <w:tr2bl w:val="nil"/>
            </w:tcBorders>
            <w:shd w:val="clear" w:color="auto" w:fill="auto"/>
            <w:noWrap/>
            <w:vAlign w:val="center"/>
          </w:tcPr>
          <w:p w14:paraId="764F1C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61DDFE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34480E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4308FA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173" w:type="pct"/>
            <w:tcBorders>
              <w:tl2br w:val="nil"/>
              <w:tr2bl w:val="nil"/>
            </w:tcBorders>
            <w:shd w:val="clear" w:color="auto" w:fill="auto"/>
            <w:noWrap/>
            <w:vAlign w:val="center"/>
          </w:tcPr>
          <w:p w14:paraId="7AE32B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214" w:type="pct"/>
            <w:tcBorders>
              <w:tl2br w:val="nil"/>
              <w:tr2bl w:val="nil"/>
            </w:tcBorders>
            <w:shd w:val="clear" w:color="auto" w:fill="auto"/>
            <w:noWrap/>
            <w:vAlign w:val="center"/>
          </w:tcPr>
          <w:p w14:paraId="7445B8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0.005 </w:t>
            </w:r>
          </w:p>
        </w:tc>
        <w:tc>
          <w:tcPr>
            <w:tcW w:w="594" w:type="pct"/>
            <w:tcBorders>
              <w:tl2br w:val="nil"/>
              <w:tr2bl w:val="nil"/>
            </w:tcBorders>
            <w:shd w:val="clear" w:color="auto" w:fill="auto"/>
            <w:noWrap/>
            <w:vAlign w:val="center"/>
          </w:tcPr>
          <w:p w14:paraId="759F12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43B6F3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723C9F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582FAC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64D76F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5BD20C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0.36</w:t>
            </w:r>
          </w:p>
        </w:tc>
        <w:tc>
          <w:tcPr>
            <w:tcW w:w="173" w:type="pct"/>
            <w:tcBorders>
              <w:tl2br w:val="nil"/>
              <w:tr2bl w:val="nil"/>
            </w:tcBorders>
            <w:shd w:val="clear" w:color="auto" w:fill="auto"/>
            <w:noWrap/>
            <w:vAlign w:val="center"/>
          </w:tcPr>
          <w:p w14:paraId="0790CA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0.003 </w:t>
            </w:r>
          </w:p>
        </w:tc>
        <w:tc>
          <w:tcPr>
            <w:tcW w:w="214" w:type="pct"/>
            <w:tcBorders>
              <w:tl2br w:val="nil"/>
              <w:tr2bl w:val="nil"/>
            </w:tcBorders>
            <w:shd w:val="clear" w:color="auto" w:fill="auto"/>
            <w:noWrap/>
            <w:vAlign w:val="center"/>
          </w:tcPr>
          <w:p w14:paraId="143CA9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0.001 </w:t>
            </w:r>
          </w:p>
        </w:tc>
        <w:tc>
          <w:tcPr>
            <w:tcW w:w="244" w:type="pct"/>
            <w:tcBorders>
              <w:tl2br w:val="nil"/>
              <w:tr2bl w:val="nil"/>
            </w:tcBorders>
            <w:shd w:val="clear" w:color="auto" w:fill="auto"/>
            <w:noWrap/>
            <w:vAlign w:val="center"/>
          </w:tcPr>
          <w:p w14:paraId="798C09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45272E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7" w:type="pct"/>
            <w:gridSpan w:val="2"/>
            <w:vMerge w:val="continue"/>
            <w:tcBorders>
              <w:tl2br w:val="nil"/>
              <w:tr2bl w:val="nil"/>
            </w:tcBorders>
            <w:shd w:val="clear" w:color="auto" w:fill="auto"/>
            <w:noWrap/>
            <w:vAlign w:val="center"/>
          </w:tcPr>
          <w:p w14:paraId="331A8FAE">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77A2970B">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75E773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DA003</w:t>
            </w:r>
          </w:p>
        </w:tc>
        <w:tc>
          <w:tcPr>
            <w:tcW w:w="250" w:type="pct"/>
            <w:tcBorders>
              <w:tl2br w:val="nil"/>
              <w:tr2bl w:val="nil"/>
            </w:tcBorders>
            <w:shd w:val="clear" w:color="auto" w:fill="auto"/>
            <w:noWrap/>
            <w:vAlign w:val="center"/>
          </w:tcPr>
          <w:p w14:paraId="65B49D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72A07E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096A07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60E14E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w:t>
            </w:r>
          </w:p>
        </w:tc>
        <w:tc>
          <w:tcPr>
            <w:tcW w:w="173" w:type="pct"/>
            <w:tcBorders>
              <w:tl2br w:val="nil"/>
              <w:tr2bl w:val="nil"/>
            </w:tcBorders>
            <w:shd w:val="clear" w:color="auto" w:fill="auto"/>
            <w:noWrap/>
            <w:vAlign w:val="center"/>
          </w:tcPr>
          <w:p w14:paraId="0D31A5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0.014 </w:t>
            </w:r>
          </w:p>
        </w:tc>
        <w:tc>
          <w:tcPr>
            <w:tcW w:w="214" w:type="pct"/>
            <w:tcBorders>
              <w:tl2br w:val="nil"/>
              <w:tr2bl w:val="nil"/>
            </w:tcBorders>
            <w:shd w:val="clear" w:color="auto" w:fill="auto"/>
            <w:noWrap/>
            <w:vAlign w:val="center"/>
          </w:tcPr>
          <w:p w14:paraId="54D20C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0.007 </w:t>
            </w:r>
          </w:p>
        </w:tc>
        <w:tc>
          <w:tcPr>
            <w:tcW w:w="594" w:type="pct"/>
            <w:tcBorders>
              <w:tl2br w:val="nil"/>
              <w:tr2bl w:val="nil"/>
            </w:tcBorders>
            <w:shd w:val="clear" w:color="auto" w:fill="auto"/>
            <w:noWrap/>
            <w:vAlign w:val="center"/>
          </w:tcPr>
          <w:p w14:paraId="3E1A98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0868C1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152677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4199A6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2A23ED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482A6D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0.54</w:t>
            </w:r>
          </w:p>
        </w:tc>
        <w:tc>
          <w:tcPr>
            <w:tcW w:w="173" w:type="pct"/>
            <w:tcBorders>
              <w:tl2br w:val="nil"/>
              <w:tr2bl w:val="nil"/>
            </w:tcBorders>
            <w:shd w:val="clear" w:color="auto" w:fill="auto"/>
            <w:noWrap/>
            <w:vAlign w:val="center"/>
          </w:tcPr>
          <w:p w14:paraId="48B768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0.004 </w:t>
            </w:r>
          </w:p>
        </w:tc>
        <w:tc>
          <w:tcPr>
            <w:tcW w:w="214" w:type="pct"/>
            <w:tcBorders>
              <w:tl2br w:val="nil"/>
              <w:tr2bl w:val="nil"/>
            </w:tcBorders>
            <w:shd w:val="clear" w:color="auto" w:fill="auto"/>
            <w:noWrap/>
            <w:vAlign w:val="center"/>
          </w:tcPr>
          <w:p w14:paraId="7AAD08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244" w:type="pct"/>
            <w:tcBorders>
              <w:tl2br w:val="nil"/>
              <w:tr2bl w:val="nil"/>
            </w:tcBorders>
            <w:shd w:val="clear" w:color="auto" w:fill="auto"/>
            <w:noWrap/>
            <w:vAlign w:val="center"/>
          </w:tcPr>
          <w:p w14:paraId="5A27A3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3CBEB0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637" w:type="pct"/>
            <w:gridSpan w:val="2"/>
            <w:vMerge w:val="continue"/>
            <w:tcBorders>
              <w:tl2br w:val="nil"/>
              <w:tr2bl w:val="nil"/>
            </w:tcBorders>
            <w:shd w:val="clear" w:color="auto" w:fill="auto"/>
            <w:noWrap/>
            <w:vAlign w:val="center"/>
          </w:tcPr>
          <w:p w14:paraId="4077DDE0">
            <w:pPr>
              <w:jc w:val="center"/>
              <w:rPr>
                <w:rFonts w:hint="default" w:ascii="Times New Roman" w:hAnsi="Times New Roman" w:eastAsia="宋体" w:cs="Times New Roman"/>
                <w:i w:val="0"/>
                <w:iCs w:val="0"/>
                <w:color w:val="auto"/>
                <w:sz w:val="18"/>
                <w:szCs w:val="18"/>
                <w:u w:val="none"/>
              </w:rPr>
            </w:pPr>
          </w:p>
        </w:tc>
        <w:tc>
          <w:tcPr>
            <w:tcW w:w="428" w:type="pct"/>
            <w:vMerge w:val="continue"/>
            <w:tcBorders>
              <w:tl2br w:val="nil"/>
              <w:tr2bl w:val="nil"/>
            </w:tcBorders>
            <w:shd w:val="clear" w:color="auto" w:fill="auto"/>
            <w:noWrap/>
            <w:vAlign w:val="center"/>
          </w:tcPr>
          <w:p w14:paraId="26D3C101">
            <w:pPr>
              <w:jc w:val="center"/>
              <w:rPr>
                <w:rFonts w:hint="default" w:ascii="Times New Roman" w:hAnsi="Times New Roman" w:eastAsia="宋体" w:cs="Times New Roman"/>
                <w:i w:val="0"/>
                <w:iCs w:val="0"/>
                <w:color w:val="auto"/>
                <w:sz w:val="18"/>
                <w:szCs w:val="18"/>
                <w:u w:val="none"/>
              </w:rPr>
            </w:pPr>
          </w:p>
        </w:tc>
        <w:tc>
          <w:tcPr>
            <w:tcW w:w="254" w:type="pct"/>
            <w:tcBorders>
              <w:tl2br w:val="nil"/>
              <w:tr2bl w:val="nil"/>
            </w:tcBorders>
            <w:shd w:val="clear" w:color="auto" w:fill="auto"/>
            <w:noWrap/>
            <w:vAlign w:val="center"/>
          </w:tcPr>
          <w:p w14:paraId="2DB6ED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DA004</w:t>
            </w:r>
          </w:p>
        </w:tc>
        <w:tc>
          <w:tcPr>
            <w:tcW w:w="250" w:type="pct"/>
            <w:tcBorders>
              <w:tl2br w:val="nil"/>
              <w:tr2bl w:val="nil"/>
            </w:tcBorders>
            <w:shd w:val="clear" w:color="auto" w:fill="auto"/>
            <w:noWrap/>
            <w:vAlign w:val="center"/>
          </w:tcPr>
          <w:p w14:paraId="5A199C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1368AD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3060D2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34E4CD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173" w:type="pct"/>
            <w:tcBorders>
              <w:tl2br w:val="nil"/>
              <w:tr2bl w:val="nil"/>
            </w:tcBorders>
            <w:shd w:val="clear" w:color="auto" w:fill="auto"/>
            <w:noWrap/>
            <w:vAlign w:val="center"/>
          </w:tcPr>
          <w:p w14:paraId="0EDCB2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0.072 </w:t>
            </w:r>
          </w:p>
        </w:tc>
        <w:tc>
          <w:tcPr>
            <w:tcW w:w="214" w:type="pct"/>
            <w:tcBorders>
              <w:tl2br w:val="nil"/>
              <w:tr2bl w:val="nil"/>
            </w:tcBorders>
            <w:shd w:val="clear" w:color="auto" w:fill="auto"/>
            <w:noWrap/>
            <w:vAlign w:val="center"/>
          </w:tcPr>
          <w:p w14:paraId="7A888D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0.036 </w:t>
            </w:r>
          </w:p>
        </w:tc>
        <w:tc>
          <w:tcPr>
            <w:tcW w:w="594" w:type="pct"/>
            <w:tcBorders>
              <w:tl2br w:val="nil"/>
              <w:tr2bl w:val="nil"/>
            </w:tcBorders>
            <w:shd w:val="clear" w:color="auto" w:fill="auto"/>
            <w:noWrap/>
            <w:vAlign w:val="center"/>
          </w:tcPr>
          <w:p w14:paraId="3691296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060098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4659C4F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749A28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0EE3D6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4000</w:t>
            </w:r>
          </w:p>
        </w:tc>
        <w:tc>
          <w:tcPr>
            <w:tcW w:w="213" w:type="pct"/>
            <w:tcBorders>
              <w:tl2br w:val="nil"/>
              <w:tr2bl w:val="nil"/>
            </w:tcBorders>
            <w:shd w:val="clear" w:color="auto" w:fill="auto"/>
            <w:noWrap/>
            <w:vAlign w:val="center"/>
          </w:tcPr>
          <w:p w14:paraId="4EA818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2.7</w:t>
            </w:r>
          </w:p>
        </w:tc>
        <w:tc>
          <w:tcPr>
            <w:tcW w:w="173" w:type="pct"/>
            <w:tcBorders>
              <w:tl2br w:val="nil"/>
              <w:tr2bl w:val="nil"/>
            </w:tcBorders>
            <w:shd w:val="clear" w:color="auto" w:fill="auto"/>
            <w:noWrap/>
            <w:vAlign w:val="center"/>
          </w:tcPr>
          <w:p w14:paraId="49B761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0.022 </w:t>
            </w:r>
          </w:p>
        </w:tc>
        <w:tc>
          <w:tcPr>
            <w:tcW w:w="214" w:type="pct"/>
            <w:tcBorders>
              <w:tl2br w:val="nil"/>
              <w:tr2bl w:val="nil"/>
            </w:tcBorders>
            <w:shd w:val="clear" w:color="auto" w:fill="auto"/>
            <w:noWrap/>
            <w:vAlign w:val="center"/>
          </w:tcPr>
          <w:p w14:paraId="0FA153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0.011 </w:t>
            </w:r>
          </w:p>
        </w:tc>
        <w:tc>
          <w:tcPr>
            <w:tcW w:w="244" w:type="pct"/>
            <w:tcBorders>
              <w:tl2br w:val="nil"/>
              <w:tr2bl w:val="nil"/>
            </w:tcBorders>
            <w:shd w:val="clear" w:color="auto" w:fill="auto"/>
            <w:noWrap/>
            <w:vAlign w:val="center"/>
          </w:tcPr>
          <w:p w14:paraId="0D1878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r w14:paraId="1BB3BC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7" w:type="pct"/>
            <w:gridSpan w:val="2"/>
            <w:vMerge w:val="continue"/>
            <w:tcBorders>
              <w:tl2br w:val="nil"/>
              <w:tr2bl w:val="nil"/>
            </w:tcBorders>
            <w:shd w:val="clear" w:color="auto" w:fill="auto"/>
            <w:noWrap/>
            <w:vAlign w:val="center"/>
          </w:tcPr>
          <w:p w14:paraId="247D8776">
            <w:pPr>
              <w:jc w:val="center"/>
              <w:rPr>
                <w:rFonts w:hint="default" w:ascii="Times New Roman" w:hAnsi="Times New Roman" w:eastAsia="宋体" w:cs="Times New Roman"/>
                <w:i w:val="0"/>
                <w:iCs w:val="0"/>
                <w:color w:val="auto"/>
                <w:sz w:val="18"/>
                <w:szCs w:val="18"/>
                <w:u w:val="none"/>
              </w:rPr>
            </w:pPr>
          </w:p>
        </w:tc>
        <w:tc>
          <w:tcPr>
            <w:tcW w:w="683" w:type="pct"/>
            <w:gridSpan w:val="2"/>
            <w:tcBorders>
              <w:tl2br w:val="nil"/>
              <w:tr2bl w:val="nil"/>
            </w:tcBorders>
            <w:shd w:val="clear" w:color="auto" w:fill="auto"/>
            <w:noWrap/>
            <w:vAlign w:val="center"/>
          </w:tcPr>
          <w:p w14:paraId="4A3EAD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无组织</w:t>
            </w:r>
          </w:p>
        </w:tc>
        <w:tc>
          <w:tcPr>
            <w:tcW w:w="250" w:type="pct"/>
            <w:tcBorders>
              <w:tl2br w:val="nil"/>
              <w:tr2bl w:val="nil"/>
            </w:tcBorders>
            <w:shd w:val="clear" w:color="auto" w:fill="auto"/>
            <w:noWrap/>
            <w:vAlign w:val="center"/>
          </w:tcPr>
          <w:p w14:paraId="70A7B8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NMHC</w:t>
            </w:r>
          </w:p>
        </w:tc>
        <w:tc>
          <w:tcPr>
            <w:tcW w:w="244" w:type="pct"/>
            <w:tcBorders>
              <w:tl2br w:val="nil"/>
              <w:tr2bl w:val="nil"/>
            </w:tcBorders>
            <w:shd w:val="clear" w:color="auto" w:fill="auto"/>
            <w:noWrap/>
            <w:vAlign w:val="center"/>
          </w:tcPr>
          <w:p w14:paraId="791A395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20052A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032922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6105F8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0.063 </w:t>
            </w:r>
          </w:p>
        </w:tc>
        <w:tc>
          <w:tcPr>
            <w:tcW w:w="214" w:type="pct"/>
            <w:tcBorders>
              <w:tl2br w:val="nil"/>
              <w:tr2bl w:val="nil"/>
            </w:tcBorders>
            <w:shd w:val="clear" w:color="auto" w:fill="auto"/>
            <w:noWrap/>
            <w:vAlign w:val="center"/>
          </w:tcPr>
          <w:p w14:paraId="7A60EC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0.032 </w:t>
            </w:r>
          </w:p>
        </w:tc>
        <w:tc>
          <w:tcPr>
            <w:tcW w:w="594" w:type="pct"/>
            <w:tcBorders>
              <w:tl2br w:val="nil"/>
              <w:tr2bl w:val="nil"/>
            </w:tcBorders>
            <w:shd w:val="clear" w:color="auto" w:fill="auto"/>
            <w:noWrap/>
            <w:vAlign w:val="center"/>
          </w:tcPr>
          <w:p w14:paraId="5A0B55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6D0026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4" w:type="pct"/>
            <w:tcBorders>
              <w:tl2br w:val="nil"/>
              <w:tr2bl w:val="nil"/>
            </w:tcBorders>
            <w:shd w:val="clear" w:color="auto" w:fill="auto"/>
            <w:noWrap/>
            <w:vAlign w:val="center"/>
          </w:tcPr>
          <w:p w14:paraId="126001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1BC0D1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52" w:type="pct"/>
            <w:tcBorders>
              <w:tl2br w:val="nil"/>
              <w:tr2bl w:val="nil"/>
            </w:tcBorders>
            <w:shd w:val="clear" w:color="auto" w:fill="auto"/>
            <w:noWrap/>
            <w:vAlign w:val="center"/>
          </w:tcPr>
          <w:p w14:paraId="7181A0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13" w:type="pct"/>
            <w:tcBorders>
              <w:tl2br w:val="nil"/>
              <w:tr2bl w:val="nil"/>
            </w:tcBorders>
            <w:shd w:val="clear" w:color="auto" w:fill="auto"/>
            <w:noWrap/>
            <w:vAlign w:val="center"/>
          </w:tcPr>
          <w:p w14:paraId="62C9F2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173" w:type="pct"/>
            <w:tcBorders>
              <w:tl2br w:val="nil"/>
              <w:tr2bl w:val="nil"/>
            </w:tcBorders>
            <w:shd w:val="clear" w:color="auto" w:fill="auto"/>
            <w:noWrap/>
            <w:vAlign w:val="center"/>
          </w:tcPr>
          <w:p w14:paraId="028C28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0.063 </w:t>
            </w:r>
          </w:p>
        </w:tc>
        <w:tc>
          <w:tcPr>
            <w:tcW w:w="214" w:type="pct"/>
            <w:tcBorders>
              <w:tl2br w:val="nil"/>
              <w:tr2bl w:val="nil"/>
            </w:tcBorders>
            <w:shd w:val="clear" w:color="auto" w:fill="auto"/>
            <w:noWrap/>
            <w:vAlign w:val="center"/>
          </w:tcPr>
          <w:p w14:paraId="3A0DDF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0.032 </w:t>
            </w:r>
          </w:p>
        </w:tc>
        <w:tc>
          <w:tcPr>
            <w:tcW w:w="244" w:type="pct"/>
            <w:tcBorders>
              <w:tl2br w:val="nil"/>
              <w:tr2bl w:val="nil"/>
            </w:tcBorders>
            <w:shd w:val="clear" w:color="auto" w:fill="auto"/>
            <w:noWrap/>
            <w:vAlign w:val="center"/>
          </w:tcPr>
          <w:p w14:paraId="62A829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r>
    </w:tbl>
    <w:p w14:paraId="792618F7">
      <w:pPr>
        <w:adjustRightInd w:val="0"/>
        <w:snapToGrid w:val="0"/>
        <w:spacing w:line="360" w:lineRule="auto"/>
        <w:rPr>
          <w:b/>
          <w:color w:val="auto"/>
          <w:kern w:val="0"/>
          <w:sz w:val="28"/>
          <w:szCs w:val="28"/>
        </w:rPr>
      </w:pPr>
    </w:p>
    <w:p w14:paraId="25375169">
      <w:pPr>
        <w:adjustRightInd w:val="0"/>
        <w:snapToGrid w:val="0"/>
        <w:spacing w:line="360" w:lineRule="auto"/>
        <w:rPr>
          <w:b/>
          <w:kern w:val="0"/>
          <w:sz w:val="28"/>
          <w:szCs w:val="28"/>
        </w:rPr>
      </w:pPr>
    </w:p>
    <w:p w14:paraId="3E1E8675">
      <w:pPr>
        <w:adjustRightInd w:val="0"/>
        <w:snapToGrid w:val="0"/>
        <w:spacing w:line="360" w:lineRule="auto"/>
        <w:rPr>
          <w:b/>
          <w:kern w:val="0"/>
          <w:sz w:val="28"/>
          <w:szCs w:val="28"/>
        </w:rPr>
        <w:sectPr>
          <w:pgSz w:w="23811" w:h="16838"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
        <w:gridCol w:w="8475"/>
      </w:tblGrid>
      <w:tr w14:paraId="510E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5" w:hRule="atLeast"/>
        </w:trPr>
        <w:tc>
          <w:tcPr>
            <w:tcW w:w="988" w:type="dxa"/>
            <w:vAlign w:val="center"/>
          </w:tcPr>
          <w:p w14:paraId="1148F787">
            <w:pPr>
              <w:adjustRightInd w:val="0"/>
              <w:snapToGrid w:val="0"/>
              <w:jc w:val="center"/>
              <w:rPr>
                <w:bCs/>
                <w:szCs w:val="21"/>
              </w:rPr>
            </w:pPr>
            <w:r>
              <w:rPr>
                <w:rFonts w:hint="eastAsia"/>
                <w:bCs/>
                <w:szCs w:val="21"/>
              </w:rPr>
              <w:t>运营</w:t>
            </w:r>
          </w:p>
          <w:p w14:paraId="59073C4A">
            <w:pPr>
              <w:adjustRightInd w:val="0"/>
              <w:snapToGrid w:val="0"/>
              <w:jc w:val="center"/>
              <w:rPr>
                <w:bCs/>
                <w:szCs w:val="21"/>
              </w:rPr>
            </w:pPr>
            <w:r>
              <w:rPr>
                <w:rFonts w:hint="eastAsia"/>
                <w:bCs/>
                <w:szCs w:val="21"/>
              </w:rPr>
              <w:t>期环</w:t>
            </w:r>
          </w:p>
          <w:p w14:paraId="6ABD6447">
            <w:pPr>
              <w:adjustRightInd w:val="0"/>
              <w:snapToGrid w:val="0"/>
              <w:jc w:val="center"/>
              <w:rPr>
                <w:bCs/>
                <w:szCs w:val="21"/>
              </w:rPr>
            </w:pPr>
            <w:r>
              <w:rPr>
                <w:rFonts w:hint="eastAsia"/>
                <w:bCs/>
                <w:szCs w:val="21"/>
              </w:rPr>
              <w:t>境影</w:t>
            </w:r>
          </w:p>
          <w:p w14:paraId="4802F3EA">
            <w:pPr>
              <w:adjustRightInd w:val="0"/>
              <w:snapToGrid w:val="0"/>
              <w:jc w:val="center"/>
              <w:rPr>
                <w:bCs/>
                <w:szCs w:val="21"/>
              </w:rPr>
            </w:pPr>
            <w:r>
              <w:rPr>
                <w:rFonts w:hint="eastAsia"/>
                <w:bCs/>
                <w:szCs w:val="21"/>
              </w:rPr>
              <w:t>响和</w:t>
            </w:r>
          </w:p>
          <w:p w14:paraId="0D258A8A">
            <w:pPr>
              <w:adjustRightInd w:val="0"/>
              <w:snapToGrid w:val="0"/>
              <w:jc w:val="center"/>
              <w:rPr>
                <w:bCs/>
                <w:szCs w:val="21"/>
              </w:rPr>
            </w:pPr>
            <w:r>
              <w:rPr>
                <w:rFonts w:hint="eastAsia"/>
                <w:bCs/>
                <w:szCs w:val="21"/>
              </w:rPr>
              <w:t>保护</w:t>
            </w:r>
          </w:p>
          <w:p w14:paraId="627245C8">
            <w:pPr>
              <w:adjustRightInd w:val="0"/>
              <w:snapToGrid w:val="0"/>
              <w:spacing w:line="360" w:lineRule="auto"/>
              <w:jc w:val="center"/>
              <w:rPr>
                <w:b/>
                <w:kern w:val="0"/>
                <w:sz w:val="28"/>
                <w:szCs w:val="28"/>
              </w:rPr>
            </w:pPr>
            <w:r>
              <w:rPr>
                <w:rFonts w:hint="eastAsia"/>
                <w:bCs/>
                <w:szCs w:val="21"/>
              </w:rPr>
              <w:t>措施</w:t>
            </w:r>
          </w:p>
        </w:tc>
        <w:tc>
          <w:tcPr>
            <w:tcW w:w="7847" w:type="dxa"/>
          </w:tcPr>
          <w:p w14:paraId="0F6896C3">
            <w:pPr>
              <w:numPr>
                <w:ilvl w:val="0"/>
                <w:numId w:val="11"/>
              </w:numPr>
              <w:adjustRightInd w:val="0"/>
              <w:snapToGrid w:val="0"/>
              <w:spacing w:line="360" w:lineRule="auto"/>
              <w:rPr>
                <w:b/>
                <w:kern w:val="0"/>
                <w:szCs w:val="21"/>
              </w:rPr>
            </w:pPr>
            <w:r>
              <w:rPr>
                <w:rFonts w:hint="eastAsia"/>
                <w:b/>
                <w:kern w:val="0"/>
                <w:szCs w:val="21"/>
              </w:rPr>
              <w:t>非正常工况分析</w:t>
            </w:r>
          </w:p>
          <w:p w14:paraId="738D2402">
            <w:pPr>
              <w:spacing w:line="360" w:lineRule="auto"/>
              <w:ind w:firstLine="420" w:firstLineChars="200"/>
              <w:rPr>
                <w:rFonts w:hint="default" w:eastAsia="宋体"/>
                <w:szCs w:val="21"/>
                <w:lang w:val="en-US" w:eastAsia="zh-CN"/>
              </w:rPr>
            </w:pPr>
            <w:r>
              <w:rPr>
                <w:rFonts w:hint="eastAsia"/>
                <w:szCs w:val="21"/>
              </w:rPr>
              <w:t>本项目各类生产设施开启以后，配套</w:t>
            </w:r>
            <w:r>
              <w:rPr>
                <w:rFonts w:hint="eastAsia"/>
                <w:szCs w:val="21"/>
                <w:lang w:val="en-US" w:eastAsia="zh-CN"/>
              </w:rPr>
              <w:t>通风系统</w:t>
            </w:r>
            <w:r>
              <w:rPr>
                <w:rFonts w:hint="eastAsia"/>
                <w:szCs w:val="21"/>
              </w:rPr>
              <w:t>同步开启，基本可以确保</w:t>
            </w:r>
            <w:r>
              <w:rPr>
                <w:rFonts w:hint="eastAsia"/>
                <w:szCs w:val="21"/>
                <w:lang w:val="en-US" w:eastAsia="zh-CN"/>
              </w:rPr>
              <w:t>密闭车间</w:t>
            </w:r>
            <w:r>
              <w:rPr>
                <w:rFonts w:hint="eastAsia"/>
                <w:szCs w:val="21"/>
              </w:rPr>
              <w:t>废气收集</w:t>
            </w:r>
            <w:r>
              <w:rPr>
                <w:rFonts w:hint="eastAsia"/>
                <w:szCs w:val="21"/>
                <w:lang w:val="en-US" w:eastAsia="zh-CN"/>
              </w:rPr>
              <w:t>并及时排放</w:t>
            </w:r>
            <w:r>
              <w:rPr>
                <w:rFonts w:hint="eastAsia"/>
                <w:szCs w:val="21"/>
              </w:rPr>
              <w:t>。本项目非正常工况可能性主要是</w:t>
            </w:r>
            <w:r>
              <w:rPr>
                <w:rFonts w:hint="eastAsia"/>
                <w:szCs w:val="21"/>
                <w:lang w:val="en-US" w:eastAsia="zh-CN"/>
              </w:rPr>
              <w:t>各类废气污染物处理设施故障，净化效率降低50%。</w:t>
            </w:r>
            <w:r>
              <w:rPr>
                <w:rFonts w:hint="eastAsia"/>
                <w:szCs w:val="21"/>
              </w:rPr>
              <w:t>环评要求企业一旦发现非正常运行情况，必须立即停止生产，</w:t>
            </w:r>
            <w:r>
              <w:rPr>
                <w:rFonts w:hint="eastAsia"/>
                <w:szCs w:val="21"/>
                <w:lang w:val="en-US" w:eastAsia="zh-CN"/>
              </w:rPr>
              <w:t>排除故障，</w:t>
            </w:r>
            <w:r>
              <w:rPr>
                <w:rFonts w:hint="eastAsia"/>
                <w:szCs w:val="21"/>
              </w:rPr>
              <w:t>防止污染物</w:t>
            </w:r>
            <w:r>
              <w:rPr>
                <w:rFonts w:hint="eastAsia"/>
                <w:szCs w:val="21"/>
                <w:lang w:val="en-US" w:eastAsia="zh-CN"/>
              </w:rPr>
              <w:t>对车间工人健康造成伤害</w:t>
            </w:r>
            <w:r>
              <w:rPr>
                <w:rFonts w:hint="eastAsia"/>
                <w:szCs w:val="21"/>
              </w:rPr>
              <w:t>。</w:t>
            </w:r>
            <w:r>
              <w:rPr>
                <w:rFonts w:hint="eastAsia"/>
                <w:szCs w:val="21"/>
                <w:lang w:val="en-US" w:eastAsia="zh-CN"/>
              </w:rPr>
              <w:t>非正常工况下，废气污染源排放如下表。</w:t>
            </w:r>
          </w:p>
          <w:p w14:paraId="0262EC6F">
            <w:pPr>
              <w:numPr>
                <w:ilvl w:val="0"/>
                <w:numId w:val="12"/>
              </w:numPr>
              <w:spacing w:line="360" w:lineRule="auto"/>
              <w:jc w:val="center"/>
              <w:rPr>
                <w:rFonts w:hint="eastAsia"/>
                <w:szCs w:val="21"/>
              </w:rPr>
            </w:pPr>
            <w:r>
              <w:rPr>
                <w:rFonts w:hint="eastAsia" w:ascii="黑体" w:hAnsi="黑体" w:eastAsia="黑体" w:cs="黑体"/>
                <w:spacing w:val="-10"/>
                <w:szCs w:val="21"/>
              </w:rPr>
              <w:t xml:space="preserve"> </w:t>
            </w:r>
            <w:r>
              <w:rPr>
                <w:rFonts w:hint="eastAsia" w:ascii="黑体" w:hAnsi="黑体" w:eastAsia="黑体" w:cs="黑体"/>
                <w:spacing w:val="-10"/>
                <w:szCs w:val="21"/>
                <w:lang w:val="zh-CN"/>
              </w:rPr>
              <w:t>项目废气污染源</w:t>
            </w:r>
            <w:r>
              <w:rPr>
                <w:rFonts w:hint="eastAsia" w:ascii="黑体" w:hAnsi="黑体" w:eastAsia="黑体" w:cs="黑体"/>
                <w:spacing w:val="-10"/>
                <w:szCs w:val="21"/>
                <w:lang w:val="en-US" w:eastAsia="zh-CN"/>
              </w:rPr>
              <w:t>非正常工况排放一</w:t>
            </w:r>
            <w:r>
              <w:rPr>
                <w:rFonts w:hint="eastAsia" w:ascii="黑体" w:hAnsi="黑体" w:eastAsia="黑体" w:cs="黑体"/>
                <w:spacing w:val="-10"/>
                <w:szCs w:val="21"/>
                <w:lang w:val="zh-CN"/>
              </w:rPr>
              <w:t>览表</w:t>
            </w:r>
          </w:p>
          <w:tbl>
            <w:tblPr>
              <w:tblStyle w:val="2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58"/>
              <w:gridCol w:w="2279"/>
              <w:gridCol w:w="559"/>
              <w:gridCol w:w="1578"/>
              <w:gridCol w:w="1478"/>
              <w:gridCol w:w="990"/>
              <w:gridCol w:w="787"/>
            </w:tblGrid>
            <w:tr w14:paraId="3C4790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96" w:type="pct"/>
                  <w:tcBorders>
                    <w:tl2br w:val="nil"/>
                    <w:tr2bl w:val="nil"/>
                  </w:tcBorders>
                  <w:shd w:val="clear" w:color="auto" w:fill="auto"/>
                  <w:noWrap/>
                  <w:vAlign w:val="center"/>
                </w:tcPr>
                <w:p w14:paraId="321693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w:t>
                  </w:r>
                </w:p>
              </w:tc>
              <w:tc>
                <w:tcPr>
                  <w:tcW w:w="1043" w:type="pct"/>
                  <w:tcBorders>
                    <w:tl2br w:val="nil"/>
                    <w:tr2bl w:val="nil"/>
                  </w:tcBorders>
                  <w:shd w:val="clear" w:color="auto" w:fill="auto"/>
                  <w:noWrap/>
                  <w:vAlign w:val="center"/>
                </w:tcPr>
                <w:p w14:paraId="7168C4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非正常排放原因</w:t>
                  </w:r>
                </w:p>
              </w:tc>
              <w:tc>
                <w:tcPr>
                  <w:tcW w:w="522" w:type="pct"/>
                  <w:tcBorders>
                    <w:tl2br w:val="nil"/>
                    <w:tr2bl w:val="nil"/>
                  </w:tcBorders>
                  <w:shd w:val="clear" w:color="auto" w:fill="auto"/>
                  <w:noWrap/>
                  <w:vAlign w:val="center"/>
                </w:tcPr>
                <w:p w14:paraId="18DF7B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960" w:type="pct"/>
                  <w:tcBorders>
                    <w:tl2br w:val="nil"/>
                    <w:tr2bl w:val="nil"/>
                  </w:tcBorders>
                  <w:shd w:val="clear" w:color="auto" w:fill="auto"/>
                  <w:noWrap/>
                  <w:vAlign w:val="center"/>
                </w:tcPr>
                <w:p w14:paraId="519622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非正常排放浓度/（mg/m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w:t>
                  </w:r>
                </w:p>
              </w:tc>
              <w:tc>
                <w:tcPr>
                  <w:tcW w:w="972" w:type="pct"/>
                  <w:tcBorders>
                    <w:tl2br w:val="nil"/>
                    <w:tr2bl w:val="nil"/>
                  </w:tcBorders>
                  <w:shd w:val="clear" w:color="auto" w:fill="auto"/>
                  <w:noWrap/>
                  <w:vAlign w:val="center"/>
                </w:tcPr>
                <w:p w14:paraId="6BB009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非正常排放速率/（kg/h）</w:t>
                  </w:r>
                </w:p>
              </w:tc>
              <w:tc>
                <w:tcPr>
                  <w:tcW w:w="527" w:type="pct"/>
                  <w:tcBorders>
                    <w:tl2br w:val="nil"/>
                    <w:tr2bl w:val="nil"/>
                  </w:tcBorders>
                  <w:shd w:val="clear" w:color="auto" w:fill="auto"/>
                  <w:noWrap/>
                  <w:vAlign w:val="center"/>
                </w:tcPr>
                <w:p w14:paraId="4E1890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单次持续时间/h</w:t>
                  </w:r>
                </w:p>
              </w:tc>
              <w:tc>
                <w:tcPr>
                  <w:tcW w:w="476" w:type="pct"/>
                  <w:tcBorders>
                    <w:tl2br w:val="nil"/>
                    <w:tr2bl w:val="nil"/>
                  </w:tcBorders>
                  <w:shd w:val="clear" w:color="auto" w:fill="auto"/>
                  <w:noWrap/>
                  <w:vAlign w:val="center"/>
                </w:tcPr>
                <w:p w14:paraId="1CC7F6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年发生频次</w:t>
                  </w:r>
                </w:p>
              </w:tc>
            </w:tr>
            <w:tr w14:paraId="2998E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96" w:type="pct"/>
                  <w:tcBorders>
                    <w:tl2br w:val="nil"/>
                    <w:tr2bl w:val="nil"/>
                  </w:tcBorders>
                  <w:shd w:val="clear" w:color="auto" w:fill="auto"/>
                  <w:noWrap/>
                  <w:vAlign w:val="center"/>
                </w:tcPr>
                <w:p w14:paraId="2BC1D7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DA002</w:t>
                  </w:r>
                </w:p>
              </w:tc>
              <w:tc>
                <w:tcPr>
                  <w:tcW w:w="1043" w:type="pct"/>
                  <w:vMerge w:val="restart"/>
                  <w:tcBorders>
                    <w:tl2br w:val="nil"/>
                    <w:tr2bl w:val="nil"/>
                  </w:tcBorders>
                  <w:shd w:val="clear" w:color="auto" w:fill="auto"/>
                  <w:noWrap/>
                  <w:vAlign w:val="center"/>
                </w:tcPr>
                <w:p w14:paraId="713CEA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废气处理装置故障（净化效率降低50%）</w:t>
                  </w:r>
                </w:p>
              </w:tc>
              <w:tc>
                <w:tcPr>
                  <w:tcW w:w="522" w:type="pct"/>
                  <w:vMerge w:val="restart"/>
                  <w:tcBorders>
                    <w:tl2br w:val="nil"/>
                    <w:tr2bl w:val="nil"/>
                  </w:tcBorders>
                  <w:shd w:val="clear" w:color="auto" w:fill="auto"/>
                  <w:noWrap/>
                  <w:vAlign w:val="center"/>
                </w:tcPr>
                <w:p w14:paraId="5586DE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NMHC</w:t>
                  </w:r>
                </w:p>
              </w:tc>
              <w:tc>
                <w:tcPr>
                  <w:tcW w:w="960" w:type="pct"/>
                  <w:tcBorders>
                    <w:tl2br w:val="nil"/>
                    <w:tr2bl w:val="nil"/>
                  </w:tcBorders>
                  <w:shd w:val="clear" w:color="auto" w:fill="auto"/>
                  <w:noWrap/>
                  <w:vAlign w:val="center"/>
                </w:tcPr>
                <w:p w14:paraId="3AA02F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0.8</w:t>
                  </w:r>
                </w:p>
              </w:tc>
              <w:tc>
                <w:tcPr>
                  <w:tcW w:w="972" w:type="pct"/>
                  <w:tcBorders>
                    <w:tl2br w:val="nil"/>
                    <w:tr2bl w:val="nil"/>
                  </w:tcBorders>
                  <w:shd w:val="clear" w:color="auto" w:fill="auto"/>
                  <w:noWrap/>
                  <w:vAlign w:val="center"/>
                </w:tcPr>
                <w:p w14:paraId="4CF3C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0.003</w:t>
                  </w:r>
                </w:p>
              </w:tc>
              <w:tc>
                <w:tcPr>
                  <w:tcW w:w="527" w:type="pct"/>
                  <w:vMerge w:val="restart"/>
                  <w:tcBorders>
                    <w:tl2br w:val="nil"/>
                    <w:tr2bl w:val="nil"/>
                  </w:tcBorders>
                  <w:shd w:val="clear" w:color="auto" w:fill="auto"/>
                  <w:noWrap/>
                  <w:vAlign w:val="center"/>
                </w:tcPr>
                <w:p w14:paraId="165F5D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76" w:type="pct"/>
                  <w:vMerge w:val="restart"/>
                  <w:tcBorders>
                    <w:tl2br w:val="nil"/>
                    <w:tr2bl w:val="nil"/>
                  </w:tcBorders>
                  <w:shd w:val="clear" w:color="auto" w:fill="auto"/>
                  <w:noWrap/>
                  <w:vAlign w:val="center"/>
                </w:tcPr>
                <w:p w14:paraId="63275A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r>
            <w:tr w14:paraId="5DDD6D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96" w:type="pct"/>
                  <w:tcBorders>
                    <w:tl2br w:val="nil"/>
                    <w:tr2bl w:val="nil"/>
                  </w:tcBorders>
                  <w:shd w:val="clear" w:color="auto" w:fill="auto"/>
                  <w:noWrap/>
                  <w:vAlign w:val="center"/>
                </w:tcPr>
                <w:p w14:paraId="765DBE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DA003</w:t>
                  </w:r>
                </w:p>
              </w:tc>
              <w:tc>
                <w:tcPr>
                  <w:tcW w:w="1043" w:type="pct"/>
                  <w:vMerge w:val="continue"/>
                  <w:tcBorders>
                    <w:tl2br w:val="nil"/>
                    <w:tr2bl w:val="nil"/>
                  </w:tcBorders>
                  <w:shd w:val="clear" w:color="auto" w:fill="auto"/>
                  <w:noWrap/>
                  <w:vAlign w:val="center"/>
                </w:tcPr>
                <w:p w14:paraId="381A5FC0">
                  <w:pPr>
                    <w:jc w:val="center"/>
                    <w:rPr>
                      <w:rFonts w:hint="default" w:ascii="Times New Roman" w:hAnsi="Times New Roman" w:eastAsia="宋体" w:cs="Times New Roman"/>
                      <w:i w:val="0"/>
                      <w:iCs w:val="0"/>
                      <w:color w:val="000000"/>
                      <w:sz w:val="18"/>
                      <w:szCs w:val="18"/>
                      <w:u w:val="none"/>
                    </w:rPr>
                  </w:pPr>
                </w:p>
              </w:tc>
              <w:tc>
                <w:tcPr>
                  <w:tcW w:w="522" w:type="pct"/>
                  <w:vMerge w:val="continue"/>
                  <w:tcBorders>
                    <w:tl2br w:val="nil"/>
                    <w:tr2bl w:val="nil"/>
                  </w:tcBorders>
                  <w:shd w:val="clear" w:color="auto" w:fill="auto"/>
                  <w:noWrap/>
                  <w:vAlign w:val="center"/>
                </w:tcPr>
                <w:p w14:paraId="0A180C11">
                  <w:pPr>
                    <w:jc w:val="center"/>
                    <w:rPr>
                      <w:rFonts w:hint="default" w:ascii="Times New Roman" w:hAnsi="Times New Roman" w:eastAsia="宋体" w:cs="Times New Roman"/>
                      <w:i w:val="0"/>
                      <w:iCs w:val="0"/>
                      <w:color w:val="000000"/>
                      <w:sz w:val="18"/>
                      <w:szCs w:val="18"/>
                      <w:u w:val="none"/>
                    </w:rPr>
                  </w:pPr>
                </w:p>
              </w:tc>
              <w:tc>
                <w:tcPr>
                  <w:tcW w:w="960" w:type="pct"/>
                  <w:tcBorders>
                    <w:tl2br w:val="nil"/>
                    <w:tr2bl w:val="nil"/>
                  </w:tcBorders>
                  <w:shd w:val="clear" w:color="auto" w:fill="auto"/>
                  <w:noWrap/>
                  <w:vAlign w:val="center"/>
                </w:tcPr>
                <w:p w14:paraId="481CE4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1.2</w:t>
                  </w:r>
                </w:p>
              </w:tc>
              <w:tc>
                <w:tcPr>
                  <w:tcW w:w="972" w:type="pct"/>
                  <w:tcBorders>
                    <w:tl2br w:val="nil"/>
                    <w:tr2bl w:val="nil"/>
                  </w:tcBorders>
                  <w:shd w:val="clear" w:color="auto" w:fill="auto"/>
                  <w:noWrap/>
                  <w:vAlign w:val="center"/>
                </w:tcPr>
                <w:p w14:paraId="41EDF5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0.005</w:t>
                  </w:r>
                </w:p>
              </w:tc>
              <w:tc>
                <w:tcPr>
                  <w:tcW w:w="527" w:type="pct"/>
                  <w:vMerge w:val="continue"/>
                  <w:tcBorders>
                    <w:tl2br w:val="nil"/>
                    <w:tr2bl w:val="nil"/>
                  </w:tcBorders>
                  <w:shd w:val="clear" w:color="auto" w:fill="auto"/>
                  <w:noWrap/>
                  <w:vAlign w:val="center"/>
                </w:tcPr>
                <w:p w14:paraId="09918777">
                  <w:pPr>
                    <w:jc w:val="center"/>
                    <w:rPr>
                      <w:rFonts w:hint="default" w:ascii="Times New Roman" w:hAnsi="Times New Roman" w:eastAsia="宋体" w:cs="Times New Roman"/>
                      <w:i w:val="0"/>
                      <w:iCs w:val="0"/>
                      <w:color w:val="000000"/>
                      <w:sz w:val="18"/>
                      <w:szCs w:val="18"/>
                      <w:u w:val="none"/>
                    </w:rPr>
                  </w:pPr>
                </w:p>
              </w:tc>
              <w:tc>
                <w:tcPr>
                  <w:tcW w:w="476" w:type="pct"/>
                  <w:vMerge w:val="continue"/>
                  <w:tcBorders>
                    <w:tl2br w:val="nil"/>
                    <w:tr2bl w:val="nil"/>
                  </w:tcBorders>
                  <w:shd w:val="clear" w:color="auto" w:fill="auto"/>
                  <w:noWrap/>
                  <w:vAlign w:val="center"/>
                </w:tcPr>
                <w:p w14:paraId="5A7EFA46">
                  <w:pPr>
                    <w:jc w:val="center"/>
                    <w:rPr>
                      <w:rFonts w:hint="default" w:ascii="Times New Roman" w:hAnsi="Times New Roman" w:eastAsia="宋体" w:cs="Times New Roman"/>
                      <w:i w:val="0"/>
                      <w:iCs w:val="0"/>
                      <w:color w:val="000000"/>
                      <w:sz w:val="18"/>
                      <w:szCs w:val="18"/>
                      <w:u w:val="none"/>
                    </w:rPr>
                  </w:pPr>
                </w:p>
              </w:tc>
            </w:tr>
            <w:tr w14:paraId="42D296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96" w:type="pct"/>
                  <w:tcBorders>
                    <w:tl2br w:val="nil"/>
                    <w:tr2bl w:val="nil"/>
                  </w:tcBorders>
                  <w:shd w:val="clear" w:color="auto" w:fill="auto"/>
                  <w:noWrap/>
                  <w:vAlign w:val="center"/>
                </w:tcPr>
                <w:p w14:paraId="10410B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DA004</w:t>
                  </w:r>
                </w:p>
              </w:tc>
              <w:tc>
                <w:tcPr>
                  <w:tcW w:w="1043" w:type="pct"/>
                  <w:vMerge w:val="continue"/>
                  <w:tcBorders>
                    <w:tl2br w:val="nil"/>
                    <w:tr2bl w:val="nil"/>
                  </w:tcBorders>
                  <w:shd w:val="clear" w:color="auto" w:fill="auto"/>
                  <w:noWrap/>
                  <w:vAlign w:val="center"/>
                </w:tcPr>
                <w:p w14:paraId="533850EE">
                  <w:pPr>
                    <w:jc w:val="center"/>
                    <w:rPr>
                      <w:rFonts w:hint="default" w:ascii="Times New Roman" w:hAnsi="Times New Roman" w:eastAsia="宋体" w:cs="Times New Roman"/>
                      <w:i w:val="0"/>
                      <w:iCs w:val="0"/>
                      <w:color w:val="000000"/>
                      <w:sz w:val="18"/>
                      <w:szCs w:val="18"/>
                      <w:u w:val="none"/>
                    </w:rPr>
                  </w:pPr>
                </w:p>
              </w:tc>
              <w:tc>
                <w:tcPr>
                  <w:tcW w:w="522" w:type="pct"/>
                  <w:vMerge w:val="continue"/>
                  <w:tcBorders>
                    <w:tl2br w:val="nil"/>
                    <w:tr2bl w:val="nil"/>
                  </w:tcBorders>
                  <w:shd w:val="clear" w:color="auto" w:fill="auto"/>
                  <w:noWrap/>
                  <w:vAlign w:val="center"/>
                </w:tcPr>
                <w:p w14:paraId="3146AC1B">
                  <w:pPr>
                    <w:jc w:val="center"/>
                    <w:rPr>
                      <w:rFonts w:hint="default" w:ascii="Times New Roman" w:hAnsi="Times New Roman" w:eastAsia="宋体" w:cs="Times New Roman"/>
                      <w:i w:val="0"/>
                      <w:iCs w:val="0"/>
                      <w:color w:val="000000"/>
                      <w:sz w:val="18"/>
                      <w:szCs w:val="18"/>
                      <w:u w:val="none"/>
                    </w:rPr>
                  </w:pPr>
                </w:p>
              </w:tc>
              <w:tc>
                <w:tcPr>
                  <w:tcW w:w="960" w:type="pct"/>
                  <w:tcBorders>
                    <w:tl2br w:val="nil"/>
                    <w:tr2bl w:val="nil"/>
                  </w:tcBorders>
                  <w:shd w:val="clear" w:color="auto" w:fill="auto"/>
                  <w:noWrap/>
                  <w:vAlign w:val="center"/>
                </w:tcPr>
                <w:p w14:paraId="38F801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5.9</w:t>
                  </w:r>
                </w:p>
              </w:tc>
              <w:tc>
                <w:tcPr>
                  <w:tcW w:w="972" w:type="pct"/>
                  <w:tcBorders>
                    <w:tl2br w:val="nil"/>
                    <w:tr2bl w:val="nil"/>
                  </w:tcBorders>
                  <w:shd w:val="clear" w:color="auto" w:fill="auto"/>
                  <w:noWrap/>
                  <w:vAlign w:val="center"/>
                </w:tcPr>
                <w:p w14:paraId="149D21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0.023</w:t>
                  </w:r>
                </w:p>
              </w:tc>
              <w:tc>
                <w:tcPr>
                  <w:tcW w:w="527" w:type="pct"/>
                  <w:vMerge w:val="continue"/>
                  <w:tcBorders>
                    <w:tl2br w:val="nil"/>
                    <w:tr2bl w:val="nil"/>
                  </w:tcBorders>
                  <w:shd w:val="clear" w:color="auto" w:fill="auto"/>
                  <w:noWrap/>
                  <w:vAlign w:val="center"/>
                </w:tcPr>
                <w:p w14:paraId="69AC0735">
                  <w:pPr>
                    <w:jc w:val="center"/>
                    <w:rPr>
                      <w:rFonts w:hint="default" w:ascii="Times New Roman" w:hAnsi="Times New Roman" w:eastAsia="宋体" w:cs="Times New Roman"/>
                      <w:i w:val="0"/>
                      <w:iCs w:val="0"/>
                      <w:color w:val="000000"/>
                      <w:sz w:val="18"/>
                      <w:szCs w:val="18"/>
                      <w:u w:val="none"/>
                    </w:rPr>
                  </w:pPr>
                </w:p>
              </w:tc>
              <w:tc>
                <w:tcPr>
                  <w:tcW w:w="476" w:type="pct"/>
                  <w:vMerge w:val="continue"/>
                  <w:tcBorders>
                    <w:tl2br w:val="nil"/>
                    <w:tr2bl w:val="nil"/>
                  </w:tcBorders>
                  <w:shd w:val="clear" w:color="auto" w:fill="auto"/>
                  <w:noWrap/>
                  <w:vAlign w:val="center"/>
                </w:tcPr>
                <w:p w14:paraId="27C428D2">
                  <w:pPr>
                    <w:jc w:val="center"/>
                    <w:rPr>
                      <w:rFonts w:hint="default" w:ascii="Times New Roman" w:hAnsi="Times New Roman" w:eastAsia="宋体" w:cs="Times New Roman"/>
                      <w:i w:val="0"/>
                      <w:iCs w:val="0"/>
                      <w:color w:val="000000"/>
                      <w:sz w:val="18"/>
                      <w:szCs w:val="18"/>
                      <w:u w:val="none"/>
                    </w:rPr>
                  </w:pPr>
                </w:p>
              </w:tc>
            </w:tr>
          </w:tbl>
          <w:p w14:paraId="0EF9253A">
            <w:pPr>
              <w:spacing w:line="360" w:lineRule="auto"/>
              <w:rPr>
                <w:rFonts w:hint="eastAsia"/>
                <w:szCs w:val="21"/>
              </w:rPr>
            </w:pPr>
          </w:p>
          <w:p w14:paraId="7D923970">
            <w:pPr>
              <w:numPr>
                <w:ilvl w:val="0"/>
                <w:numId w:val="11"/>
              </w:numPr>
              <w:adjustRightInd w:val="0"/>
              <w:snapToGrid w:val="0"/>
              <w:spacing w:line="360" w:lineRule="auto"/>
              <w:rPr>
                <w:b/>
                <w:kern w:val="0"/>
                <w:szCs w:val="21"/>
              </w:rPr>
            </w:pPr>
            <w:r>
              <w:rPr>
                <w:rFonts w:hint="eastAsia"/>
                <w:b/>
                <w:kern w:val="0"/>
                <w:szCs w:val="21"/>
              </w:rPr>
              <w:t>废气</w:t>
            </w:r>
            <w:r>
              <w:rPr>
                <w:rFonts w:hint="eastAsia"/>
                <w:b/>
                <w:kern w:val="0"/>
                <w:szCs w:val="21"/>
                <w:lang w:val="en-US" w:eastAsia="zh-CN"/>
              </w:rPr>
              <w:t>达标排放分</w:t>
            </w:r>
            <w:r>
              <w:rPr>
                <w:rFonts w:hint="eastAsia"/>
                <w:b/>
                <w:kern w:val="0"/>
                <w:szCs w:val="21"/>
              </w:rPr>
              <w:t>析</w:t>
            </w:r>
          </w:p>
          <w:p w14:paraId="61136DDA">
            <w:pPr>
              <w:spacing w:line="360" w:lineRule="auto"/>
              <w:ind w:firstLine="420" w:firstLineChars="200"/>
              <w:rPr>
                <w:rFonts w:hint="eastAsia"/>
                <w:szCs w:val="21"/>
                <w:lang w:val="en-US" w:eastAsia="zh-CN"/>
              </w:rPr>
            </w:pPr>
            <w:r>
              <w:rPr>
                <w:rFonts w:hint="eastAsia"/>
                <w:szCs w:val="21"/>
              </w:rPr>
              <w:t>经采取相应的污染防治措施后，项目主要废气污染物排放情况见</w:t>
            </w:r>
            <w:r>
              <w:rPr>
                <w:rFonts w:hint="eastAsia"/>
                <w:szCs w:val="21"/>
                <w:lang w:val="en-US" w:eastAsia="zh-CN"/>
              </w:rPr>
              <w:t>下表。</w:t>
            </w:r>
          </w:p>
          <w:p w14:paraId="0729FC3A">
            <w:pPr>
              <w:numPr>
                <w:ilvl w:val="0"/>
                <w:numId w:val="12"/>
              </w:numPr>
              <w:spacing w:line="360" w:lineRule="auto"/>
              <w:jc w:val="center"/>
              <w:rPr>
                <w:rFonts w:hint="eastAsia"/>
                <w:szCs w:val="21"/>
              </w:rPr>
            </w:pPr>
            <w:r>
              <w:rPr>
                <w:rFonts w:hint="eastAsia" w:ascii="黑体" w:hAnsi="黑体" w:eastAsia="黑体" w:cs="黑体"/>
                <w:spacing w:val="-10"/>
                <w:szCs w:val="21"/>
              </w:rPr>
              <w:t xml:space="preserve"> </w:t>
            </w:r>
            <w:r>
              <w:rPr>
                <w:rFonts w:hint="eastAsia" w:ascii="黑体" w:hAnsi="黑体" w:eastAsia="黑体" w:cs="黑体"/>
                <w:spacing w:val="-10"/>
                <w:szCs w:val="21"/>
                <w:lang w:val="zh-CN"/>
              </w:rPr>
              <w:t>项目废气</w:t>
            </w:r>
            <w:r>
              <w:rPr>
                <w:rFonts w:hint="eastAsia" w:ascii="黑体" w:hAnsi="黑体" w:eastAsia="黑体" w:cs="黑体"/>
                <w:spacing w:val="-10"/>
                <w:szCs w:val="21"/>
                <w:lang w:val="en-US" w:eastAsia="zh-CN"/>
              </w:rPr>
              <w:t>达标排放分析一览表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43"/>
              <w:gridCol w:w="1038"/>
              <w:gridCol w:w="917"/>
              <w:gridCol w:w="917"/>
              <w:gridCol w:w="1600"/>
              <w:gridCol w:w="986"/>
              <w:gridCol w:w="989"/>
              <w:gridCol w:w="936"/>
            </w:tblGrid>
            <w:tr w14:paraId="2F8E38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522" w:type="pct"/>
                  <w:vMerge w:val="restart"/>
                  <w:tcBorders>
                    <w:tl2br w:val="nil"/>
                    <w:tr2bl w:val="nil"/>
                  </w:tcBorders>
                  <w:shd w:val="clear" w:color="auto" w:fill="auto"/>
                  <w:noWrap/>
                  <w:vAlign w:val="center"/>
                </w:tcPr>
                <w:p w14:paraId="1BBEDD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污染源</w:t>
                  </w:r>
                </w:p>
              </w:tc>
              <w:tc>
                <w:tcPr>
                  <w:tcW w:w="640" w:type="pct"/>
                  <w:vMerge w:val="restart"/>
                  <w:tcBorders>
                    <w:tl2br w:val="nil"/>
                    <w:tr2bl w:val="nil"/>
                  </w:tcBorders>
                  <w:shd w:val="clear" w:color="auto" w:fill="auto"/>
                  <w:noWrap/>
                  <w:vAlign w:val="center"/>
                </w:tcPr>
                <w:p w14:paraId="475719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污染物</w:t>
                  </w:r>
                </w:p>
              </w:tc>
              <w:tc>
                <w:tcPr>
                  <w:tcW w:w="2113" w:type="pct"/>
                  <w:gridSpan w:val="3"/>
                  <w:tcBorders>
                    <w:tl2br w:val="nil"/>
                    <w:tr2bl w:val="nil"/>
                  </w:tcBorders>
                  <w:shd w:val="clear" w:color="auto" w:fill="auto"/>
                  <w:noWrap/>
                  <w:vAlign w:val="center"/>
                </w:tcPr>
                <w:p w14:paraId="638301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排放速率（</w:t>
                  </w:r>
                  <w:r>
                    <w:rPr>
                      <w:rFonts w:hint="default" w:ascii="Times New Roman" w:hAnsi="Times New Roman" w:eastAsia="宋体" w:cs="Times New Roman"/>
                      <w:i w:val="0"/>
                      <w:iCs w:val="0"/>
                      <w:color w:val="000000"/>
                      <w:kern w:val="0"/>
                      <w:sz w:val="18"/>
                      <w:szCs w:val="18"/>
                      <w:u w:val="none"/>
                      <w:lang w:val="en-US" w:eastAsia="zh-CN" w:bidi="ar"/>
                    </w:rPr>
                    <w:t>kg/h</w:t>
                  </w:r>
                  <w:r>
                    <w:rPr>
                      <w:rFonts w:hint="eastAsia" w:ascii="宋体" w:hAnsi="宋体" w:eastAsia="宋体" w:cs="宋体"/>
                      <w:i w:val="0"/>
                      <w:iCs w:val="0"/>
                      <w:color w:val="000000"/>
                      <w:kern w:val="0"/>
                      <w:sz w:val="18"/>
                      <w:szCs w:val="18"/>
                      <w:u w:val="none"/>
                      <w:lang w:val="en-US" w:eastAsia="zh-CN" w:bidi="ar"/>
                    </w:rPr>
                    <w:t>）</w:t>
                  </w:r>
                </w:p>
              </w:tc>
              <w:tc>
                <w:tcPr>
                  <w:tcW w:w="1218" w:type="pct"/>
                  <w:gridSpan w:val="2"/>
                  <w:tcBorders>
                    <w:tl2br w:val="nil"/>
                    <w:tr2bl w:val="nil"/>
                  </w:tcBorders>
                  <w:shd w:val="clear" w:color="auto" w:fill="auto"/>
                  <w:noWrap/>
                  <w:vAlign w:val="center"/>
                </w:tcPr>
                <w:p w14:paraId="4564A04C">
                  <w:pPr>
                    <w:keepNext w:val="0"/>
                    <w:keepLines w:val="0"/>
                    <w:pageBreakBefore w:val="0"/>
                    <w:widowControl/>
                    <w:kinsoku/>
                    <w:wordWrap/>
                    <w:overflowPunct/>
                    <w:topLinePunct w:val="0"/>
                    <w:autoSpaceDE/>
                    <w:autoSpaceDN/>
                    <w:bidi w:val="0"/>
                    <w:adjustRightInd/>
                    <w:snapToGrid/>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排放浓度（</w:t>
                  </w:r>
                  <w:r>
                    <w:rPr>
                      <w:rFonts w:hint="default" w:ascii="Times New Roman" w:hAnsi="Times New Roman" w:eastAsia="宋体" w:cs="Times New Roman"/>
                      <w:i w:val="0"/>
                      <w:iCs w:val="0"/>
                      <w:color w:val="000000"/>
                      <w:kern w:val="0"/>
                      <w:sz w:val="18"/>
                      <w:szCs w:val="18"/>
                      <w:u w:val="none"/>
                      <w:lang w:val="en-US" w:eastAsia="zh-CN" w:bidi="ar"/>
                    </w:rPr>
                    <w:t>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r>
                    <w:rPr>
                      <w:rFonts w:hint="eastAsia" w:ascii="宋体" w:hAnsi="宋体" w:eastAsia="宋体" w:cs="宋体"/>
                      <w:i w:val="0"/>
                      <w:iCs w:val="0"/>
                      <w:color w:val="000000"/>
                      <w:kern w:val="0"/>
                      <w:sz w:val="18"/>
                      <w:szCs w:val="18"/>
                      <w:u w:val="none"/>
                      <w:lang w:val="en-US" w:eastAsia="zh-CN" w:bidi="ar"/>
                    </w:rPr>
                    <w:t>）</w:t>
                  </w:r>
                </w:p>
              </w:tc>
              <w:tc>
                <w:tcPr>
                  <w:tcW w:w="505" w:type="pct"/>
                  <w:tcBorders>
                    <w:tl2br w:val="nil"/>
                    <w:tr2bl w:val="nil"/>
                  </w:tcBorders>
                  <w:shd w:val="clear" w:color="auto" w:fill="auto"/>
                  <w:noWrap/>
                  <w:vAlign w:val="center"/>
                </w:tcPr>
                <w:p w14:paraId="176D59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是否达标</w:t>
                  </w:r>
                </w:p>
              </w:tc>
            </w:tr>
            <w:tr w14:paraId="355110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522" w:type="pct"/>
                  <w:vMerge w:val="continue"/>
                  <w:tcBorders>
                    <w:tl2br w:val="nil"/>
                    <w:tr2bl w:val="nil"/>
                  </w:tcBorders>
                  <w:shd w:val="clear" w:color="auto" w:fill="auto"/>
                  <w:noWrap/>
                  <w:vAlign w:val="center"/>
                </w:tcPr>
                <w:p w14:paraId="42C2698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640" w:type="pct"/>
                  <w:vMerge w:val="continue"/>
                  <w:tcBorders>
                    <w:tl2br w:val="nil"/>
                    <w:tr2bl w:val="nil"/>
                  </w:tcBorders>
                  <w:shd w:val="clear" w:color="auto" w:fill="auto"/>
                  <w:noWrap/>
                  <w:vAlign w:val="center"/>
                </w:tcPr>
                <w:p w14:paraId="3094DF9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566" w:type="pct"/>
                  <w:tcBorders>
                    <w:tl2br w:val="nil"/>
                    <w:tr2bl w:val="nil"/>
                  </w:tcBorders>
                  <w:shd w:val="clear" w:color="auto" w:fill="auto"/>
                  <w:noWrap/>
                  <w:vAlign w:val="center"/>
                </w:tcPr>
                <w:p w14:paraId="62A758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本项目</w:t>
                  </w:r>
                </w:p>
              </w:tc>
              <w:tc>
                <w:tcPr>
                  <w:tcW w:w="566" w:type="pct"/>
                  <w:tcBorders>
                    <w:tl2br w:val="nil"/>
                    <w:tr2bl w:val="nil"/>
                  </w:tcBorders>
                  <w:shd w:val="clear" w:color="auto" w:fill="auto"/>
                  <w:noWrap/>
                  <w:vAlign w:val="center"/>
                </w:tcPr>
                <w:p w14:paraId="5B6BC9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标准值</w:t>
                  </w:r>
                </w:p>
              </w:tc>
              <w:tc>
                <w:tcPr>
                  <w:tcW w:w="980" w:type="pct"/>
                  <w:tcBorders>
                    <w:tl2br w:val="nil"/>
                    <w:tr2bl w:val="nil"/>
                  </w:tcBorders>
                  <w:shd w:val="clear" w:color="auto" w:fill="auto"/>
                  <w:noWrap/>
                  <w:vAlign w:val="center"/>
                </w:tcPr>
                <w:p w14:paraId="02C3FD2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标准严格</w:t>
                  </w:r>
                  <w:r>
                    <w:rPr>
                      <w:rFonts w:hint="default" w:ascii="Times New Roman" w:hAnsi="Times New Roman" w:eastAsia="宋体" w:cs="Times New Roman"/>
                      <w:i w:val="0"/>
                      <w:iCs w:val="0"/>
                      <w:color w:val="000000"/>
                      <w:kern w:val="0"/>
                      <w:sz w:val="18"/>
                      <w:szCs w:val="18"/>
                      <w:u w:val="none"/>
                      <w:lang w:val="en-US" w:eastAsia="zh-CN" w:bidi="ar"/>
                    </w:rPr>
                    <w:t>50%</w:t>
                  </w:r>
                </w:p>
              </w:tc>
              <w:tc>
                <w:tcPr>
                  <w:tcW w:w="608" w:type="pct"/>
                  <w:tcBorders>
                    <w:tl2br w:val="nil"/>
                    <w:tr2bl w:val="nil"/>
                  </w:tcBorders>
                  <w:shd w:val="clear" w:color="auto" w:fill="auto"/>
                  <w:noWrap/>
                  <w:vAlign w:val="center"/>
                </w:tcPr>
                <w:p w14:paraId="4EE51C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本项目</w:t>
                  </w:r>
                </w:p>
              </w:tc>
              <w:tc>
                <w:tcPr>
                  <w:tcW w:w="609" w:type="pct"/>
                  <w:tcBorders>
                    <w:tl2br w:val="nil"/>
                    <w:tr2bl w:val="nil"/>
                  </w:tcBorders>
                  <w:shd w:val="clear" w:color="auto" w:fill="auto"/>
                  <w:noWrap/>
                  <w:vAlign w:val="center"/>
                </w:tcPr>
                <w:p w14:paraId="52ABD6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标准值</w:t>
                  </w:r>
                </w:p>
              </w:tc>
              <w:tc>
                <w:tcPr>
                  <w:tcW w:w="505" w:type="pct"/>
                  <w:tcBorders>
                    <w:tl2br w:val="nil"/>
                    <w:tr2bl w:val="nil"/>
                  </w:tcBorders>
                  <w:shd w:val="clear" w:color="auto" w:fill="auto"/>
                  <w:noWrap/>
                  <w:vAlign w:val="center"/>
                </w:tcPr>
                <w:p w14:paraId="31A2C3C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r>
            <w:tr w14:paraId="12BCD0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522" w:type="pct"/>
                  <w:tcBorders>
                    <w:tl2br w:val="nil"/>
                    <w:tr2bl w:val="nil"/>
                  </w:tcBorders>
                  <w:shd w:val="clear" w:color="auto" w:fill="auto"/>
                  <w:noWrap/>
                  <w:vAlign w:val="center"/>
                </w:tcPr>
                <w:p w14:paraId="7D1360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DA002</w:t>
                  </w:r>
                </w:p>
              </w:tc>
              <w:tc>
                <w:tcPr>
                  <w:tcW w:w="640" w:type="pct"/>
                  <w:vMerge w:val="restart"/>
                  <w:tcBorders>
                    <w:tl2br w:val="nil"/>
                    <w:tr2bl w:val="nil"/>
                  </w:tcBorders>
                  <w:shd w:val="clear" w:color="auto" w:fill="auto"/>
                  <w:noWrap/>
                  <w:vAlign w:val="center"/>
                </w:tcPr>
                <w:p w14:paraId="3B4D19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NMHC</w:t>
                  </w:r>
                </w:p>
              </w:tc>
              <w:tc>
                <w:tcPr>
                  <w:tcW w:w="566" w:type="pct"/>
                  <w:tcBorders>
                    <w:tl2br w:val="nil"/>
                    <w:tr2bl w:val="nil"/>
                  </w:tcBorders>
                  <w:shd w:val="clear" w:color="auto" w:fill="auto"/>
                  <w:noWrap/>
                  <w:vAlign w:val="center"/>
                </w:tcPr>
                <w:p w14:paraId="59210C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566" w:type="pct"/>
                  <w:vMerge w:val="restart"/>
                  <w:tcBorders>
                    <w:tl2br w:val="nil"/>
                    <w:tr2bl w:val="nil"/>
                  </w:tcBorders>
                  <w:shd w:val="clear" w:color="auto" w:fill="auto"/>
                  <w:noWrap/>
                  <w:vAlign w:val="center"/>
                </w:tcPr>
                <w:p w14:paraId="73B486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980" w:type="pct"/>
                  <w:vMerge w:val="restart"/>
                  <w:tcBorders>
                    <w:tl2br w:val="nil"/>
                    <w:tr2bl w:val="nil"/>
                  </w:tcBorders>
                  <w:shd w:val="clear" w:color="auto" w:fill="auto"/>
                  <w:noWrap/>
                  <w:vAlign w:val="center"/>
                </w:tcPr>
                <w:p w14:paraId="64A353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608" w:type="pct"/>
                  <w:tcBorders>
                    <w:tl2br w:val="nil"/>
                    <w:tr2bl w:val="nil"/>
                  </w:tcBorders>
                  <w:shd w:val="clear" w:color="auto" w:fill="auto"/>
                  <w:noWrap/>
                  <w:vAlign w:val="center"/>
                </w:tcPr>
                <w:p w14:paraId="7B3190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 </w:t>
                  </w:r>
                </w:p>
              </w:tc>
              <w:tc>
                <w:tcPr>
                  <w:tcW w:w="609" w:type="pct"/>
                  <w:vMerge w:val="restart"/>
                  <w:tcBorders>
                    <w:tl2br w:val="nil"/>
                    <w:tr2bl w:val="nil"/>
                  </w:tcBorders>
                  <w:shd w:val="clear" w:color="auto" w:fill="auto"/>
                  <w:noWrap/>
                  <w:vAlign w:val="center"/>
                </w:tcPr>
                <w:p w14:paraId="69D3E1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505" w:type="pct"/>
                  <w:vMerge w:val="restart"/>
                  <w:tcBorders>
                    <w:tl2br w:val="nil"/>
                    <w:tr2bl w:val="nil"/>
                  </w:tcBorders>
                  <w:shd w:val="clear" w:color="auto" w:fill="auto"/>
                  <w:noWrap/>
                  <w:vAlign w:val="center"/>
                </w:tcPr>
                <w:p w14:paraId="04C7D5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达标</w:t>
                  </w:r>
                </w:p>
              </w:tc>
            </w:tr>
            <w:tr w14:paraId="39FF06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522" w:type="pct"/>
                  <w:tcBorders>
                    <w:tl2br w:val="nil"/>
                    <w:tr2bl w:val="nil"/>
                  </w:tcBorders>
                  <w:shd w:val="clear" w:color="auto" w:fill="auto"/>
                  <w:noWrap/>
                  <w:vAlign w:val="center"/>
                </w:tcPr>
                <w:p w14:paraId="66A392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DA003</w:t>
                  </w:r>
                </w:p>
              </w:tc>
              <w:tc>
                <w:tcPr>
                  <w:tcW w:w="640" w:type="pct"/>
                  <w:vMerge w:val="continue"/>
                  <w:tcBorders>
                    <w:tl2br w:val="nil"/>
                    <w:tr2bl w:val="nil"/>
                  </w:tcBorders>
                  <w:shd w:val="clear" w:color="auto" w:fill="auto"/>
                  <w:noWrap/>
                  <w:vAlign w:val="center"/>
                </w:tcPr>
                <w:p w14:paraId="09F475E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566" w:type="pct"/>
                  <w:tcBorders>
                    <w:tl2br w:val="nil"/>
                    <w:tr2bl w:val="nil"/>
                  </w:tcBorders>
                  <w:shd w:val="clear" w:color="auto" w:fill="auto"/>
                  <w:noWrap/>
                  <w:vAlign w:val="center"/>
                </w:tcPr>
                <w:p w14:paraId="1ACABC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566" w:type="pct"/>
                  <w:vMerge w:val="continue"/>
                  <w:tcBorders>
                    <w:tl2br w:val="nil"/>
                    <w:tr2bl w:val="nil"/>
                  </w:tcBorders>
                  <w:shd w:val="clear" w:color="auto" w:fill="auto"/>
                  <w:noWrap/>
                  <w:vAlign w:val="center"/>
                </w:tcPr>
                <w:p w14:paraId="4643B04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980" w:type="pct"/>
                  <w:vMerge w:val="continue"/>
                  <w:tcBorders>
                    <w:tl2br w:val="nil"/>
                    <w:tr2bl w:val="nil"/>
                  </w:tcBorders>
                  <w:shd w:val="clear" w:color="auto" w:fill="auto"/>
                  <w:noWrap/>
                  <w:vAlign w:val="center"/>
                </w:tcPr>
                <w:p w14:paraId="374BF38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608" w:type="pct"/>
                  <w:tcBorders>
                    <w:tl2br w:val="nil"/>
                    <w:tr2bl w:val="nil"/>
                  </w:tcBorders>
                  <w:shd w:val="clear" w:color="auto" w:fill="auto"/>
                  <w:noWrap/>
                  <w:vAlign w:val="center"/>
                </w:tcPr>
                <w:p w14:paraId="3245DD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0.54 </w:t>
                  </w:r>
                </w:p>
              </w:tc>
              <w:tc>
                <w:tcPr>
                  <w:tcW w:w="609" w:type="pct"/>
                  <w:vMerge w:val="continue"/>
                  <w:tcBorders>
                    <w:tl2br w:val="nil"/>
                    <w:tr2bl w:val="nil"/>
                  </w:tcBorders>
                  <w:shd w:val="clear" w:color="auto" w:fill="auto"/>
                  <w:noWrap/>
                  <w:vAlign w:val="center"/>
                </w:tcPr>
                <w:p w14:paraId="213682C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505" w:type="pct"/>
                  <w:vMerge w:val="continue"/>
                  <w:tcBorders>
                    <w:tl2br w:val="nil"/>
                    <w:tr2bl w:val="nil"/>
                  </w:tcBorders>
                  <w:shd w:val="clear" w:color="auto" w:fill="auto"/>
                  <w:noWrap/>
                  <w:vAlign w:val="center"/>
                </w:tcPr>
                <w:p w14:paraId="2515B82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r>
            <w:tr w14:paraId="2B476D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522" w:type="pct"/>
                  <w:tcBorders>
                    <w:tl2br w:val="nil"/>
                    <w:tr2bl w:val="nil"/>
                  </w:tcBorders>
                  <w:shd w:val="clear" w:color="auto" w:fill="auto"/>
                  <w:noWrap/>
                  <w:vAlign w:val="center"/>
                </w:tcPr>
                <w:p w14:paraId="53BAAB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DA004</w:t>
                  </w:r>
                </w:p>
              </w:tc>
              <w:tc>
                <w:tcPr>
                  <w:tcW w:w="640" w:type="pct"/>
                  <w:vMerge w:val="continue"/>
                  <w:tcBorders>
                    <w:tl2br w:val="nil"/>
                    <w:tr2bl w:val="nil"/>
                  </w:tcBorders>
                  <w:shd w:val="clear" w:color="auto" w:fill="auto"/>
                  <w:noWrap/>
                  <w:vAlign w:val="center"/>
                </w:tcPr>
                <w:p w14:paraId="4F7FE93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566" w:type="pct"/>
                  <w:tcBorders>
                    <w:tl2br w:val="nil"/>
                    <w:tr2bl w:val="nil"/>
                  </w:tcBorders>
                  <w:shd w:val="clear" w:color="auto" w:fill="auto"/>
                  <w:noWrap/>
                  <w:vAlign w:val="center"/>
                </w:tcPr>
                <w:p w14:paraId="47FAC9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0.011 </w:t>
                  </w:r>
                </w:p>
              </w:tc>
              <w:tc>
                <w:tcPr>
                  <w:tcW w:w="566" w:type="pct"/>
                  <w:vMerge w:val="continue"/>
                  <w:tcBorders>
                    <w:tl2br w:val="nil"/>
                    <w:tr2bl w:val="nil"/>
                  </w:tcBorders>
                  <w:shd w:val="clear" w:color="auto" w:fill="auto"/>
                  <w:noWrap/>
                  <w:vAlign w:val="center"/>
                </w:tcPr>
                <w:p w14:paraId="535789C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980" w:type="pct"/>
                  <w:vMerge w:val="continue"/>
                  <w:tcBorders>
                    <w:tl2br w:val="nil"/>
                    <w:tr2bl w:val="nil"/>
                  </w:tcBorders>
                  <w:shd w:val="clear" w:color="auto" w:fill="auto"/>
                  <w:noWrap/>
                  <w:vAlign w:val="center"/>
                </w:tcPr>
                <w:p w14:paraId="460195D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608" w:type="pct"/>
                  <w:tcBorders>
                    <w:tl2br w:val="nil"/>
                    <w:tr2bl w:val="nil"/>
                  </w:tcBorders>
                  <w:shd w:val="clear" w:color="auto" w:fill="auto"/>
                  <w:noWrap/>
                  <w:vAlign w:val="center"/>
                </w:tcPr>
                <w:p w14:paraId="061F7E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2.70 </w:t>
                  </w:r>
                </w:p>
              </w:tc>
              <w:tc>
                <w:tcPr>
                  <w:tcW w:w="609" w:type="pct"/>
                  <w:vMerge w:val="continue"/>
                  <w:tcBorders>
                    <w:tl2br w:val="nil"/>
                    <w:tr2bl w:val="nil"/>
                  </w:tcBorders>
                  <w:shd w:val="clear" w:color="auto" w:fill="auto"/>
                  <w:noWrap/>
                  <w:vAlign w:val="center"/>
                </w:tcPr>
                <w:p w14:paraId="476F32F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c>
                <w:tcPr>
                  <w:tcW w:w="505" w:type="pct"/>
                  <w:vMerge w:val="continue"/>
                  <w:tcBorders>
                    <w:tl2br w:val="nil"/>
                    <w:tr2bl w:val="nil"/>
                  </w:tcBorders>
                  <w:shd w:val="clear" w:color="auto" w:fill="auto"/>
                  <w:noWrap/>
                  <w:vAlign w:val="center"/>
                </w:tcPr>
                <w:p w14:paraId="5EF0F8E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18"/>
                      <w:szCs w:val="18"/>
                      <w:u w:val="none"/>
                    </w:rPr>
                  </w:pPr>
                </w:p>
              </w:tc>
            </w:tr>
          </w:tbl>
          <w:p w14:paraId="0F2FBC0B">
            <w:pPr>
              <w:spacing w:line="360" w:lineRule="auto"/>
              <w:rPr>
                <w:rFonts w:hint="eastAsia"/>
                <w:szCs w:val="21"/>
                <w:lang w:val="en-US" w:eastAsia="zh-CN"/>
              </w:rPr>
            </w:pPr>
          </w:p>
          <w:p w14:paraId="33AA4C8C">
            <w:pPr>
              <w:numPr>
                <w:ilvl w:val="0"/>
                <w:numId w:val="11"/>
              </w:numPr>
              <w:adjustRightInd w:val="0"/>
              <w:snapToGrid w:val="0"/>
              <w:spacing w:line="360" w:lineRule="auto"/>
              <w:rPr>
                <w:b/>
                <w:kern w:val="0"/>
                <w:szCs w:val="21"/>
              </w:rPr>
            </w:pPr>
            <w:r>
              <w:rPr>
                <w:rFonts w:hint="eastAsia"/>
                <w:b/>
                <w:kern w:val="0"/>
                <w:szCs w:val="21"/>
              </w:rPr>
              <w:t>废气污染防治措施可行性分析</w:t>
            </w:r>
          </w:p>
          <w:p w14:paraId="275EE9E9">
            <w:pPr>
              <w:widowControl w:val="0"/>
              <w:numPr>
                <w:ilvl w:val="0"/>
                <w:numId w:val="0"/>
              </w:numPr>
              <w:adjustRightInd w:val="0"/>
              <w:snapToGrid w:val="0"/>
              <w:spacing w:line="360" w:lineRule="auto"/>
              <w:ind w:firstLine="420" w:firstLineChars="200"/>
              <w:jc w:val="both"/>
              <w:rPr>
                <w:rFonts w:hint="eastAsia"/>
                <w:bCs/>
                <w:kern w:val="0"/>
                <w:szCs w:val="21"/>
              </w:rPr>
            </w:pPr>
            <w:r>
              <w:rPr>
                <w:rFonts w:hint="default" w:ascii="Times New Roman" w:hAnsi="Times New Roman" w:cs="Times New Roman"/>
                <w:bCs/>
                <w:kern w:val="0"/>
                <w:szCs w:val="21"/>
                <w:lang w:val="en-US" w:eastAsia="zh-CN"/>
              </w:rPr>
              <w:t>本项目含VOCs废气采用一级活性炭吸附装置处理，结合项目低浓度工况，及《主要污染物总量减排核算技术指南（2022 年修订）》（环办综合函〔2022〕350 号）、《污染源源强核算技术指南 准则》（HJ 884-2018）保守取值要求，VOCs去除效率取值70%，该取值可支撑废气达标排放，符合环保管理要求。</w:t>
            </w:r>
          </w:p>
          <w:p w14:paraId="331329B4">
            <w:pPr>
              <w:adjustRightInd w:val="0"/>
              <w:snapToGrid w:val="0"/>
              <w:spacing w:line="360" w:lineRule="auto"/>
              <w:ind w:firstLine="420" w:firstLineChars="200"/>
              <w:rPr>
                <w:bCs/>
                <w:kern w:val="0"/>
                <w:szCs w:val="21"/>
              </w:rPr>
            </w:pPr>
            <w:r>
              <w:rPr>
                <w:rFonts w:hint="eastAsia"/>
                <w:bCs/>
                <w:kern w:val="0"/>
                <w:szCs w:val="21"/>
              </w:rPr>
              <w:t>本项目拟配设的排风过滤器采用硼硅酸盐玻璃纤维材质的HEPA（ULPA）高效过滤器，对直径</w:t>
            </w:r>
            <w:r>
              <w:rPr>
                <w:rFonts w:hint="default" w:ascii="Times New Roman" w:hAnsi="Times New Roman" w:cs="Times New Roman"/>
                <w:bCs/>
                <w:kern w:val="0"/>
                <w:szCs w:val="21"/>
              </w:rPr>
              <w:t>0.3μm 的颗粒去除效率达到99.97%，具有人员安全性（用碘化钾法测试，前窗操作口的保护因子不小于 1×10</w:t>
            </w:r>
            <w:r>
              <w:rPr>
                <w:rFonts w:hint="default" w:ascii="Times New Roman" w:hAnsi="Times New Roman" w:cs="Times New Roman"/>
                <w:bCs/>
                <w:kern w:val="0"/>
                <w:szCs w:val="21"/>
                <w:vertAlign w:val="superscript"/>
              </w:rPr>
              <w:t>5</w:t>
            </w:r>
            <w:r>
              <w:rPr>
                <w:rFonts w:hint="default" w:ascii="Times New Roman" w:hAnsi="Times New Roman" w:cs="Times New Roman"/>
                <w:bCs/>
                <w:kern w:val="0"/>
                <w:szCs w:val="21"/>
              </w:rPr>
              <w:t>）、产品安全性（菌落数≤5 CFU/次）和交叉污染安全性（菌落数≤2 CFU/次）。</w:t>
            </w:r>
          </w:p>
          <w:p w14:paraId="24FED733">
            <w:pPr>
              <w:numPr>
                <w:ilvl w:val="0"/>
                <w:numId w:val="11"/>
              </w:numPr>
              <w:adjustRightInd w:val="0"/>
              <w:snapToGrid w:val="0"/>
              <w:spacing w:line="360" w:lineRule="auto"/>
              <w:rPr>
                <w:b/>
                <w:kern w:val="0"/>
                <w:szCs w:val="21"/>
              </w:rPr>
            </w:pPr>
            <w:r>
              <w:rPr>
                <w:rFonts w:hint="eastAsia"/>
                <w:b/>
                <w:kern w:val="0"/>
                <w:szCs w:val="21"/>
              </w:rPr>
              <w:t>环境影响分析</w:t>
            </w:r>
          </w:p>
          <w:p w14:paraId="4D9A9069">
            <w:pPr>
              <w:spacing w:line="360" w:lineRule="auto"/>
              <w:ind w:firstLine="440" w:firstLineChars="200"/>
              <w:rPr>
                <w:sz w:val="22"/>
                <w:szCs w:val="22"/>
              </w:rPr>
            </w:pPr>
            <w:r>
              <w:rPr>
                <w:rFonts w:hint="eastAsia"/>
                <w:sz w:val="22"/>
                <w:szCs w:val="22"/>
              </w:rPr>
              <w:t>项目产生的有机废气排放强度低，其中</w:t>
            </w:r>
            <w:r>
              <w:rPr>
                <w:rFonts w:hint="eastAsia"/>
                <w:sz w:val="22"/>
                <w:szCs w:val="22"/>
                <w:lang w:val="en-US" w:eastAsia="zh-CN"/>
              </w:rPr>
              <w:t>部分工序</w:t>
            </w:r>
            <w:r>
              <w:rPr>
                <w:rFonts w:hint="eastAsia"/>
                <w:sz w:val="22"/>
                <w:szCs w:val="22"/>
              </w:rPr>
              <w:t>有机废气通过</w:t>
            </w:r>
            <w:r>
              <w:rPr>
                <w:rFonts w:hint="eastAsia"/>
                <w:sz w:val="22"/>
                <w:szCs w:val="22"/>
                <w:lang w:val="en-US" w:eastAsia="zh-CN"/>
              </w:rPr>
              <w:t>密闭车间收集后，经过一级活性炭吸附后，经过15 m高排气筒排放；</w:t>
            </w:r>
            <w:r>
              <w:rPr>
                <w:rFonts w:hint="eastAsia"/>
                <w:sz w:val="22"/>
                <w:szCs w:val="22"/>
              </w:rPr>
              <w:t>实验室废气经</w:t>
            </w:r>
            <w:r>
              <w:rPr>
                <w:rFonts w:hint="eastAsia"/>
                <w:sz w:val="22"/>
                <w:szCs w:val="22"/>
                <w:lang w:val="en-US" w:eastAsia="zh-CN"/>
              </w:rPr>
              <w:t>密闭车间、通风橱</w:t>
            </w:r>
            <w:r>
              <w:rPr>
                <w:rFonts w:hint="eastAsia"/>
                <w:sz w:val="22"/>
                <w:szCs w:val="22"/>
              </w:rPr>
              <w:t>收集后</w:t>
            </w:r>
            <w:r>
              <w:rPr>
                <w:rFonts w:hint="eastAsia"/>
                <w:sz w:val="22"/>
                <w:szCs w:val="22"/>
                <w:lang w:eastAsia="zh-CN"/>
              </w:rPr>
              <w:t>，</w:t>
            </w:r>
            <w:r>
              <w:rPr>
                <w:rFonts w:hint="eastAsia"/>
                <w:sz w:val="22"/>
                <w:szCs w:val="22"/>
                <w:lang w:val="en-US" w:eastAsia="zh-CN"/>
              </w:rPr>
              <w:t>经过一级活性炭吸附后，经过15 m高排气筒排放</w:t>
            </w:r>
            <w:r>
              <w:rPr>
                <w:rFonts w:hint="eastAsia"/>
                <w:sz w:val="22"/>
                <w:szCs w:val="22"/>
                <w:lang w:eastAsia="zh-CN"/>
              </w:rPr>
              <w:t>；</w:t>
            </w:r>
            <w:r>
              <w:rPr>
                <w:rFonts w:hint="eastAsia"/>
                <w:sz w:val="22"/>
                <w:szCs w:val="22"/>
              </w:rPr>
              <w:t>生物气溶胶经生物安全柜高效过滤后</w:t>
            </w:r>
            <w:r>
              <w:rPr>
                <w:rFonts w:hint="eastAsia"/>
                <w:sz w:val="22"/>
                <w:szCs w:val="22"/>
                <w:lang w:val="en-US" w:eastAsia="zh-CN"/>
              </w:rPr>
              <w:t>经过15 m高排气筒</w:t>
            </w:r>
            <w:r>
              <w:rPr>
                <w:rFonts w:hint="eastAsia"/>
                <w:sz w:val="22"/>
                <w:szCs w:val="22"/>
              </w:rPr>
              <w:t>排放</w:t>
            </w:r>
            <w:r>
              <w:rPr>
                <w:rFonts w:hint="eastAsia"/>
                <w:sz w:val="22"/>
                <w:szCs w:val="22"/>
                <w:lang w:eastAsia="zh-CN"/>
              </w:rPr>
              <w:t>；</w:t>
            </w:r>
            <w:r>
              <w:rPr>
                <w:rFonts w:hint="eastAsia"/>
                <w:sz w:val="22"/>
                <w:szCs w:val="22"/>
                <w:lang w:val="en-US" w:eastAsia="zh-CN"/>
              </w:rPr>
              <w:t>其他车间少量有机废气经过通风系统无组织排放。</w:t>
            </w:r>
            <w:r>
              <w:rPr>
                <w:rFonts w:hint="eastAsia"/>
                <w:sz w:val="22"/>
                <w:szCs w:val="22"/>
              </w:rPr>
              <w:t>各种措施能够有效防治废气污染，不会突破环境质量底线，对周边大气环境的环境影响可接受。</w:t>
            </w:r>
          </w:p>
          <w:p w14:paraId="787FA29A">
            <w:pPr>
              <w:numPr>
                <w:ilvl w:val="0"/>
                <w:numId w:val="11"/>
              </w:numPr>
              <w:spacing w:line="360" w:lineRule="auto"/>
              <w:rPr>
                <w:b/>
                <w:bCs/>
                <w:sz w:val="22"/>
                <w:szCs w:val="22"/>
              </w:rPr>
            </w:pPr>
            <w:r>
              <w:rPr>
                <w:rFonts w:hint="eastAsia"/>
                <w:b/>
                <w:bCs/>
                <w:sz w:val="22"/>
                <w:szCs w:val="22"/>
                <w:lang w:val="en-US" w:eastAsia="zh-CN"/>
              </w:rPr>
              <w:t>废气</w:t>
            </w:r>
            <w:r>
              <w:rPr>
                <w:rFonts w:hint="eastAsia"/>
                <w:b/>
                <w:bCs/>
                <w:sz w:val="22"/>
                <w:szCs w:val="22"/>
              </w:rPr>
              <w:t>监测计划</w:t>
            </w:r>
          </w:p>
          <w:p w14:paraId="3278088E">
            <w:pPr>
              <w:spacing w:line="360" w:lineRule="auto"/>
              <w:ind w:firstLine="440" w:firstLineChars="200"/>
              <w:rPr>
                <w:sz w:val="22"/>
                <w:szCs w:val="22"/>
              </w:rPr>
            </w:pPr>
            <w:r>
              <w:rPr>
                <w:rFonts w:hint="eastAsia"/>
                <w:sz w:val="22"/>
                <w:szCs w:val="22"/>
                <w:lang w:val="en-US" w:eastAsia="zh-CN"/>
              </w:rPr>
              <w:t>根据《排污单位自行监测技术指南 总则》(HJ 819-2017)，本</w:t>
            </w:r>
            <w:r>
              <w:rPr>
                <w:rFonts w:hint="eastAsia"/>
                <w:sz w:val="22"/>
                <w:szCs w:val="22"/>
              </w:rPr>
              <w:t>项目废气监测要求如下表所示：</w:t>
            </w:r>
          </w:p>
          <w:p w14:paraId="2E5F1E5E">
            <w:pPr>
              <w:numPr>
                <w:ilvl w:val="0"/>
                <w:numId w:val="12"/>
              </w:numPr>
              <w:spacing w:line="360" w:lineRule="auto"/>
              <w:jc w:val="center"/>
              <w:rPr>
                <w:sz w:val="22"/>
                <w:szCs w:val="22"/>
              </w:rPr>
            </w:pPr>
            <w:r>
              <w:rPr>
                <w:rFonts w:hint="eastAsia" w:ascii="黑体" w:hAnsi="黑体" w:eastAsia="黑体" w:cs="黑体"/>
                <w:spacing w:val="-10"/>
                <w:szCs w:val="21"/>
              </w:rPr>
              <w:t xml:space="preserve"> </w:t>
            </w:r>
            <w:r>
              <w:rPr>
                <w:rFonts w:hint="eastAsia" w:ascii="黑体" w:hAnsi="黑体" w:eastAsia="黑体" w:cs="黑体"/>
                <w:spacing w:val="-10"/>
                <w:szCs w:val="21"/>
                <w:lang w:val="zh-CN"/>
              </w:rPr>
              <w:t>项目</w:t>
            </w:r>
            <w:r>
              <w:rPr>
                <w:rFonts w:hint="eastAsia" w:ascii="黑体" w:hAnsi="黑体" w:eastAsia="黑体" w:cs="黑体"/>
                <w:spacing w:val="-10"/>
                <w:szCs w:val="21"/>
              </w:rPr>
              <w:t>废气</w:t>
            </w:r>
            <w:r>
              <w:rPr>
                <w:rFonts w:hint="eastAsia" w:ascii="黑体" w:hAnsi="黑体" w:eastAsia="黑体" w:cs="黑体"/>
                <w:spacing w:val="-10"/>
                <w:szCs w:val="21"/>
                <w:lang w:val="en-US" w:eastAsia="zh-CN"/>
              </w:rPr>
              <w:t>监测要求一览</w:t>
            </w:r>
            <w:r>
              <w:rPr>
                <w:rFonts w:hint="eastAsia" w:ascii="黑体" w:hAnsi="黑体" w:eastAsia="黑体" w:cs="黑体"/>
                <w:spacing w:val="-10"/>
                <w:szCs w:val="21"/>
              </w:rPr>
              <w:t>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28"/>
              <w:gridCol w:w="1396"/>
              <w:gridCol w:w="2416"/>
              <w:gridCol w:w="1172"/>
              <w:gridCol w:w="1172"/>
              <w:gridCol w:w="1142"/>
            </w:tblGrid>
            <w:tr w14:paraId="5355B8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vMerge w:val="restart"/>
                  <w:tcBorders>
                    <w:tl2br w:val="nil"/>
                    <w:tr2bl w:val="nil"/>
                  </w:tcBorders>
                  <w:shd w:val="clear" w:color="auto" w:fill="auto"/>
                  <w:vAlign w:val="center"/>
                </w:tcPr>
                <w:p w14:paraId="1721C0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排放形式</w:t>
                  </w:r>
                </w:p>
              </w:tc>
              <w:tc>
                <w:tcPr>
                  <w:tcW w:w="848" w:type="pct"/>
                  <w:vMerge w:val="restart"/>
                  <w:tcBorders>
                    <w:tl2br w:val="nil"/>
                    <w:tr2bl w:val="nil"/>
                  </w:tcBorders>
                  <w:shd w:val="clear" w:color="auto" w:fill="auto"/>
                  <w:vAlign w:val="center"/>
                </w:tcPr>
                <w:p w14:paraId="7E5C4F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w:t>
                  </w:r>
                </w:p>
              </w:tc>
              <w:tc>
                <w:tcPr>
                  <w:tcW w:w="1468" w:type="pct"/>
                  <w:vMerge w:val="restart"/>
                  <w:tcBorders>
                    <w:tl2br w:val="nil"/>
                    <w:tr2bl w:val="nil"/>
                  </w:tcBorders>
                  <w:shd w:val="clear" w:color="auto" w:fill="auto"/>
                  <w:vAlign w:val="center"/>
                </w:tcPr>
                <w:p w14:paraId="3ACB4E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类型</w:t>
                  </w:r>
                </w:p>
              </w:tc>
              <w:tc>
                <w:tcPr>
                  <w:tcW w:w="2118" w:type="pct"/>
                  <w:gridSpan w:val="3"/>
                  <w:tcBorders>
                    <w:tl2br w:val="nil"/>
                    <w:tr2bl w:val="nil"/>
                  </w:tcBorders>
                  <w:shd w:val="clear" w:color="auto" w:fill="auto"/>
                  <w:vAlign w:val="center"/>
                </w:tcPr>
                <w:p w14:paraId="0218D0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监测要求</w:t>
                  </w:r>
                </w:p>
              </w:tc>
            </w:tr>
            <w:tr w14:paraId="06EEAB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vMerge w:val="continue"/>
                  <w:tcBorders>
                    <w:tl2br w:val="nil"/>
                    <w:tr2bl w:val="nil"/>
                  </w:tcBorders>
                  <w:shd w:val="clear" w:color="auto" w:fill="auto"/>
                  <w:vAlign w:val="center"/>
                </w:tcPr>
                <w:p w14:paraId="7F99FD7F">
                  <w:pPr>
                    <w:jc w:val="center"/>
                    <w:rPr>
                      <w:rFonts w:hint="default" w:ascii="Times New Roman" w:hAnsi="Times New Roman" w:eastAsia="宋体" w:cs="Times New Roman"/>
                      <w:i w:val="0"/>
                      <w:iCs w:val="0"/>
                      <w:color w:val="000000"/>
                      <w:sz w:val="18"/>
                      <w:szCs w:val="18"/>
                      <w:u w:val="none"/>
                    </w:rPr>
                  </w:pPr>
                </w:p>
              </w:tc>
              <w:tc>
                <w:tcPr>
                  <w:tcW w:w="848" w:type="pct"/>
                  <w:vMerge w:val="continue"/>
                  <w:tcBorders>
                    <w:tl2br w:val="nil"/>
                    <w:tr2bl w:val="nil"/>
                  </w:tcBorders>
                  <w:shd w:val="clear" w:color="auto" w:fill="auto"/>
                  <w:vAlign w:val="center"/>
                </w:tcPr>
                <w:p w14:paraId="35BC1A99">
                  <w:pPr>
                    <w:jc w:val="center"/>
                    <w:rPr>
                      <w:rFonts w:hint="default" w:ascii="Times New Roman" w:hAnsi="Times New Roman" w:eastAsia="宋体" w:cs="Times New Roman"/>
                      <w:i w:val="0"/>
                      <w:iCs w:val="0"/>
                      <w:color w:val="000000"/>
                      <w:sz w:val="18"/>
                      <w:szCs w:val="18"/>
                      <w:u w:val="none"/>
                    </w:rPr>
                  </w:pPr>
                </w:p>
              </w:tc>
              <w:tc>
                <w:tcPr>
                  <w:tcW w:w="1468" w:type="pct"/>
                  <w:vMerge w:val="continue"/>
                  <w:tcBorders>
                    <w:tl2br w:val="nil"/>
                    <w:tr2bl w:val="nil"/>
                  </w:tcBorders>
                  <w:shd w:val="clear" w:color="auto" w:fill="auto"/>
                  <w:vAlign w:val="center"/>
                </w:tcPr>
                <w:p w14:paraId="56CFF268">
                  <w:pPr>
                    <w:jc w:val="center"/>
                    <w:rPr>
                      <w:rFonts w:hint="default" w:ascii="Times New Roman" w:hAnsi="Times New Roman" w:eastAsia="宋体" w:cs="Times New Roman"/>
                      <w:i w:val="0"/>
                      <w:iCs w:val="0"/>
                      <w:color w:val="000000"/>
                      <w:sz w:val="18"/>
                      <w:szCs w:val="18"/>
                      <w:u w:val="none"/>
                    </w:rPr>
                  </w:pPr>
                </w:p>
              </w:tc>
              <w:tc>
                <w:tcPr>
                  <w:tcW w:w="712" w:type="pct"/>
                  <w:tcBorders>
                    <w:tl2br w:val="nil"/>
                    <w:tr2bl w:val="nil"/>
                  </w:tcBorders>
                  <w:shd w:val="clear" w:color="auto" w:fill="auto"/>
                  <w:vAlign w:val="center"/>
                </w:tcPr>
                <w:p w14:paraId="12CFF7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点位</w:t>
                  </w:r>
                </w:p>
              </w:tc>
              <w:tc>
                <w:tcPr>
                  <w:tcW w:w="712" w:type="pct"/>
                  <w:tcBorders>
                    <w:tl2br w:val="nil"/>
                    <w:tr2bl w:val="nil"/>
                  </w:tcBorders>
                  <w:shd w:val="clear" w:color="auto" w:fill="auto"/>
                  <w:vAlign w:val="center"/>
                </w:tcPr>
                <w:p w14:paraId="0526DD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因子</w:t>
                  </w:r>
                </w:p>
              </w:tc>
              <w:tc>
                <w:tcPr>
                  <w:tcW w:w="694" w:type="pct"/>
                  <w:tcBorders>
                    <w:tl2br w:val="nil"/>
                    <w:tr2bl w:val="nil"/>
                  </w:tcBorders>
                  <w:shd w:val="clear" w:color="auto" w:fill="auto"/>
                  <w:vAlign w:val="center"/>
                </w:tcPr>
                <w:p w14:paraId="534BD7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频率</w:t>
                  </w:r>
                </w:p>
              </w:tc>
            </w:tr>
            <w:tr w14:paraId="438B7B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vMerge w:val="restart"/>
                  <w:tcBorders>
                    <w:tl2br w:val="nil"/>
                    <w:tr2bl w:val="nil"/>
                  </w:tcBorders>
                  <w:shd w:val="clear" w:color="auto" w:fill="auto"/>
                  <w:vAlign w:val="center"/>
                </w:tcPr>
                <w:p w14:paraId="243F55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有组织</w:t>
                  </w:r>
                </w:p>
              </w:tc>
              <w:tc>
                <w:tcPr>
                  <w:tcW w:w="848" w:type="pct"/>
                  <w:tcBorders>
                    <w:tl2br w:val="nil"/>
                    <w:tr2bl w:val="nil"/>
                  </w:tcBorders>
                  <w:shd w:val="clear" w:color="auto" w:fill="auto"/>
                  <w:noWrap/>
                  <w:vAlign w:val="center"/>
                </w:tcPr>
                <w:p w14:paraId="0E0073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DA002</w:t>
                  </w:r>
                </w:p>
              </w:tc>
              <w:tc>
                <w:tcPr>
                  <w:tcW w:w="1468" w:type="pct"/>
                  <w:vMerge w:val="restart"/>
                  <w:tcBorders>
                    <w:tl2br w:val="nil"/>
                    <w:tr2bl w:val="nil"/>
                  </w:tcBorders>
                  <w:shd w:val="clear" w:color="auto" w:fill="auto"/>
                  <w:vAlign w:val="center"/>
                </w:tcPr>
                <w:p w14:paraId="588671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一般排放口</w:t>
                  </w:r>
                </w:p>
              </w:tc>
              <w:tc>
                <w:tcPr>
                  <w:tcW w:w="712" w:type="pct"/>
                  <w:vMerge w:val="restart"/>
                  <w:tcBorders>
                    <w:tl2br w:val="nil"/>
                    <w:tr2bl w:val="nil"/>
                  </w:tcBorders>
                  <w:shd w:val="clear" w:color="auto" w:fill="auto"/>
                  <w:vAlign w:val="center"/>
                </w:tcPr>
                <w:p w14:paraId="1BFD79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排气筒出口</w:t>
                  </w:r>
                </w:p>
              </w:tc>
              <w:tc>
                <w:tcPr>
                  <w:tcW w:w="712" w:type="pct"/>
                  <w:vMerge w:val="restart"/>
                  <w:tcBorders>
                    <w:tl2br w:val="nil"/>
                    <w:tr2bl w:val="nil"/>
                  </w:tcBorders>
                  <w:shd w:val="clear" w:color="auto" w:fill="auto"/>
                  <w:vAlign w:val="center"/>
                </w:tcPr>
                <w:p w14:paraId="58B945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NMHC</w:t>
                  </w:r>
                </w:p>
              </w:tc>
              <w:tc>
                <w:tcPr>
                  <w:tcW w:w="694" w:type="pct"/>
                  <w:vMerge w:val="restart"/>
                  <w:tcBorders>
                    <w:tl2br w:val="nil"/>
                    <w:tr2bl w:val="nil"/>
                  </w:tcBorders>
                  <w:shd w:val="clear" w:color="auto" w:fill="auto"/>
                  <w:vAlign w:val="center"/>
                </w:tcPr>
                <w:p w14:paraId="2DAA30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1次/年</w:t>
                  </w:r>
                </w:p>
              </w:tc>
            </w:tr>
            <w:tr w14:paraId="731CC6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vMerge w:val="continue"/>
                  <w:tcBorders>
                    <w:tl2br w:val="nil"/>
                    <w:tr2bl w:val="nil"/>
                  </w:tcBorders>
                  <w:shd w:val="clear" w:color="auto" w:fill="auto"/>
                  <w:vAlign w:val="center"/>
                </w:tcPr>
                <w:p w14:paraId="02BAC80A">
                  <w:pPr>
                    <w:jc w:val="center"/>
                    <w:rPr>
                      <w:rFonts w:hint="default" w:ascii="Times New Roman" w:hAnsi="Times New Roman" w:eastAsia="宋体" w:cs="Times New Roman"/>
                      <w:i w:val="0"/>
                      <w:iCs w:val="0"/>
                      <w:color w:val="000000"/>
                      <w:sz w:val="18"/>
                      <w:szCs w:val="18"/>
                      <w:u w:val="none"/>
                    </w:rPr>
                  </w:pPr>
                </w:p>
              </w:tc>
              <w:tc>
                <w:tcPr>
                  <w:tcW w:w="848" w:type="pct"/>
                  <w:tcBorders>
                    <w:tl2br w:val="nil"/>
                    <w:tr2bl w:val="nil"/>
                  </w:tcBorders>
                  <w:shd w:val="clear" w:color="auto" w:fill="auto"/>
                  <w:noWrap/>
                  <w:vAlign w:val="center"/>
                </w:tcPr>
                <w:p w14:paraId="1BA370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DA003</w:t>
                  </w:r>
                </w:p>
              </w:tc>
              <w:tc>
                <w:tcPr>
                  <w:tcW w:w="1468" w:type="pct"/>
                  <w:vMerge w:val="continue"/>
                  <w:tcBorders>
                    <w:tl2br w:val="nil"/>
                    <w:tr2bl w:val="nil"/>
                  </w:tcBorders>
                  <w:shd w:val="clear" w:color="auto" w:fill="auto"/>
                  <w:vAlign w:val="center"/>
                </w:tcPr>
                <w:p w14:paraId="708EEE64">
                  <w:pPr>
                    <w:jc w:val="center"/>
                    <w:rPr>
                      <w:rFonts w:hint="default" w:ascii="Times New Roman" w:hAnsi="Times New Roman" w:eastAsia="宋体" w:cs="Times New Roman"/>
                      <w:i w:val="0"/>
                      <w:iCs w:val="0"/>
                      <w:color w:val="000000"/>
                      <w:sz w:val="18"/>
                      <w:szCs w:val="18"/>
                      <w:u w:val="none"/>
                    </w:rPr>
                  </w:pPr>
                </w:p>
              </w:tc>
              <w:tc>
                <w:tcPr>
                  <w:tcW w:w="712" w:type="pct"/>
                  <w:vMerge w:val="continue"/>
                  <w:tcBorders>
                    <w:tl2br w:val="nil"/>
                    <w:tr2bl w:val="nil"/>
                  </w:tcBorders>
                  <w:shd w:val="clear" w:color="auto" w:fill="auto"/>
                  <w:vAlign w:val="center"/>
                </w:tcPr>
                <w:p w14:paraId="67F3E360">
                  <w:pPr>
                    <w:jc w:val="center"/>
                    <w:rPr>
                      <w:rFonts w:hint="default" w:ascii="Times New Roman" w:hAnsi="Times New Roman" w:eastAsia="宋体" w:cs="Times New Roman"/>
                      <w:i w:val="0"/>
                      <w:iCs w:val="0"/>
                      <w:color w:val="000000"/>
                      <w:sz w:val="18"/>
                      <w:szCs w:val="18"/>
                      <w:u w:val="none"/>
                    </w:rPr>
                  </w:pPr>
                </w:p>
              </w:tc>
              <w:tc>
                <w:tcPr>
                  <w:tcW w:w="712" w:type="pct"/>
                  <w:vMerge w:val="continue"/>
                  <w:tcBorders>
                    <w:tl2br w:val="nil"/>
                    <w:tr2bl w:val="nil"/>
                  </w:tcBorders>
                  <w:shd w:val="clear" w:color="auto" w:fill="auto"/>
                  <w:vAlign w:val="center"/>
                </w:tcPr>
                <w:p w14:paraId="0A86614C">
                  <w:pPr>
                    <w:jc w:val="center"/>
                    <w:rPr>
                      <w:rFonts w:hint="default" w:ascii="Times New Roman" w:hAnsi="Times New Roman" w:eastAsia="宋体" w:cs="Times New Roman"/>
                      <w:i w:val="0"/>
                      <w:iCs w:val="0"/>
                      <w:color w:val="000000"/>
                      <w:sz w:val="18"/>
                      <w:szCs w:val="18"/>
                      <w:u w:val="none"/>
                    </w:rPr>
                  </w:pPr>
                </w:p>
              </w:tc>
              <w:tc>
                <w:tcPr>
                  <w:tcW w:w="694" w:type="pct"/>
                  <w:vMerge w:val="continue"/>
                  <w:tcBorders>
                    <w:tl2br w:val="nil"/>
                    <w:tr2bl w:val="nil"/>
                  </w:tcBorders>
                  <w:shd w:val="clear" w:color="auto" w:fill="auto"/>
                  <w:vAlign w:val="center"/>
                </w:tcPr>
                <w:p w14:paraId="3348E50F">
                  <w:pPr>
                    <w:jc w:val="center"/>
                    <w:rPr>
                      <w:rFonts w:hint="default" w:ascii="Times New Roman" w:hAnsi="Times New Roman" w:eastAsia="宋体" w:cs="Times New Roman"/>
                      <w:i w:val="0"/>
                      <w:iCs w:val="0"/>
                      <w:color w:val="000000"/>
                      <w:sz w:val="18"/>
                      <w:szCs w:val="18"/>
                      <w:u w:val="none"/>
                    </w:rPr>
                  </w:pPr>
                </w:p>
              </w:tc>
            </w:tr>
            <w:tr w14:paraId="2A6726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vMerge w:val="continue"/>
                  <w:tcBorders>
                    <w:tl2br w:val="nil"/>
                    <w:tr2bl w:val="nil"/>
                  </w:tcBorders>
                  <w:shd w:val="clear" w:color="auto" w:fill="auto"/>
                  <w:vAlign w:val="center"/>
                </w:tcPr>
                <w:p w14:paraId="72955B64">
                  <w:pPr>
                    <w:jc w:val="center"/>
                    <w:rPr>
                      <w:rFonts w:hint="default" w:ascii="Times New Roman" w:hAnsi="Times New Roman" w:eastAsia="宋体" w:cs="Times New Roman"/>
                      <w:i w:val="0"/>
                      <w:iCs w:val="0"/>
                      <w:color w:val="000000"/>
                      <w:sz w:val="18"/>
                      <w:szCs w:val="18"/>
                      <w:u w:val="none"/>
                    </w:rPr>
                  </w:pPr>
                </w:p>
              </w:tc>
              <w:tc>
                <w:tcPr>
                  <w:tcW w:w="848" w:type="pct"/>
                  <w:tcBorders>
                    <w:tl2br w:val="nil"/>
                    <w:tr2bl w:val="nil"/>
                  </w:tcBorders>
                  <w:shd w:val="clear" w:color="auto" w:fill="auto"/>
                  <w:noWrap/>
                  <w:vAlign w:val="center"/>
                </w:tcPr>
                <w:p w14:paraId="6E5E7D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DA004</w:t>
                  </w:r>
                </w:p>
              </w:tc>
              <w:tc>
                <w:tcPr>
                  <w:tcW w:w="1468" w:type="pct"/>
                  <w:vMerge w:val="continue"/>
                  <w:tcBorders>
                    <w:tl2br w:val="nil"/>
                    <w:tr2bl w:val="nil"/>
                  </w:tcBorders>
                  <w:shd w:val="clear" w:color="auto" w:fill="auto"/>
                  <w:vAlign w:val="center"/>
                </w:tcPr>
                <w:p w14:paraId="2C2C5634">
                  <w:pPr>
                    <w:jc w:val="center"/>
                    <w:rPr>
                      <w:rFonts w:hint="default" w:ascii="Times New Roman" w:hAnsi="Times New Roman" w:eastAsia="宋体" w:cs="Times New Roman"/>
                      <w:i w:val="0"/>
                      <w:iCs w:val="0"/>
                      <w:color w:val="000000"/>
                      <w:sz w:val="18"/>
                      <w:szCs w:val="18"/>
                      <w:u w:val="none"/>
                    </w:rPr>
                  </w:pPr>
                </w:p>
              </w:tc>
              <w:tc>
                <w:tcPr>
                  <w:tcW w:w="712" w:type="pct"/>
                  <w:vMerge w:val="continue"/>
                  <w:tcBorders>
                    <w:tl2br w:val="nil"/>
                    <w:tr2bl w:val="nil"/>
                  </w:tcBorders>
                  <w:shd w:val="clear" w:color="auto" w:fill="auto"/>
                  <w:vAlign w:val="center"/>
                </w:tcPr>
                <w:p w14:paraId="2B37015F">
                  <w:pPr>
                    <w:jc w:val="center"/>
                    <w:rPr>
                      <w:rFonts w:hint="default" w:ascii="Times New Roman" w:hAnsi="Times New Roman" w:eastAsia="宋体" w:cs="Times New Roman"/>
                      <w:i w:val="0"/>
                      <w:iCs w:val="0"/>
                      <w:color w:val="000000"/>
                      <w:sz w:val="18"/>
                      <w:szCs w:val="18"/>
                      <w:u w:val="none"/>
                    </w:rPr>
                  </w:pPr>
                </w:p>
              </w:tc>
              <w:tc>
                <w:tcPr>
                  <w:tcW w:w="712" w:type="pct"/>
                  <w:vMerge w:val="continue"/>
                  <w:tcBorders>
                    <w:tl2br w:val="nil"/>
                    <w:tr2bl w:val="nil"/>
                  </w:tcBorders>
                  <w:shd w:val="clear" w:color="auto" w:fill="auto"/>
                  <w:vAlign w:val="center"/>
                </w:tcPr>
                <w:p w14:paraId="3CAEDDE2">
                  <w:pPr>
                    <w:jc w:val="center"/>
                    <w:rPr>
                      <w:rFonts w:hint="default" w:ascii="Times New Roman" w:hAnsi="Times New Roman" w:eastAsia="宋体" w:cs="Times New Roman"/>
                      <w:i w:val="0"/>
                      <w:iCs w:val="0"/>
                      <w:color w:val="000000"/>
                      <w:sz w:val="18"/>
                      <w:szCs w:val="18"/>
                      <w:u w:val="none"/>
                    </w:rPr>
                  </w:pPr>
                </w:p>
              </w:tc>
              <w:tc>
                <w:tcPr>
                  <w:tcW w:w="694" w:type="pct"/>
                  <w:vMerge w:val="continue"/>
                  <w:tcBorders>
                    <w:tl2br w:val="nil"/>
                    <w:tr2bl w:val="nil"/>
                  </w:tcBorders>
                  <w:shd w:val="clear" w:color="auto" w:fill="auto"/>
                  <w:vAlign w:val="center"/>
                </w:tcPr>
                <w:p w14:paraId="0505D943">
                  <w:pPr>
                    <w:jc w:val="center"/>
                    <w:rPr>
                      <w:rFonts w:hint="default" w:ascii="Times New Roman" w:hAnsi="Times New Roman" w:eastAsia="宋体" w:cs="Times New Roman"/>
                      <w:i w:val="0"/>
                      <w:iCs w:val="0"/>
                      <w:color w:val="000000"/>
                      <w:sz w:val="18"/>
                      <w:szCs w:val="18"/>
                      <w:u w:val="none"/>
                    </w:rPr>
                  </w:pPr>
                </w:p>
              </w:tc>
            </w:tr>
            <w:tr w14:paraId="3EE067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564" w:type="pct"/>
                  <w:tcBorders>
                    <w:tl2br w:val="nil"/>
                    <w:tr2bl w:val="nil"/>
                  </w:tcBorders>
                  <w:shd w:val="clear" w:color="auto" w:fill="auto"/>
                  <w:vAlign w:val="center"/>
                </w:tcPr>
                <w:p w14:paraId="60E418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无组织</w:t>
                  </w:r>
                </w:p>
              </w:tc>
              <w:tc>
                <w:tcPr>
                  <w:tcW w:w="848" w:type="pct"/>
                  <w:tcBorders>
                    <w:tl2br w:val="nil"/>
                    <w:tr2bl w:val="nil"/>
                  </w:tcBorders>
                  <w:shd w:val="clear" w:color="auto" w:fill="auto"/>
                  <w:vAlign w:val="center"/>
                </w:tcPr>
                <w:p w14:paraId="4601EB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468" w:type="pct"/>
                  <w:tcBorders>
                    <w:tl2br w:val="nil"/>
                    <w:tr2bl w:val="nil"/>
                  </w:tcBorders>
                  <w:shd w:val="clear" w:color="auto" w:fill="auto"/>
                  <w:vAlign w:val="center"/>
                </w:tcPr>
                <w:p w14:paraId="576860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12" w:type="pct"/>
                  <w:tcBorders>
                    <w:tl2br w:val="nil"/>
                    <w:tr2bl w:val="nil"/>
                  </w:tcBorders>
                  <w:shd w:val="clear" w:color="auto" w:fill="auto"/>
                  <w:vAlign w:val="center"/>
                </w:tcPr>
                <w:p w14:paraId="207E05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厂界</w:t>
                  </w:r>
                </w:p>
              </w:tc>
              <w:tc>
                <w:tcPr>
                  <w:tcW w:w="712" w:type="pct"/>
                  <w:vMerge w:val="continue"/>
                  <w:tcBorders>
                    <w:tl2br w:val="nil"/>
                    <w:tr2bl w:val="nil"/>
                  </w:tcBorders>
                  <w:shd w:val="clear" w:color="auto" w:fill="auto"/>
                  <w:vAlign w:val="center"/>
                </w:tcPr>
                <w:p w14:paraId="3BAB39E9">
                  <w:pPr>
                    <w:jc w:val="center"/>
                    <w:rPr>
                      <w:rFonts w:hint="default" w:ascii="Times New Roman" w:hAnsi="Times New Roman" w:eastAsia="宋体" w:cs="Times New Roman"/>
                      <w:i w:val="0"/>
                      <w:iCs w:val="0"/>
                      <w:color w:val="000000"/>
                      <w:sz w:val="18"/>
                      <w:szCs w:val="18"/>
                      <w:u w:val="none"/>
                    </w:rPr>
                  </w:pPr>
                </w:p>
              </w:tc>
              <w:tc>
                <w:tcPr>
                  <w:tcW w:w="694" w:type="pct"/>
                  <w:vMerge w:val="continue"/>
                  <w:tcBorders>
                    <w:tl2br w:val="nil"/>
                    <w:tr2bl w:val="nil"/>
                  </w:tcBorders>
                  <w:shd w:val="clear" w:color="auto" w:fill="auto"/>
                  <w:vAlign w:val="center"/>
                </w:tcPr>
                <w:p w14:paraId="1C9C3282">
                  <w:pPr>
                    <w:jc w:val="center"/>
                    <w:rPr>
                      <w:rFonts w:hint="default" w:ascii="Times New Roman" w:hAnsi="Times New Roman" w:eastAsia="宋体" w:cs="Times New Roman"/>
                      <w:i w:val="0"/>
                      <w:iCs w:val="0"/>
                      <w:color w:val="000000"/>
                      <w:sz w:val="18"/>
                      <w:szCs w:val="18"/>
                      <w:u w:val="none"/>
                    </w:rPr>
                  </w:pPr>
                </w:p>
              </w:tc>
            </w:tr>
          </w:tbl>
          <w:p w14:paraId="15715FB4">
            <w:pPr>
              <w:spacing w:line="360" w:lineRule="auto"/>
              <w:rPr>
                <w:sz w:val="22"/>
                <w:szCs w:val="22"/>
              </w:rPr>
            </w:pPr>
          </w:p>
          <w:p w14:paraId="3E0B843C">
            <w:pPr>
              <w:spacing w:line="360" w:lineRule="auto"/>
              <w:rPr>
                <w:b/>
                <w:bCs/>
                <w:sz w:val="22"/>
                <w:szCs w:val="22"/>
              </w:rPr>
            </w:pPr>
            <w:r>
              <w:rPr>
                <w:rFonts w:hint="eastAsia"/>
                <w:b/>
                <w:bCs/>
                <w:sz w:val="22"/>
                <w:szCs w:val="22"/>
              </w:rPr>
              <w:t>4.2.2 废水</w:t>
            </w:r>
          </w:p>
          <w:p w14:paraId="1C2D10CB">
            <w:pPr>
              <w:spacing w:line="360" w:lineRule="auto"/>
              <w:rPr>
                <w:b/>
                <w:bCs/>
                <w:szCs w:val="21"/>
              </w:rPr>
            </w:pPr>
            <w:r>
              <w:rPr>
                <w:rFonts w:hint="eastAsia"/>
                <w:b/>
                <w:bCs/>
                <w:szCs w:val="21"/>
              </w:rPr>
              <w:t>1、废水源强核算</w:t>
            </w:r>
          </w:p>
          <w:p w14:paraId="4BBB02E5">
            <w:pPr>
              <w:spacing w:line="360" w:lineRule="auto"/>
              <w:ind w:firstLine="420" w:firstLineChars="200"/>
              <w:rPr>
                <w:szCs w:val="21"/>
              </w:rPr>
            </w:pPr>
            <w:r>
              <w:rPr>
                <w:rFonts w:hint="eastAsia"/>
                <w:szCs w:val="21"/>
              </w:rPr>
              <w:t>本项目废水主要为洗衣废水W1、纯水制备浓水W2、</w:t>
            </w:r>
            <w:r>
              <w:rPr>
                <w:rFonts w:hint="eastAsia"/>
                <w:szCs w:val="21"/>
                <w:lang w:val="en-US" w:eastAsia="zh-CN"/>
              </w:rPr>
              <w:t>生活污水W3、实验室清洗废水W4、仪器废水</w:t>
            </w:r>
            <w:r>
              <w:rPr>
                <w:rFonts w:hint="eastAsia"/>
                <w:szCs w:val="21"/>
              </w:rPr>
              <w:t>W</w:t>
            </w:r>
            <w:r>
              <w:rPr>
                <w:rFonts w:hint="eastAsia"/>
                <w:szCs w:val="21"/>
                <w:lang w:val="en-US" w:eastAsia="zh-CN"/>
              </w:rPr>
              <w:t>5</w:t>
            </w:r>
            <w:r>
              <w:rPr>
                <w:rFonts w:hint="eastAsia"/>
                <w:szCs w:val="21"/>
              </w:rPr>
              <w:t>，以及作为危险废物处理的实验室</w:t>
            </w:r>
            <w:r>
              <w:rPr>
                <w:rFonts w:hint="eastAsia"/>
                <w:szCs w:val="21"/>
                <w:lang w:val="en-US" w:eastAsia="zh-CN"/>
              </w:rPr>
              <w:t>废液</w:t>
            </w:r>
            <w:r>
              <w:rPr>
                <w:rFonts w:hint="eastAsia"/>
                <w:szCs w:val="21"/>
              </w:rPr>
              <w:t>。</w:t>
            </w:r>
          </w:p>
          <w:p w14:paraId="029B6664">
            <w:pPr>
              <w:numPr>
                <w:ilvl w:val="0"/>
                <w:numId w:val="13"/>
              </w:numPr>
              <w:spacing w:line="360" w:lineRule="auto"/>
              <w:ind w:firstLine="422" w:firstLineChars="200"/>
              <w:rPr>
                <w:b/>
                <w:bCs/>
                <w:szCs w:val="21"/>
              </w:rPr>
            </w:pPr>
            <w:r>
              <w:rPr>
                <w:rFonts w:hint="eastAsia"/>
                <w:b/>
                <w:bCs/>
                <w:szCs w:val="21"/>
              </w:rPr>
              <w:t>洗衣废水W1</w:t>
            </w:r>
          </w:p>
          <w:p w14:paraId="31633BDD">
            <w:pPr>
              <w:keepNext/>
              <w:keepLines/>
              <w:spacing w:line="360" w:lineRule="auto"/>
              <w:ind w:firstLine="420" w:firstLineChars="200"/>
              <w:rPr>
                <w:b/>
                <w:bCs/>
                <w:szCs w:val="21"/>
              </w:rPr>
            </w:pPr>
            <w:r>
              <w:rPr>
                <w:rFonts w:hint="eastAsia"/>
                <w:szCs w:val="21"/>
              </w:rPr>
              <w:t>企业每周使用滚筒洗衣机用纯水对洁净服进行一次清洗。根据《建筑给水排水设计标准》（GB 50015-2019）中表3.2.2 公共建筑生活用水定额及小时变化系数，洗衣房额定用水为40</w:t>
            </w:r>
            <w:r>
              <w:rPr>
                <w:rFonts w:hint="eastAsia"/>
                <w:szCs w:val="21"/>
                <w:highlight w:val="none"/>
              </w:rPr>
              <w:t>~80 L/kg干衣，</w:t>
            </w:r>
            <w:r>
              <w:rPr>
                <w:rFonts w:hint="eastAsia"/>
                <w:szCs w:val="21"/>
                <w:highlight w:val="none"/>
                <w:lang w:val="en-US" w:eastAsia="zh-CN"/>
              </w:rPr>
              <w:t>本环评按照80 L/kg干衣计算，</w:t>
            </w:r>
            <w:r>
              <w:rPr>
                <w:rFonts w:hint="eastAsia"/>
                <w:szCs w:val="21"/>
                <w:highlight w:val="none"/>
              </w:rPr>
              <w:t>每套衣约0.75 kg，每次清洗60套，年清洗次数</w:t>
            </w:r>
            <w:r>
              <w:rPr>
                <w:rFonts w:hint="eastAsia"/>
                <w:szCs w:val="21"/>
                <w:highlight w:val="none"/>
                <w:lang w:val="en-US" w:eastAsia="zh-CN"/>
              </w:rPr>
              <w:t>40</w:t>
            </w:r>
            <w:r>
              <w:rPr>
                <w:rFonts w:hint="eastAsia"/>
                <w:szCs w:val="21"/>
                <w:highlight w:val="none"/>
              </w:rPr>
              <w:t>次，则洗衣用水量约为</w:t>
            </w:r>
            <w:r>
              <w:rPr>
                <w:rFonts w:hint="eastAsia"/>
                <w:szCs w:val="21"/>
                <w:highlight w:val="none"/>
                <w:lang w:val="en-US" w:eastAsia="zh-CN"/>
              </w:rPr>
              <w:t>144</w:t>
            </w:r>
            <w:r>
              <w:rPr>
                <w:rFonts w:hint="eastAsia"/>
                <w:szCs w:val="21"/>
                <w:highlight w:val="none"/>
              </w:rPr>
              <w:t xml:space="preserve"> t/a，污水排放系数以85%计，则洗衣废水排放量为</w:t>
            </w:r>
            <w:r>
              <w:rPr>
                <w:rFonts w:hint="eastAsia"/>
                <w:szCs w:val="21"/>
                <w:highlight w:val="none"/>
                <w:lang w:val="en-US" w:eastAsia="zh-CN"/>
              </w:rPr>
              <w:t>122.4</w:t>
            </w:r>
            <w:r>
              <w:rPr>
                <w:rFonts w:hint="eastAsia"/>
                <w:szCs w:val="21"/>
                <w:highlight w:val="none"/>
              </w:rPr>
              <w:t xml:space="preserve"> t/a。洁净服一般不会沾染化学品，企业制定生产区域操作流程规范，要求工作人员在洁净服沾染化学品后及</w:t>
            </w:r>
            <w:r>
              <w:rPr>
                <w:rFonts w:hint="eastAsia"/>
                <w:szCs w:val="21"/>
              </w:rPr>
              <w:t>时妥善收集作为固废处置。企业选用不含氮磷的洗衣液，洗衣废水类比生活污水：COD</w:t>
            </w:r>
            <w:r>
              <w:rPr>
                <w:rFonts w:hint="eastAsia"/>
                <w:szCs w:val="21"/>
                <w:vertAlign w:val="subscript"/>
              </w:rPr>
              <w:t>Cr</w:t>
            </w:r>
            <w:r>
              <w:rPr>
                <w:rFonts w:hint="eastAsia"/>
                <w:szCs w:val="21"/>
              </w:rPr>
              <w:t xml:space="preserve"> 340 mg/L、LAS 10 mg/L。洗衣废水</w:t>
            </w:r>
            <w:r>
              <w:rPr>
                <w:rFonts w:hint="eastAsia"/>
                <w:szCs w:val="21"/>
                <w:lang w:val="en-US" w:eastAsia="zh-CN"/>
              </w:rPr>
              <w:t>经过化粪池预处理后</w:t>
            </w:r>
            <w:r>
              <w:rPr>
                <w:rFonts w:hint="eastAsia"/>
                <w:szCs w:val="21"/>
              </w:rPr>
              <w:t>纳管排放。</w:t>
            </w:r>
          </w:p>
          <w:p w14:paraId="74DCD49B">
            <w:pPr>
              <w:numPr>
                <w:ilvl w:val="0"/>
                <w:numId w:val="13"/>
              </w:numPr>
              <w:spacing w:line="360" w:lineRule="auto"/>
              <w:ind w:firstLine="422" w:firstLineChars="200"/>
              <w:rPr>
                <w:b/>
                <w:bCs/>
                <w:szCs w:val="21"/>
              </w:rPr>
            </w:pPr>
            <w:r>
              <w:rPr>
                <w:rFonts w:hint="eastAsia"/>
                <w:b/>
                <w:bCs/>
                <w:szCs w:val="21"/>
              </w:rPr>
              <w:t>纯水制备浓水W2</w:t>
            </w:r>
          </w:p>
          <w:p w14:paraId="6736352C">
            <w:pPr>
              <w:keepNext/>
              <w:keepLines/>
              <w:spacing w:line="360" w:lineRule="auto"/>
              <w:ind w:firstLine="420" w:firstLineChars="200"/>
              <w:rPr>
                <w:szCs w:val="21"/>
              </w:rPr>
            </w:pPr>
            <w:r>
              <w:rPr>
                <w:rFonts w:hint="eastAsia"/>
                <w:szCs w:val="21"/>
              </w:rPr>
              <w:t>本项目纯水用于溶液配制、实验室器皿清洗、实验室桌面-地面清洗、设备清洗、洁净服清洗等。项目设置两套纯水系统：一套小型用于实验室用水，产量0.05 t/h，产率50%，年运行100 h；一套用于洁净服清洗和设备清洗，产量0.5 t/h，产率75%，年运行300 h。经核算，项目纯水制备量为155 t/a，浓水产生量为55 t/a。根据同类型水质调查，该部分排水中主要有盐类，COD</w:t>
            </w:r>
            <w:r>
              <w:rPr>
                <w:rFonts w:hint="eastAsia"/>
                <w:szCs w:val="21"/>
                <w:vertAlign w:val="subscript"/>
              </w:rPr>
              <w:t>Cr</w:t>
            </w:r>
            <w:r>
              <w:rPr>
                <w:rFonts w:hint="eastAsia"/>
                <w:szCs w:val="21"/>
              </w:rPr>
              <w:t>浓度小于50 mg/L，纳管排放。</w:t>
            </w:r>
          </w:p>
          <w:p w14:paraId="6CC1105B">
            <w:pPr>
              <w:numPr>
                <w:ilvl w:val="0"/>
                <w:numId w:val="13"/>
              </w:numPr>
              <w:spacing w:line="360" w:lineRule="auto"/>
              <w:ind w:firstLine="422" w:firstLineChars="200"/>
              <w:rPr>
                <w:b/>
                <w:bCs/>
                <w:szCs w:val="21"/>
              </w:rPr>
            </w:pPr>
            <w:r>
              <w:rPr>
                <w:rFonts w:hint="eastAsia"/>
                <w:b/>
                <w:bCs/>
                <w:szCs w:val="21"/>
              </w:rPr>
              <w:t>员工生活污水W3</w:t>
            </w:r>
          </w:p>
          <w:p w14:paraId="6F517BD4">
            <w:pPr>
              <w:pStyle w:val="16"/>
              <w:spacing w:line="360" w:lineRule="auto"/>
              <w:ind w:firstLine="420" w:firstLineChars="200"/>
            </w:pPr>
            <w:r>
              <w:rPr>
                <w:rFonts w:hint="eastAsia" w:ascii="Times New Roman" w:hAnsi="Times New Roman" w:cs="Times New Roman"/>
              </w:rPr>
              <w:t>企业劳动定员60人</w:t>
            </w:r>
            <w:r>
              <w:rPr>
                <w:rFonts w:hint="eastAsia" w:ascii="Times New Roman" w:hAnsi="Times New Roman" w:cs="Times New Roman"/>
                <w:b/>
                <w:bCs/>
              </w:rPr>
              <w:t>，</w:t>
            </w:r>
            <w:r>
              <w:rPr>
                <w:rFonts w:hint="eastAsia" w:ascii="Times New Roman" w:hAnsi="Times New Roman" w:cs="Times New Roman"/>
              </w:rPr>
              <w:t>不设食堂，不设宿舍，实行单班制，每班生产8小时，年工作日250天。根据《建筑给水排水设计标准》（GB 50015-2019）中3.2.11相应内容“工业企业建筑管理人员、车间工人最高日生活用水定额取30-50 L/（人·班）”，本项目取50 L/（人·班），则用水量为3 t/d（750</w:t>
            </w:r>
            <w:r>
              <w:rPr>
                <w:rFonts w:ascii="Times New Roman" w:hAnsi="Times New Roman" w:cs="Times New Roman"/>
              </w:rPr>
              <w:t xml:space="preserve"> t/a</w:t>
            </w:r>
            <w:r>
              <w:rPr>
                <w:rFonts w:hint="eastAsia" w:ascii="Times New Roman" w:hAnsi="Times New Roman" w:cs="Times New Roman"/>
              </w:rPr>
              <w:t>），污水排放系数以85%计，生活污水产生量为2.55 t/d（637.5 t/a），水质类比城市生活污水：COD</w:t>
            </w:r>
            <w:r>
              <w:rPr>
                <w:rFonts w:ascii="Times New Roman" w:hAnsi="Times New Roman" w:cs="Times New Roman"/>
                <w:vertAlign w:val="subscript"/>
              </w:rPr>
              <w:t>Cr</w:t>
            </w:r>
            <w:r>
              <w:rPr>
                <w:rFonts w:hint="eastAsia" w:ascii="Times New Roman" w:hAnsi="Times New Roman" w:cs="Times New Roman"/>
              </w:rPr>
              <w:t xml:space="preserve"> 340 mg/L，NH</w:t>
            </w:r>
            <w:r>
              <w:rPr>
                <w:rFonts w:hint="eastAsia" w:ascii="Times New Roman" w:hAnsi="Times New Roman" w:cs="Times New Roman"/>
                <w:vertAlign w:val="subscript"/>
              </w:rPr>
              <w:t>3</w:t>
            </w:r>
            <w:r>
              <w:rPr>
                <w:rFonts w:hint="eastAsia" w:ascii="Times New Roman" w:hAnsi="Times New Roman" w:cs="Times New Roman"/>
              </w:rPr>
              <w:t>-N 35</w:t>
            </w:r>
            <w:r>
              <w:rPr>
                <w:rFonts w:ascii="Times New Roman" w:hAnsi="Times New Roman" w:cs="Times New Roman"/>
              </w:rPr>
              <w:t xml:space="preserve"> mg/L</w:t>
            </w:r>
            <w:r>
              <w:rPr>
                <w:rFonts w:hint="eastAsia" w:ascii="Times New Roman" w:hAnsi="Times New Roman" w:cs="Times New Roman"/>
              </w:rPr>
              <w:t>。生活污水经化粪池预处理后纳入市政管网。</w:t>
            </w:r>
          </w:p>
          <w:p w14:paraId="2E576E42">
            <w:pPr>
              <w:numPr>
                <w:ilvl w:val="0"/>
                <w:numId w:val="13"/>
              </w:numPr>
              <w:spacing w:line="360" w:lineRule="auto"/>
              <w:ind w:firstLine="422" w:firstLineChars="200"/>
              <w:rPr>
                <w:b/>
                <w:bCs/>
                <w:szCs w:val="21"/>
              </w:rPr>
            </w:pPr>
            <w:r>
              <w:rPr>
                <w:rFonts w:hint="eastAsia"/>
                <w:b/>
                <w:bCs/>
                <w:szCs w:val="21"/>
                <w:lang w:val="en-US" w:eastAsia="zh-CN"/>
              </w:rPr>
              <w:t>实验室</w:t>
            </w:r>
            <w:r>
              <w:rPr>
                <w:rFonts w:hint="eastAsia"/>
                <w:b/>
                <w:bCs/>
                <w:szCs w:val="21"/>
              </w:rPr>
              <w:t>废水</w:t>
            </w:r>
          </w:p>
          <w:p w14:paraId="70BE74A7">
            <w:pPr>
              <w:spacing w:line="360" w:lineRule="auto"/>
              <w:ind w:firstLine="422" w:firstLineChars="200"/>
              <w:rPr>
                <w:szCs w:val="21"/>
              </w:rPr>
            </w:pPr>
            <w:r>
              <w:rPr>
                <w:rFonts w:hint="eastAsia"/>
                <w:b/>
                <w:bCs/>
                <w:szCs w:val="21"/>
              </w:rPr>
              <w:t>①实验室废</w:t>
            </w:r>
            <w:r>
              <w:rPr>
                <w:rFonts w:hint="eastAsia"/>
                <w:b/>
                <w:bCs/>
                <w:szCs w:val="21"/>
                <w:lang w:val="en-US" w:eastAsia="zh-CN"/>
              </w:rPr>
              <w:t>液</w:t>
            </w:r>
            <w:r>
              <w:rPr>
                <w:rFonts w:hint="eastAsia"/>
                <w:b/>
                <w:bCs/>
                <w:szCs w:val="21"/>
              </w:rPr>
              <w:t>：</w:t>
            </w:r>
          </w:p>
          <w:p w14:paraId="48B2F474">
            <w:pPr>
              <w:spacing w:line="360" w:lineRule="auto"/>
              <w:ind w:firstLine="420" w:firstLineChars="200"/>
              <w:rPr>
                <w:szCs w:val="21"/>
              </w:rPr>
            </w:pPr>
            <w:r>
              <w:rPr>
                <w:rFonts w:hint="eastAsia" w:ascii="Times New Roman" w:hAnsi="Times New Roman" w:cs="Times New Roman"/>
                <w:sz w:val="21"/>
                <w:szCs w:val="21"/>
                <w:lang w:val="en-US" w:eastAsia="zh-CN"/>
              </w:rPr>
              <w:t>各类实验试剂废液，以及使用部分试剂器皿的第一遍淋洗液，按照有关规定分类收集，作为危险废物处置。根据以往生产经验，实验室废液产生量为0.4 t/a</w:t>
            </w:r>
            <w:r>
              <w:rPr>
                <w:rFonts w:hint="eastAsia" w:cs="Times New Roman"/>
                <w:sz w:val="21"/>
                <w:szCs w:val="21"/>
                <w:lang w:val="en-US" w:eastAsia="zh-CN"/>
              </w:rPr>
              <w:t>。</w:t>
            </w:r>
          </w:p>
          <w:p w14:paraId="0BF31256">
            <w:pPr>
              <w:pStyle w:val="16"/>
              <w:spacing w:line="360" w:lineRule="auto"/>
              <w:ind w:firstLine="422" w:firstLineChars="200"/>
              <w:rPr>
                <w:rFonts w:ascii="Times New Roman" w:hAnsi="Times New Roman" w:cs="Times New Roman"/>
                <w:b/>
                <w:bCs/>
              </w:rPr>
            </w:pPr>
            <w:r>
              <w:rPr>
                <w:rFonts w:ascii="Times New Roman" w:hAnsi="Times New Roman" w:cs="Times New Roman"/>
                <w:b/>
                <w:bCs/>
              </w:rPr>
              <w:t>②</w:t>
            </w:r>
            <w:r>
              <w:rPr>
                <w:rFonts w:hint="eastAsia" w:ascii="Times New Roman" w:hAnsi="Times New Roman" w:cs="Times New Roman"/>
                <w:b/>
                <w:bCs/>
                <w:lang w:val="en-US" w:eastAsia="zh-CN"/>
              </w:rPr>
              <w:t>实验室</w:t>
            </w:r>
            <w:r>
              <w:rPr>
                <w:rFonts w:hint="eastAsia" w:ascii="Times New Roman" w:hAnsi="Times New Roman" w:cs="Times New Roman"/>
                <w:b/>
                <w:bCs/>
              </w:rPr>
              <w:t>清洗废水</w:t>
            </w:r>
            <w:r>
              <w:rPr>
                <w:rFonts w:hint="eastAsia" w:ascii="Times New Roman" w:hAnsi="Times New Roman" w:cs="Times New Roman"/>
                <w:b/>
                <w:bCs/>
                <w:lang w:val="en-US" w:eastAsia="zh-CN"/>
              </w:rPr>
              <w:t>W4</w:t>
            </w:r>
            <w:r>
              <w:rPr>
                <w:rFonts w:hint="eastAsia" w:ascii="Times New Roman" w:hAnsi="Times New Roman" w:cs="Times New Roman"/>
                <w:b/>
                <w:bCs/>
              </w:rPr>
              <w:t>：</w:t>
            </w:r>
          </w:p>
          <w:p w14:paraId="29DF30D9">
            <w:pPr>
              <w:pStyle w:val="16"/>
              <w:spacing w:line="360" w:lineRule="auto"/>
              <w:ind w:firstLine="420" w:firstLineChars="200"/>
              <w:rPr>
                <w:rFonts w:hint="default" w:ascii="Times New Roman" w:hAnsi="Times New Roman" w:cs="Times New Roman"/>
                <w:sz w:val="21"/>
                <w:szCs w:val="21"/>
                <w:lang w:val="en-US" w:eastAsia="zh-CN"/>
              </w:rPr>
            </w:pPr>
            <w:r>
              <w:rPr>
                <w:rFonts w:hint="eastAsia" w:ascii="Times New Roman" w:hAnsi="Times New Roman" w:cs="Times New Roman"/>
                <w:lang w:val="en-US" w:eastAsia="zh-CN"/>
              </w:rPr>
              <w:t>器皿</w:t>
            </w:r>
            <w:r>
              <w:rPr>
                <w:rFonts w:hint="eastAsia" w:ascii="Times New Roman" w:hAnsi="Times New Roman" w:cs="Times New Roman"/>
                <w:highlight w:val="none"/>
                <w:lang w:val="en-US" w:eastAsia="zh-CN"/>
              </w:rPr>
              <w:t>清洗：</w:t>
            </w:r>
            <w:r>
              <w:rPr>
                <w:rFonts w:hint="eastAsia" w:ascii="Times New Roman" w:hAnsi="Times New Roman" w:cs="Times New Roman"/>
                <w:sz w:val="21"/>
                <w:szCs w:val="21"/>
                <w:highlight w:val="none"/>
                <w:lang w:val="en-US" w:eastAsia="zh-CN"/>
              </w:rPr>
              <w:t>第二遍及之后淋洗液作为废水，倒入实验室水槽，</w:t>
            </w:r>
            <w:r>
              <w:rPr>
                <w:rFonts w:hint="eastAsia"/>
                <w:szCs w:val="21"/>
                <w:highlight w:val="none"/>
              </w:rPr>
              <w:t>纳管排放</w:t>
            </w:r>
            <w:r>
              <w:rPr>
                <w:rFonts w:hint="eastAsia" w:ascii="Times New Roman" w:hAnsi="Times New Roman" w:cs="Times New Roman"/>
                <w:sz w:val="21"/>
                <w:szCs w:val="21"/>
                <w:highlight w:val="none"/>
                <w:lang w:val="en-US" w:eastAsia="zh-CN"/>
              </w:rPr>
              <w:t>。淋洗使用纯水。据企业生产经验，实验室平均用水量为8 L/d，则该部分废水产生量为2 t/a。水质类比检测指标和使用试剂类似项目《通瑞生物医药（上海）有限公司新建实验室项目环境影响报告表》（沪浦环保许评[2023]125号）：</w:t>
            </w:r>
            <w:r>
              <w:rPr>
                <w:rFonts w:ascii="Times New Roman" w:hAnsi="Times New Roman" w:cs="Times New Roman"/>
                <w:highlight w:val="none"/>
              </w:rPr>
              <w:t>COD</w:t>
            </w:r>
            <w:r>
              <w:rPr>
                <w:rFonts w:ascii="Times New Roman" w:hAnsi="Times New Roman" w:cs="Times New Roman"/>
                <w:highlight w:val="none"/>
                <w:vertAlign w:val="subscript"/>
              </w:rPr>
              <w:t>Cr</w:t>
            </w:r>
            <w:r>
              <w:rPr>
                <w:rFonts w:hint="eastAsia" w:ascii="Times New Roman" w:hAnsi="Times New Roman" w:cs="Times New Roman"/>
                <w:highlight w:val="none"/>
              </w:rPr>
              <w:t xml:space="preserve"> </w:t>
            </w:r>
            <w:r>
              <w:rPr>
                <w:rFonts w:hint="eastAsia" w:ascii="Times New Roman" w:hAnsi="Times New Roman" w:cs="Times New Roman"/>
                <w:lang w:val="en-US" w:eastAsia="zh-CN"/>
              </w:rPr>
              <w:t>300</w:t>
            </w:r>
            <w:r>
              <w:rPr>
                <w:rFonts w:hint="eastAsia" w:ascii="Times New Roman" w:hAnsi="Times New Roman" w:cs="Times New Roman"/>
              </w:rPr>
              <w:t xml:space="preserve"> mg/L，NH</w:t>
            </w:r>
            <w:r>
              <w:rPr>
                <w:rFonts w:hint="eastAsia" w:ascii="Times New Roman" w:hAnsi="Times New Roman" w:cs="Times New Roman"/>
                <w:vertAlign w:val="subscript"/>
              </w:rPr>
              <w:t>3</w:t>
            </w:r>
            <w:r>
              <w:rPr>
                <w:rFonts w:hint="eastAsia" w:ascii="Times New Roman" w:hAnsi="Times New Roman" w:cs="Times New Roman"/>
              </w:rPr>
              <w:t xml:space="preserve">-N </w:t>
            </w:r>
            <w:r>
              <w:rPr>
                <w:rFonts w:hint="eastAsia" w:ascii="Times New Roman" w:hAnsi="Times New Roman" w:cs="Times New Roman"/>
                <w:lang w:val="en-US" w:eastAsia="zh-CN"/>
              </w:rPr>
              <w:t>20</w:t>
            </w:r>
            <w:r>
              <w:rPr>
                <w:rFonts w:ascii="Times New Roman" w:hAnsi="Times New Roman" w:cs="Times New Roman"/>
              </w:rPr>
              <w:t xml:space="preserve"> mg/L</w:t>
            </w:r>
          </w:p>
          <w:p w14:paraId="3E063E70">
            <w:pPr>
              <w:pStyle w:val="16"/>
              <w:spacing w:line="360" w:lineRule="auto"/>
              <w:ind w:firstLine="422" w:firstLineChars="200"/>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③仪器废水W5</w:t>
            </w:r>
          </w:p>
          <w:p w14:paraId="3DEE02BB">
            <w:pPr>
              <w:pStyle w:val="16"/>
              <w:spacing w:line="360" w:lineRule="auto"/>
              <w:ind w:firstLine="420" w:firstLineChars="200"/>
              <w:rPr>
                <w:rFonts w:hint="default" w:ascii="Times New Roman" w:hAnsi="Times New Roman" w:cs="Times New Roman"/>
                <w:lang w:val="en-US"/>
              </w:rPr>
            </w:pPr>
            <w:r>
              <w:rPr>
                <w:rFonts w:hint="eastAsia" w:ascii="Times New Roman" w:hAnsi="Times New Roman" w:cs="Times New Roman"/>
                <w:sz w:val="21"/>
                <w:szCs w:val="21"/>
                <w:lang w:val="en-US" w:eastAsia="zh-CN"/>
              </w:rPr>
              <w:t>定氮仪循环冷</w:t>
            </w:r>
            <w:r>
              <w:rPr>
                <w:rFonts w:hint="eastAsia" w:ascii="Times New Roman" w:hAnsi="Times New Roman" w:cs="Times New Roman"/>
                <w:sz w:val="21"/>
                <w:szCs w:val="21"/>
                <w:highlight w:val="none"/>
                <w:lang w:val="en-US" w:eastAsia="zh-CN"/>
              </w:rPr>
              <w:t>却和直连自来水管道，作为间接循环冷却水，需要持续进行补水。仪器内废水每</w:t>
            </w:r>
            <w:r>
              <w:rPr>
                <w:rFonts w:hint="default" w:ascii="Times New Roman" w:hAnsi="Times New Roman" w:cs="Times New Roman"/>
                <w:sz w:val="21"/>
                <w:szCs w:val="21"/>
                <w:highlight w:val="none"/>
                <w:lang w:val="en-US" w:eastAsia="zh-CN"/>
              </w:rPr>
              <w:t>2周</w:t>
            </w:r>
            <w:r>
              <w:rPr>
                <w:rFonts w:hint="eastAsia" w:ascii="Times New Roman" w:hAnsi="Times New Roman" w:cs="Times New Roman"/>
                <w:sz w:val="21"/>
                <w:szCs w:val="21"/>
                <w:highlight w:val="none"/>
                <w:lang w:val="en-US" w:eastAsia="zh-CN"/>
              </w:rPr>
              <w:t>排放1</w:t>
            </w:r>
            <w:r>
              <w:rPr>
                <w:rFonts w:hint="default" w:ascii="Times New Roman" w:hAnsi="Times New Roman" w:cs="Times New Roman"/>
                <w:sz w:val="21"/>
                <w:szCs w:val="21"/>
                <w:highlight w:val="none"/>
                <w:lang w:val="en-US" w:eastAsia="zh-CN"/>
              </w:rPr>
              <w:t>次，</w:t>
            </w:r>
            <w:r>
              <w:rPr>
                <w:rFonts w:hint="eastAsia" w:ascii="Times New Roman" w:hAnsi="Times New Roman" w:cs="Times New Roman"/>
                <w:sz w:val="21"/>
                <w:szCs w:val="21"/>
                <w:highlight w:val="none"/>
                <w:lang w:val="en-US" w:eastAsia="zh-CN"/>
              </w:rPr>
              <w:t>250 L/次，企业年工作时间250（约合36周），则经核算，仪器废水产生量约为4.5 t/a。水质较好，COD</w:t>
            </w:r>
            <w:r>
              <w:rPr>
                <w:rFonts w:hint="eastAsia" w:ascii="Times New Roman" w:hAnsi="Times New Roman" w:cs="Times New Roman"/>
                <w:sz w:val="21"/>
                <w:szCs w:val="21"/>
                <w:highlight w:val="none"/>
                <w:vertAlign w:val="subscript"/>
                <w:lang w:val="en-US" w:eastAsia="zh-CN"/>
              </w:rPr>
              <w:t>Cr</w:t>
            </w:r>
            <w:r>
              <w:rPr>
                <w:rFonts w:hint="eastAsia" w:ascii="Times New Roman" w:hAnsi="Times New Roman" w:cs="Times New Roman"/>
                <w:sz w:val="21"/>
                <w:szCs w:val="21"/>
                <w:highlight w:val="none"/>
                <w:lang w:val="en-US" w:eastAsia="zh-CN"/>
              </w:rPr>
              <w:t>浓度小于50 mg/L，</w:t>
            </w:r>
            <w:r>
              <w:rPr>
                <w:rFonts w:hint="eastAsia"/>
                <w:szCs w:val="21"/>
                <w:highlight w:val="none"/>
              </w:rPr>
              <w:t>纳管排放</w:t>
            </w:r>
            <w:r>
              <w:rPr>
                <w:rFonts w:hint="eastAsia" w:ascii="Times New Roman" w:hAnsi="Times New Roman" w:cs="Times New Roman"/>
                <w:sz w:val="21"/>
                <w:szCs w:val="21"/>
                <w:highlight w:val="none"/>
                <w:lang w:val="en-US" w:eastAsia="zh-CN"/>
              </w:rPr>
              <w:t>。</w:t>
            </w:r>
          </w:p>
          <w:p w14:paraId="7C481CCA">
            <w:pPr>
              <w:numPr>
                <w:ilvl w:val="0"/>
                <w:numId w:val="13"/>
              </w:numPr>
              <w:spacing w:line="360" w:lineRule="auto"/>
              <w:ind w:firstLine="422" w:firstLineChars="200"/>
              <w:rPr>
                <w:b/>
                <w:bCs/>
                <w:szCs w:val="21"/>
              </w:rPr>
            </w:pPr>
            <w:r>
              <w:rPr>
                <w:rFonts w:hint="eastAsia"/>
                <w:b/>
                <w:bCs/>
                <w:szCs w:val="21"/>
              </w:rPr>
              <w:t>废水汇总</w:t>
            </w:r>
          </w:p>
          <w:p w14:paraId="64D26415">
            <w:pPr>
              <w:adjustRightInd w:val="0"/>
              <w:snapToGrid w:val="0"/>
              <w:spacing w:line="360" w:lineRule="auto"/>
              <w:ind w:firstLine="420" w:firstLineChars="200"/>
              <w:rPr>
                <w:b/>
                <w:bCs/>
                <w:szCs w:val="21"/>
              </w:rPr>
            </w:pPr>
            <w:bookmarkStart w:id="50" w:name="OLE_LINK267"/>
            <w:bookmarkStart w:id="51" w:name="OLE_LINK268"/>
            <w:bookmarkStart w:id="52" w:name="OLE_LINK412"/>
            <w:bookmarkStart w:id="53" w:name="OLE_LINK413"/>
            <w:r>
              <w:rPr>
                <w:rFonts w:hint="eastAsia"/>
                <w:bCs/>
                <w:szCs w:val="21"/>
              </w:rPr>
              <w:t>生活污水经化粪池预处理后，与生产废水共同纳管排放，</w:t>
            </w:r>
            <w:bookmarkEnd w:id="50"/>
            <w:bookmarkEnd w:id="51"/>
            <w:r>
              <w:rPr>
                <w:rFonts w:hint="eastAsia"/>
                <w:bCs/>
                <w:szCs w:val="21"/>
              </w:rPr>
              <w:t>最终送余杭污水处理厂集中处理达标后外排</w:t>
            </w:r>
            <w:bookmarkEnd w:id="52"/>
            <w:bookmarkEnd w:id="53"/>
            <w:r>
              <w:rPr>
                <w:rFonts w:hint="eastAsia"/>
                <w:bCs/>
                <w:szCs w:val="21"/>
              </w:rPr>
              <w:t>。本项目废水污染源源强核算结果、废水类别、污染物及污染治理设施信息、间接排放情况见下表。</w:t>
            </w:r>
          </w:p>
        </w:tc>
      </w:tr>
    </w:tbl>
    <w:p w14:paraId="7718DA03">
      <w:pPr>
        <w:spacing w:line="360" w:lineRule="auto"/>
        <w:rPr>
          <w:b/>
          <w:bCs/>
          <w:szCs w:val="21"/>
        </w:rPr>
        <w:sectPr>
          <w:pgSz w:w="11906" w:h="16838"/>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6ACB6A19">
      <w:pPr>
        <w:numPr>
          <w:ilvl w:val="0"/>
          <w:numId w:val="12"/>
        </w:numPr>
        <w:spacing w:line="360" w:lineRule="auto"/>
        <w:jc w:val="center"/>
        <w:rPr>
          <w:b/>
          <w:bCs/>
          <w:spacing w:val="-10"/>
          <w:szCs w:val="21"/>
        </w:rPr>
      </w:pPr>
      <w:r>
        <w:rPr>
          <w:rFonts w:hint="eastAsia" w:ascii="黑体" w:hAnsi="黑体" w:eastAsia="黑体" w:cs="黑体"/>
        </w:rPr>
        <w:t xml:space="preserve"> 废水污染源源强核算结果及相关参数一览表</w:t>
      </w:r>
    </w:p>
    <w:tbl>
      <w:tblPr>
        <w:tblStyle w:val="26"/>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246"/>
        <w:gridCol w:w="750"/>
        <w:gridCol w:w="634"/>
        <w:gridCol w:w="1267"/>
        <w:gridCol w:w="1286"/>
        <w:gridCol w:w="1109"/>
        <w:gridCol w:w="592"/>
        <w:gridCol w:w="610"/>
        <w:gridCol w:w="719"/>
        <w:gridCol w:w="1267"/>
        <w:gridCol w:w="1286"/>
        <w:gridCol w:w="1109"/>
        <w:gridCol w:w="1105"/>
      </w:tblGrid>
      <w:tr w14:paraId="6239E5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5" w:hRule="atLeast"/>
        </w:trPr>
        <w:tc>
          <w:tcPr>
            <w:tcW w:w="480" w:type="pct"/>
            <w:vMerge w:val="restart"/>
            <w:tcBorders>
              <w:tl2br w:val="nil"/>
              <w:tr2bl w:val="nil"/>
            </w:tcBorders>
            <w:shd w:val="clear" w:color="auto" w:fill="auto"/>
            <w:noWrap/>
            <w:vAlign w:val="center"/>
          </w:tcPr>
          <w:p w14:paraId="598384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w:t>
            </w:r>
          </w:p>
        </w:tc>
        <w:tc>
          <w:tcPr>
            <w:tcW w:w="288" w:type="pct"/>
            <w:vMerge w:val="restart"/>
            <w:tcBorders>
              <w:tl2br w:val="nil"/>
              <w:tr2bl w:val="nil"/>
            </w:tcBorders>
            <w:shd w:val="clear" w:color="auto" w:fill="auto"/>
            <w:noWrap/>
            <w:vAlign w:val="center"/>
          </w:tcPr>
          <w:p w14:paraId="3DD547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1654" w:type="pct"/>
            <w:gridSpan w:val="4"/>
            <w:tcBorders>
              <w:tl2br w:val="nil"/>
              <w:tr2bl w:val="nil"/>
            </w:tcBorders>
            <w:shd w:val="clear" w:color="auto" w:fill="auto"/>
            <w:noWrap/>
            <w:vAlign w:val="center"/>
          </w:tcPr>
          <w:p w14:paraId="1FA112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污染物产生</w:t>
            </w:r>
          </w:p>
        </w:tc>
        <w:tc>
          <w:tcPr>
            <w:tcW w:w="463" w:type="pct"/>
            <w:gridSpan w:val="2"/>
            <w:tcBorders>
              <w:tl2br w:val="nil"/>
              <w:tr2bl w:val="nil"/>
            </w:tcBorders>
            <w:shd w:val="clear" w:color="auto" w:fill="auto"/>
            <w:noWrap/>
            <w:vAlign w:val="center"/>
          </w:tcPr>
          <w:p w14:paraId="39D9FE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治理措施</w:t>
            </w:r>
          </w:p>
        </w:tc>
        <w:tc>
          <w:tcPr>
            <w:tcW w:w="1687" w:type="pct"/>
            <w:gridSpan w:val="4"/>
            <w:tcBorders>
              <w:tl2br w:val="nil"/>
              <w:tr2bl w:val="nil"/>
            </w:tcBorders>
            <w:shd w:val="clear" w:color="auto" w:fill="auto"/>
            <w:noWrap/>
            <w:vAlign w:val="center"/>
          </w:tcPr>
          <w:p w14:paraId="1BDBA7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污染物排放</w:t>
            </w:r>
            <w:r>
              <w:rPr>
                <w:rFonts w:hint="eastAsia" w:cs="Times New Roman"/>
                <w:i w:val="0"/>
                <w:iCs w:val="0"/>
                <w:color w:val="000000"/>
                <w:kern w:val="0"/>
                <w:sz w:val="18"/>
                <w:szCs w:val="18"/>
                <w:u w:val="none"/>
                <w:lang w:val="en-US" w:eastAsia="zh-CN" w:bidi="ar"/>
              </w:rPr>
              <w:t>环境</w:t>
            </w:r>
          </w:p>
        </w:tc>
        <w:tc>
          <w:tcPr>
            <w:tcW w:w="425" w:type="pct"/>
            <w:tcBorders>
              <w:tl2br w:val="nil"/>
              <w:tr2bl w:val="nil"/>
            </w:tcBorders>
            <w:shd w:val="clear" w:color="auto" w:fill="auto"/>
            <w:noWrap/>
            <w:vAlign w:val="center"/>
          </w:tcPr>
          <w:p w14:paraId="7E584E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排放时间（天）</w:t>
            </w:r>
          </w:p>
        </w:tc>
      </w:tr>
      <w:tr w14:paraId="74683D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5078EEB2">
            <w:pPr>
              <w:jc w:val="center"/>
              <w:rPr>
                <w:rFonts w:hint="default" w:ascii="Times New Roman" w:hAnsi="Times New Roman" w:eastAsia="宋体" w:cs="Times New Roman"/>
                <w:i w:val="0"/>
                <w:iCs w:val="0"/>
                <w:color w:val="000000"/>
                <w:sz w:val="18"/>
                <w:szCs w:val="18"/>
                <w:u w:val="none"/>
              </w:rPr>
            </w:pPr>
          </w:p>
        </w:tc>
        <w:tc>
          <w:tcPr>
            <w:tcW w:w="288" w:type="pct"/>
            <w:vMerge w:val="continue"/>
            <w:tcBorders>
              <w:tl2br w:val="nil"/>
              <w:tr2bl w:val="nil"/>
            </w:tcBorders>
            <w:shd w:val="clear" w:color="auto" w:fill="auto"/>
            <w:noWrap/>
            <w:vAlign w:val="center"/>
          </w:tcPr>
          <w:p w14:paraId="05626ABC">
            <w:pPr>
              <w:jc w:val="center"/>
              <w:rPr>
                <w:rFonts w:hint="default" w:ascii="Times New Roman" w:hAnsi="Times New Roman" w:eastAsia="宋体" w:cs="Times New Roman"/>
                <w:i w:val="0"/>
                <w:iCs w:val="0"/>
                <w:color w:val="000000"/>
                <w:sz w:val="18"/>
                <w:szCs w:val="18"/>
                <w:u w:val="none"/>
              </w:rPr>
            </w:pPr>
          </w:p>
        </w:tc>
        <w:tc>
          <w:tcPr>
            <w:tcW w:w="244" w:type="pct"/>
            <w:tcBorders>
              <w:tl2br w:val="nil"/>
              <w:tr2bl w:val="nil"/>
            </w:tcBorders>
            <w:shd w:val="clear" w:color="auto" w:fill="auto"/>
            <w:noWrap/>
            <w:vAlign w:val="center"/>
          </w:tcPr>
          <w:p w14:paraId="3AF5BE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488" w:type="pct"/>
            <w:tcBorders>
              <w:tl2br w:val="nil"/>
              <w:tr2bl w:val="nil"/>
            </w:tcBorders>
            <w:shd w:val="clear" w:color="auto" w:fill="auto"/>
            <w:noWrap/>
            <w:vAlign w:val="center"/>
          </w:tcPr>
          <w:p w14:paraId="25760A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产生废水量/（t/a）</w:t>
            </w:r>
          </w:p>
        </w:tc>
        <w:tc>
          <w:tcPr>
            <w:tcW w:w="495" w:type="pct"/>
            <w:tcBorders>
              <w:tl2br w:val="nil"/>
              <w:tr2bl w:val="nil"/>
            </w:tcBorders>
            <w:shd w:val="clear" w:color="auto" w:fill="auto"/>
            <w:noWrap/>
            <w:vAlign w:val="center"/>
          </w:tcPr>
          <w:p w14:paraId="523C45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产生浓度/（mg/L）</w:t>
            </w:r>
          </w:p>
        </w:tc>
        <w:tc>
          <w:tcPr>
            <w:tcW w:w="427" w:type="pct"/>
            <w:tcBorders>
              <w:tl2br w:val="nil"/>
              <w:tr2bl w:val="nil"/>
            </w:tcBorders>
            <w:shd w:val="clear" w:color="auto" w:fill="auto"/>
            <w:noWrap/>
            <w:vAlign w:val="center"/>
          </w:tcPr>
          <w:p w14:paraId="69E960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产生量/（kg/a）</w:t>
            </w:r>
          </w:p>
        </w:tc>
        <w:tc>
          <w:tcPr>
            <w:tcW w:w="227" w:type="pct"/>
            <w:tcBorders>
              <w:tl2br w:val="nil"/>
              <w:tr2bl w:val="nil"/>
            </w:tcBorders>
            <w:shd w:val="clear" w:color="auto" w:fill="auto"/>
            <w:noWrap/>
            <w:vAlign w:val="center"/>
          </w:tcPr>
          <w:p w14:paraId="0BE6DF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工艺</w:t>
            </w:r>
          </w:p>
        </w:tc>
        <w:tc>
          <w:tcPr>
            <w:tcW w:w="235" w:type="pct"/>
            <w:tcBorders>
              <w:tl2br w:val="nil"/>
              <w:tr2bl w:val="nil"/>
            </w:tcBorders>
            <w:shd w:val="clear" w:color="auto" w:fill="auto"/>
            <w:noWrap/>
            <w:vAlign w:val="center"/>
          </w:tcPr>
          <w:p w14:paraId="54BB4E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效率/%</w:t>
            </w:r>
          </w:p>
        </w:tc>
        <w:tc>
          <w:tcPr>
            <w:tcW w:w="277" w:type="pct"/>
            <w:tcBorders>
              <w:tl2br w:val="nil"/>
              <w:tr2bl w:val="nil"/>
            </w:tcBorders>
            <w:shd w:val="clear" w:color="auto" w:fill="auto"/>
            <w:noWrap/>
            <w:vAlign w:val="center"/>
          </w:tcPr>
          <w:p w14:paraId="0A3334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488" w:type="pct"/>
            <w:tcBorders>
              <w:tl2br w:val="nil"/>
              <w:tr2bl w:val="nil"/>
            </w:tcBorders>
            <w:shd w:val="clear" w:color="auto" w:fill="auto"/>
            <w:noWrap/>
            <w:vAlign w:val="center"/>
          </w:tcPr>
          <w:p w14:paraId="47E5A3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排放废水量/（t/a）</w:t>
            </w:r>
          </w:p>
        </w:tc>
        <w:tc>
          <w:tcPr>
            <w:tcW w:w="495" w:type="pct"/>
            <w:tcBorders>
              <w:tl2br w:val="nil"/>
              <w:tr2bl w:val="nil"/>
            </w:tcBorders>
            <w:shd w:val="clear" w:color="auto" w:fill="auto"/>
            <w:noWrap/>
            <w:vAlign w:val="center"/>
          </w:tcPr>
          <w:p w14:paraId="061E16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排放浓度/（mg/L）</w:t>
            </w:r>
          </w:p>
        </w:tc>
        <w:tc>
          <w:tcPr>
            <w:tcW w:w="427" w:type="pct"/>
            <w:tcBorders>
              <w:tl2br w:val="nil"/>
              <w:tr2bl w:val="nil"/>
            </w:tcBorders>
            <w:shd w:val="clear" w:color="auto" w:fill="auto"/>
            <w:noWrap/>
            <w:vAlign w:val="center"/>
          </w:tcPr>
          <w:p w14:paraId="1B73F5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排放量/（kg/a）</w:t>
            </w:r>
          </w:p>
        </w:tc>
        <w:tc>
          <w:tcPr>
            <w:tcW w:w="425" w:type="pct"/>
            <w:tcBorders>
              <w:tl2br w:val="nil"/>
              <w:tr2bl w:val="nil"/>
            </w:tcBorders>
            <w:shd w:val="clear" w:color="auto" w:fill="auto"/>
            <w:noWrap/>
            <w:vAlign w:val="center"/>
          </w:tcPr>
          <w:p w14:paraId="205F97FD">
            <w:pPr>
              <w:jc w:val="center"/>
              <w:rPr>
                <w:rFonts w:hint="default" w:ascii="Times New Roman" w:hAnsi="Times New Roman" w:eastAsia="宋体" w:cs="Times New Roman"/>
                <w:i w:val="0"/>
                <w:iCs w:val="0"/>
                <w:color w:val="000000"/>
                <w:sz w:val="18"/>
                <w:szCs w:val="18"/>
                <w:u w:val="none"/>
              </w:rPr>
            </w:pPr>
          </w:p>
        </w:tc>
      </w:tr>
      <w:tr w14:paraId="56F048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restart"/>
            <w:tcBorders>
              <w:tl2br w:val="nil"/>
              <w:tr2bl w:val="nil"/>
            </w:tcBorders>
            <w:shd w:val="clear" w:color="auto" w:fill="auto"/>
            <w:noWrap/>
            <w:vAlign w:val="center"/>
          </w:tcPr>
          <w:p w14:paraId="0CAE70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洗衣废水W1</w:t>
            </w:r>
          </w:p>
        </w:tc>
        <w:tc>
          <w:tcPr>
            <w:tcW w:w="288" w:type="pct"/>
            <w:tcBorders>
              <w:tl2br w:val="nil"/>
              <w:tr2bl w:val="nil"/>
            </w:tcBorders>
            <w:shd w:val="clear" w:color="auto" w:fill="auto"/>
            <w:noWrap/>
            <w:vAlign w:val="center"/>
          </w:tcPr>
          <w:p w14:paraId="2415C0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244" w:type="pct"/>
            <w:tcBorders>
              <w:tl2br w:val="nil"/>
              <w:tr2bl w:val="nil"/>
            </w:tcBorders>
            <w:shd w:val="clear" w:color="auto" w:fill="auto"/>
            <w:noWrap/>
            <w:vAlign w:val="center"/>
          </w:tcPr>
          <w:p w14:paraId="265B4A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88" w:type="pct"/>
            <w:vMerge w:val="restart"/>
            <w:tcBorders>
              <w:tl2br w:val="nil"/>
              <w:tr2bl w:val="nil"/>
            </w:tcBorders>
            <w:shd w:val="clear" w:color="auto" w:fill="auto"/>
            <w:noWrap/>
            <w:vAlign w:val="center"/>
          </w:tcPr>
          <w:p w14:paraId="62F00E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122.4</w:t>
            </w:r>
          </w:p>
        </w:tc>
        <w:tc>
          <w:tcPr>
            <w:tcW w:w="495" w:type="pct"/>
            <w:tcBorders>
              <w:tl2br w:val="nil"/>
              <w:tr2bl w:val="nil"/>
            </w:tcBorders>
            <w:shd w:val="clear" w:color="auto" w:fill="auto"/>
            <w:noWrap/>
            <w:vAlign w:val="center"/>
          </w:tcPr>
          <w:p w14:paraId="0E0D647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340</w:t>
            </w:r>
          </w:p>
        </w:tc>
        <w:tc>
          <w:tcPr>
            <w:tcW w:w="427" w:type="pct"/>
            <w:tcBorders>
              <w:tl2br w:val="nil"/>
              <w:tr2bl w:val="nil"/>
            </w:tcBorders>
            <w:shd w:val="clear" w:color="auto" w:fill="auto"/>
            <w:noWrap/>
            <w:vAlign w:val="center"/>
          </w:tcPr>
          <w:p w14:paraId="3E0D0F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41.62 </w:t>
            </w:r>
          </w:p>
        </w:tc>
        <w:tc>
          <w:tcPr>
            <w:tcW w:w="227" w:type="pct"/>
            <w:vMerge w:val="restart"/>
            <w:tcBorders>
              <w:tl2br w:val="nil"/>
              <w:tr2bl w:val="nil"/>
            </w:tcBorders>
            <w:shd w:val="clear" w:color="auto" w:fill="auto"/>
            <w:noWrap/>
            <w:vAlign w:val="center"/>
          </w:tcPr>
          <w:p w14:paraId="75743C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化粪池</w:t>
            </w:r>
          </w:p>
        </w:tc>
        <w:tc>
          <w:tcPr>
            <w:tcW w:w="235" w:type="pct"/>
            <w:tcBorders>
              <w:tl2br w:val="nil"/>
              <w:tr2bl w:val="nil"/>
            </w:tcBorders>
            <w:shd w:val="clear" w:color="auto" w:fill="auto"/>
            <w:noWrap/>
            <w:vAlign w:val="center"/>
          </w:tcPr>
          <w:p w14:paraId="70B7C3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2D5308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vMerge w:val="restart"/>
            <w:tcBorders>
              <w:tl2br w:val="nil"/>
              <w:tr2bl w:val="nil"/>
            </w:tcBorders>
            <w:shd w:val="clear" w:color="auto" w:fill="auto"/>
            <w:noWrap/>
            <w:vAlign w:val="center"/>
          </w:tcPr>
          <w:p w14:paraId="4862C3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122.4</w:t>
            </w:r>
          </w:p>
        </w:tc>
        <w:tc>
          <w:tcPr>
            <w:tcW w:w="495" w:type="pct"/>
            <w:tcBorders>
              <w:tl2br w:val="nil"/>
              <w:tr2bl w:val="nil"/>
            </w:tcBorders>
            <w:shd w:val="clear" w:color="auto" w:fill="auto"/>
            <w:noWrap/>
            <w:vAlign w:val="center"/>
          </w:tcPr>
          <w:p w14:paraId="2D628B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20E643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4.28 </w:t>
            </w:r>
          </w:p>
        </w:tc>
        <w:tc>
          <w:tcPr>
            <w:tcW w:w="425" w:type="pct"/>
            <w:tcBorders>
              <w:tl2br w:val="nil"/>
              <w:tr2bl w:val="nil"/>
            </w:tcBorders>
            <w:shd w:val="clear" w:color="auto" w:fill="auto"/>
            <w:noWrap/>
            <w:vAlign w:val="center"/>
          </w:tcPr>
          <w:p w14:paraId="10E5C1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1EBD91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0B2D27B8">
            <w:pPr>
              <w:jc w:val="center"/>
              <w:rPr>
                <w:rFonts w:hint="default" w:ascii="Times New Roman" w:hAnsi="Times New Roman" w:eastAsia="宋体" w:cs="Times New Roman"/>
                <w:i w:val="0"/>
                <w:iCs w:val="0"/>
                <w:color w:val="000000"/>
                <w:sz w:val="18"/>
                <w:szCs w:val="18"/>
                <w:u w:val="none"/>
              </w:rPr>
            </w:pPr>
          </w:p>
        </w:tc>
        <w:tc>
          <w:tcPr>
            <w:tcW w:w="288" w:type="pct"/>
            <w:tcBorders>
              <w:tl2br w:val="nil"/>
              <w:tr2bl w:val="nil"/>
            </w:tcBorders>
            <w:shd w:val="clear" w:color="auto" w:fill="auto"/>
            <w:noWrap/>
            <w:vAlign w:val="center"/>
          </w:tcPr>
          <w:p w14:paraId="3E661C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LAS</w:t>
            </w:r>
          </w:p>
        </w:tc>
        <w:tc>
          <w:tcPr>
            <w:tcW w:w="244" w:type="pct"/>
            <w:tcBorders>
              <w:tl2br w:val="nil"/>
              <w:tr2bl w:val="nil"/>
            </w:tcBorders>
            <w:shd w:val="clear" w:color="auto" w:fill="auto"/>
            <w:noWrap/>
            <w:vAlign w:val="center"/>
          </w:tcPr>
          <w:p w14:paraId="3A1032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88" w:type="pct"/>
            <w:vMerge w:val="continue"/>
            <w:tcBorders>
              <w:tl2br w:val="nil"/>
              <w:tr2bl w:val="nil"/>
            </w:tcBorders>
            <w:shd w:val="clear" w:color="auto" w:fill="auto"/>
            <w:noWrap/>
            <w:vAlign w:val="center"/>
          </w:tcPr>
          <w:p w14:paraId="4F2E2DF2">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42BAB5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w:t>
            </w:r>
          </w:p>
        </w:tc>
        <w:tc>
          <w:tcPr>
            <w:tcW w:w="427" w:type="pct"/>
            <w:tcBorders>
              <w:tl2br w:val="nil"/>
              <w:tr2bl w:val="nil"/>
            </w:tcBorders>
            <w:shd w:val="clear" w:color="auto" w:fill="auto"/>
            <w:noWrap/>
            <w:vAlign w:val="center"/>
          </w:tcPr>
          <w:p w14:paraId="3CAB24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1.22 </w:t>
            </w:r>
          </w:p>
        </w:tc>
        <w:tc>
          <w:tcPr>
            <w:tcW w:w="227" w:type="pct"/>
            <w:vMerge w:val="continue"/>
            <w:tcBorders>
              <w:tl2br w:val="nil"/>
              <w:tr2bl w:val="nil"/>
            </w:tcBorders>
            <w:shd w:val="clear" w:color="auto" w:fill="auto"/>
            <w:noWrap/>
            <w:vAlign w:val="center"/>
          </w:tcPr>
          <w:p w14:paraId="4093C49E">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70AC4B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61AFD4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vMerge w:val="continue"/>
            <w:tcBorders>
              <w:tl2br w:val="nil"/>
              <w:tr2bl w:val="nil"/>
            </w:tcBorders>
            <w:shd w:val="clear" w:color="auto" w:fill="auto"/>
            <w:noWrap/>
            <w:vAlign w:val="center"/>
          </w:tcPr>
          <w:p w14:paraId="0D5307C7">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123E55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0.5</w:t>
            </w:r>
          </w:p>
        </w:tc>
        <w:tc>
          <w:tcPr>
            <w:tcW w:w="427" w:type="pct"/>
            <w:tcBorders>
              <w:tl2br w:val="nil"/>
              <w:tr2bl w:val="nil"/>
            </w:tcBorders>
            <w:shd w:val="clear" w:color="auto" w:fill="auto"/>
            <w:noWrap/>
            <w:vAlign w:val="center"/>
          </w:tcPr>
          <w:p w14:paraId="65A75F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0.06 </w:t>
            </w:r>
          </w:p>
        </w:tc>
        <w:tc>
          <w:tcPr>
            <w:tcW w:w="425" w:type="pct"/>
            <w:tcBorders>
              <w:tl2br w:val="nil"/>
              <w:tr2bl w:val="nil"/>
            </w:tcBorders>
            <w:shd w:val="clear" w:color="auto" w:fill="auto"/>
            <w:noWrap/>
            <w:vAlign w:val="center"/>
          </w:tcPr>
          <w:p w14:paraId="0491D1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20C2AF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tcBorders>
              <w:tl2br w:val="nil"/>
              <w:tr2bl w:val="nil"/>
            </w:tcBorders>
            <w:shd w:val="clear" w:color="auto" w:fill="auto"/>
            <w:noWrap/>
            <w:vAlign w:val="center"/>
          </w:tcPr>
          <w:p w14:paraId="0C938E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纯水制备浓水W2</w:t>
            </w:r>
          </w:p>
        </w:tc>
        <w:tc>
          <w:tcPr>
            <w:tcW w:w="288" w:type="pct"/>
            <w:tcBorders>
              <w:tl2br w:val="nil"/>
              <w:tr2bl w:val="nil"/>
            </w:tcBorders>
            <w:shd w:val="clear" w:color="auto" w:fill="auto"/>
            <w:noWrap/>
            <w:vAlign w:val="center"/>
          </w:tcPr>
          <w:p w14:paraId="464AEB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244" w:type="pct"/>
            <w:tcBorders>
              <w:tl2br w:val="nil"/>
              <w:tr2bl w:val="nil"/>
            </w:tcBorders>
            <w:shd w:val="clear" w:color="auto" w:fill="auto"/>
            <w:noWrap/>
            <w:vAlign w:val="center"/>
          </w:tcPr>
          <w:p w14:paraId="1B9343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88" w:type="pct"/>
            <w:tcBorders>
              <w:tl2br w:val="nil"/>
              <w:tr2bl w:val="nil"/>
            </w:tcBorders>
            <w:shd w:val="clear" w:color="auto" w:fill="auto"/>
            <w:noWrap/>
            <w:vAlign w:val="center"/>
          </w:tcPr>
          <w:p w14:paraId="201BA3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55</w:t>
            </w:r>
          </w:p>
        </w:tc>
        <w:tc>
          <w:tcPr>
            <w:tcW w:w="495" w:type="pct"/>
            <w:tcBorders>
              <w:tl2br w:val="nil"/>
              <w:tr2bl w:val="nil"/>
            </w:tcBorders>
            <w:shd w:val="clear" w:color="auto" w:fill="auto"/>
            <w:noWrap/>
            <w:vAlign w:val="center"/>
          </w:tcPr>
          <w:p w14:paraId="3BAD50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50</w:t>
            </w:r>
          </w:p>
        </w:tc>
        <w:tc>
          <w:tcPr>
            <w:tcW w:w="427" w:type="pct"/>
            <w:tcBorders>
              <w:tl2br w:val="nil"/>
              <w:tr2bl w:val="nil"/>
            </w:tcBorders>
            <w:shd w:val="clear" w:color="auto" w:fill="auto"/>
            <w:noWrap/>
            <w:vAlign w:val="center"/>
          </w:tcPr>
          <w:p w14:paraId="128C52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2.75 </w:t>
            </w:r>
          </w:p>
        </w:tc>
        <w:tc>
          <w:tcPr>
            <w:tcW w:w="227" w:type="pct"/>
            <w:vMerge w:val="continue"/>
            <w:tcBorders>
              <w:tl2br w:val="nil"/>
              <w:tr2bl w:val="nil"/>
            </w:tcBorders>
            <w:shd w:val="clear" w:color="auto" w:fill="auto"/>
            <w:noWrap/>
            <w:vAlign w:val="center"/>
          </w:tcPr>
          <w:p w14:paraId="257ABF56">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0B9CA9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09841A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tcBorders>
              <w:tl2br w:val="nil"/>
              <w:tr2bl w:val="nil"/>
            </w:tcBorders>
            <w:shd w:val="clear" w:color="auto" w:fill="auto"/>
            <w:noWrap/>
            <w:vAlign w:val="center"/>
          </w:tcPr>
          <w:p w14:paraId="56D95C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55</w:t>
            </w:r>
          </w:p>
        </w:tc>
        <w:tc>
          <w:tcPr>
            <w:tcW w:w="495" w:type="pct"/>
            <w:tcBorders>
              <w:tl2br w:val="nil"/>
              <w:tr2bl w:val="nil"/>
            </w:tcBorders>
            <w:shd w:val="clear" w:color="auto" w:fill="auto"/>
            <w:noWrap/>
            <w:vAlign w:val="center"/>
          </w:tcPr>
          <w:p w14:paraId="36F8A6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015BFA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1.93 </w:t>
            </w:r>
          </w:p>
        </w:tc>
        <w:tc>
          <w:tcPr>
            <w:tcW w:w="425" w:type="pct"/>
            <w:tcBorders>
              <w:tl2br w:val="nil"/>
              <w:tr2bl w:val="nil"/>
            </w:tcBorders>
            <w:shd w:val="clear" w:color="auto" w:fill="auto"/>
            <w:noWrap/>
            <w:vAlign w:val="center"/>
          </w:tcPr>
          <w:p w14:paraId="2C8CDC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038CC9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restart"/>
            <w:tcBorders>
              <w:tl2br w:val="nil"/>
              <w:tr2bl w:val="nil"/>
            </w:tcBorders>
            <w:shd w:val="clear" w:color="auto" w:fill="auto"/>
            <w:noWrap/>
            <w:vAlign w:val="center"/>
          </w:tcPr>
          <w:p w14:paraId="5E8EAA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生活污水W3</w:t>
            </w:r>
          </w:p>
        </w:tc>
        <w:tc>
          <w:tcPr>
            <w:tcW w:w="288" w:type="pct"/>
            <w:tcBorders>
              <w:tl2br w:val="nil"/>
              <w:tr2bl w:val="nil"/>
            </w:tcBorders>
            <w:shd w:val="clear" w:color="auto" w:fill="auto"/>
            <w:noWrap/>
            <w:vAlign w:val="center"/>
          </w:tcPr>
          <w:p w14:paraId="50917F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244" w:type="pct"/>
            <w:vMerge w:val="restart"/>
            <w:tcBorders>
              <w:tl2br w:val="nil"/>
              <w:tr2bl w:val="nil"/>
            </w:tcBorders>
            <w:shd w:val="clear" w:color="auto" w:fill="auto"/>
            <w:noWrap/>
            <w:vAlign w:val="center"/>
          </w:tcPr>
          <w:p w14:paraId="232530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488" w:type="pct"/>
            <w:vMerge w:val="restart"/>
            <w:tcBorders>
              <w:tl2br w:val="nil"/>
              <w:tr2bl w:val="nil"/>
            </w:tcBorders>
            <w:shd w:val="clear" w:color="auto" w:fill="auto"/>
            <w:noWrap/>
            <w:vAlign w:val="center"/>
          </w:tcPr>
          <w:p w14:paraId="145C4F8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637.5</w:t>
            </w:r>
          </w:p>
        </w:tc>
        <w:tc>
          <w:tcPr>
            <w:tcW w:w="495" w:type="pct"/>
            <w:tcBorders>
              <w:tl2br w:val="nil"/>
              <w:tr2bl w:val="nil"/>
            </w:tcBorders>
            <w:shd w:val="clear" w:color="auto" w:fill="auto"/>
            <w:noWrap/>
            <w:vAlign w:val="center"/>
          </w:tcPr>
          <w:p w14:paraId="396C87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340</w:t>
            </w:r>
          </w:p>
        </w:tc>
        <w:tc>
          <w:tcPr>
            <w:tcW w:w="427" w:type="pct"/>
            <w:tcBorders>
              <w:tl2br w:val="nil"/>
              <w:tr2bl w:val="nil"/>
            </w:tcBorders>
            <w:shd w:val="clear" w:color="auto" w:fill="auto"/>
            <w:noWrap/>
            <w:vAlign w:val="center"/>
          </w:tcPr>
          <w:p w14:paraId="5AE15F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216.75 </w:t>
            </w:r>
          </w:p>
        </w:tc>
        <w:tc>
          <w:tcPr>
            <w:tcW w:w="227" w:type="pct"/>
            <w:vMerge w:val="continue"/>
            <w:tcBorders>
              <w:tl2br w:val="nil"/>
              <w:tr2bl w:val="nil"/>
            </w:tcBorders>
            <w:shd w:val="clear" w:color="auto" w:fill="auto"/>
            <w:noWrap/>
            <w:vAlign w:val="center"/>
          </w:tcPr>
          <w:p w14:paraId="68474513">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108DE5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vMerge w:val="restart"/>
            <w:tcBorders>
              <w:tl2br w:val="nil"/>
              <w:tr2bl w:val="nil"/>
            </w:tcBorders>
            <w:shd w:val="clear" w:color="auto" w:fill="auto"/>
            <w:noWrap/>
            <w:vAlign w:val="center"/>
          </w:tcPr>
          <w:p w14:paraId="34BAB5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产污系数</w:t>
            </w:r>
          </w:p>
        </w:tc>
        <w:tc>
          <w:tcPr>
            <w:tcW w:w="488" w:type="pct"/>
            <w:vMerge w:val="restart"/>
            <w:tcBorders>
              <w:tl2br w:val="nil"/>
              <w:tr2bl w:val="nil"/>
            </w:tcBorders>
            <w:shd w:val="clear" w:color="auto" w:fill="auto"/>
            <w:noWrap/>
            <w:vAlign w:val="center"/>
          </w:tcPr>
          <w:p w14:paraId="5E73CC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637.5</w:t>
            </w:r>
          </w:p>
        </w:tc>
        <w:tc>
          <w:tcPr>
            <w:tcW w:w="495" w:type="pct"/>
            <w:tcBorders>
              <w:tl2br w:val="nil"/>
              <w:tr2bl w:val="nil"/>
            </w:tcBorders>
            <w:shd w:val="clear" w:color="auto" w:fill="auto"/>
            <w:noWrap/>
            <w:vAlign w:val="center"/>
          </w:tcPr>
          <w:p w14:paraId="5CE2828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5EE483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22.31 </w:t>
            </w:r>
          </w:p>
        </w:tc>
        <w:tc>
          <w:tcPr>
            <w:tcW w:w="425" w:type="pct"/>
            <w:tcBorders>
              <w:tl2br w:val="nil"/>
              <w:tr2bl w:val="nil"/>
            </w:tcBorders>
            <w:shd w:val="clear" w:color="auto" w:fill="auto"/>
            <w:noWrap/>
            <w:vAlign w:val="center"/>
          </w:tcPr>
          <w:p w14:paraId="70FA52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5B4682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38DD41FC">
            <w:pPr>
              <w:jc w:val="center"/>
              <w:rPr>
                <w:rFonts w:hint="default" w:ascii="Times New Roman" w:hAnsi="Times New Roman" w:eastAsia="宋体" w:cs="Times New Roman"/>
                <w:i w:val="0"/>
                <w:iCs w:val="0"/>
                <w:color w:val="000000"/>
                <w:sz w:val="18"/>
                <w:szCs w:val="18"/>
                <w:u w:val="none"/>
              </w:rPr>
            </w:pPr>
          </w:p>
        </w:tc>
        <w:tc>
          <w:tcPr>
            <w:tcW w:w="288" w:type="pct"/>
            <w:tcBorders>
              <w:tl2br w:val="nil"/>
              <w:tr2bl w:val="nil"/>
            </w:tcBorders>
            <w:shd w:val="clear" w:color="auto" w:fill="auto"/>
            <w:noWrap/>
            <w:vAlign w:val="center"/>
          </w:tcPr>
          <w:p w14:paraId="75C80D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c>
          <w:tcPr>
            <w:tcW w:w="244" w:type="pct"/>
            <w:vMerge w:val="continue"/>
            <w:tcBorders>
              <w:tl2br w:val="nil"/>
              <w:tr2bl w:val="nil"/>
            </w:tcBorders>
            <w:shd w:val="clear" w:color="auto" w:fill="auto"/>
            <w:noWrap/>
            <w:vAlign w:val="center"/>
          </w:tcPr>
          <w:p w14:paraId="37862A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488" w:type="pct"/>
            <w:vMerge w:val="continue"/>
            <w:tcBorders>
              <w:tl2br w:val="nil"/>
              <w:tr2bl w:val="nil"/>
            </w:tcBorders>
            <w:shd w:val="clear" w:color="auto" w:fill="auto"/>
            <w:noWrap/>
            <w:vAlign w:val="center"/>
          </w:tcPr>
          <w:p w14:paraId="5C9D126E">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4EC9EB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025EFC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22.31 </w:t>
            </w:r>
          </w:p>
        </w:tc>
        <w:tc>
          <w:tcPr>
            <w:tcW w:w="227" w:type="pct"/>
            <w:vMerge w:val="continue"/>
            <w:tcBorders>
              <w:tl2br w:val="nil"/>
              <w:tr2bl w:val="nil"/>
            </w:tcBorders>
            <w:shd w:val="clear" w:color="auto" w:fill="auto"/>
            <w:noWrap/>
            <w:vAlign w:val="center"/>
          </w:tcPr>
          <w:p w14:paraId="7B4DF8D3">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285F2F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vMerge w:val="continue"/>
            <w:tcBorders>
              <w:tl2br w:val="nil"/>
              <w:tr2bl w:val="nil"/>
            </w:tcBorders>
            <w:shd w:val="clear" w:color="auto" w:fill="auto"/>
            <w:noWrap/>
            <w:vAlign w:val="center"/>
          </w:tcPr>
          <w:p w14:paraId="61BD34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p>
        </w:tc>
        <w:tc>
          <w:tcPr>
            <w:tcW w:w="488" w:type="pct"/>
            <w:vMerge w:val="continue"/>
            <w:tcBorders>
              <w:tl2br w:val="nil"/>
              <w:tr2bl w:val="nil"/>
            </w:tcBorders>
            <w:shd w:val="clear" w:color="auto" w:fill="auto"/>
            <w:noWrap/>
            <w:vAlign w:val="center"/>
          </w:tcPr>
          <w:p w14:paraId="5A136063">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2DF199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1.75</w:t>
            </w:r>
          </w:p>
        </w:tc>
        <w:tc>
          <w:tcPr>
            <w:tcW w:w="427" w:type="pct"/>
            <w:tcBorders>
              <w:tl2br w:val="nil"/>
              <w:tr2bl w:val="nil"/>
            </w:tcBorders>
            <w:shd w:val="clear" w:color="auto" w:fill="auto"/>
            <w:noWrap/>
            <w:vAlign w:val="center"/>
          </w:tcPr>
          <w:p w14:paraId="346A1D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 </w:t>
            </w:r>
          </w:p>
        </w:tc>
        <w:tc>
          <w:tcPr>
            <w:tcW w:w="425" w:type="pct"/>
            <w:tcBorders>
              <w:tl2br w:val="nil"/>
              <w:tr2bl w:val="nil"/>
            </w:tcBorders>
            <w:shd w:val="clear" w:color="auto" w:fill="auto"/>
            <w:noWrap/>
            <w:vAlign w:val="center"/>
          </w:tcPr>
          <w:p w14:paraId="1F1515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68D285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restart"/>
            <w:tcBorders>
              <w:tl2br w:val="nil"/>
              <w:tr2bl w:val="nil"/>
            </w:tcBorders>
            <w:shd w:val="clear" w:color="auto" w:fill="auto"/>
            <w:noWrap/>
            <w:vAlign w:val="center"/>
          </w:tcPr>
          <w:p w14:paraId="30E54F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实验室清洗废水W4</w:t>
            </w:r>
          </w:p>
        </w:tc>
        <w:tc>
          <w:tcPr>
            <w:tcW w:w="288" w:type="pct"/>
            <w:tcBorders>
              <w:tl2br w:val="nil"/>
              <w:tr2bl w:val="nil"/>
            </w:tcBorders>
            <w:shd w:val="clear" w:color="auto" w:fill="auto"/>
            <w:noWrap/>
            <w:vAlign w:val="center"/>
          </w:tcPr>
          <w:p w14:paraId="623DF1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244" w:type="pct"/>
            <w:tcBorders>
              <w:tl2br w:val="nil"/>
              <w:tr2bl w:val="nil"/>
            </w:tcBorders>
            <w:shd w:val="clear" w:color="auto" w:fill="auto"/>
            <w:noWrap/>
            <w:vAlign w:val="center"/>
          </w:tcPr>
          <w:p w14:paraId="4EA96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88" w:type="pct"/>
            <w:vMerge w:val="restart"/>
            <w:tcBorders>
              <w:tl2br w:val="nil"/>
              <w:tr2bl w:val="nil"/>
            </w:tcBorders>
            <w:shd w:val="clear" w:color="auto" w:fill="auto"/>
            <w:noWrap/>
            <w:vAlign w:val="center"/>
          </w:tcPr>
          <w:p w14:paraId="41ED4B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w:t>
            </w:r>
          </w:p>
        </w:tc>
        <w:tc>
          <w:tcPr>
            <w:tcW w:w="495" w:type="pct"/>
            <w:tcBorders>
              <w:tl2br w:val="nil"/>
              <w:tr2bl w:val="nil"/>
            </w:tcBorders>
            <w:shd w:val="clear" w:color="auto" w:fill="auto"/>
            <w:noWrap/>
            <w:vAlign w:val="center"/>
          </w:tcPr>
          <w:p w14:paraId="65FBB0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300</w:t>
            </w:r>
          </w:p>
        </w:tc>
        <w:tc>
          <w:tcPr>
            <w:tcW w:w="427" w:type="pct"/>
            <w:tcBorders>
              <w:tl2br w:val="nil"/>
              <w:tr2bl w:val="nil"/>
            </w:tcBorders>
            <w:shd w:val="clear" w:color="auto" w:fill="auto"/>
            <w:noWrap/>
            <w:vAlign w:val="center"/>
          </w:tcPr>
          <w:p w14:paraId="0B476A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eastAsia" w:cs="Times New Roman"/>
                <w:i w:val="0"/>
                <w:iCs w:val="0"/>
                <w:color w:val="auto"/>
                <w:kern w:val="0"/>
                <w:sz w:val="18"/>
                <w:szCs w:val="18"/>
                <w:u w:val="none"/>
                <w:lang w:val="en-US" w:eastAsia="zh-CN" w:bidi="ar"/>
              </w:rPr>
              <w:t>0.60</w:t>
            </w:r>
            <w:r>
              <w:rPr>
                <w:rFonts w:hint="default" w:ascii="Times New Roman" w:hAnsi="Times New Roman" w:eastAsia="宋体" w:cs="Times New Roman"/>
                <w:i w:val="0"/>
                <w:iCs w:val="0"/>
                <w:color w:val="auto"/>
                <w:kern w:val="0"/>
                <w:sz w:val="18"/>
                <w:szCs w:val="18"/>
                <w:u w:val="none"/>
                <w:lang w:val="en-US" w:eastAsia="zh-CN" w:bidi="ar"/>
              </w:rPr>
              <w:t xml:space="preserve"> </w:t>
            </w:r>
          </w:p>
        </w:tc>
        <w:tc>
          <w:tcPr>
            <w:tcW w:w="227" w:type="pct"/>
            <w:vMerge w:val="continue"/>
            <w:tcBorders>
              <w:tl2br w:val="nil"/>
              <w:tr2bl w:val="nil"/>
            </w:tcBorders>
            <w:shd w:val="clear" w:color="auto" w:fill="auto"/>
            <w:noWrap/>
            <w:vAlign w:val="center"/>
          </w:tcPr>
          <w:p w14:paraId="2D7283CA">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504269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0CABE3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vMerge w:val="restart"/>
            <w:tcBorders>
              <w:tl2br w:val="nil"/>
              <w:tr2bl w:val="nil"/>
            </w:tcBorders>
            <w:shd w:val="clear" w:color="auto" w:fill="auto"/>
            <w:noWrap/>
            <w:vAlign w:val="center"/>
          </w:tcPr>
          <w:p w14:paraId="2EE736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w:t>
            </w:r>
          </w:p>
        </w:tc>
        <w:tc>
          <w:tcPr>
            <w:tcW w:w="495" w:type="pct"/>
            <w:tcBorders>
              <w:tl2br w:val="nil"/>
              <w:tr2bl w:val="nil"/>
            </w:tcBorders>
            <w:shd w:val="clear" w:color="auto" w:fill="auto"/>
            <w:noWrap/>
            <w:vAlign w:val="center"/>
          </w:tcPr>
          <w:p w14:paraId="0FF505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2334F1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0.07 </w:t>
            </w:r>
          </w:p>
        </w:tc>
        <w:tc>
          <w:tcPr>
            <w:tcW w:w="425" w:type="pct"/>
            <w:tcBorders>
              <w:tl2br w:val="nil"/>
              <w:tr2bl w:val="nil"/>
            </w:tcBorders>
            <w:shd w:val="clear" w:color="auto" w:fill="auto"/>
            <w:noWrap/>
            <w:vAlign w:val="center"/>
          </w:tcPr>
          <w:p w14:paraId="7533A8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40154F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5F31B388">
            <w:pPr>
              <w:jc w:val="center"/>
              <w:rPr>
                <w:rFonts w:hint="default" w:ascii="Times New Roman" w:hAnsi="Times New Roman" w:eastAsia="宋体" w:cs="Times New Roman"/>
                <w:i w:val="0"/>
                <w:iCs w:val="0"/>
                <w:color w:val="000000"/>
                <w:sz w:val="18"/>
                <w:szCs w:val="18"/>
                <w:u w:val="none"/>
              </w:rPr>
            </w:pPr>
          </w:p>
        </w:tc>
        <w:tc>
          <w:tcPr>
            <w:tcW w:w="288" w:type="pct"/>
            <w:tcBorders>
              <w:tl2br w:val="nil"/>
              <w:tr2bl w:val="nil"/>
            </w:tcBorders>
            <w:shd w:val="clear" w:color="auto" w:fill="auto"/>
            <w:noWrap/>
            <w:vAlign w:val="center"/>
          </w:tcPr>
          <w:p w14:paraId="5E5EC8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c>
          <w:tcPr>
            <w:tcW w:w="244" w:type="pct"/>
            <w:tcBorders>
              <w:tl2br w:val="nil"/>
              <w:tr2bl w:val="nil"/>
            </w:tcBorders>
            <w:shd w:val="clear" w:color="auto" w:fill="auto"/>
            <w:noWrap/>
            <w:vAlign w:val="center"/>
          </w:tcPr>
          <w:p w14:paraId="528F91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88" w:type="pct"/>
            <w:vMerge w:val="continue"/>
            <w:tcBorders>
              <w:tl2br w:val="nil"/>
              <w:tr2bl w:val="nil"/>
            </w:tcBorders>
            <w:shd w:val="clear" w:color="auto" w:fill="auto"/>
            <w:noWrap/>
            <w:vAlign w:val="center"/>
          </w:tcPr>
          <w:p w14:paraId="10094A91">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52FF57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20</w:t>
            </w:r>
          </w:p>
        </w:tc>
        <w:tc>
          <w:tcPr>
            <w:tcW w:w="427" w:type="pct"/>
            <w:tcBorders>
              <w:tl2br w:val="nil"/>
              <w:tr2bl w:val="nil"/>
            </w:tcBorders>
            <w:shd w:val="clear" w:color="auto" w:fill="auto"/>
            <w:noWrap/>
            <w:vAlign w:val="center"/>
          </w:tcPr>
          <w:p w14:paraId="103D9A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lang w:val="en-US"/>
              </w:rPr>
            </w:pPr>
            <w:r>
              <w:rPr>
                <w:rFonts w:hint="eastAsia" w:cs="Times New Roman"/>
                <w:i w:val="0"/>
                <w:iCs w:val="0"/>
                <w:color w:val="auto"/>
                <w:kern w:val="0"/>
                <w:sz w:val="18"/>
                <w:szCs w:val="18"/>
                <w:u w:val="none"/>
                <w:lang w:val="en-US" w:eastAsia="zh-CN" w:bidi="ar"/>
              </w:rPr>
              <w:t>0.04</w:t>
            </w:r>
          </w:p>
        </w:tc>
        <w:tc>
          <w:tcPr>
            <w:tcW w:w="227" w:type="pct"/>
            <w:vMerge w:val="continue"/>
            <w:tcBorders>
              <w:tl2br w:val="nil"/>
              <w:tr2bl w:val="nil"/>
            </w:tcBorders>
            <w:shd w:val="clear" w:color="auto" w:fill="auto"/>
            <w:noWrap/>
            <w:vAlign w:val="center"/>
          </w:tcPr>
          <w:p w14:paraId="0C6D14CB">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6D2B5A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65F78C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vMerge w:val="continue"/>
            <w:tcBorders>
              <w:tl2br w:val="nil"/>
              <w:tr2bl w:val="nil"/>
            </w:tcBorders>
            <w:shd w:val="clear" w:color="auto" w:fill="auto"/>
            <w:noWrap/>
            <w:vAlign w:val="center"/>
          </w:tcPr>
          <w:p w14:paraId="2085B30F">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726A02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1.75</w:t>
            </w:r>
          </w:p>
        </w:tc>
        <w:tc>
          <w:tcPr>
            <w:tcW w:w="427" w:type="pct"/>
            <w:tcBorders>
              <w:tl2br w:val="nil"/>
              <w:tr2bl w:val="nil"/>
            </w:tcBorders>
            <w:shd w:val="clear" w:color="auto" w:fill="auto"/>
            <w:noWrap/>
            <w:vAlign w:val="center"/>
          </w:tcPr>
          <w:p w14:paraId="3B2B4D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 </w:t>
            </w:r>
          </w:p>
        </w:tc>
        <w:tc>
          <w:tcPr>
            <w:tcW w:w="425" w:type="pct"/>
            <w:tcBorders>
              <w:tl2br w:val="nil"/>
              <w:tr2bl w:val="nil"/>
            </w:tcBorders>
            <w:shd w:val="clear" w:color="auto" w:fill="auto"/>
            <w:noWrap/>
            <w:vAlign w:val="center"/>
          </w:tcPr>
          <w:p w14:paraId="643C3F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r>
      <w:tr w14:paraId="7542E7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tcBorders>
              <w:tl2br w:val="nil"/>
              <w:tr2bl w:val="nil"/>
            </w:tcBorders>
            <w:shd w:val="clear" w:color="auto" w:fill="auto"/>
            <w:noWrap/>
            <w:vAlign w:val="center"/>
          </w:tcPr>
          <w:p w14:paraId="717D64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仪器废水W5</w:t>
            </w:r>
          </w:p>
        </w:tc>
        <w:tc>
          <w:tcPr>
            <w:tcW w:w="288" w:type="pct"/>
            <w:tcBorders>
              <w:tl2br w:val="nil"/>
              <w:tr2bl w:val="nil"/>
            </w:tcBorders>
            <w:shd w:val="clear" w:color="auto" w:fill="auto"/>
            <w:noWrap/>
            <w:vAlign w:val="center"/>
          </w:tcPr>
          <w:p w14:paraId="56D59B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COD</w:t>
            </w:r>
            <w:r>
              <w:rPr>
                <w:rFonts w:hint="default" w:ascii="Times New Roman" w:hAnsi="Times New Roman" w:eastAsia="宋体" w:cs="Times New Roman"/>
                <w:i w:val="0"/>
                <w:iCs w:val="0"/>
                <w:color w:val="auto"/>
                <w:kern w:val="0"/>
                <w:sz w:val="18"/>
                <w:szCs w:val="18"/>
                <w:u w:val="none"/>
                <w:vertAlign w:val="subscript"/>
                <w:lang w:val="en-US" w:eastAsia="zh-CN" w:bidi="ar"/>
              </w:rPr>
              <w:t>Cr</w:t>
            </w:r>
          </w:p>
        </w:tc>
        <w:tc>
          <w:tcPr>
            <w:tcW w:w="244" w:type="pct"/>
            <w:tcBorders>
              <w:tl2br w:val="nil"/>
              <w:tr2bl w:val="nil"/>
            </w:tcBorders>
            <w:shd w:val="clear" w:color="auto" w:fill="auto"/>
            <w:noWrap/>
            <w:vAlign w:val="center"/>
          </w:tcPr>
          <w:p w14:paraId="1D6924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tcBorders>
              <w:tl2br w:val="nil"/>
              <w:tr2bl w:val="nil"/>
            </w:tcBorders>
            <w:shd w:val="clear" w:color="auto" w:fill="auto"/>
            <w:noWrap/>
            <w:vAlign w:val="center"/>
          </w:tcPr>
          <w:p w14:paraId="68D3BB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4.5</w:t>
            </w:r>
          </w:p>
        </w:tc>
        <w:tc>
          <w:tcPr>
            <w:tcW w:w="495" w:type="pct"/>
            <w:tcBorders>
              <w:tl2br w:val="nil"/>
              <w:tr2bl w:val="nil"/>
            </w:tcBorders>
            <w:shd w:val="clear" w:color="auto" w:fill="auto"/>
            <w:noWrap/>
            <w:vAlign w:val="center"/>
          </w:tcPr>
          <w:p w14:paraId="7A1615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50</w:t>
            </w:r>
          </w:p>
        </w:tc>
        <w:tc>
          <w:tcPr>
            <w:tcW w:w="427" w:type="pct"/>
            <w:tcBorders>
              <w:tl2br w:val="nil"/>
              <w:tr2bl w:val="nil"/>
            </w:tcBorders>
            <w:shd w:val="clear" w:color="auto" w:fill="auto"/>
            <w:noWrap/>
            <w:vAlign w:val="center"/>
          </w:tcPr>
          <w:p w14:paraId="3BB152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0.23 </w:t>
            </w:r>
          </w:p>
        </w:tc>
        <w:tc>
          <w:tcPr>
            <w:tcW w:w="227" w:type="pct"/>
            <w:vMerge w:val="continue"/>
            <w:tcBorders>
              <w:tl2br w:val="nil"/>
              <w:tr2bl w:val="nil"/>
            </w:tcBorders>
            <w:shd w:val="clear" w:color="auto" w:fill="auto"/>
            <w:noWrap/>
            <w:vAlign w:val="center"/>
          </w:tcPr>
          <w:p w14:paraId="3E81DE3D">
            <w:pPr>
              <w:jc w:val="center"/>
              <w:rPr>
                <w:rFonts w:hint="default" w:ascii="Times New Roman" w:hAnsi="Times New Roman" w:eastAsia="宋体" w:cs="Times New Roman"/>
                <w:i w:val="0"/>
                <w:iCs w:val="0"/>
                <w:color w:val="auto"/>
                <w:sz w:val="18"/>
                <w:szCs w:val="18"/>
                <w:u w:val="none"/>
              </w:rPr>
            </w:pPr>
          </w:p>
        </w:tc>
        <w:tc>
          <w:tcPr>
            <w:tcW w:w="235" w:type="pct"/>
            <w:tcBorders>
              <w:tl2br w:val="nil"/>
              <w:tr2bl w:val="nil"/>
            </w:tcBorders>
            <w:shd w:val="clear" w:color="auto" w:fill="auto"/>
            <w:noWrap/>
            <w:vAlign w:val="center"/>
          </w:tcPr>
          <w:p w14:paraId="21977C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35A9A5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类比</w:t>
            </w:r>
          </w:p>
        </w:tc>
        <w:tc>
          <w:tcPr>
            <w:tcW w:w="488" w:type="pct"/>
            <w:tcBorders>
              <w:tl2br w:val="nil"/>
              <w:tr2bl w:val="nil"/>
            </w:tcBorders>
            <w:shd w:val="clear" w:color="auto" w:fill="auto"/>
            <w:noWrap/>
            <w:vAlign w:val="center"/>
          </w:tcPr>
          <w:p w14:paraId="24DA5C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4.5</w:t>
            </w:r>
          </w:p>
        </w:tc>
        <w:tc>
          <w:tcPr>
            <w:tcW w:w="495" w:type="pct"/>
            <w:tcBorders>
              <w:tl2br w:val="nil"/>
              <w:tr2bl w:val="nil"/>
            </w:tcBorders>
            <w:shd w:val="clear" w:color="auto" w:fill="auto"/>
            <w:noWrap/>
            <w:vAlign w:val="center"/>
          </w:tcPr>
          <w:p w14:paraId="4E3465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0F9EBC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0.16 </w:t>
            </w:r>
          </w:p>
        </w:tc>
        <w:tc>
          <w:tcPr>
            <w:tcW w:w="425" w:type="pct"/>
            <w:tcBorders>
              <w:tl2br w:val="nil"/>
              <w:tr2bl w:val="nil"/>
            </w:tcBorders>
            <w:shd w:val="clear" w:color="auto" w:fill="auto"/>
            <w:noWrap/>
            <w:vAlign w:val="center"/>
          </w:tcPr>
          <w:p w14:paraId="47C22F2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w:t>
            </w:r>
          </w:p>
        </w:tc>
      </w:tr>
      <w:tr w14:paraId="0870C5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restart"/>
            <w:tcBorders>
              <w:tl2br w:val="nil"/>
              <w:tr2bl w:val="nil"/>
            </w:tcBorders>
            <w:shd w:val="clear" w:color="auto" w:fill="auto"/>
            <w:noWrap/>
            <w:vAlign w:val="center"/>
          </w:tcPr>
          <w:p w14:paraId="4592E9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合计</w:t>
            </w:r>
          </w:p>
        </w:tc>
        <w:tc>
          <w:tcPr>
            <w:tcW w:w="288" w:type="pct"/>
            <w:tcBorders>
              <w:tl2br w:val="nil"/>
              <w:tr2bl w:val="nil"/>
            </w:tcBorders>
            <w:shd w:val="clear" w:color="auto" w:fill="auto"/>
            <w:noWrap/>
            <w:vAlign w:val="center"/>
          </w:tcPr>
          <w:p w14:paraId="3F0421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COD</w:t>
            </w:r>
            <w:r>
              <w:rPr>
                <w:rFonts w:hint="default" w:ascii="Times New Roman" w:hAnsi="Times New Roman" w:eastAsia="宋体" w:cs="Times New Roman"/>
                <w:i w:val="0"/>
                <w:iCs w:val="0"/>
                <w:color w:val="auto"/>
                <w:kern w:val="0"/>
                <w:sz w:val="18"/>
                <w:szCs w:val="18"/>
                <w:u w:val="none"/>
                <w:vertAlign w:val="subscript"/>
                <w:lang w:val="en-US" w:eastAsia="zh-CN" w:bidi="ar"/>
              </w:rPr>
              <w:t>Cr</w:t>
            </w:r>
          </w:p>
        </w:tc>
        <w:tc>
          <w:tcPr>
            <w:tcW w:w="244" w:type="pct"/>
            <w:tcBorders>
              <w:tl2br w:val="nil"/>
              <w:tr2bl w:val="nil"/>
            </w:tcBorders>
            <w:shd w:val="clear" w:color="auto" w:fill="auto"/>
            <w:noWrap/>
            <w:vAlign w:val="center"/>
          </w:tcPr>
          <w:p w14:paraId="3EB118D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restart"/>
            <w:tcBorders>
              <w:tl2br w:val="nil"/>
              <w:tr2bl w:val="nil"/>
            </w:tcBorders>
            <w:shd w:val="clear" w:color="auto" w:fill="auto"/>
            <w:noWrap/>
            <w:vAlign w:val="center"/>
          </w:tcPr>
          <w:p w14:paraId="463A1D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821.4</w:t>
            </w:r>
          </w:p>
        </w:tc>
        <w:tc>
          <w:tcPr>
            <w:tcW w:w="1310" w:type="dxa"/>
            <w:tcBorders>
              <w:tl2br w:val="nil"/>
              <w:tr2bl w:val="nil"/>
            </w:tcBorders>
            <w:shd w:val="clear" w:color="auto" w:fill="auto"/>
            <w:noWrap/>
            <w:vAlign w:val="center"/>
          </w:tcPr>
          <w:p w14:paraId="6FCEB1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318.90 </w:t>
            </w:r>
          </w:p>
        </w:tc>
        <w:tc>
          <w:tcPr>
            <w:tcW w:w="1130" w:type="dxa"/>
            <w:tcBorders>
              <w:tl2br w:val="nil"/>
              <w:tr2bl w:val="nil"/>
            </w:tcBorders>
            <w:shd w:val="clear" w:color="auto" w:fill="auto"/>
            <w:noWrap/>
            <w:vAlign w:val="center"/>
          </w:tcPr>
          <w:p w14:paraId="0247DB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261.94 </w:t>
            </w:r>
          </w:p>
        </w:tc>
        <w:tc>
          <w:tcPr>
            <w:tcW w:w="227" w:type="pct"/>
            <w:tcBorders>
              <w:tl2br w:val="nil"/>
              <w:tr2bl w:val="nil"/>
            </w:tcBorders>
            <w:shd w:val="clear" w:color="auto" w:fill="auto"/>
            <w:noWrap/>
            <w:vAlign w:val="center"/>
          </w:tcPr>
          <w:p w14:paraId="671BF0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35" w:type="pct"/>
            <w:tcBorders>
              <w:tl2br w:val="nil"/>
              <w:tr2bl w:val="nil"/>
            </w:tcBorders>
            <w:shd w:val="clear" w:color="auto" w:fill="auto"/>
            <w:noWrap/>
            <w:vAlign w:val="center"/>
          </w:tcPr>
          <w:p w14:paraId="3BB29B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1FBC67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restart"/>
            <w:tcBorders>
              <w:tl2br w:val="nil"/>
              <w:tr2bl w:val="nil"/>
            </w:tcBorders>
            <w:shd w:val="clear" w:color="auto" w:fill="auto"/>
            <w:noWrap/>
            <w:vAlign w:val="center"/>
          </w:tcPr>
          <w:p w14:paraId="1075DB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821.4</w:t>
            </w:r>
          </w:p>
        </w:tc>
        <w:tc>
          <w:tcPr>
            <w:tcW w:w="495" w:type="pct"/>
            <w:tcBorders>
              <w:tl2br w:val="nil"/>
              <w:tr2bl w:val="nil"/>
            </w:tcBorders>
            <w:shd w:val="clear" w:color="auto" w:fill="auto"/>
            <w:noWrap/>
            <w:vAlign w:val="center"/>
          </w:tcPr>
          <w:p w14:paraId="078315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w:t>
            </w:r>
          </w:p>
        </w:tc>
        <w:tc>
          <w:tcPr>
            <w:tcW w:w="427" w:type="pct"/>
            <w:tcBorders>
              <w:tl2br w:val="nil"/>
              <w:tr2bl w:val="nil"/>
            </w:tcBorders>
            <w:shd w:val="clear" w:color="auto" w:fill="auto"/>
            <w:noWrap/>
            <w:vAlign w:val="center"/>
          </w:tcPr>
          <w:p w14:paraId="086E6E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28.75 </w:t>
            </w:r>
          </w:p>
        </w:tc>
        <w:tc>
          <w:tcPr>
            <w:tcW w:w="425" w:type="pct"/>
            <w:tcBorders>
              <w:tl2br w:val="nil"/>
              <w:tr2bl w:val="nil"/>
            </w:tcBorders>
            <w:shd w:val="clear" w:color="auto" w:fill="auto"/>
            <w:noWrap/>
            <w:vAlign w:val="center"/>
          </w:tcPr>
          <w:p w14:paraId="173214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w:t>
            </w:r>
          </w:p>
        </w:tc>
      </w:tr>
      <w:tr w14:paraId="0C8CB7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42A1F0A5">
            <w:pPr>
              <w:jc w:val="center"/>
              <w:rPr>
                <w:rFonts w:hint="default" w:ascii="Times New Roman" w:hAnsi="Times New Roman" w:eastAsia="宋体" w:cs="Times New Roman"/>
                <w:i w:val="0"/>
                <w:iCs w:val="0"/>
                <w:color w:val="auto"/>
                <w:sz w:val="18"/>
                <w:szCs w:val="18"/>
                <w:u w:val="none"/>
              </w:rPr>
            </w:pPr>
          </w:p>
        </w:tc>
        <w:tc>
          <w:tcPr>
            <w:tcW w:w="288" w:type="pct"/>
            <w:tcBorders>
              <w:tl2br w:val="nil"/>
              <w:tr2bl w:val="nil"/>
            </w:tcBorders>
            <w:shd w:val="clear" w:color="auto" w:fill="auto"/>
            <w:noWrap/>
            <w:vAlign w:val="center"/>
          </w:tcPr>
          <w:p w14:paraId="6D83F8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NH</w:t>
            </w:r>
            <w:r>
              <w:rPr>
                <w:rFonts w:hint="default" w:ascii="Times New Roman" w:hAnsi="Times New Roman" w:eastAsia="宋体" w:cs="Times New Roman"/>
                <w:i w:val="0"/>
                <w:iCs w:val="0"/>
                <w:color w:val="auto"/>
                <w:kern w:val="0"/>
                <w:sz w:val="18"/>
                <w:szCs w:val="18"/>
                <w:u w:val="none"/>
                <w:vertAlign w:val="subscript"/>
                <w:lang w:val="en-US" w:eastAsia="zh-CN" w:bidi="ar"/>
              </w:rPr>
              <w:t>3</w:t>
            </w:r>
            <w:r>
              <w:rPr>
                <w:rFonts w:hint="default" w:ascii="Times New Roman" w:hAnsi="Times New Roman" w:eastAsia="宋体" w:cs="Times New Roman"/>
                <w:i w:val="0"/>
                <w:iCs w:val="0"/>
                <w:color w:val="auto"/>
                <w:kern w:val="0"/>
                <w:sz w:val="18"/>
                <w:szCs w:val="18"/>
                <w:u w:val="none"/>
                <w:lang w:val="en-US" w:eastAsia="zh-CN" w:bidi="ar"/>
              </w:rPr>
              <w:t>-N</w:t>
            </w:r>
          </w:p>
        </w:tc>
        <w:tc>
          <w:tcPr>
            <w:tcW w:w="244" w:type="pct"/>
            <w:tcBorders>
              <w:tl2br w:val="nil"/>
              <w:tr2bl w:val="nil"/>
            </w:tcBorders>
            <w:shd w:val="clear" w:color="auto" w:fill="auto"/>
            <w:noWrap/>
            <w:vAlign w:val="center"/>
          </w:tcPr>
          <w:p w14:paraId="7F932C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continue"/>
            <w:tcBorders>
              <w:tl2br w:val="nil"/>
              <w:tr2bl w:val="nil"/>
            </w:tcBorders>
            <w:shd w:val="clear" w:color="auto" w:fill="auto"/>
            <w:noWrap/>
            <w:vAlign w:val="center"/>
          </w:tcPr>
          <w:p w14:paraId="1D1A5887">
            <w:pPr>
              <w:jc w:val="center"/>
              <w:rPr>
                <w:rFonts w:hint="default" w:ascii="Times New Roman" w:hAnsi="Times New Roman" w:eastAsia="宋体" w:cs="Times New Roman"/>
                <w:i w:val="0"/>
                <w:iCs w:val="0"/>
                <w:color w:val="auto"/>
                <w:sz w:val="18"/>
                <w:szCs w:val="18"/>
                <w:u w:val="none"/>
              </w:rPr>
            </w:pPr>
          </w:p>
        </w:tc>
        <w:tc>
          <w:tcPr>
            <w:tcW w:w="1310" w:type="dxa"/>
            <w:tcBorders>
              <w:tl2br w:val="nil"/>
              <w:tr2bl w:val="nil"/>
            </w:tcBorders>
            <w:shd w:val="clear" w:color="auto" w:fill="auto"/>
            <w:noWrap/>
            <w:vAlign w:val="center"/>
          </w:tcPr>
          <w:p w14:paraId="54FF8D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27.21 </w:t>
            </w:r>
          </w:p>
        </w:tc>
        <w:tc>
          <w:tcPr>
            <w:tcW w:w="1130" w:type="dxa"/>
            <w:tcBorders>
              <w:tl2br w:val="nil"/>
              <w:tr2bl w:val="nil"/>
            </w:tcBorders>
            <w:shd w:val="clear" w:color="auto" w:fill="auto"/>
            <w:noWrap/>
            <w:vAlign w:val="center"/>
          </w:tcPr>
          <w:p w14:paraId="124E22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22.35 </w:t>
            </w:r>
          </w:p>
        </w:tc>
        <w:tc>
          <w:tcPr>
            <w:tcW w:w="227" w:type="pct"/>
            <w:tcBorders>
              <w:tl2br w:val="nil"/>
              <w:tr2bl w:val="nil"/>
            </w:tcBorders>
            <w:shd w:val="clear" w:color="auto" w:fill="auto"/>
            <w:noWrap/>
            <w:vAlign w:val="center"/>
          </w:tcPr>
          <w:p w14:paraId="51D3A3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35" w:type="pct"/>
            <w:tcBorders>
              <w:tl2br w:val="nil"/>
              <w:tr2bl w:val="nil"/>
            </w:tcBorders>
            <w:shd w:val="clear" w:color="auto" w:fill="auto"/>
            <w:noWrap/>
            <w:vAlign w:val="center"/>
          </w:tcPr>
          <w:p w14:paraId="4A7872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422201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continue"/>
            <w:tcBorders>
              <w:tl2br w:val="nil"/>
              <w:tr2bl w:val="nil"/>
            </w:tcBorders>
            <w:shd w:val="clear" w:color="auto" w:fill="auto"/>
            <w:noWrap/>
            <w:vAlign w:val="center"/>
          </w:tcPr>
          <w:p w14:paraId="65397A15">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686186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1.75</w:t>
            </w:r>
          </w:p>
        </w:tc>
        <w:tc>
          <w:tcPr>
            <w:tcW w:w="427" w:type="pct"/>
            <w:tcBorders>
              <w:tl2br w:val="nil"/>
              <w:tr2bl w:val="nil"/>
            </w:tcBorders>
            <w:shd w:val="clear" w:color="auto" w:fill="auto"/>
            <w:noWrap/>
            <w:vAlign w:val="center"/>
          </w:tcPr>
          <w:p w14:paraId="2E8069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1.12 </w:t>
            </w:r>
          </w:p>
        </w:tc>
        <w:tc>
          <w:tcPr>
            <w:tcW w:w="425" w:type="pct"/>
            <w:tcBorders>
              <w:tl2br w:val="nil"/>
              <w:tr2bl w:val="nil"/>
            </w:tcBorders>
            <w:shd w:val="clear" w:color="auto" w:fill="auto"/>
            <w:noWrap/>
            <w:vAlign w:val="center"/>
          </w:tcPr>
          <w:p w14:paraId="382B78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w:t>
            </w:r>
          </w:p>
        </w:tc>
      </w:tr>
      <w:tr w14:paraId="53675F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480" w:type="pct"/>
            <w:vMerge w:val="continue"/>
            <w:tcBorders>
              <w:tl2br w:val="nil"/>
              <w:tr2bl w:val="nil"/>
            </w:tcBorders>
            <w:shd w:val="clear" w:color="auto" w:fill="auto"/>
            <w:noWrap/>
            <w:vAlign w:val="center"/>
          </w:tcPr>
          <w:p w14:paraId="5584EF65">
            <w:pPr>
              <w:jc w:val="center"/>
              <w:rPr>
                <w:rFonts w:hint="default" w:ascii="Times New Roman" w:hAnsi="Times New Roman" w:eastAsia="宋体" w:cs="Times New Roman"/>
                <w:i w:val="0"/>
                <w:iCs w:val="0"/>
                <w:color w:val="auto"/>
                <w:sz w:val="18"/>
                <w:szCs w:val="18"/>
                <w:u w:val="none"/>
              </w:rPr>
            </w:pPr>
          </w:p>
        </w:tc>
        <w:tc>
          <w:tcPr>
            <w:tcW w:w="288" w:type="pct"/>
            <w:tcBorders>
              <w:tl2br w:val="nil"/>
              <w:tr2bl w:val="nil"/>
            </w:tcBorders>
            <w:shd w:val="clear" w:color="auto" w:fill="auto"/>
            <w:noWrap/>
            <w:vAlign w:val="center"/>
          </w:tcPr>
          <w:p w14:paraId="591B12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LAS</w:t>
            </w:r>
          </w:p>
        </w:tc>
        <w:tc>
          <w:tcPr>
            <w:tcW w:w="244" w:type="pct"/>
            <w:tcBorders>
              <w:tl2br w:val="nil"/>
              <w:tr2bl w:val="nil"/>
            </w:tcBorders>
            <w:shd w:val="clear" w:color="auto" w:fill="auto"/>
            <w:noWrap/>
            <w:vAlign w:val="center"/>
          </w:tcPr>
          <w:p w14:paraId="4FD5F0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continue"/>
            <w:tcBorders>
              <w:tl2br w:val="nil"/>
              <w:tr2bl w:val="nil"/>
            </w:tcBorders>
            <w:shd w:val="clear" w:color="auto" w:fill="auto"/>
            <w:noWrap/>
            <w:vAlign w:val="center"/>
          </w:tcPr>
          <w:p w14:paraId="12F18953">
            <w:pPr>
              <w:jc w:val="center"/>
              <w:rPr>
                <w:rFonts w:hint="default" w:ascii="Times New Roman" w:hAnsi="Times New Roman" w:eastAsia="宋体" w:cs="Times New Roman"/>
                <w:i w:val="0"/>
                <w:iCs w:val="0"/>
                <w:color w:val="auto"/>
                <w:sz w:val="18"/>
                <w:szCs w:val="18"/>
                <w:u w:val="none"/>
              </w:rPr>
            </w:pPr>
          </w:p>
        </w:tc>
        <w:tc>
          <w:tcPr>
            <w:tcW w:w="1310" w:type="dxa"/>
            <w:tcBorders>
              <w:tl2br w:val="nil"/>
              <w:tr2bl w:val="nil"/>
            </w:tcBorders>
            <w:shd w:val="clear" w:color="auto" w:fill="auto"/>
            <w:noWrap/>
            <w:vAlign w:val="center"/>
          </w:tcPr>
          <w:p w14:paraId="6119D9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1.49 </w:t>
            </w:r>
          </w:p>
        </w:tc>
        <w:tc>
          <w:tcPr>
            <w:tcW w:w="1130" w:type="dxa"/>
            <w:tcBorders>
              <w:tl2br w:val="nil"/>
              <w:tr2bl w:val="nil"/>
            </w:tcBorders>
            <w:shd w:val="clear" w:color="auto" w:fill="auto"/>
            <w:noWrap/>
            <w:vAlign w:val="center"/>
          </w:tcPr>
          <w:p w14:paraId="4BF345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1.22 </w:t>
            </w:r>
          </w:p>
        </w:tc>
        <w:tc>
          <w:tcPr>
            <w:tcW w:w="227" w:type="pct"/>
            <w:tcBorders>
              <w:tl2br w:val="nil"/>
              <w:tr2bl w:val="nil"/>
            </w:tcBorders>
            <w:shd w:val="clear" w:color="auto" w:fill="auto"/>
            <w:noWrap/>
            <w:vAlign w:val="center"/>
          </w:tcPr>
          <w:p w14:paraId="1B4A76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35" w:type="pct"/>
            <w:tcBorders>
              <w:tl2br w:val="nil"/>
              <w:tr2bl w:val="nil"/>
            </w:tcBorders>
            <w:shd w:val="clear" w:color="auto" w:fill="auto"/>
            <w:noWrap/>
            <w:vAlign w:val="center"/>
          </w:tcPr>
          <w:p w14:paraId="3EEDED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277" w:type="pct"/>
            <w:tcBorders>
              <w:tl2br w:val="nil"/>
              <w:tr2bl w:val="nil"/>
            </w:tcBorders>
            <w:shd w:val="clear" w:color="auto" w:fill="auto"/>
            <w:noWrap/>
            <w:vAlign w:val="center"/>
          </w:tcPr>
          <w:p w14:paraId="54614E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488" w:type="pct"/>
            <w:vMerge w:val="continue"/>
            <w:tcBorders>
              <w:tl2br w:val="nil"/>
              <w:tr2bl w:val="nil"/>
            </w:tcBorders>
            <w:shd w:val="clear" w:color="auto" w:fill="auto"/>
            <w:noWrap/>
            <w:vAlign w:val="center"/>
          </w:tcPr>
          <w:p w14:paraId="053AE299">
            <w:pPr>
              <w:jc w:val="center"/>
              <w:rPr>
                <w:rFonts w:hint="default" w:ascii="Times New Roman" w:hAnsi="Times New Roman" w:eastAsia="宋体" w:cs="Times New Roman"/>
                <w:i w:val="0"/>
                <w:iCs w:val="0"/>
                <w:color w:val="auto"/>
                <w:sz w:val="18"/>
                <w:szCs w:val="18"/>
                <w:u w:val="none"/>
              </w:rPr>
            </w:pPr>
          </w:p>
        </w:tc>
        <w:tc>
          <w:tcPr>
            <w:tcW w:w="495" w:type="pct"/>
            <w:tcBorders>
              <w:tl2br w:val="nil"/>
              <w:tr2bl w:val="nil"/>
            </w:tcBorders>
            <w:shd w:val="clear" w:color="auto" w:fill="auto"/>
            <w:noWrap/>
            <w:vAlign w:val="center"/>
          </w:tcPr>
          <w:p w14:paraId="5B9F8B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0.5</w:t>
            </w:r>
          </w:p>
        </w:tc>
        <w:tc>
          <w:tcPr>
            <w:tcW w:w="427" w:type="pct"/>
            <w:tcBorders>
              <w:tl2br w:val="nil"/>
              <w:tr2bl w:val="nil"/>
            </w:tcBorders>
            <w:shd w:val="clear" w:color="auto" w:fill="auto"/>
            <w:noWrap/>
            <w:vAlign w:val="center"/>
          </w:tcPr>
          <w:p w14:paraId="771C80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0.06 </w:t>
            </w:r>
          </w:p>
        </w:tc>
        <w:tc>
          <w:tcPr>
            <w:tcW w:w="425" w:type="pct"/>
            <w:tcBorders>
              <w:tl2br w:val="nil"/>
              <w:tr2bl w:val="nil"/>
            </w:tcBorders>
            <w:shd w:val="clear" w:color="auto" w:fill="auto"/>
            <w:noWrap/>
            <w:vAlign w:val="center"/>
          </w:tcPr>
          <w:p w14:paraId="35078B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w:t>
            </w:r>
          </w:p>
        </w:tc>
      </w:tr>
      <w:tr w14:paraId="282493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 w:hRule="atLeast"/>
        </w:trPr>
        <w:tc>
          <w:tcPr>
            <w:tcW w:w="5000" w:type="pct"/>
            <w:gridSpan w:val="13"/>
            <w:tcBorders>
              <w:tl2br w:val="nil"/>
              <w:tr2bl w:val="nil"/>
            </w:tcBorders>
            <w:shd w:val="clear" w:color="auto" w:fill="auto"/>
            <w:noWrap/>
            <w:vAlign w:val="center"/>
          </w:tcPr>
          <w:p w14:paraId="49AA9DF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备注：COD</w:t>
            </w:r>
            <w:r>
              <w:rPr>
                <w:rFonts w:hint="eastAsia" w:ascii="Times New Roman" w:hAnsi="Times New Roman" w:eastAsia="宋体" w:cs="Times New Roman"/>
                <w:i w:val="0"/>
                <w:iCs w:val="0"/>
                <w:color w:val="auto"/>
                <w:kern w:val="0"/>
                <w:sz w:val="18"/>
                <w:szCs w:val="18"/>
                <w:u w:val="none"/>
                <w:vertAlign w:val="subscript"/>
                <w:lang w:val="en-US" w:eastAsia="zh-CN" w:bidi="ar"/>
              </w:rPr>
              <w:t>Cr</w:t>
            </w:r>
            <w:r>
              <w:rPr>
                <w:rFonts w:hint="eastAsia" w:ascii="Times New Roman" w:hAnsi="Times New Roman" w:eastAsia="宋体" w:cs="Times New Roman"/>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NH</w:t>
            </w:r>
            <w:r>
              <w:rPr>
                <w:rFonts w:hint="default" w:ascii="Times New Roman" w:hAnsi="Times New Roman" w:eastAsia="宋体" w:cs="Times New Roman"/>
                <w:i w:val="0"/>
                <w:iCs w:val="0"/>
                <w:color w:val="auto"/>
                <w:kern w:val="0"/>
                <w:sz w:val="18"/>
                <w:szCs w:val="18"/>
                <w:u w:val="none"/>
                <w:vertAlign w:val="subscript"/>
                <w:lang w:val="en-US" w:eastAsia="zh-CN" w:bidi="ar"/>
              </w:rPr>
              <w:t>3</w:t>
            </w:r>
            <w:r>
              <w:rPr>
                <w:rFonts w:hint="default" w:ascii="Times New Roman" w:hAnsi="Times New Roman" w:eastAsia="宋体"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排环境量，按照余杭污水处理厂一二三期和四期排放口COD</w:t>
            </w:r>
            <w:r>
              <w:rPr>
                <w:rFonts w:hint="eastAsia" w:ascii="Times New Roman" w:hAnsi="Times New Roman" w:eastAsia="宋体" w:cs="Times New Roman"/>
                <w:i w:val="0"/>
                <w:iCs w:val="0"/>
                <w:color w:val="auto"/>
                <w:kern w:val="0"/>
                <w:sz w:val="18"/>
                <w:szCs w:val="18"/>
                <w:u w:val="none"/>
                <w:vertAlign w:val="subscript"/>
                <w:lang w:val="en-US" w:eastAsia="zh-CN" w:bidi="ar"/>
              </w:rPr>
              <w:t>Cr</w:t>
            </w:r>
            <w:r>
              <w:rPr>
                <w:rFonts w:hint="eastAsia" w:ascii="Times New Roman" w:hAnsi="Times New Roman" w:eastAsia="宋体" w:cs="Times New Roman"/>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NH</w:t>
            </w:r>
            <w:r>
              <w:rPr>
                <w:rFonts w:hint="default" w:ascii="Times New Roman" w:hAnsi="Times New Roman" w:eastAsia="宋体" w:cs="Times New Roman"/>
                <w:i w:val="0"/>
                <w:iCs w:val="0"/>
                <w:color w:val="auto"/>
                <w:kern w:val="0"/>
                <w:sz w:val="18"/>
                <w:szCs w:val="18"/>
                <w:u w:val="none"/>
                <w:vertAlign w:val="subscript"/>
                <w:lang w:val="en-US" w:eastAsia="zh-CN" w:bidi="ar"/>
              </w:rPr>
              <w:t>3</w:t>
            </w:r>
            <w:r>
              <w:rPr>
                <w:rFonts w:hint="default" w:ascii="Times New Roman" w:hAnsi="Times New Roman" w:eastAsia="宋体" w:cs="Times New Roman"/>
                <w:i w:val="0"/>
                <w:iCs w:val="0"/>
                <w:color w:val="auto"/>
                <w:kern w:val="0"/>
                <w:sz w:val="18"/>
                <w:szCs w:val="18"/>
                <w:u w:val="none"/>
                <w:lang w:val="en-US" w:eastAsia="zh-CN" w:bidi="ar"/>
              </w:rPr>
              <w:t>-N</w:t>
            </w:r>
            <w:r>
              <w:rPr>
                <w:rFonts w:hint="eastAsia" w:ascii="Times New Roman" w:hAnsi="Times New Roman" w:eastAsia="宋体" w:cs="Times New Roman"/>
                <w:i w:val="0"/>
                <w:iCs w:val="0"/>
                <w:color w:val="auto"/>
                <w:kern w:val="0"/>
                <w:sz w:val="18"/>
                <w:szCs w:val="18"/>
                <w:u w:val="none"/>
                <w:lang w:val="en-US" w:eastAsia="zh-CN" w:bidi="ar"/>
              </w:rPr>
              <w:t>排放限值的平均值进行计算。</w:t>
            </w:r>
          </w:p>
        </w:tc>
      </w:tr>
    </w:tbl>
    <w:p w14:paraId="3F2716A5">
      <w:pPr>
        <w:widowControl w:val="0"/>
        <w:numPr>
          <w:ilvl w:val="0"/>
          <w:numId w:val="0"/>
        </w:numPr>
        <w:tabs>
          <w:tab w:val="left" w:pos="0"/>
        </w:tabs>
        <w:spacing w:line="360" w:lineRule="auto"/>
        <w:jc w:val="center"/>
        <w:rPr>
          <w:b/>
          <w:bCs/>
          <w:spacing w:val="-10"/>
          <w:szCs w:val="21"/>
        </w:rPr>
      </w:pPr>
    </w:p>
    <w:p w14:paraId="3F5681F3">
      <w:pPr>
        <w:numPr>
          <w:ilvl w:val="0"/>
          <w:numId w:val="12"/>
        </w:numPr>
        <w:spacing w:line="360" w:lineRule="auto"/>
        <w:jc w:val="center"/>
        <w:rPr>
          <w:rFonts w:hint="eastAsia" w:ascii="黑体" w:hAnsi="黑体" w:eastAsia="黑体" w:cs="黑体"/>
        </w:rPr>
      </w:pPr>
      <w:r>
        <w:rPr>
          <w:rFonts w:hint="eastAsia" w:ascii="黑体" w:hAnsi="黑体" w:eastAsia="黑体" w:cs="黑体"/>
        </w:rPr>
        <w:t xml:space="preserve"> 废水类别、污染物及污染治理设施信息一览表</w:t>
      </w:r>
    </w:p>
    <w:tbl>
      <w:tblPr>
        <w:tblStyle w:val="2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13"/>
        <w:gridCol w:w="1688"/>
        <w:gridCol w:w="1086"/>
        <w:gridCol w:w="867"/>
        <w:gridCol w:w="2291"/>
        <w:gridCol w:w="919"/>
        <w:gridCol w:w="1226"/>
        <w:gridCol w:w="1215"/>
        <w:gridCol w:w="1086"/>
        <w:gridCol w:w="1122"/>
        <w:gridCol w:w="1062"/>
      </w:tblGrid>
      <w:tr w14:paraId="18374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vMerge w:val="restart"/>
            <w:tcBorders>
              <w:tl2br w:val="nil"/>
              <w:tr2bl w:val="nil"/>
            </w:tcBorders>
            <w:vAlign w:val="center"/>
          </w:tcPr>
          <w:p w14:paraId="2F1BB1A4">
            <w:pPr>
              <w:adjustRightInd w:val="0"/>
              <w:snapToGrid w:val="0"/>
              <w:contextualSpacing/>
              <w:jc w:val="center"/>
              <w:rPr>
                <w:sz w:val="18"/>
                <w:szCs w:val="18"/>
                <w:lang w:val="zh-CN"/>
              </w:rPr>
            </w:pPr>
            <w:r>
              <w:rPr>
                <w:rFonts w:hint="eastAsia"/>
                <w:sz w:val="18"/>
                <w:szCs w:val="18"/>
                <w:lang w:val="zh-CN"/>
              </w:rPr>
              <w:t>序号</w:t>
            </w:r>
          </w:p>
        </w:tc>
        <w:tc>
          <w:tcPr>
            <w:tcW w:w="650" w:type="pct"/>
            <w:vMerge w:val="restart"/>
            <w:tcBorders>
              <w:tl2br w:val="nil"/>
              <w:tr2bl w:val="nil"/>
            </w:tcBorders>
            <w:vAlign w:val="center"/>
          </w:tcPr>
          <w:p w14:paraId="4E765B43">
            <w:pPr>
              <w:adjustRightInd w:val="0"/>
              <w:snapToGrid w:val="0"/>
              <w:contextualSpacing/>
              <w:jc w:val="center"/>
              <w:rPr>
                <w:sz w:val="18"/>
                <w:szCs w:val="18"/>
                <w:lang w:val="zh-CN"/>
              </w:rPr>
            </w:pPr>
            <w:r>
              <w:rPr>
                <w:rFonts w:hint="eastAsia"/>
                <w:sz w:val="18"/>
                <w:szCs w:val="18"/>
                <w:lang w:val="zh-CN"/>
              </w:rPr>
              <w:t>废水类别</w:t>
            </w:r>
          </w:p>
        </w:tc>
        <w:tc>
          <w:tcPr>
            <w:tcW w:w="418" w:type="pct"/>
            <w:vMerge w:val="restart"/>
            <w:tcBorders>
              <w:tl2br w:val="nil"/>
              <w:tr2bl w:val="nil"/>
            </w:tcBorders>
            <w:vAlign w:val="center"/>
          </w:tcPr>
          <w:p w14:paraId="3707889C">
            <w:pPr>
              <w:adjustRightInd w:val="0"/>
              <w:snapToGrid w:val="0"/>
              <w:contextualSpacing/>
              <w:jc w:val="center"/>
              <w:rPr>
                <w:sz w:val="18"/>
                <w:szCs w:val="18"/>
                <w:lang w:val="zh-CN"/>
              </w:rPr>
            </w:pPr>
            <w:r>
              <w:rPr>
                <w:rFonts w:hint="eastAsia"/>
                <w:sz w:val="18"/>
                <w:szCs w:val="18"/>
                <w:lang w:val="zh-CN"/>
              </w:rPr>
              <w:t>污染物种类</w:t>
            </w:r>
          </w:p>
        </w:tc>
        <w:tc>
          <w:tcPr>
            <w:tcW w:w="334" w:type="pct"/>
            <w:vMerge w:val="restart"/>
            <w:tcBorders>
              <w:tl2br w:val="nil"/>
              <w:tr2bl w:val="nil"/>
            </w:tcBorders>
            <w:vAlign w:val="center"/>
          </w:tcPr>
          <w:p w14:paraId="2781C2C3">
            <w:pPr>
              <w:adjustRightInd w:val="0"/>
              <w:snapToGrid w:val="0"/>
              <w:contextualSpacing/>
              <w:jc w:val="center"/>
              <w:rPr>
                <w:sz w:val="18"/>
                <w:szCs w:val="18"/>
                <w:lang w:val="zh-CN"/>
              </w:rPr>
            </w:pPr>
            <w:r>
              <w:rPr>
                <w:rFonts w:hint="eastAsia"/>
                <w:sz w:val="18"/>
                <w:szCs w:val="18"/>
                <w:lang w:val="zh-CN"/>
              </w:rPr>
              <w:t>排放去向</w:t>
            </w:r>
          </w:p>
        </w:tc>
        <w:tc>
          <w:tcPr>
            <w:tcW w:w="882" w:type="pct"/>
            <w:vMerge w:val="restart"/>
            <w:tcBorders>
              <w:tl2br w:val="nil"/>
              <w:tr2bl w:val="nil"/>
            </w:tcBorders>
            <w:vAlign w:val="center"/>
          </w:tcPr>
          <w:p w14:paraId="682D0AE0">
            <w:pPr>
              <w:adjustRightInd w:val="0"/>
              <w:snapToGrid w:val="0"/>
              <w:contextualSpacing/>
              <w:jc w:val="center"/>
              <w:rPr>
                <w:sz w:val="18"/>
                <w:szCs w:val="18"/>
                <w:lang w:val="zh-CN"/>
              </w:rPr>
            </w:pPr>
            <w:r>
              <w:rPr>
                <w:rFonts w:hint="eastAsia"/>
                <w:sz w:val="18"/>
                <w:szCs w:val="18"/>
                <w:lang w:val="zh-CN"/>
              </w:rPr>
              <w:t>排放规律</w:t>
            </w:r>
          </w:p>
        </w:tc>
        <w:tc>
          <w:tcPr>
            <w:tcW w:w="1294" w:type="pct"/>
            <w:gridSpan w:val="3"/>
            <w:tcBorders>
              <w:tl2br w:val="nil"/>
              <w:tr2bl w:val="nil"/>
            </w:tcBorders>
            <w:vAlign w:val="center"/>
          </w:tcPr>
          <w:p w14:paraId="53AD02E8">
            <w:pPr>
              <w:adjustRightInd w:val="0"/>
              <w:snapToGrid w:val="0"/>
              <w:contextualSpacing/>
              <w:jc w:val="center"/>
              <w:rPr>
                <w:sz w:val="18"/>
                <w:szCs w:val="18"/>
                <w:lang w:val="zh-CN"/>
              </w:rPr>
            </w:pPr>
            <w:r>
              <w:rPr>
                <w:rFonts w:hint="eastAsia"/>
                <w:sz w:val="18"/>
                <w:szCs w:val="18"/>
                <w:lang w:val="zh-CN"/>
              </w:rPr>
              <w:t>污染治理设施</w:t>
            </w:r>
          </w:p>
        </w:tc>
        <w:tc>
          <w:tcPr>
            <w:tcW w:w="418" w:type="pct"/>
            <w:vMerge w:val="restart"/>
            <w:tcBorders>
              <w:tl2br w:val="nil"/>
              <w:tr2bl w:val="nil"/>
            </w:tcBorders>
            <w:vAlign w:val="center"/>
          </w:tcPr>
          <w:p w14:paraId="6A762B3F">
            <w:pPr>
              <w:adjustRightInd w:val="0"/>
              <w:snapToGrid w:val="0"/>
              <w:contextualSpacing/>
              <w:jc w:val="center"/>
              <w:rPr>
                <w:sz w:val="18"/>
                <w:szCs w:val="18"/>
                <w:lang w:val="zh-CN"/>
              </w:rPr>
            </w:pPr>
            <w:r>
              <w:rPr>
                <w:rFonts w:hint="eastAsia"/>
                <w:sz w:val="18"/>
                <w:szCs w:val="18"/>
                <w:lang w:val="zh-CN"/>
              </w:rPr>
              <w:t>排放口编号</w:t>
            </w:r>
          </w:p>
        </w:tc>
        <w:tc>
          <w:tcPr>
            <w:tcW w:w="432" w:type="pct"/>
            <w:vMerge w:val="restart"/>
            <w:tcBorders>
              <w:tl2br w:val="nil"/>
              <w:tr2bl w:val="nil"/>
            </w:tcBorders>
            <w:vAlign w:val="center"/>
          </w:tcPr>
          <w:p w14:paraId="0290F5D7">
            <w:pPr>
              <w:adjustRightInd w:val="0"/>
              <w:snapToGrid w:val="0"/>
              <w:contextualSpacing/>
              <w:jc w:val="center"/>
              <w:rPr>
                <w:sz w:val="18"/>
                <w:szCs w:val="18"/>
                <w:lang w:val="zh-CN"/>
              </w:rPr>
            </w:pPr>
            <w:r>
              <w:rPr>
                <w:rFonts w:hint="eastAsia"/>
                <w:sz w:val="18"/>
                <w:szCs w:val="18"/>
                <w:lang w:val="zh-CN"/>
              </w:rPr>
              <w:t>排放口设置</w:t>
            </w:r>
          </w:p>
          <w:p w14:paraId="394B8187">
            <w:pPr>
              <w:adjustRightInd w:val="0"/>
              <w:snapToGrid w:val="0"/>
              <w:contextualSpacing/>
              <w:jc w:val="center"/>
              <w:rPr>
                <w:sz w:val="18"/>
                <w:szCs w:val="18"/>
                <w:lang w:val="zh-CN"/>
              </w:rPr>
            </w:pPr>
            <w:r>
              <w:rPr>
                <w:rFonts w:hint="eastAsia"/>
                <w:sz w:val="18"/>
                <w:szCs w:val="18"/>
                <w:lang w:val="zh-CN"/>
              </w:rPr>
              <w:t>是否符合要求</w:t>
            </w:r>
          </w:p>
        </w:tc>
        <w:tc>
          <w:tcPr>
            <w:tcW w:w="409" w:type="pct"/>
            <w:vMerge w:val="restart"/>
            <w:tcBorders>
              <w:tl2br w:val="nil"/>
              <w:tr2bl w:val="nil"/>
            </w:tcBorders>
            <w:vAlign w:val="center"/>
          </w:tcPr>
          <w:p w14:paraId="05802F57">
            <w:pPr>
              <w:adjustRightInd w:val="0"/>
              <w:snapToGrid w:val="0"/>
              <w:contextualSpacing/>
              <w:jc w:val="center"/>
              <w:rPr>
                <w:sz w:val="18"/>
                <w:szCs w:val="18"/>
                <w:lang w:val="zh-CN"/>
              </w:rPr>
            </w:pPr>
            <w:r>
              <w:rPr>
                <w:rFonts w:hint="eastAsia"/>
                <w:sz w:val="18"/>
                <w:szCs w:val="18"/>
                <w:lang w:val="zh-CN"/>
              </w:rPr>
              <w:t>排放口类型</w:t>
            </w:r>
          </w:p>
        </w:tc>
      </w:tr>
      <w:tr w14:paraId="04F99D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vMerge w:val="continue"/>
            <w:tcBorders>
              <w:tl2br w:val="nil"/>
              <w:tr2bl w:val="nil"/>
            </w:tcBorders>
            <w:vAlign w:val="center"/>
          </w:tcPr>
          <w:p w14:paraId="145A1BBD">
            <w:pPr>
              <w:adjustRightInd w:val="0"/>
              <w:snapToGrid w:val="0"/>
              <w:contextualSpacing/>
              <w:jc w:val="center"/>
              <w:rPr>
                <w:sz w:val="18"/>
                <w:szCs w:val="18"/>
                <w:lang w:val="zh-CN"/>
              </w:rPr>
            </w:pPr>
          </w:p>
        </w:tc>
        <w:tc>
          <w:tcPr>
            <w:tcW w:w="650" w:type="pct"/>
            <w:vMerge w:val="continue"/>
            <w:tcBorders>
              <w:tl2br w:val="nil"/>
              <w:tr2bl w:val="nil"/>
            </w:tcBorders>
            <w:vAlign w:val="center"/>
          </w:tcPr>
          <w:p w14:paraId="0C3AD498">
            <w:pPr>
              <w:adjustRightInd w:val="0"/>
              <w:snapToGrid w:val="0"/>
              <w:contextualSpacing/>
              <w:jc w:val="center"/>
              <w:rPr>
                <w:sz w:val="18"/>
                <w:szCs w:val="18"/>
                <w:lang w:val="zh-CN"/>
              </w:rPr>
            </w:pPr>
          </w:p>
        </w:tc>
        <w:tc>
          <w:tcPr>
            <w:tcW w:w="418" w:type="pct"/>
            <w:vMerge w:val="continue"/>
            <w:tcBorders>
              <w:tl2br w:val="nil"/>
              <w:tr2bl w:val="nil"/>
            </w:tcBorders>
            <w:vAlign w:val="center"/>
          </w:tcPr>
          <w:p w14:paraId="3FB8819F">
            <w:pPr>
              <w:adjustRightInd w:val="0"/>
              <w:snapToGrid w:val="0"/>
              <w:contextualSpacing/>
              <w:jc w:val="center"/>
              <w:rPr>
                <w:sz w:val="18"/>
                <w:szCs w:val="18"/>
                <w:lang w:val="zh-CN"/>
              </w:rPr>
            </w:pPr>
          </w:p>
        </w:tc>
        <w:tc>
          <w:tcPr>
            <w:tcW w:w="334" w:type="pct"/>
            <w:vMerge w:val="continue"/>
            <w:tcBorders>
              <w:tl2br w:val="nil"/>
              <w:tr2bl w:val="nil"/>
            </w:tcBorders>
            <w:vAlign w:val="center"/>
          </w:tcPr>
          <w:p w14:paraId="1BC3B39A">
            <w:pPr>
              <w:adjustRightInd w:val="0"/>
              <w:snapToGrid w:val="0"/>
              <w:contextualSpacing/>
              <w:jc w:val="center"/>
              <w:rPr>
                <w:sz w:val="18"/>
                <w:szCs w:val="18"/>
                <w:lang w:val="zh-CN"/>
              </w:rPr>
            </w:pPr>
          </w:p>
        </w:tc>
        <w:tc>
          <w:tcPr>
            <w:tcW w:w="882" w:type="pct"/>
            <w:vMerge w:val="continue"/>
            <w:tcBorders>
              <w:tl2br w:val="nil"/>
              <w:tr2bl w:val="nil"/>
            </w:tcBorders>
            <w:vAlign w:val="center"/>
          </w:tcPr>
          <w:p w14:paraId="1B22EA2D">
            <w:pPr>
              <w:adjustRightInd w:val="0"/>
              <w:snapToGrid w:val="0"/>
              <w:contextualSpacing/>
              <w:jc w:val="center"/>
              <w:rPr>
                <w:sz w:val="18"/>
                <w:szCs w:val="18"/>
                <w:lang w:val="zh-CN"/>
              </w:rPr>
            </w:pPr>
          </w:p>
        </w:tc>
        <w:tc>
          <w:tcPr>
            <w:tcW w:w="354" w:type="pct"/>
            <w:tcBorders>
              <w:tl2br w:val="nil"/>
              <w:tr2bl w:val="nil"/>
            </w:tcBorders>
            <w:vAlign w:val="center"/>
          </w:tcPr>
          <w:p w14:paraId="0804EC70">
            <w:pPr>
              <w:adjustRightInd w:val="0"/>
              <w:snapToGrid w:val="0"/>
              <w:contextualSpacing/>
              <w:jc w:val="center"/>
              <w:rPr>
                <w:sz w:val="18"/>
                <w:szCs w:val="18"/>
                <w:lang w:val="zh-CN"/>
              </w:rPr>
            </w:pPr>
            <w:r>
              <w:rPr>
                <w:rFonts w:hint="eastAsia"/>
                <w:sz w:val="18"/>
                <w:szCs w:val="18"/>
                <w:lang w:val="zh-CN"/>
              </w:rPr>
              <w:t>编号</w:t>
            </w:r>
          </w:p>
        </w:tc>
        <w:tc>
          <w:tcPr>
            <w:tcW w:w="472" w:type="pct"/>
            <w:tcBorders>
              <w:tl2br w:val="nil"/>
              <w:tr2bl w:val="nil"/>
            </w:tcBorders>
            <w:vAlign w:val="center"/>
          </w:tcPr>
          <w:p w14:paraId="2D0E5746">
            <w:pPr>
              <w:adjustRightInd w:val="0"/>
              <w:snapToGrid w:val="0"/>
              <w:contextualSpacing/>
              <w:jc w:val="center"/>
              <w:rPr>
                <w:sz w:val="18"/>
                <w:szCs w:val="18"/>
                <w:lang w:val="zh-CN"/>
              </w:rPr>
            </w:pPr>
            <w:r>
              <w:rPr>
                <w:rFonts w:hint="eastAsia"/>
                <w:sz w:val="18"/>
                <w:szCs w:val="18"/>
                <w:lang w:val="zh-CN"/>
              </w:rPr>
              <w:t>名称</w:t>
            </w:r>
          </w:p>
        </w:tc>
        <w:tc>
          <w:tcPr>
            <w:tcW w:w="468" w:type="pct"/>
            <w:tcBorders>
              <w:tl2br w:val="nil"/>
              <w:tr2bl w:val="nil"/>
            </w:tcBorders>
            <w:vAlign w:val="center"/>
          </w:tcPr>
          <w:p w14:paraId="4E8234CF">
            <w:pPr>
              <w:adjustRightInd w:val="0"/>
              <w:snapToGrid w:val="0"/>
              <w:contextualSpacing/>
              <w:jc w:val="center"/>
              <w:rPr>
                <w:sz w:val="18"/>
                <w:szCs w:val="18"/>
                <w:lang w:val="zh-CN"/>
              </w:rPr>
            </w:pPr>
            <w:r>
              <w:rPr>
                <w:rFonts w:hint="eastAsia"/>
                <w:sz w:val="18"/>
                <w:szCs w:val="18"/>
                <w:lang w:val="zh-CN"/>
              </w:rPr>
              <w:t>工艺</w:t>
            </w:r>
          </w:p>
        </w:tc>
        <w:tc>
          <w:tcPr>
            <w:tcW w:w="418" w:type="pct"/>
            <w:vMerge w:val="continue"/>
            <w:tcBorders>
              <w:tl2br w:val="nil"/>
              <w:tr2bl w:val="nil"/>
            </w:tcBorders>
            <w:vAlign w:val="center"/>
          </w:tcPr>
          <w:p w14:paraId="100C75D7">
            <w:pPr>
              <w:adjustRightInd w:val="0"/>
              <w:snapToGrid w:val="0"/>
              <w:contextualSpacing/>
              <w:jc w:val="center"/>
              <w:rPr>
                <w:sz w:val="18"/>
                <w:szCs w:val="18"/>
                <w:lang w:val="zh-CN"/>
              </w:rPr>
            </w:pPr>
          </w:p>
        </w:tc>
        <w:tc>
          <w:tcPr>
            <w:tcW w:w="432" w:type="pct"/>
            <w:vMerge w:val="continue"/>
            <w:tcBorders>
              <w:tl2br w:val="nil"/>
              <w:tr2bl w:val="nil"/>
            </w:tcBorders>
            <w:vAlign w:val="center"/>
          </w:tcPr>
          <w:p w14:paraId="43A6CB07">
            <w:pPr>
              <w:adjustRightInd w:val="0"/>
              <w:snapToGrid w:val="0"/>
              <w:contextualSpacing/>
              <w:jc w:val="center"/>
              <w:rPr>
                <w:sz w:val="18"/>
                <w:szCs w:val="18"/>
                <w:lang w:val="zh-CN"/>
              </w:rPr>
            </w:pPr>
          </w:p>
        </w:tc>
        <w:tc>
          <w:tcPr>
            <w:tcW w:w="409" w:type="pct"/>
            <w:vMerge w:val="continue"/>
            <w:tcBorders>
              <w:tl2br w:val="nil"/>
              <w:tr2bl w:val="nil"/>
            </w:tcBorders>
            <w:vAlign w:val="center"/>
          </w:tcPr>
          <w:p w14:paraId="1E3899EB">
            <w:pPr>
              <w:adjustRightInd w:val="0"/>
              <w:snapToGrid w:val="0"/>
              <w:contextualSpacing/>
              <w:jc w:val="center"/>
              <w:rPr>
                <w:sz w:val="18"/>
                <w:szCs w:val="18"/>
                <w:lang w:val="zh-CN"/>
              </w:rPr>
            </w:pPr>
          </w:p>
        </w:tc>
      </w:tr>
      <w:tr w14:paraId="7455E3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tcBorders>
              <w:tl2br w:val="nil"/>
              <w:tr2bl w:val="nil"/>
            </w:tcBorders>
            <w:vAlign w:val="center"/>
          </w:tcPr>
          <w:p w14:paraId="3E242E38">
            <w:pPr>
              <w:adjustRightInd w:val="0"/>
              <w:snapToGrid w:val="0"/>
              <w:contextualSpacing/>
              <w:jc w:val="center"/>
              <w:rPr>
                <w:sz w:val="18"/>
                <w:szCs w:val="18"/>
                <w:lang w:val="zh-CN"/>
              </w:rPr>
            </w:pPr>
            <w:r>
              <w:rPr>
                <w:sz w:val="18"/>
                <w:szCs w:val="18"/>
                <w:lang w:val="zh-CN"/>
              </w:rPr>
              <w:t>1</w:t>
            </w:r>
          </w:p>
        </w:tc>
        <w:tc>
          <w:tcPr>
            <w:tcW w:w="650" w:type="pct"/>
            <w:tcBorders>
              <w:tl2br w:val="nil"/>
              <w:tr2bl w:val="nil"/>
            </w:tcBorders>
            <w:vAlign w:val="center"/>
          </w:tcPr>
          <w:p w14:paraId="09142CB8">
            <w:pPr>
              <w:adjustRightInd w:val="0"/>
              <w:snapToGrid w:val="0"/>
              <w:jc w:val="center"/>
              <w:rPr>
                <w:sz w:val="18"/>
                <w:szCs w:val="18"/>
              </w:rPr>
            </w:pPr>
            <w:r>
              <w:rPr>
                <w:rFonts w:hint="eastAsia"/>
                <w:sz w:val="18"/>
                <w:szCs w:val="18"/>
              </w:rPr>
              <w:t>生产废水</w:t>
            </w:r>
          </w:p>
        </w:tc>
        <w:tc>
          <w:tcPr>
            <w:tcW w:w="418" w:type="pct"/>
            <w:tcBorders>
              <w:tl2br w:val="nil"/>
              <w:tr2bl w:val="nil"/>
            </w:tcBorders>
            <w:vAlign w:val="center"/>
          </w:tcPr>
          <w:p w14:paraId="1C39B46E">
            <w:pPr>
              <w:autoSpaceDE w:val="0"/>
              <w:autoSpaceDN w:val="0"/>
              <w:adjustRightInd w:val="0"/>
              <w:snapToGrid w:val="0"/>
              <w:jc w:val="center"/>
              <w:rPr>
                <w:sz w:val="18"/>
                <w:szCs w:val="18"/>
              </w:rPr>
            </w:pPr>
            <w:r>
              <w:rPr>
                <w:sz w:val="18"/>
                <w:szCs w:val="18"/>
              </w:rPr>
              <w:t>COD</w:t>
            </w:r>
            <w:r>
              <w:rPr>
                <w:rFonts w:hint="eastAsia"/>
                <w:sz w:val="18"/>
                <w:szCs w:val="18"/>
              </w:rPr>
              <w:t>、LAS</w:t>
            </w:r>
          </w:p>
        </w:tc>
        <w:tc>
          <w:tcPr>
            <w:tcW w:w="334" w:type="pct"/>
            <w:vMerge w:val="restart"/>
            <w:tcBorders>
              <w:tl2br w:val="nil"/>
              <w:tr2bl w:val="nil"/>
            </w:tcBorders>
            <w:vAlign w:val="center"/>
          </w:tcPr>
          <w:p w14:paraId="3CC73D77">
            <w:pPr>
              <w:adjustRightInd w:val="0"/>
              <w:snapToGrid w:val="0"/>
              <w:jc w:val="center"/>
              <w:rPr>
                <w:sz w:val="18"/>
                <w:szCs w:val="18"/>
                <w:lang w:val="zh-CN"/>
              </w:rPr>
            </w:pPr>
            <w:r>
              <w:rPr>
                <w:rFonts w:hint="eastAsia"/>
                <w:sz w:val="18"/>
                <w:szCs w:val="18"/>
              </w:rPr>
              <w:t>余杭污水处理厂</w:t>
            </w:r>
          </w:p>
        </w:tc>
        <w:tc>
          <w:tcPr>
            <w:tcW w:w="882" w:type="pct"/>
            <w:vMerge w:val="restart"/>
            <w:tcBorders>
              <w:tl2br w:val="nil"/>
              <w:tr2bl w:val="nil"/>
            </w:tcBorders>
            <w:vAlign w:val="center"/>
          </w:tcPr>
          <w:p w14:paraId="42C58A93">
            <w:pPr>
              <w:adjustRightInd w:val="0"/>
              <w:snapToGrid w:val="0"/>
              <w:jc w:val="center"/>
              <w:rPr>
                <w:sz w:val="18"/>
                <w:szCs w:val="18"/>
                <w:lang w:val="zh-CN"/>
              </w:rPr>
            </w:pPr>
            <w:r>
              <w:rPr>
                <w:rFonts w:hint="eastAsia"/>
                <w:sz w:val="18"/>
                <w:szCs w:val="18"/>
              </w:rPr>
              <w:t>间断排放，流量不稳定且无规律，但不属于冲击型排放</w:t>
            </w:r>
          </w:p>
        </w:tc>
        <w:tc>
          <w:tcPr>
            <w:tcW w:w="354" w:type="pct"/>
            <w:tcBorders>
              <w:tl2br w:val="nil"/>
              <w:tr2bl w:val="nil"/>
            </w:tcBorders>
            <w:vAlign w:val="center"/>
          </w:tcPr>
          <w:p w14:paraId="1603EA81">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472" w:type="pct"/>
            <w:tcBorders>
              <w:tl2br w:val="nil"/>
              <w:tr2bl w:val="nil"/>
            </w:tcBorders>
            <w:vAlign w:val="center"/>
          </w:tcPr>
          <w:p w14:paraId="610DF1B7">
            <w:pPr>
              <w:adjustRightInd w:val="0"/>
              <w:snapToGrid w:val="0"/>
              <w:jc w:val="center"/>
              <w:rPr>
                <w:rFonts w:hint="eastAsia" w:eastAsia="宋体"/>
                <w:sz w:val="18"/>
                <w:szCs w:val="18"/>
                <w:lang w:val="en-US" w:eastAsia="zh-CN"/>
              </w:rPr>
            </w:pPr>
            <w:r>
              <w:rPr>
                <w:rFonts w:hint="eastAsia"/>
                <w:sz w:val="18"/>
                <w:szCs w:val="18"/>
                <w:lang w:val="en-US" w:eastAsia="zh-CN"/>
              </w:rPr>
              <w:t>/</w:t>
            </w:r>
          </w:p>
        </w:tc>
        <w:tc>
          <w:tcPr>
            <w:tcW w:w="468" w:type="pct"/>
            <w:vMerge w:val="restart"/>
            <w:tcBorders>
              <w:tl2br w:val="nil"/>
              <w:tr2bl w:val="nil"/>
            </w:tcBorders>
            <w:vAlign w:val="center"/>
          </w:tcPr>
          <w:p w14:paraId="1A5F5871">
            <w:pPr>
              <w:adjustRightInd w:val="0"/>
              <w:snapToGrid w:val="0"/>
              <w:jc w:val="center"/>
              <w:rPr>
                <w:kern w:val="0"/>
                <w:sz w:val="18"/>
                <w:szCs w:val="18"/>
              </w:rPr>
            </w:pPr>
            <w:r>
              <w:rPr>
                <w:kern w:val="0"/>
                <w:sz w:val="18"/>
                <w:szCs w:val="18"/>
              </w:rPr>
              <w:t>/</w:t>
            </w:r>
          </w:p>
        </w:tc>
        <w:tc>
          <w:tcPr>
            <w:tcW w:w="418" w:type="pct"/>
            <w:vMerge w:val="restart"/>
            <w:tcBorders>
              <w:tl2br w:val="nil"/>
              <w:tr2bl w:val="nil"/>
            </w:tcBorders>
            <w:vAlign w:val="center"/>
          </w:tcPr>
          <w:p w14:paraId="7E06338C">
            <w:pPr>
              <w:adjustRightInd w:val="0"/>
              <w:snapToGrid w:val="0"/>
              <w:contextualSpacing/>
              <w:jc w:val="center"/>
              <w:rPr>
                <w:sz w:val="18"/>
                <w:szCs w:val="18"/>
                <w:lang w:val="zh-CN"/>
              </w:rPr>
            </w:pPr>
            <w:r>
              <w:rPr>
                <w:sz w:val="18"/>
                <w:szCs w:val="18"/>
                <w:lang w:val="zh-CN"/>
              </w:rPr>
              <w:t>DW001</w:t>
            </w:r>
          </w:p>
        </w:tc>
        <w:tc>
          <w:tcPr>
            <w:tcW w:w="432" w:type="pct"/>
            <w:vMerge w:val="restart"/>
            <w:tcBorders>
              <w:tl2br w:val="nil"/>
              <w:tr2bl w:val="nil"/>
            </w:tcBorders>
            <w:vAlign w:val="center"/>
          </w:tcPr>
          <w:p w14:paraId="696830C6">
            <w:pPr>
              <w:adjustRightInd w:val="0"/>
              <w:snapToGrid w:val="0"/>
              <w:jc w:val="center"/>
              <w:rPr>
                <w:sz w:val="18"/>
                <w:szCs w:val="18"/>
              </w:rPr>
            </w:pPr>
            <w:r>
              <w:rPr>
                <w:rFonts w:hint="eastAsia"/>
                <w:sz w:val="18"/>
                <w:szCs w:val="18"/>
              </w:rPr>
              <w:t>是</w:t>
            </w:r>
          </w:p>
        </w:tc>
        <w:tc>
          <w:tcPr>
            <w:tcW w:w="409" w:type="pct"/>
            <w:vMerge w:val="restart"/>
            <w:tcBorders>
              <w:tl2br w:val="nil"/>
              <w:tr2bl w:val="nil"/>
            </w:tcBorders>
            <w:vAlign w:val="center"/>
          </w:tcPr>
          <w:p w14:paraId="39D38BCF">
            <w:pPr>
              <w:adjustRightInd w:val="0"/>
              <w:snapToGrid w:val="0"/>
              <w:jc w:val="center"/>
              <w:rPr>
                <w:sz w:val="18"/>
                <w:szCs w:val="18"/>
              </w:rPr>
            </w:pPr>
            <w:r>
              <w:rPr>
                <w:rFonts w:hint="eastAsia"/>
                <w:sz w:val="18"/>
                <w:szCs w:val="18"/>
              </w:rPr>
              <w:t>企业总排口</w:t>
            </w:r>
          </w:p>
        </w:tc>
      </w:tr>
      <w:tr w14:paraId="091C4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tcBorders>
              <w:tl2br w:val="nil"/>
              <w:tr2bl w:val="nil"/>
            </w:tcBorders>
            <w:vAlign w:val="center"/>
          </w:tcPr>
          <w:p w14:paraId="3F99B0A2">
            <w:pPr>
              <w:adjustRightInd w:val="0"/>
              <w:snapToGrid w:val="0"/>
              <w:contextualSpacing/>
              <w:jc w:val="center"/>
              <w:rPr>
                <w:sz w:val="18"/>
                <w:szCs w:val="18"/>
              </w:rPr>
            </w:pPr>
            <w:r>
              <w:rPr>
                <w:sz w:val="18"/>
                <w:szCs w:val="18"/>
              </w:rPr>
              <w:t>2</w:t>
            </w:r>
          </w:p>
        </w:tc>
        <w:tc>
          <w:tcPr>
            <w:tcW w:w="650" w:type="pct"/>
            <w:tcBorders>
              <w:tl2br w:val="nil"/>
              <w:tr2bl w:val="nil"/>
            </w:tcBorders>
            <w:vAlign w:val="center"/>
          </w:tcPr>
          <w:p w14:paraId="40CB4480">
            <w:pPr>
              <w:adjustRightInd w:val="0"/>
              <w:snapToGrid w:val="0"/>
              <w:jc w:val="center"/>
              <w:rPr>
                <w:sz w:val="18"/>
                <w:szCs w:val="18"/>
              </w:rPr>
            </w:pPr>
            <w:r>
              <w:rPr>
                <w:rFonts w:hint="eastAsia"/>
                <w:sz w:val="18"/>
                <w:szCs w:val="18"/>
              </w:rPr>
              <w:t>生活污水</w:t>
            </w:r>
          </w:p>
        </w:tc>
        <w:tc>
          <w:tcPr>
            <w:tcW w:w="418" w:type="pct"/>
            <w:tcBorders>
              <w:tl2br w:val="nil"/>
              <w:tr2bl w:val="nil"/>
            </w:tcBorders>
            <w:vAlign w:val="center"/>
          </w:tcPr>
          <w:p w14:paraId="60C1C71D">
            <w:pPr>
              <w:autoSpaceDE w:val="0"/>
              <w:autoSpaceDN w:val="0"/>
              <w:adjustRightInd w:val="0"/>
              <w:snapToGrid w:val="0"/>
              <w:jc w:val="center"/>
              <w:rPr>
                <w:sz w:val="18"/>
                <w:szCs w:val="18"/>
              </w:rPr>
            </w:pPr>
            <w:r>
              <w:rPr>
                <w:rFonts w:hint="eastAsia"/>
                <w:sz w:val="18"/>
                <w:szCs w:val="18"/>
              </w:rPr>
              <w:t>COD、氨氮</w:t>
            </w:r>
          </w:p>
        </w:tc>
        <w:tc>
          <w:tcPr>
            <w:tcW w:w="334" w:type="pct"/>
            <w:vMerge w:val="continue"/>
            <w:tcBorders>
              <w:tl2br w:val="nil"/>
              <w:tr2bl w:val="nil"/>
            </w:tcBorders>
            <w:vAlign w:val="center"/>
          </w:tcPr>
          <w:p w14:paraId="3AF69A07">
            <w:pPr>
              <w:adjustRightInd w:val="0"/>
              <w:snapToGrid w:val="0"/>
              <w:jc w:val="center"/>
              <w:rPr>
                <w:sz w:val="18"/>
                <w:szCs w:val="18"/>
              </w:rPr>
            </w:pPr>
          </w:p>
        </w:tc>
        <w:tc>
          <w:tcPr>
            <w:tcW w:w="882" w:type="pct"/>
            <w:vMerge w:val="continue"/>
            <w:tcBorders>
              <w:tl2br w:val="nil"/>
              <w:tr2bl w:val="nil"/>
            </w:tcBorders>
            <w:vAlign w:val="center"/>
          </w:tcPr>
          <w:p w14:paraId="1AD13951">
            <w:pPr>
              <w:adjustRightInd w:val="0"/>
              <w:snapToGrid w:val="0"/>
              <w:jc w:val="center"/>
              <w:rPr>
                <w:sz w:val="18"/>
                <w:szCs w:val="18"/>
              </w:rPr>
            </w:pPr>
          </w:p>
        </w:tc>
        <w:tc>
          <w:tcPr>
            <w:tcW w:w="354" w:type="pct"/>
            <w:tcBorders>
              <w:tl2br w:val="nil"/>
              <w:tr2bl w:val="nil"/>
            </w:tcBorders>
            <w:vAlign w:val="center"/>
          </w:tcPr>
          <w:p w14:paraId="6D34687C">
            <w:pPr>
              <w:adjustRightInd w:val="0"/>
              <w:snapToGrid w:val="0"/>
              <w:jc w:val="center"/>
              <w:rPr>
                <w:sz w:val="18"/>
                <w:szCs w:val="18"/>
              </w:rPr>
            </w:pPr>
            <w:r>
              <w:rPr>
                <w:sz w:val="18"/>
                <w:szCs w:val="18"/>
              </w:rPr>
              <w:t>TW00</w:t>
            </w:r>
            <w:r>
              <w:rPr>
                <w:rFonts w:hint="eastAsia"/>
                <w:sz w:val="18"/>
                <w:szCs w:val="18"/>
              </w:rPr>
              <w:t>1</w:t>
            </w:r>
          </w:p>
        </w:tc>
        <w:tc>
          <w:tcPr>
            <w:tcW w:w="472" w:type="pct"/>
            <w:tcBorders>
              <w:tl2br w:val="nil"/>
              <w:tr2bl w:val="nil"/>
            </w:tcBorders>
            <w:vAlign w:val="center"/>
          </w:tcPr>
          <w:p w14:paraId="35E66B8F">
            <w:pPr>
              <w:adjustRightInd w:val="0"/>
              <w:snapToGrid w:val="0"/>
              <w:jc w:val="center"/>
              <w:rPr>
                <w:sz w:val="18"/>
                <w:szCs w:val="18"/>
              </w:rPr>
            </w:pPr>
            <w:r>
              <w:rPr>
                <w:rFonts w:hint="eastAsia"/>
                <w:sz w:val="18"/>
                <w:szCs w:val="18"/>
              </w:rPr>
              <w:t>化粪池</w:t>
            </w:r>
          </w:p>
        </w:tc>
        <w:tc>
          <w:tcPr>
            <w:tcW w:w="468" w:type="pct"/>
            <w:vMerge w:val="continue"/>
            <w:tcBorders>
              <w:tl2br w:val="nil"/>
              <w:tr2bl w:val="nil"/>
            </w:tcBorders>
            <w:vAlign w:val="center"/>
          </w:tcPr>
          <w:p w14:paraId="070457C8">
            <w:pPr>
              <w:adjustRightInd w:val="0"/>
              <w:snapToGrid w:val="0"/>
              <w:jc w:val="center"/>
              <w:rPr>
                <w:kern w:val="0"/>
                <w:sz w:val="18"/>
                <w:szCs w:val="18"/>
              </w:rPr>
            </w:pPr>
          </w:p>
        </w:tc>
        <w:tc>
          <w:tcPr>
            <w:tcW w:w="418" w:type="pct"/>
            <w:vMerge w:val="continue"/>
            <w:tcBorders>
              <w:tl2br w:val="nil"/>
              <w:tr2bl w:val="nil"/>
            </w:tcBorders>
            <w:vAlign w:val="center"/>
          </w:tcPr>
          <w:p w14:paraId="05EF09D3">
            <w:pPr>
              <w:adjustRightInd w:val="0"/>
              <w:snapToGrid w:val="0"/>
              <w:contextualSpacing/>
              <w:jc w:val="center"/>
              <w:rPr>
                <w:sz w:val="18"/>
                <w:szCs w:val="18"/>
                <w:lang w:val="zh-CN"/>
              </w:rPr>
            </w:pPr>
          </w:p>
        </w:tc>
        <w:tc>
          <w:tcPr>
            <w:tcW w:w="432" w:type="pct"/>
            <w:vMerge w:val="continue"/>
            <w:tcBorders>
              <w:tl2br w:val="nil"/>
              <w:tr2bl w:val="nil"/>
            </w:tcBorders>
            <w:vAlign w:val="center"/>
          </w:tcPr>
          <w:p w14:paraId="214FD166">
            <w:pPr>
              <w:adjustRightInd w:val="0"/>
              <w:snapToGrid w:val="0"/>
              <w:jc w:val="center"/>
              <w:rPr>
                <w:sz w:val="18"/>
                <w:szCs w:val="18"/>
              </w:rPr>
            </w:pPr>
          </w:p>
        </w:tc>
        <w:tc>
          <w:tcPr>
            <w:tcW w:w="409" w:type="pct"/>
            <w:vMerge w:val="continue"/>
            <w:tcBorders>
              <w:tl2br w:val="nil"/>
              <w:tr2bl w:val="nil"/>
            </w:tcBorders>
            <w:vAlign w:val="center"/>
          </w:tcPr>
          <w:p w14:paraId="43579118">
            <w:pPr>
              <w:adjustRightInd w:val="0"/>
              <w:snapToGrid w:val="0"/>
              <w:jc w:val="center"/>
              <w:rPr>
                <w:sz w:val="18"/>
                <w:szCs w:val="18"/>
              </w:rPr>
            </w:pPr>
          </w:p>
        </w:tc>
      </w:tr>
    </w:tbl>
    <w:p w14:paraId="6385DF07">
      <w:pPr>
        <w:numPr>
          <w:ilvl w:val="0"/>
          <w:numId w:val="12"/>
        </w:numPr>
        <w:spacing w:line="360" w:lineRule="auto"/>
        <w:jc w:val="center"/>
        <w:rPr>
          <w:rFonts w:hint="eastAsia" w:ascii="黑体" w:hAnsi="黑体" w:eastAsia="黑体" w:cs="黑体"/>
          <w:kern w:val="0"/>
          <w:sz w:val="28"/>
          <w:szCs w:val="28"/>
        </w:rPr>
      </w:pPr>
      <w:r>
        <w:rPr>
          <w:rFonts w:hint="eastAsia" w:ascii="黑体" w:hAnsi="黑体" w:eastAsia="黑体" w:cs="黑体"/>
        </w:rPr>
        <w:t xml:space="preserve"> 废水间接排放口基本情况表</w:t>
      </w:r>
    </w:p>
    <w:tbl>
      <w:tblPr>
        <w:tblStyle w:val="26"/>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739"/>
        <w:gridCol w:w="1440"/>
        <w:gridCol w:w="1033"/>
        <w:gridCol w:w="919"/>
        <w:gridCol w:w="1194"/>
        <w:gridCol w:w="1209"/>
        <w:gridCol w:w="1674"/>
        <w:gridCol w:w="1907"/>
        <w:gridCol w:w="976"/>
        <w:gridCol w:w="1884"/>
      </w:tblGrid>
      <w:tr w14:paraId="4CD111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85" w:type="pct"/>
            <w:vMerge w:val="restart"/>
            <w:tcBorders>
              <w:tl2br w:val="nil"/>
              <w:tr2bl w:val="nil"/>
            </w:tcBorders>
            <w:vAlign w:val="center"/>
          </w:tcPr>
          <w:p w14:paraId="15978D10">
            <w:pPr>
              <w:widowControl/>
              <w:jc w:val="center"/>
              <w:textAlignment w:val="center"/>
              <w:rPr>
                <w:sz w:val="18"/>
                <w:szCs w:val="18"/>
              </w:rPr>
            </w:pPr>
            <w:r>
              <w:rPr>
                <w:rFonts w:hint="eastAsia" w:ascii="宋体" w:hAnsi="宋体" w:cs="宋体"/>
                <w:kern w:val="0"/>
                <w:sz w:val="18"/>
                <w:szCs w:val="18"/>
                <w:lang w:bidi="ar"/>
              </w:rPr>
              <w:t>序号</w:t>
            </w:r>
          </w:p>
        </w:tc>
        <w:tc>
          <w:tcPr>
            <w:tcW w:w="555" w:type="pct"/>
            <w:vMerge w:val="restart"/>
            <w:tcBorders>
              <w:tl2br w:val="nil"/>
              <w:tr2bl w:val="nil"/>
            </w:tcBorders>
            <w:vAlign w:val="center"/>
          </w:tcPr>
          <w:p w14:paraId="1889B8BE">
            <w:pPr>
              <w:widowControl/>
              <w:jc w:val="center"/>
              <w:textAlignment w:val="center"/>
              <w:rPr>
                <w:sz w:val="18"/>
                <w:szCs w:val="18"/>
              </w:rPr>
            </w:pPr>
            <w:r>
              <w:rPr>
                <w:rFonts w:hint="eastAsia" w:ascii="宋体" w:hAnsi="宋体" w:cs="宋体"/>
                <w:kern w:val="0"/>
                <w:sz w:val="18"/>
                <w:szCs w:val="18"/>
                <w:lang w:bidi="ar"/>
              </w:rPr>
              <w:t>排放口编号</w:t>
            </w:r>
          </w:p>
        </w:tc>
        <w:tc>
          <w:tcPr>
            <w:tcW w:w="752" w:type="pct"/>
            <w:gridSpan w:val="2"/>
            <w:tcBorders>
              <w:tl2br w:val="nil"/>
              <w:tr2bl w:val="nil"/>
            </w:tcBorders>
            <w:vAlign w:val="center"/>
          </w:tcPr>
          <w:p w14:paraId="28556882">
            <w:pPr>
              <w:widowControl/>
              <w:jc w:val="center"/>
              <w:textAlignment w:val="center"/>
              <w:rPr>
                <w:sz w:val="18"/>
                <w:szCs w:val="18"/>
              </w:rPr>
            </w:pPr>
            <w:r>
              <w:rPr>
                <w:rFonts w:hint="eastAsia" w:ascii="宋体" w:hAnsi="宋体" w:cs="宋体"/>
                <w:kern w:val="0"/>
                <w:sz w:val="18"/>
                <w:szCs w:val="18"/>
                <w:lang w:bidi="ar"/>
              </w:rPr>
              <w:t>排放口经纬度</w:t>
            </w:r>
          </w:p>
        </w:tc>
        <w:tc>
          <w:tcPr>
            <w:tcW w:w="460" w:type="pct"/>
            <w:vMerge w:val="restart"/>
            <w:tcBorders>
              <w:tl2br w:val="nil"/>
              <w:tr2bl w:val="nil"/>
            </w:tcBorders>
            <w:vAlign w:val="center"/>
          </w:tcPr>
          <w:p w14:paraId="1B2BEB9A">
            <w:pPr>
              <w:widowControl/>
              <w:jc w:val="center"/>
              <w:textAlignment w:val="center"/>
              <w:rPr>
                <w:sz w:val="18"/>
                <w:szCs w:val="18"/>
              </w:rPr>
            </w:pPr>
            <w:r>
              <w:rPr>
                <w:rFonts w:hint="eastAsia" w:ascii="宋体" w:hAnsi="宋体" w:cs="宋体"/>
                <w:kern w:val="0"/>
                <w:sz w:val="18"/>
                <w:szCs w:val="18"/>
                <w:lang w:bidi="ar"/>
              </w:rPr>
              <w:t>废水</w:t>
            </w:r>
            <w:r>
              <w:rPr>
                <w:kern w:val="0"/>
                <w:sz w:val="18"/>
                <w:szCs w:val="18"/>
                <w:lang w:bidi="ar"/>
              </w:rPr>
              <w:t>/(t/a)</w:t>
            </w:r>
          </w:p>
        </w:tc>
        <w:tc>
          <w:tcPr>
            <w:tcW w:w="466" w:type="pct"/>
            <w:vMerge w:val="restart"/>
            <w:tcBorders>
              <w:tl2br w:val="nil"/>
              <w:tr2bl w:val="nil"/>
            </w:tcBorders>
            <w:vAlign w:val="center"/>
          </w:tcPr>
          <w:p w14:paraId="207DC798">
            <w:pPr>
              <w:widowControl/>
              <w:jc w:val="center"/>
              <w:textAlignment w:val="center"/>
              <w:rPr>
                <w:sz w:val="18"/>
                <w:szCs w:val="18"/>
              </w:rPr>
            </w:pPr>
            <w:r>
              <w:rPr>
                <w:rFonts w:hint="eastAsia" w:ascii="宋体" w:hAnsi="宋体" w:cs="宋体"/>
                <w:kern w:val="0"/>
                <w:sz w:val="18"/>
                <w:szCs w:val="18"/>
                <w:lang w:bidi="ar"/>
              </w:rPr>
              <w:t>排放规律</w:t>
            </w:r>
          </w:p>
        </w:tc>
        <w:tc>
          <w:tcPr>
            <w:tcW w:w="645" w:type="pct"/>
            <w:vMerge w:val="restart"/>
            <w:tcBorders>
              <w:tl2br w:val="nil"/>
              <w:tr2bl w:val="nil"/>
            </w:tcBorders>
            <w:vAlign w:val="center"/>
          </w:tcPr>
          <w:p w14:paraId="49EFCC49">
            <w:pPr>
              <w:widowControl/>
              <w:jc w:val="center"/>
              <w:textAlignment w:val="center"/>
              <w:rPr>
                <w:sz w:val="18"/>
                <w:szCs w:val="18"/>
              </w:rPr>
            </w:pPr>
            <w:r>
              <w:rPr>
                <w:rFonts w:hint="eastAsia" w:ascii="宋体" w:hAnsi="宋体" w:cs="宋体"/>
                <w:kern w:val="0"/>
                <w:sz w:val="18"/>
                <w:szCs w:val="18"/>
                <w:lang w:bidi="ar"/>
              </w:rPr>
              <w:t>间歇排放时段</w:t>
            </w:r>
          </w:p>
        </w:tc>
        <w:tc>
          <w:tcPr>
            <w:tcW w:w="1834" w:type="pct"/>
            <w:gridSpan w:val="3"/>
            <w:tcBorders>
              <w:tl2br w:val="nil"/>
              <w:tr2bl w:val="nil"/>
            </w:tcBorders>
            <w:vAlign w:val="center"/>
          </w:tcPr>
          <w:p w14:paraId="66ED7F4A">
            <w:pPr>
              <w:widowControl/>
              <w:jc w:val="center"/>
              <w:textAlignment w:val="center"/>
              <w:rPr>
                <w:sz w:val="18"/>
                <w:szCs w:val="18"/>
              </w:rPr>
            </w:pPr>
            <w:r>
              <w:rPr>
                <w:rFonts w:hint="eastAsia" w:ascii="宋体" w:hAnsi="宋体" w:cs="宋体"/>
                <w:kern w:val="0"/>
                <w:sz w:val="18"/>
                <w:szCs w:val="18"/>
                <w:lang w:bidi="ar"/>
              </w:rPr>
              <w:t>受纳污水处理厂信息</w:t>
            </w:r>
          </w:p>
        </w:tc>
      </w:tr>
      <w:tr w14:paraId="1DE0C6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85" w:type="pct"/>
            <w:vMerge w:val="continue"/>
            <w:tcBorders>
              <w:tl2br w:val="nil"/>
              <w:tr2bl w:val="nil"/>
            </w:tcBorders>
            <w:vAlign w:val="center"/>
          </w:tcPr>
          <w:p w14:paraId="175107E4">
            <w:pPr>
              <w:jc w:val="center"/>
              <w:rPr>
                <w:sz w:val="18"/>
                <w:szCs w:val="18"/>
              </w:rPr>
            </w:pPr>
          </w:p>
        </w:tc>
        <w:tc>
          <w:tcPr>
            <w:tcW w:w="555" w:type="pct"/>
            <w:vMerge w:val="continue"/>
            <w:tcBorders>
              <w:tl2br w:val="nil"/>
              <w:tr2bl w:val="nil"/>
            </w:tcBorders>
            <w:vAlign w:val="center"/>
          </w:tcPr>
          <w:p w14:paraId="007B02FA">
            <w:pPr>
              <w:jc w:val="center"/>
              <w:rPr>
                <w:sz w:val="18"/>
                <w:szCs w:val="18"/>
              </w:rPr>
            </w:pPr>
          </w:p>
        </w:tc>
        <w:tc>
          <w:tcPr>
            <w:tcW w:w="398" w:type="pct"/>
            <w:tcBorders>
              <w:tl2br w:val="nil"/>
              <w:tr2bl w:val="nil"/>
            </w:tcBorders>
            <w:vAlign w:val="center"/>
          </w:tcPr>
          <w:p w14:paraId="1F5A0C76">
            <w:pPr>
              <w:widowControl/>
              <w:jc w:val="center"/>
              <w:textAlignment w:val="center"/>
              <w:rPr>
                <w:sz w:val="18"/>
                <w:szCs w:val="18"/>
              </w:rPr>
            </w:pPr>
            <w:r>
              <w:rPr>
                <w:rFonts w:hint="eastAsia" w:ascii="宋体" w:hAnsi="宋体" w:cs="宋体"/>
                <w:kern w:val="0"/>
                <w:sz w:val="18"/>
                <w:szCs w:val="18"/>
                <w:lang w:bidi="ar"/>
              </w:rPr>
              <w:t>经度</w:t>
            </w:r>
            <w:r>
              <w:rPr>
                <w:kern w:val="0"/>
                <w:sz w:val="18"/>
                <w:szCs w:val="18"/>
                <w:lang w:bidi="ar"/>
              </w:rPr>
              <w:t>/°</w:t>
            </w:r>
          </w:p>
        </w:tc>
        <w:tc>
          <w:tcPr>
            <w:tcW w:w="354" w:type="pct"/>
            <w:tcBorders>
              <w:tl2br w:val="nil"/>
              <w:tr2bl w:val="nil"/>
            </w:tcBorders>
            <w:vAlign w:val="center"/>
          </w:tcPr>
          <w:p w14:paraId="517D37B2">
            <w:pPr>
              <w:widowControl/>
              <w:jc w:val="center"/>
              <w:textAlignment w:val="center"/>
              <w:rPr>
                <w:sz w:val="18"/>
                <w:szCs w:val="18"/>
              </w:rPr>
            </w:pPr>
            <w:r>
              <w:rPr>
                <w:rFonts w:hint="eastAsia" w:ascii="宋体" w:hAnsi="宋体" w:cs="宋体"/>
                <w:kern w:val="0"/>
                <w:sz w:val="18"/>
                <w:szCs w:val="18"/>
                <w:lang w:bidi="ar"/>
              </w:rPr>
              <w:t>纬度</w:t>
            </w:r>
            <w:r>
              <w:rPr>
                <w:kern w:val="0"/>
                <w:sz w:val="18"/>
                <w:szCs w:val="18"/>
                <w:lang w:bidi="ar"/>
              </w:rPr>
              <w:t>/°</w:t>
            </w:r>
          </w:p>
        </w:tc>
        <w:tc>
          <w:tcPr>
            <w:tcW w:w="460" w:type="pct"/>
            <w:vMerge w:val="continue"/>
            <w:tcBorders>
              <w:tl2br w:val="nil"/>
              <w:tr2bl w:val="nil"/>
            </w:tcBorders>
            <w:vAlign w:val="center"/>
          </w:tcPr>
          <w:p w14:paraId="1F195E96">
            <w:pPr>
              <w:jc w:val="center"/>
              <w:rPr>
                <w:sz w:val="18"/>
                <w:szCs w:val="18"/>
              </w:rPr>
            </w:pPr>
          </w:p>
        </w:tc>
        <w:tc>
          <w:tcPr>
            <w:tcW w:w="466" w:type="pct"/>
            <w:vMerge w:val="continue"/>
            <w:tcBorders>
              <w:tl2br w:val="nil"/>
              <w:tr2bl w:val="nil"/>
            </w:tcBorders>
            <w:vAlign w:val="center"/>
          </w:tcPr>
          <w:p w14:paraId="6DFD9E20">
            <w:pPr>
              <w:jc w:val="center"/>
              <w:rPr>
                <w:sz w:val="18"/>
                <w:szCs w:val="18"/>
              </w:rPr>
            </w:pPr>
          </w:p>
        </w:tc>
        <w:tc>
          <w:tcPr>
            <w:tcW w:w="645" w:type="pct"/>
            <w:vMerge w:val="continue"/>
            <w:tcBorders>
              <w:tl2br w:val="nil"/>
              <w:tr2bl w:val="nil"/>
            </w:tcBorders>
            <w:vAlign w:val="center"/>
          </w:tcPr>
          <w:p w14:paraId="3247353D">
            <w:pPr>
              <w:jc w:val="center"/>
              <w:rPr>
                <w:sz w:val="18"/>
                <w:szCs w:val="18"/>
              </w:rPr>
            </w:pPr>
          </w:p>
        </w:tc>
        <w:tc>
          <w:tcPr>
            <w:tcW w:w="735" w:type="pct"/>
            <w:tcBorders>
              <w:tl2br w:val="nil"/>
              <w:tr2bl w:val="nil"/>
            </w:tcBorders>
            <w:vAlign w:val="center"/>
          </w:tcPr>
          <w:p w14:paraId="0C0E2DC0">
            <w:pPr>
              <w:widowControl/>
              <w:jc w:val="center"/>
              <w:textAlignment w:val="center"/>
              <w:rPr>
                <w:sz w:val="18"/>
                <w:szCs w:val="18"/>
              </w:rPr>
            </w:pPr>
            <w:r>
              <w:rPr>
                <w:rFonts w:hint="eastAsia" w:ascii="宋体" w:hAnsi="宋体" w:cs="宋体"/>
                <w:kern w:val="0"/>
                <w:sz w:val="18"/>
                <w:szCs w:val="18"/>
                <w:lang w:bidi="ar"/>
              </w:rPr>
              <w:t>名称</w:t>
            </w:r>
          </w:p>
        </w:tc>
        <w:tc>
          <w:tcPr>
            <w:tcW w:w="376" w:type="pct"/>
            <w:tcBorders>
              <w:tl2br w:val="nil"/>
              <w:tr2bl w:val="nil"/>
            </w:tcBorders>
            <w:vAlign w:val="center"/>
          </w:tcPr>
          <w:p w14:paraId="4A6AA431">
            <w:pPr>
              <w:widowControl/>
              <w:jc w:val="center"/>
              <w:textAlignment w:val="center"/>
              <w:rPr>
                <w:sz w:val="18"/>
                <w:szCs w:val="18"/>
              </w:rPr>
            </w:pPr>
            <w:r>
              <w:rPr>
                <w:rFonts w:hint="eastAsia" w:ascii="宋体" w:hAnsi="宋体" w:cs="宋体"/>
                <w:kern w:val="0"/>
                <w:sz w:val="18"/>
                <w:szCs w:val="18"/>
                <w:lang w:bidi="ar"/>
              </w:rPr>
              <w:t>污染物</w:t>
            </w:r>
          </w:p>
        </w:tc>
        <w:tc>
          <w:tcPr>
            <w:tcW w:w="722" w:type="pct"/>
            <w:tcBorders>
              <w:tl2br w:val="nil"/>
              <w:tr2bl w:val="nil"/>
            </w:tcBorders>
            <w:vAlign w:val="center"/>
          </w:tcPr>
          <w:p w14:paraId="08F76BE3">
            <w:pPr>
              <w:widowControl/>
              <w:jc w:val="center"/>
              <w:textAlignment w:val="center"/>
              <w:rPr>
                <w:sz w:val="18"/>
                <w:szCs w:val="18"/>
              </w:rPr>
            </w:pPr>
            <w:r>
              <w:rPr>
                <w:rFonts w:hint="eastAsia" w:ascii="宋体" w:hAnsi="宋体" w:cs="宋体"/>
                <w:kern w:val="0"/>
                <w:sz w:val="18"/>
                <w:szCs w:val="18"/>
                <w:lang w:val="en-US" w:eastAsia="zh-CN" w:bidi="ar"/>
              </w:rPr>
              <w:t>排放标准</w:t>
            </w:r>
            <w:r>
              <w:rPr>
                <w:kern w:val="0"/>
                <w:sz w:val="18"/>
                <w:szCs w:val="18"/>
                <w:lang w:bidi="ar"/>
              </w:rPr>
              <w:t>(mg/L)</w:t>
            </w:r>
          </w:p>
        </w:tc>
      </w:tr>
      <w:tr w14:paraId="571732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85" w:type="pct"/>
            <w:vMerge w:val="restart"/>
            <w:tcBorders>
              <w:tl2br w:val="nil"/>
              <w:tr2bl w:val="nil"/>
            </w:tcBorders>
            <w:vAlign w:val="center"/>
          </w:tcPr>
          <w:p w14:paraId="65259EA1">
            <w:pPr>
              <w:widowControl/>
              <w:jc w:val="center"/>
              <w:textAlignment w:val="center"/>
              <w:rPr>
                <w:sz w:val="18"/>
                <w:szCs w:val="18"/>
              </w:rPr>
            </w:pPr>
            <w:r>
              <w:rPr>
                <w:kern w:val="0"/>
                <w:sz w:val="18"/>
                <w:szCs w:val="18"/>
                <w:lang w:bidi="ar"/>
              </w:rPr>
              <w:t>1</w:t>
            </w:r>
          </w:p>
        </w:tc>
        <w:tc>
          <w:tcPr>
            <w:tcW w:w="555" w:type="pct"/>
            <w:vMerge w:val="restart"/>
            <w:tcBorders>
              <w:tl2br w:val="nil"/>
              <w:tr2bl w:val="nil"/>
            </w:tcBorders>
            <w:vAlign w:val="center"/>
          </w:tcPr>
          <w:p w14:paraId="3FADF674">
            <w:pPr>
              <w:widowControl/>
              <w:jc w:val="center"/>
              <w:textAlignment w:val="center"/>
              <w:rPr>
                <w:sz w:val="18"/>
                <w:szCs w:val="18"/>
              </w:rPr>
            </w:pPr>
            <w:r>
              <w:rPr>
                <w:kern w:val="0"/>
                <w:sz w:val="18"/>
                <w:szCs w:val="18"/>
                <w:lang w:bidi="ar"/>
              </w:rPr>
              <w:t>DW001</w:t>
            </w:r>
          </w:p>
        </w:tc>
        <w:tc>
          <w:tcPr>
            <w:tcW w:w="398" w:type="pct"/>
            <w:vMerge w:val="restart"/>
            <w:tcBorders>
              <w:tl2br w:val="nil"/>
              <w:tr2bl w:val="nil"/>
            </w:tcBorders>
            <w:vAlign w:val="center"/>
          </w:tcPr>
          <w:p w14:paraId="631563C9">
            <w:pPr>
              <w:widowControl/>
              <w:jc w:val="center"/>
              <w:textAlignment w:val="center"/>
              <w:rPr>
                <w:rFonts w:hint="eastAsia" w:eastAsia="宋体"/>
                <w:sz w:val="18"/>
                <w:szCs w:val="18"/>
                <w:lang w:val="en-US" w:eastAsia="zh-CN"/>
              </w:rPr>
            </w:pPr>
            <w:r>
              <w:rPr>
                <w:rFonts w:hint="eastAsia"/>
                <w:kern w:val="0"/>
                <w:sz w:val="18"/>
                <w:szCs w:val="18"/>
                <w:lang w:bidi="ar"/>
              </w:rPr>
              <w:t>119.90</w:t>
            </w:r>
            <w:r>
              <w:rPr>
                <w:rFonts w:hint="eastAsia"/>
                <w:kern w:val="0"/>
                <w:sz w:val="18"/>
                <w:szCs w:val="18"/>
                <w:lang w:val="en-US" w:eastAsia="zh-CN" w:bidi="ar"/>
              </w:rPr>
              <w:t>4</w:t>
            </w:r>
          </w:p>
        </w:tc>
        <w:tc>
          <w:tcPr>
            <w:tcW w:w="354" w:type="pct"/>
            <w:vMerge w:val="restart"/>
            <w:tcBorders>
              <w:tl2br w:val="nil"/>
              <w:tr2bl w:val="nil"/>
            </w:tcBorders>
            <w:vAlign w:val="center"/>
          </w:tcPr>
          <w:p w14:paraId="406C3AB4">
            <w:pPr>
              <w:widowControl/>
              <w:jc w:val="center"/>
              <w:textAlignment w:val="center"/>
              <w:rPr>
                <w:sz w:val="18"/>
                <w:szCs w:val="18"/>
              </w:rPr>
            </w:pPr>
            <w:r>
              <w:rPr>
                <w:rFonts w:hint="eastAsia"/>
                <w:sz w:val="18"/>
                <w:szCs w:val="18"/>
              </w:rPr>
              <w:t>30.249</w:t>
            </w:r>
          </w:p>
        </w:tc>
        <w:tc>
          <w:tcPr>
            <w:tcW w:w="460" w:type="pct"/>
            <w:vMerge w:val="restart"/>
            <w:tcBorders>
              <w:tl2br w:val="nil"/>
              <w:tr2bl w:val="nil"/>
            </w:tcBorders>
            <w:vAlign w:val="center"/>
          </w:tcPr>
          <w:p w14:paraId="402BCC03">
            <w:pPr>
              <w:widowControl/>
              <w:jc w:val="center"/>
              <w:textAlignment w:val="center"/>
              <w:rPr>
                <w:sz w:val="18"/>
                <w:szCs w:val="18"/>
              </w:rPr>
            </w:pPr>
            <w:r>
              <w:rPr>
                <w:rFonts w:hint="eastAsia"/>
                <w:kern w:val="0"/>
                <w:sz w:val="18"/>
                <w:szCs w:val="18"/>
                <w:lang w:val="en-US" w:eastAsia="zh-CN" w:bidi="ar"/>
              </w:rPr>
              <w:t>821.4</w:t>
            </w:r>
            <w:r>
              <w:rPr>
                <w:kern w:val="0"/>
                <w:sz w:val="18"/>
                <w:szCs w:val="18"/>
                <w:lang w:bidi="ar"/>
              </w:rPr>
              <w:t xml:space="preserve"> </w:t>
            </w:r>
          </w:p>
        </w:tc>
        <w:tc>
          <w:tcPr>
            <w:tcW w:w="466" w:type="pct"/>
            <w:vMerge w:val="restart"/>
            <w:tcBorders>
              <w:tl2br w:val="nil"/>
              <w:tr2bl w:val="nil"/>
            </w:tcBorders>
            <w:vAlign w:val="center"/>
          </w:tcPr>
          <w:p w14:paraId="4AD1629C">
            <w:pPr>
              <w:widowControl/>
              <w:jc w:val="center"/>
              <w:textAlignment w:val="center"/>
              <w:rPr>
                <w:sz w:val="18"/>
                <w:szCs w:val="18"/>
              </w:rPr>
            </w:pPr>
            <w:r>
              <w:rPr>
                <w:rFonts w:hint="eastAsia" w:ascii="宋体" w:hAnsi="宋体" w:cs="宋体"/>
                <w:kern w:val="0"/>
                <w:sz w:val="18"/>
                <w:szCs w:val="18"/>
                <w:lang w:bidi="ar"/>
              </w:rPr>
              <w:t>间断排放</w:t>
            </w:r>
          </w:p>
        </w:tc>
        <w:tc>
          <w:tcPr>
            <w:tcW w:w="645" w:type="pct"/>
            <w:vMerge w:val="restart"/>
            <w:tcBorders>
              <w:tl2br w:val="nil"/>
              <w:tr2bl w:val="nil"/>
            </w:tcBorders>
            <w:vAlign w:val="center"/>
          </w:tcPr>
          <w:p w14:paraId="3AA99943">
            <w:pPr>
              <w:widowControl/>
              <w:jc w:val="center"/>
              <w:textAlignment w:val="center"/>
              <w:rPr>
                <w:rFonts w:hint="eastAsia" w:eastAsia="宋体"/>
                <w:sz w:val="18"/>
                <w:szCs w:val="18"/>
                <w:lang w:eastAsia="zh-CN"/>
              </w:rPr>
            </w:pPr>
            <w:r>
              <w:rPr>
                <w:rFonts w:hint="eastAsia"/>
                <w:kern w:val="0"/>
                <w:sz w:val="18"/>
                <w:szCs w:val="18"/>
                <w:lang w:val="en-US" w:eastAsia="zh-CN" w:bidi="ar"/>
              </w:rPr>
              <w:t>/</w:t>
            </w:r>
          </w:p>
        </w:tc>
        <w:tc>
          <w:tcPr>
            <w:tcW w:w="735" w:type="pct"/>
            <w:vMerge w:val="restart"/>
            <w:tcBorders>
              <w:tl2br w:val="nil"/>
              <w:tr2bl w:val="nil"/>
            </w:tcBorders>
            <w:vAlign w:val="center"/>
          </w:tcPr>
          <w:p w14:paraId="7DE01560">
            <w:pPr>
              <w:widowControl/>
              <w:jc w:val="center"/>
              <w:textAlignment w:val="center"/>
              <w:rPr>
                <w:sz w:val="18"/>
                <w:szCs w:val="18"/>
              </w:rPr>
            </w:pPr>
            <w:r>
              <w:rPr>
                <w:rFonts w:hint="eastAsia" w:ascii="宋体" w:hAnsi="宋体" w:cs="宋体"/>
                <w:kern w:val="0"/>
                <w:sz w:val="18"/>
                <w:szCs w:val="18"/>
                <w:lang w:bidi="ar"/>
              </w:rPr>
              <w:t>余杭污水处理厂</w:t>
            </w:r>
          </w:p>
        </w:tc>
        <w:tc>
          <w:tcPr>
            <w:tcW w:w="376" w:type="pct"/>
            <w:tcBorders>
              <w:tl2br w:val="nil"/>
              <w:tr2bl w:val="nil"/>
            </w:tcBorders>
            <w:vAlign w:val="center"/>
          </w:tcPr>
          <w:p w14:paraId="3078D2B3">
            <w:pPr>
              <w:widowControl/>
              <w:jc w:val="center"/>
              <w:textAlignment w:val="center"/>
              <w:rPr>
                <w:sz w:val="18"/>
                <w:szCs w:val="18"/>
              </w:rPr>
            </w:pPr>
            <w:r>
              <w:rPr>
                <w:kern w:val="0"/>
                <w:sz w:val="18"/>
                <w:szCs w:val="18"/>
                <w:lang w:bidi="ar"/>
              </w:rPr>
              <w:t>COD</w:t>
            </w:r>
            <w:r>
              <w:rPr>
                <w:kern w:val="0"/>
                <w:sz w:val="18"/>
                <w:szCs w:val="18"/>
                <w:vertAlign w:val="subscript"/>
                <w:lang w:bidi="ar"/>
              </w:rPr>
              <w:t>Cr</w:t>
            </w:r>
          </w:p>
        </w:tc>
        <w:tc>
          <w:tcPr>
            <w:tcW w:w="722" w:type="pct"/>
            <w:tcBorders>
              <w:tl2br w:val="nil"/>
              <w:tr2bl w:val="nil"/>
            </w:tcBorders>
            <w:vAlign w:val="center"/>
          </w:tcPr>
          <w:p w14:paraId="00FA3CC0">
            <w:pPr>
              <w:widowControl/>
              <w:jc w:val="center"/>
              <w:textAlignment w:val="center"/>
              <w:rPr>
                <w:rFonts w:hint="default" w:eastAsia="宋体"/>
                <w:sz w:val="18"/>
                <w:szCs w:val="18"/>
                <w:lang w:val="en-US" w:eastAsia="zh-CN"/>
              </w:rPr>
            </w:pPr>
            <w:r>
              <w:rPr>
                <w:rFonts w:hint="eastAsia"/>
                <w:kern w:val="0"/>
                <w:sz w:val="18"/>
                <w:szCs w:val="18"/>
                <w:lang w:val="en-US" w:eastAsia="zh-CN" w:bidi="ar"/>
              </w:rPr>
              <w:t>35</w:t>
            </w:r>
          </w:p>
        </w:tc>
      </w:tr>
      <w:tr w14:paraId="59D395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85" w:type="pct"/>
            <w:vMerge w:val="continue"/>
            <w:tcBorders>
              <w:tl2br w:val="nil"/>
              <w:tr2bl w:val="nil"/>
            </w:tcBorders>
            <w:vAlign w:val="center"/>
          </w:tcPr>
          <w:p w14:paraId="2116B778">
            <w:pPr>
              <w:jc w:val="center"/>
              <w:rPr>
                <w:sz w:val="18"/>
                <w:szCs w:val="18"/>
              </w:rPr>
            </w:pPr>
          </w:p>
        </w:tc>
        <w:tc>
          <w:tcPr>
            <w:tcW w:w="555" w:type="pct"/>
            <w:vMerge w:val="continue"/>
            <w:tcBorders>
              <w:tl2br w:val="nil"/>
              <w:tr2bl w:val="nil"/>
            </w:tcBorders>
            <w:vAlign w:val="center"/>
          </w:tcPr>
          <w:p w14:paraId="0E45B138">
            <w:pPr>
              <w:jc w:val="center"/>
              <w:rPr>
                <w:sz w:val="18"/>
                <w:szCs w:val="18"/>
              </w:rPr>
            </w:pPr>
          </w:p>
        </w:tc>
        <w:tc>
          <w:tcPr>
            <w:tcW w:w="398" w:type="pct"/>
            <w:vMerge w:val="continue"/>
            <w:tcBorders>
              <w:tl2br w:val="nil"/>
              <w:tr2bl w:val="nil"/>
            </w:tcBorders>
            <w:vAlign w:val="center"/>
          </w:tcPr>
          <w:p w14:paraId="12984653">
            <w:pPr>
              <w:jc w:val="center"/>
              <w:rPr>
                <w:sz w:val="18"/>
                <w:szCs w:val="18"/>
              </w:rPr>
            </w:pPr>
          </w:p>
        </w:tc>
        <w:tc>
          <w:tcPr>
            <w:tcW w:w="354" w:type="pct"/>
            <w:vMerge w:val="continue"/>
            <w:tcBorders>
              <w:tl2br w:val="nil"/>
              <w:tr2bl w:val="nil"/>
            </w:tcBorders>
            <w:vAlign w:val="center"/>
          </w:tcPr>
          <w:p w14:paraId="616E9893">
            <w:pPr>
              <w:jc w:val="center"/>
              <w:rPr>
                <w:sz w:val="18"/>
                <w:szCs w:val="18"/>
              </w:rPr>
            </w:pPr>
          </w:p>
        </w:tc>
        <w:tc>
          <w:tcPr>
            <w:tcW w:w="460" w:type="pct"/>
            <w:vMerge w:val="continue"/>
            <w:tcBorders>
              <w:tl2br w:val="nil"/>
              <w:tr2bl w:val="nil"/>
            </w:tcBorders>
            <w:vAlign w:val="center"/>
          </w:tcPr>
          <w:p w14:paraId="27CD411A">
            <w:pPr>
              <w:jc w:val="center"/>
              <w:rPr>
                <w:sz w:val="18"/>
                <w:szCs w:val="18"/>
              </w:rPr>
            </w:pPr>
          </w:p>
        </w:tc>
        <w:tc>
          <w:tcPr>
            <w:tcW w:w="466" w:type="pct"/>
            <w:vMerge w:val="continue"/>
            <w:tcBorders>
              <w:tl2br w:val="nil"/>
              <w:tr2bl w:val="nil"/>
            </w:tcBorders>
            <w:vAlign w:val="center"/>
          </w:tcPr>
          <w:p w14:paraId="342E3FB7">
            <w:pPr>
              <w:jc w:val="center"/>
              <w:rPr>
                <w:sz w:val="18"/>
                <w:szCs w:val="18"/>
              </w:rPr>
            </w:pPr>
          </w:p>
        </w:tc>
        <w:tc>
          <w:tcPr>
            <w:tcW w:w="645" w:type="pct"/>
            <w:vMerge w:val="continue"/>
            <w:tcBorders>
              <w:tl2br w:val="nil"/>
              <w:tr2bl w:val="nil"/>
            </w:tcBorders>
            <w:vAlign w:val="center"/>
          </w:tcPr>
          <w:p w14:paraId="6796FB23">
            <w:pPr>
              <w:jc w:val="center"/>
              <w:rPr>
                <w:sz w:val="18"/>
                <w:szCs w:val="18"/>
              </w:rPr>
            </w:pPr>
          </w:p>
        </w:tc>
        <w:tc>
          <w:tcPr>
            <w:tcW w:w="735" w:type="pct"/>
            <w:vMerge w:val="continue"/>
            <w:tcBorders>
              <w:tl2br w:val="nil"/>
              <w:tr2bl w:val="nil"/>
            </w:tcBorders>
            <w:vAlign w:val="center"/>
          </w:tcPr>
          <w:p w14:paraId="10FEE27D">
            <w:pPr>
              <w:jc w:val="center"/>
              <w:rPr>
                <w:sz w:val="18"/>
                <w:szCs w:val="18"/>
              </w:rPr>
            </w:pPr>
          </w:p>
        </w:tc>
        <w:tc>
          <w:tcPr>
            <w:tcW w:w="376" w:type="pct"/>
            <w:tcBorders>
              <w:tl2br w:val="nil"/>
              <w:tr2bl w:val="nil"/>
            </w:tcBorders>
            <w:vAlign w:val="center"/>
          </w:tcPr>
          <w:p w14:paraId="64A0C661">
            <w:pPr>
              <w:widowControl/>
              <w:jc w:val="center"/>
              <w:textAlignment w:val="center"/>
              <w:rPr>
                <w:sz w:val="18"/>
                <w:szCs w:val="18"/>
              </w:rPr>
            </w:pPr>
            <w:r>
              <w:rPr>
                <w:kern w:val="0"/>
                <w:sz w:val="18"/>
                <w:szCs w:val="18"/>
                <w:lang w:bidi="ar"/>
              </w:rPr>
              <w:t>NH</w:t>
            </w:r>
            <w:r>
              <w:rPr>
                <w:kern w:val="0"/>
                <w:sz w:val="18"/>
                <w:szCs w:val="18"/>
                <w:vertAlign w:val="subscript"/>
                <w:lang w:bidi="ar"/>
              </w:rPr>
              <w:t>3</w:t>
            </w:r>
            <w:r>
              <w:rPr>
                <w:kern w:val="0"/>
                <w:sz w:val="18"/>
                <w:szCs w:val="18"/>
                <w:lang w:bidi="ar"/>
              </w:rPr>
              <w:t>-N</w:t>
            </w:r>
          </w:p>
        </w:tc>
        <w:tc>
          <w:tcPr>
            <w:tcW w:w="722" w:type="pct"/>
            <w:tcBorders>
              <w:tl2br w:val="nil"/>
              <w:tr2bl w:val="nil"/>
            </w:tcBorders>
            <w:vAlign w:val="center"/>
          </w:tcPr>
          <w:p w14:paraId="05629DBE">
            <w:pPr>
              <w:widowControl/>
              <w:jc w:val="center"/>
              <w:textAlignment w:val="center"/>
              <w:rPr>
                <w:rFonts w:hint="default" w:eastAsia="宋体"/>
                <w:sz w:val="18"/>
                <w:szCs w:val="18"/>
                <w:lang w:val="en-US" w:eastAsia="zh-CN"/>
              </w:rPr>
            </w:pPr>
            <w:r>
              <w:rPr>
                <w:rFonts w:hint="eastAsia"/>
                <w:kern w:val="0"/>
                <w:sz w:val="18"/>
                <w:szCs w:val="18"/>
                <w:lang w:val="en-US" w:eastAsia="zh-CN" w:bidi="ar"/>
              </w:rPr>
              <w:t>1.75</w:t>
            </w:r>
          </w:p>
        </w:tc>
      </w:tr>
      <w:tr w14:paraId="717962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85" w:type="pct"/>
            <w:vMerge w:val="continue"/>
            <w:tcBorders>
              <w:tl2br w:val="nil"/>
              <w:tr2bl w:val="nil"/>
            </w:tcBorders>
            <w:vAlign w:val="center"/>
          </w:tcPr>
          <w:p w14:paraId="0627F1F1">
            <w:pPr>
              <w:jc w:val="center"/>
              <w:rPr>
                <w:sz w:val="18"/>
                <w:szCs w:val="18"/>
              </w:rPr>
            </w:pPr>
          </w:p>
        </w:tc>
        <w:tc>
          <w:tcPr>
            <w:tcW w:w="555" w:type="pct"/>
            <w:vMerge w:val="continue"/>
            <w:tcBorders>
              <w:tl2br w:val="nil"/>
              <w:tr2bl w:val="nil"/>
            </w:tcBorders>
            <w:vAlign w:val="center"/>
          </w:tcPr>
          <w:p w14:paraId="7AAB850F">
            <w:pPr>
              <w:jc w:val="center"/>
              <w:rPr>
                <w:sz w:val="18"/>
                <w:szCs w:val="18"/>
              </w:rPr>
            </w:pPr>
          </w:p>
        </w:tc>
        <w:tc>
          <w:tcPr>
            <w:tcW w:w="398" w:type="pct"/>
            <w:vMerge w:val="continue"/>
            <w:tcBorders>
              <w:tl2br w:val="nil"/>
              <w:tr2bl w:val="nil"/>
            </w:tcBorders>
            <w:vAlign w:val="center"/>
          </w:tcPr>
          <w:p w14:paraId="67DEB5C2">
            <w:pPr>
              <w:jc w:val="center"/>
              <w:rPr>
                <w:sz w:val="18"/>
                <w:szCs w:val="18"/>
              </w:rPr>
            </w:pPr>
          </w:p>
        </w:tc>
        <w:tc>
          <w:tcPr>
            <w:tcW w:w="354" w:type="pct"/>
            <w:vMerge w:val="continue"/>
            <w:tcBorders>
              <w:tl2br w:val="nil"/>
              <w:tr2bl w:val="nil"/>
            </w:tcBorders>
            <w:vAlign w:val="center"/>
          </w:tcPr>
          <w:p w14:paraId="7BDEB046">
            <w:pPr>
              <w:jc w:val="center"/>
              <w:rPr>
                <w:sz w:val="18"/>
                <w:szCs w:val="18"/>
              </w:rPr>
            </w:pPr>
          </w:p>
        </w:tc>
        <w:tc>
          <w:tcPr>
            <w:tcW w:w="460" w:type="pct"/>
            <w:vMerge w:val="continue"/>
            <w:tcBorders>
              <w:tl2br w:val="nil"/>
              <w:tr2bl w:val="nil"/>
            </w:tcBorders>
            <w:vAlign w:val="center"/>
          </w:tcPr>
          <w:p w14:paraId="1BA3AAF6">
            <w:pPr>
              <w:jc w:val="center"/>
              <w:rPr>
                <w:sz w:val="18"/>
                <w:szCs w:val="18"/>
              </w:rPr>
            </w:pPr>
          </w:p>
        </w:tc>
        <w:tc>
          <w:tcPr>
            <w:tcW w:w="466" w:type="pct"/>
            <w:vMerge w:val="continue"/>
            <w:tcBorders>
              <w:tl2br w:val="nil"/>
              <w:tr2bl w:val="nil"/>
            </w:tcBorders>
            <w:vAlign w:val="center"/>
          </w:tcPr>
          <w:p w14:paraId="111C307B">
            <w:pPr>
              <w:jc w:val="center"/>
              <w:rPr>
                <w:sz w:val="18"/>
                <w:szCs w:val="18"/>
              </w:rPr>
            </w:pPr>
          </w:p>
        </w:tc>
        <w:tc>
          <w:tcPr>
            <w:tcW w:w="645" w:type="pct"/>
            <w:vMerge w:val="continue"/>
            <w:tcBorders>
              <w:tl2br w:val="nil"/>
              <w:tr2bl w:val="nil"/>
            </w:tcBorders>
            <w:vAlign w:val="center"/>
          </w:tcPr>
          <w:p w14:paraId="14C33C5C">
            <w:pPr>
              <w:jc w:val="center"/>
              <w:rPr>
                <w:sz w:val="18"/>
                <w:szCs w:val="18"/>
              </w:rPr>
            </w:pPr>
          </w:p>
        </w:tc>
        <w:tc>
          <w:tcPr>
            <w:tcW w:w="735" w:type="pct"/>
            <w:vMerge w:val="continue"/>
            <w:tcBorders>
              <w:tl2br w:val="nil"/>
              <w:tr2bl w:val="nil"/>
            </w:tcBorders>
            <w:vAlign w:val="center"/>
          </w:tcPr>
          <w:p w14:paraId="49704B3E">
            <w:pPr>
              <w:jc w:val="center"/>
              <w:rPr>
                <w:sz w:val="18"/>
                <w:szCs w:val="18"/>
              </w:rPr>
            </w:pPr>
          </w:p>
        </w:tc>
        <w:tc>
          <w:tcPr>
            <w:tcW w:w="376" w:type="pct"/>
            <w:tcBorders>
              <w:tl2br w:val="nil"/>
              <w:tr2bl w:val="nil"/>
            </w:tcBorders>
            <w:noWrap/>
            <w:vAlign w:val="center"/>
          </w:tcPr>
          <w:p w14:paraId="2FCDC05E">
            <w:pPr>
              <w:widowControl/>
              <w:jc w:val="center"/>
              <w:textAlignment w:val="center"/>
              <w:rPr>
                <w:sz w:val="18"/>
                <w:szCs w:val="18"/>
              </w:rPr>
            </w:pPr>
            <w:r>
              <w:rPr>
                <w:kern w:val="0"/>
                <w:sz w:val="18"/>
                <w:szCs w:val="18"/>
                <w:lang w:bidi="ar"/>
              </w:rPr>
              <w:t>LAS</w:t>
            </w:r>
          </w:p>
        </w:tc>
        <w:tc>
          <w:tcPr>
            <w:tcW w:w="722" w:type="pct"/>
            <w:tcBorders>
              <w:tl2br w:val="nil"/>
              <w:tr2bl w:val="nil"/>
            </w:tcBorders>
            <w:noWrap/>
            <w:vAlign w:val="center"/>
          </w:tcPr>
          <w:p w14:paraId="1CBB2FDA">
            <w:pPr>
              <w:widowControl/>
              <w:jc w:val="center"/>
              <w:textAlignment w:val="center"/>
              <w:rPr>
                <w:sz w:val="18"/>
                <w:szCs w:val="18"/>
              </w:rPr>
            </w:pPr>
            <w:r>
              <w:rPr>
                <w:kern w:val="0"/>
                <w:sz w:val="18"/>
                <w:szCs w:val="18"/>
                <w:lang w:bidi="ar"/>
              </w:rPr>
              <w:t>0.5</w:t>
            </w:r>
          </w:p>
        </w:tc>
      </w:tr>
      <w:tr w14:paraId="1CAF04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000" w:type="pct"/>
            <w:gridSpan w:val="10"/>
            <w:tcBorders>
              <w:tl2br w:val="nil"/>
              <w:tr2bl w:val="nil"/>
            </w:tcBorders>
            <w:vAlign w:val="center"/>
          </w:tcPr>
          <w:p w14:paraId="5E3CF162">
            <w:pPr>
              <w:widowControl/>
              <w:jc w:val="both"/>
              <w:textAlignment w:val="center"/>
              <w:rPr>
                <w:kern w:val="0"/>
                <w:sz w:val="18"/>
                <w:szCs w:val="18"/>
                <w:lang w:bidi="ar"/>
              </w:rPr>
            </w:pPr>
            <w:r>
              <w:rPr>
                <w:rFonts w:hint="eastAsia" w:ascii="Times New Roman" w:hAnsi="Times New Roman" w:eastAsia="宋体" w:cs="Times New Roman"/>
                <w:i w:val="0"/>
                <w:iCs w:val="0"/>
                <w:color w:val="000000"/>
                <w:kern w:val="0"/>
                <w:sz w:val="18"/>
                <w:szCs w:val="18"/>
                <w:u w:val="none"/>
                <w:lang w:val="en-US" w:eastAsia="zh-CN" w:bidi="ar"/>
              </w:rPr>
              <w:t>备注：COD</w:t>
            </w:r>
            <w:r>
              <w:rPr>
                <w:rFonts w:hint="eastAsia" w:ascii="Times New Roman" w:hAnsi="Times New Roman" w:eastAsia="宋体" w:cs="Times New Roman"/>
                <w:i w:val="0"/>
                <w:iCs w:val="0"/>
                <w:color w:val="000000"/>
                <w:kern w:val="0"/>
                <w:sz w:val="18"/>
                <w:szCs w:val="18"/>
                <w:u w:val="none"/>
                <w:vertAlign w:val="subscript"/>
                <w:lang w:val="en-US" w:eastAsia="zh-CN" w:bidi="ar"/>
              </w:rPr>
              <w:t>Cr</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r>
              <w:rPr>
                <w:rFonts w:hint="eastAsia" w:ascii="Times New Roman" w:hAnsi="Times New Roman" w:eastAsia="宋体" w:cs="Times New Roman"/>
                <w:i w:val="0"/>
                <w:iCs w:val="0"/>
                <w:color w:val="000000"/>
                <w:kern w:val="0"/>
                <w:sz w:val="18"/>
                <w:szCs w:val="18"/>
                <w:u w:val="none"/>
                <w:lang w:val="en-US" w:eastAsia="zh-CN" w:bidi="ar"/>
              </w:rPr>
              <w:t>排环境量，按照余杭污水处理厂一二三期和四期排放口COD</w:t>
            </w:r>
            <w:r>
              <w:rPr>
                <w:rFonts w:hint="eastAsia" w:ascii="Times New Roman" w:hAnsi="Times New Roman" w:eastAsia="宋体" w:cs="Times New Roman"/>
                <w:i w:val="0"/>
                <w:iCs w:val="0"/>
                <w:color w:val="000000"/>
                <w:kern w:val="0"/>
                <w:sz w:val="18"/>
                <w:szCs w:val="18"/>
                <w:u w:val="none"/>
                <w:vertAlign w:val="subscript"/>
                <w:lang w:val="en-US" w:eastAsia="zh-CN" w:bidi="ar"/>
              </w:rPr>
              <w:t>Cr</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r>
              <w:rPr>
                <w:rFonts w:hint="eastAsia" w:ascii="Times New Roman" w:hAnsi="Times New Roman" w:eastAsia="宋体" w:cs="Times New Roman"/>
                <w:i w:val="0"/>
                <w:iCs w:val="0"/>
                <w:color w:val="000000"/>
                <w:kern w:val="0"/>
                <w:sz w:val="18"/>
                <w:szCs w:val="18"/>
                <w:u w:val="none"/>
                <w:lang w:val="en-US" w:eastAsia="zh-CN" w:bidi="ar"/>
              </w:rPr>
              <w:t>排放限值的平均值进行计算。</w:t>
            </w:r>
          </w:p>
        </w:tc>
      </w:tr>
    </w:tbl>
    <w:p w14:paraId="2E0BD6C2">
      <w:pPr>
        <w:adjustRightInd w:val="0"/>
        <w:snapToGrid w:val="0"/>
        <w:spacing w:line="360" w:lineRule="auto"/>
        <w:rPr>
          <w:b/>
          <w:kern w:val="0"/>
          <w:sz w:val="28"/>
          <w:szCs w:val="28"/>
        </w:rPr>
      </w:pPr>
    </w:p>
    <w:p w14:paraId="7E693216">
      <w:pPr>
        <w:adjustRightInd w:val="0"/>
        <w:snapToGrid w:val="0"/>
        <w:spacing w:line="360" w:lineRule="auto"/>
        <w:rPr>
          <w:b/>
          <w:kern w:val="0"/>
          <w:sz w:val="28"/>
          <w:szCs w:val="28"/>
        </w:rPr>
        <w:sectPr>
          <w:pgSz w:w="16838" w:h="11906"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846"/>
      </w:tblGrid>
      <w:tr w14:paraId="5DA4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BECB38D">
            <w:pPr>
              <w:adjustRightInd w:val="0"/>
              <w:snapToGrid w:val="0"/>
              <w:jc w:val="center"/>
              <w:rPr>
                <w:bCs/>
                <w:szCs w:val="21"/>
              </w:rPr>
            </w:pPr>
            <w:bookmarkStart w:id="54" w:name="_Toc19550"/>
            <w:bookmarkStart w:id="55" w:name="_Toc8690"/>
            <w:bookmarkStart w:id="56" w:name="_Toc14441"/>
            <w:bookmarkStart w:id="57" w:name="_Toc8670"/>
            <w:bookmarkStart w:id="58" w:name="_Toc30770"/>
            <w:r>
              <w:rPr>
                <w:rFonts w:hint="eastAsia"/>
                <w:bCs/>
                <w:szCs w:val="21"/>
              </w:rPr>
              <w:t>运营</w:t>
            </w:r>
          </w:p>
          <w:p w14:paraId="5DFED98B">
            <w:pPr>
              <w:adjustRightInd w:val="0"/>
              <w:snapToGrid w:val="0"/>
              <w:jc w:val="center"/>
              <w:rPr>
                <w:bCs/>
                <w:szCs w:val="21"/>
              </w:rPr>
            </w:pPr>
            <w:r>
              <w:rPr>
                <w:rFonts w:hint="eastAsia"/>
                <w:bCs/>
                <w:szCs w:val="21"/>
              </w:rPr>
              <w:t>期环</w:t>
            </w:r>
          </w:p>
          <w:p w14:paraId="6323443D">
            <w:pPr>
              <w:adjustRightInd w:val="0"/>
              <w:snapToGrid w:val="0"/>
              <w:jc w:val="center"/>
              <w:rPr>
                <w:bCs/>
                <w:szCs w:val="21"/>
              </w:rPr>
            </w:pPr>
            <w:r>
              <w:rPr>
                <w:rFonts w:hint="eastAsia"/>
                <w:bCs/>
                <w:szCs w:val="21"/>
              </w:rPr>
              <w:t>境影</w:t>
            </w:r>
          </w:p>
          <w:p w14:paraId="6FA39542">
            <w:pPr>
              <w:adjustRightInd w:val="0"/>
              <w:snapToGrid w:val="0"/>
              <w:jc w:val="center"/>
              <w:rPr>
                <w:bCs/>
                <w:szCs w:val="21"/>
              </w:rPr>
            </w:pPr>
            <w:r>
              <w:rPr>
                <w:rFonts w:hint="eastAsia"/>
                <w:bCs/>
                <w:szCs w:val="21"/>
              </w:rPr>
              <w:t>响和</w:t>
            </w:r>
          </w:p>
          <w:p w14:paraId="3E89E3C4">
            <w:pPr>
              <w:adjustRightInd w:val="0"/>
              <w:snapToGrid w:val="0"/>
              <w:jc w:val="center"/>
              <w:rPr>
                <w:bCs/>
                <w:szCs w:val="21"/>
              </w:rPr>
            </w:pPr>
            <w:r>
              <w:rPr>
                <w:rFonts w:hint="eastAsia"/>
                <w:bCs/>
                <w:szCs w:val="21"/>
              </w:rPr>
              <w:t>保护</w:t>
            </w:r>
          </w:p>
          <w:p w14:paraId="5B5228B6">
            <w:pPr>
              <w:adjustRightInd w:val="0"/>
              <w:snapToGrid w:val="0"/>
              <w:spacing w:line="360" w:lineRule="auto"/>
              <w:jc w:val="center"/>
              <w:rPr>
                <w:b/>
                <w:kern w:val="0"/>
                <w:sz w:val="28"/>
                <w:szCs w:val="28"/>
              </w:rPr>
            </w:pPr>
            <w:r>
              <w:rPr>
                <w:rFonts w:hint="eastAsia"/>
                <w:bCs/>
                <w:szCs w:val="21"/>
              </w:rPr>
              <w:t>措施</w:t>
            </w:r>
          </w:p>
        </w:tc>
        <w:tc>
          <w:tcPr>
            <w:tcW w:w="7847" w:type="dxa"/>
          </w:tcPr>
          <w:p w14:paraId="0F1635E8">
            <w:pPr>
              <w:numPr>
                <w:ilvl w:val="0"/>
                <w:numId w:val="14"/>
              </w:numPr>
              <w:spacing w:line="360" w:lineRule="auto"/>
              <w:rPr>
                <w:b/>
                <w:bCs/>
                <w:szCs w:val="21"/>
              </w:rPr>
            </w:pPr>
            <w:r>
              <w:rPr>
                <w:rFonts w:hint="eastAsia"/>
                <w:b/>
                <w:bCs/>
                <w:szCs w:val="21"/>
              </w:rPr>
              <w:t>水环境影响分析</w:t>
            </w:r>
          </w:p>
          <w:p w14:paraId="44E1E5E9">
            <w:pPr>
              <w:numPr>
                <w:ilvl w:val="0"/>
                <w:numId w:val="15"/>
              </w:numPr>
              <w:spacing w:line="360" w:lineRule="auto"/>
              <w:rPr>
                <w:b/>
                <w:bCs/>
                <w:szCs w:val="21"/>
              </w:rPr>
            </w:pPr>
            <w:r>
              <w:rPr>
                <w:rFonts w:hint="eastAsia"/>
                <w:b/>
                <w:bCs/>
                <w:szCs w:val="21"/>
              </w:rPr>
              <w:t>水污染控制措施有效性评价</w:t>
            </w:r>
          </w:p>
          <w:p w14:paraId="15C32FA3">
            <w:pPr>
              <w:spacing w:line="360" w:lineRule="auto"/>
              <w:ind w:firstLine="420" w:firstLineChars="200"/>
              <w:rPr>
                <w:szCs w:val="21"/>
              </w:rPr>
            </w:pPr>
            <w:r>
              <w:rPr>
                <w:rFonts w:hint="eastAsia"/>
                <w:szCs w:val="21"/>
              </w:rPr>
              <w:t>根据园区排水许可证，余杭污水处理厂废水接管标准为：化学需氧量≤500 mg/L、氨氮（以N计）≤45 mg/L。根据</w:t>
            </w:r>
            <w:r>
              <w:rPr>
                <w:rFonts w:hint="eastAsia"/>
                <w:szCs w:val="21"/>
                <w:lang w:val="en-US" w:eastAsia="zh-CN"/>
              </w:rPr>
              <w:t>前述</w:t>
            </w:r>
            <w:r>
              <w:rPr>
                <w:rFonts w:hint="eastAsia"/>
                <w:szCs w:val="21"/>
              </w:rPr>
              <w:t>分析，预计本项目各类废水中的污染物经过预处理后均能达到余杭污水处理厂接管标准要求，可以接管。</w:t>
            </w:r>
          </w:p>
          <w:p w14:paraId="4AA7712F">
            <w:pPr>
              <w:numPr>
                <w:ilvl w:val="0"/>
                <w:numId w:val="15"/>
              </w:numPr>
              <w:spacing w:line="360" w:lineRule="auto"/>
              <w:rPr>
                <w:b/>
                <w:bCs/>
                <w:szCs w:val="21"/>
              </w:rPr>
            </w:pPr>
            <w:r>
              <w:rPr>
                <w:rFonts w:hint="eastAsia"/>
                <w:b/>
                <w:bCs/>
                <w:szCs w:val="21"/>
              </w:rPr>
              <w:t>污水处理厂依托可行性</w:t>
            </w:r>
          </w:p>
          <w:p w14:paraId="038DD8F0">
            <w:pPr>
              <w:adjustRightInd w:val="0"/>
              <w:snapToGrid w:val="0"/>
              <w:spacing w:line="360" w:lineRule="auto"/>
              <w:ind w:firstLine="460" w:firstLineChars="200"/>
              <w:rPr>
                <w:rFonts w:hint="eastAsia" w:ascii="宋体" w:hAnsi="宋体" w:cs="宋体"/>
                <w:bCs/>
                <w:spacing w:val="10"/>
                <w:szCs w:val="21"/>
              </w:rPr>
            </w:pPr>
            <w:r>
              <w:rPr>
                <w:rFonts w:hint="eastAsia" w:ascii="宋体" w:hAnsi="宋体" w:cs="宋体"/>
                <w:bCs/>
                <w:spacing w:val="10"/>
                <w:szCs w:val="21"/>
              </w:rPr>
              <w:t>项目所在区域的污水管网已建成，项目污水从空间上具备进入余杭污水处理厂的条件。根据浙江省生态环境厅网站上浙江省企业自行检测信息公开平台上的数据，余杭污水处理厂（北控（杭州）环境工程有限公司污水排放口）运行良好，出水水质基本稳定，污水排放浓度均符合相关标准。</w:t>
            </w:r>
          </w:p>
          <w:p w14:paraId="6CF1C6A1">
            <w:pPr>
              <w:numPr>
                <w:ilvl w:val="0"/>
                <w:numId w:val="12"/>
              </w:numPr>
              <w:spacing w:line="360" w:lineRule="auto"/>
              <w:jc w:val="center"/>
              <w:rPr>
                <w:rFonts w:hint="eastAsia" w:ascii="宋体" w:hAnsi="宋体" w:cs="宋体"/>
                <w:bCs/>
                <w:spacing w:val="10"/>
                <w:szCs w:val="21"/>
              </w:rPr>
            </w:pPr>
            <w:r>
              <w:rPr>
                <w:rFonts w:hint="eastAsia" w:ascii="黑体" w:hAnsi="黑体" w:eastAsia="黑体" w:cs="黑体"/>
              </w:rPr>
              <w:t xml:space="preserve"> 余杭污水处理厂废水排放一览表</w:t>
            </w:r>
          </w:p>
          <w:tbl>
            <w:tblPr>
              <w:tblStyle w:val="2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085"/>
              <w:gridCol w:w="1085"/>
              <w:gridCol w:w="1086"/>
              <w:gridCol w:w="1086"/>
              <w:gridCol w:w="1086"/>
              <w:gridCol w:w="1085"/>
            </w:tblGrid>
            <w:tr w14:paraId="15C208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vMerge w:val="restart"/>
                  <w:tcBorders>
                    <w:tl2br w:val="nil"/>
                    <w:tr2bl w:val="nil"/>
                  </w:tcBorders>
                  <w:vAlign w:val="center"/>
                </w:tcPr>
                <w:p w14:paraId="3C8E0A67">
                  <w:pPr>
                    <w:adjustRightInd w:val="0"/>
                    <w:snapToGrid w:val="0"/>
                    <w:jc w:val="center"/>
                    <w:rPr>
                      <w:bCs/>
                      <w:spacing w:val="10"/>
                      <w:sz w:val="18"/>
                      <w:szCs w:val="18"/>
                    </w:rPr>
                  </w:pPr>
                  <w:r>
                    <w:rPr>
                      <w:rFonts w:hint="eastAsia"/>
                      <w:bCs/>
                      <w:spacing w:val="10"/>
                      <w:sz w:val="18"/>
                      <w:szCs w:val="18"/>
                    </w:rPr>
                    <w:t>监测时间</w:t>
                  </w:r>
                </w:p>
              </w:tc>
              <w:tc>
                <w:tcPr>
                  <w:tcW w:w="714" w:type="pct"/>
                  <w:tcBorders>
                    <w:tl2br w:val="nil"/>
                    <w:tr2bl w:val="nil"/>
                  </w:tcBorders>
                  <w:vAlign w:val="center"/>
                </w:tcPr>
                <w:p w14:paraId="60ED5A6B">
                  <w:pPr>
                    <w:adjustRightInd w:val="0"/>
                    <w:snapToGrid w:val="0"/>
                    <w:jc w:val="center"/>
                    <w:rPr>
                      <w:bCs/>
                      <w:spacing w:val="10"/>
                      <w:sz w:val="18"/>
                      <w:szCs w:val="18"/>
                    </w:rPr>
                  </w:pPr>
                  <w:r>
                    <w:rPr>
                      <w:rFonts w:hint="eastAsia"/>
                      <w:bCs/>
                      <w:spacing w:val="10"/>
                      <w:sz w:val="18"/>
                      <w:szCs w:val="18"/>
                    </w:rPr>
                    <w:t>pH值</w:t>
                  </w:r>
                </w:p>
              </w:tc>
              <w:tc>
                <w:tcPr>
                  <w:tcW w:w="714" w:type="pct"/>
                  <w:tcBorders>
                    <w:tl2br w:val="nil"/>
                    <w:tr2bl w:val="nil"/>
                  </w:tcBorders>
                  <w:vAlign w:val="center"/>
                </w:tcPr>
                <w:p w14:paraId="3E3CB614">
                  <w:pPr>
                    <w:adjustRightInd w:val="0"/>
                    <w:snapToGrid w:val="0"/>
                    <w:jc w:val="center"/>
                    <w:rPr>
                      <w:bCs/>
                      <w:spacing w:val="10"/>
                      <w:sz w:val="18"/>
                      <w:szCs w:val="18"/>
                    </w:rPr>
                  </w:pPr>
                  <w:r>
                    <w:rPr>
                      <w:rFonts w:hint="eastAsia"/>
                      <w:bCs/>
                      <w:spacing w:val="10"/>
                      <w:sz w:val="18"/>
                      <w:szCs w:val="18"/>
                    </w:rPr>
                    <w:t>化学需氧量</w:t>
                  </w:r>
                </w:p>
              </w:tc>
              <w:tc>
                <w:tcPr>
                  <w:tcW w:w="715" w:type="pct"/>
                  <w:tcBorders>
                    <w:tl2br w:val="nil"/>
                    <w:tr2bl w:val="nil"/>
                  </w:tcBorders>
                  <w:vAlign w:val="center"/>
                </w:tcPr>
                <w:p w14:paraId="5AA47D52">
                  <w:pPr>
                    <w:adjustRightInd w:val="0"/>
                    <w:snapToGrid w:val="0"/>
                    <w:jc w:val="center"/>
                    <w:rPr>
                      <w:bCs/>
                      <w:spacing w:val="10"/>
                      <w:sz w:val="18"/>
                      <w:szCs w:val="18"/>
                    </w:rPr>
                  </w:pPr>
                  <w:r>
                    <w:rPr>
                      <w:rFonts w:hint="eastAsia"/>
                      <w:bCs/>
                      <w:spacing w:val="10"/>
                      <w:sz w:val="18"/>
                      <w:szCs w:val="18"/>
                    </w:rPr>
                    <w:t>氨氮</w:t>
                  </w:r>
                </w:p>
              </w:tc>
              <w:tc>
                <w:tcPr>
                  <w:tcW w:w="715" w:type="pct"/>
                  <w:tcBorders>
                    <w:tl2br w:val="nil"/>
                    <w:tr2bl w:val="nil"/>
                  </w:tcBorders>
                  <w:vAlign w:val="center"/>
                </w:tcPr>
                <w:p w14:paraId="5DC3BB27">
                  <w:pPr>
                    <w:adjustRightInd w:val="0"/>
                    <w:snapToGrid w:val="0"/>
                    <w:jc w:val="center"/>
                    <w:rPr>
                      <w:bCs/>
                      <w:spacing w:val="10"/>
                      <w:sz w:val="18"/>
                      <w:szCs w:val="18"/>
                    </w:rPr>
                  </w:pPr>
                  <w:r>
                    <w:rPr>
                      <w:rFonts w:hint="eastAsia"/>
                      <w:bCs/>
                      <w:spacing w:val="10"/>
                      <w:sz w:val="18"/>
                      <w:szCs w:val="18"/>
                    </w:rPr>
                    <w:t>总磷</w:t>
                  </w:r>
                </w:p>
              </w:tc>
              <w:tc>
                <w:tcPr>
                  <w:tcW w:w="715" w:type="pct"/>
                  <w:tcBorders>
                    <w:tl2br w:val="nil"/>
                    <w:tr2bl w:val="nil"/>
                  </w:tcBorders>
                  <w:vAlign w:val="center"/>
                </w:tcPr>
                <w:p w14:paraId="5A0E5E8E">
                  <w:pPr>
                    <w:adjustRightInd w:val="0"/>
                    <w:snapToGrid w:val="0"/>
                    <w:jc w:val="center"/>
                    <w:rPr>
                      <w:bCs/>
                      <w:spacing w:val="10"/>
                      <w:sz w:val="18"/>
                      <w:szCs w:val="18"/>
                    </w:rPr>
                  </w:pPr>
                  <w:r>
                    <w:rPr>
                      <w:rFonts w:hint="eastAsia"/>
                      <w:bCs/>
                      <w:spacing w:val="10"/>
                      <w:sz w:val="18"/>
                      <w:szCs w:val="18"/>
                    </w:rPr>
                    <w:t>总氮</w:t>
                  </w:r>
                </w:p>
              </w:tc>
              <w:tc>
                <w:tcPr>
                  <w:tcW w:w="714" w:type="pct"/>
                  <w:tcBorders>
                    <w:tl2br w:val="nil"/>
                    <w:tr2bl w:val="nil"/>
                  </w:tcBorders>
                  <w:vAlign w:val="center"/>
                </w:tcPr>
                <w:p w14:paraId="08BAA75A">
                  <w:pPr>
                    <w:adjustRightInd w:val="0"/>
                    <w:snapToGrid w:val="0"/>
                    <w:jc w:val="center"/>
                    <w:rPr>
                      <w:bCs/>
                      <w:spacing w:val="10"/>
                      <w:sz w:val="18"/>
                      <w:szCs w:val="18"/>
                    </w:rPr>
                  </w:pPr>
                  <w:r>
                    <w:rPr>
                      <w:rFonts w:hint="eastAsia"/>
                      <w:bCs/>
                      <w:spacing w:val="10"/>
                      <w:sz w:val="18"/>
                      <w:szCs w:val="18"/>
                    </w:rPr>
                    <w:t>废水瞬时流量</w:t>
                  </w:r>
                </w:p>
              </w:tc>
            </w:tr>
            <w:tr w14:paraId="459B8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vMerge w:val="continue"/>
                  <w:tcBorders>
                    <w:tl2br w:val="nil"/>
                    <w:tr2bl w:val="nil"/>
                  </w:tcBorders>
                  <w:vAlign w:val="center"/>
                </w:tcPr>
                <w:p w14:paraId="11644A8E">
                  <w:pPr>
                    <w:adjustRightInd w:val="0"/>
                    <w:snapToGrid w:val="0"/>
                    <w:jc w:val="center"/>
                    <w:rPr>
                      <w:bCs/>
                      <w:spacing w:val="10"/>
                      <w:sz w:val="18"/>
                      <w:szCs w:val="18"/>
                    </w:rPr>
                  </w:pPr>
                </w:p>
              </w:tc>
              <w:tc>
                <w:tcPr>
                  <w:tcW w:w="714" w:type="pct"/>
                  <w:tcBorders>
                    <w:tl2br w:val="nil"/>
                    <w:tr2bl w:val="nil"/>
                  </w:tcBorders>
                  <w:vAlign w:val="center"/>
                </w:tcPr>
                <w:p w14:paraId="045D17FB">
                  <w:pPr>
                    <w:adjustRightInd w:val="0"/>
                    <w:snapToGrid w:val="0"/>
                    <w:jc w:val="center"/>
                    <w:rPr>
                      <w:bCs/>
                      <w:spacing w:val="10"/>
                      <w:sz w:val="18"/>
                      <w:szCs w:val="18"/>
                    </w:rPr>
                  </w:pPr>
                  <w:r>
                    <w:rPr>
                      <w:bCs/>
                      <w:spacing w:val="10"/>
                      <w:sz w:val="18"/>
                      <w:szCs w:val="18"/>
                    </w:rPr>
                    <w:t>/</w:t>
                  </w:r>
                </w:p>
              </w:tc>
              <w:tc>
                <w:tcPr>
                  <w:tcW w:w="714" w:type="pct"/>
                  <w:tcBorders>
                    <w:tl2br w:val="nil"/>
                    <w:tr2bl w:val="nil"/>
                  </w:tcBorders>
                  <w:vAlign w:val="center"/>
                </w:tcPr>
                <w:p w14:paraId="1FE14CCF">
                  <w:pPr>
                    <w:adjustRightInd w:val="0"/>
                    <w:snapToGrid w:val="0"/>
                    <w:jc w:val="center"/>
                    <w:rPr>
                      <w:bCs/>
                      <w:spacing w:val="10"/>
                      <w:sz w:val="18"/>
                      <w:szCs w:val="18"/>
                    </w:rPr>
                  </w:pPr>
                  <w:r>
                    <w:rPr>
                      <w:bCs/>
                      <w:spacing w:val="10"/>
                      <w:sz w:val="18"/>
                      <w:szCs w:val="18"/>
                    </w:rPr>
                    <w:t>mg/L</w:t>
                  </w:r>
                </w:p>
              </w:tc>
              <w:tc>
                <w:tcPr>
                  <w:tcW w:w="715" w:type="pct"/>
                  <w:tcBorders>
                    <w:tl2br w:val="nil"/>
                    <w:tr2bl w:val="nil"/>
                  </w:tcBorders>
                  <w:vAlign w:val="center"/>
                </w:tcPr>
                <w:p w14:paraId="4E889DC2">
                  <w:pPr>
                    <w:adjustRightInd w:val="0"/>
                    <w:snapToGrid w:val="0"/>
                    <w:jc w:val="center"/>
                    <w:rPr>
                      <w:bCs/>
                      <w:spacing w:val="10"/>
                      <w:sz w:val="18"/>
                      <w:szCs w:val="18"/>
                    </w:rPr>
                  </w:pPr>
                  <w:r>
                    <w:rPr>
                      <w:bCs/>
                      <w:spacing w:val="10"/>
                      <w:sz w:val="18"/>
                      <w:szCs w:val="18"/>
                    </w:rPr>
                    <w:t>mg/L</w:t>
                  </w:r>
                </w:p>
              </w:tc>
              <w:tc>
                <w:tcPr>
                  <w:tcW w:w="715" w:type="pct"/>
                  <w:tcBorders>
                    <w:tl2br w:val="nil"/>
                    <w:tr2bl w:val="nil"/>
                  </w:tcBorders>
                  <w:vAlign w:val="center"/>
                </w:tcPr>
                <w:p w14:paraId="32A6270C">
                  <w:pPr>
                    <w:adjustRightInd w:val="0"/>
                    <w:snapToGrid w:val="0"/>
                    <w:jc w:val="center"/>
                    <w:rPr>
                      <w:bCs/>
                      <w:spacing w:val="10"/>
                      <w:sz w:val="18"/>
                      <w:szCs w:val="18"/>
                    </w:rPr>
                  </w:pPr>
                  <w:r>
                    <w:rPr>
                      <w:bCs/>
                      <w:spacing w:val="10"/>
                      <w:sz w:val="18"/>
                      <w:szCs w:val="18"/>
                    </w:rPr>
                    <w:t>mg/L</w:t>
                  </w:r>
                </w:p>
              </w:tc>
              <w:tc>
                <w:tcPr>
                  <w:tcW w:w="715" w:type="pct"/>
                  <w:tcBorders>
                    <w:tl2br w:val="nil"/>
                    <w:tr2bl w:val="nil"/>
                  </w:tcBorders>
                  <w:vAlign w:val="center"/>
                </w:tcPr>
                <w:p w14:paraId="07010B96">
                  <w:pPr>
                    <w:adjustRightInd w:val="0"/>
                    <w:snapToGrid w:val="0"/>
                    <w:jc w:val="center"/>
                    <w:rPr>
                      <w:bCs/>
                      <w:spacing w:val="10"/>
                      <w:sz w:val="18"/>
                      <w:szCs w:val="18"/>
                    </w:rPr>
                  </w:pPr>
                  <w:r>
                    <w:rPr>
                      <w:bCs/>
                      <w:spacing w:val="10"/>
                      <w:sz w:val="18"/>
                      <w:szCs w:val="18"/>
                    </w:rPr>
                    <w:t>mg/L</w:t>
                  </w:r>
                </w:p>
              </w:tc>
              <w:tc>
                <w:tcPr>
                  <w:tcW w:w="714" w:type="pct"/>
                  <w:tcBorders>
                    <w:tl2br w:val="nil"/>
                    <w:tr2bl w:val="nil"/>
                  </w:tcBorders>
                  <w:vAlign w:val="center"/>
                </w:tcPr>
                <w:p w14:paraId="130B7FCA">
                  <w:pPr>
                    <w:adjustRightInd w:val="0"/>
                    <w:snapToGrid w:val="0"/>
                    <w:jc w:val="center"/>
                    <w:rPr>
                      <w:bCs/>
                      <w:spacing w:val="10"/>
                      <w:sz w:val="18"/>
                      <w:szCs w:val="18"/>
                    </w:rPr>
                  </w:pPr>
                  <w:r>
                    <w:rPr>
                      <w:rFonts w:hint="eastAsia"/>
                      <w:bCs/>
                      <w:spacing w:val="10"/>
                      <w:sz w:val="18"/>
                      <w:szCs w:val="18"/>
                    </w:rPr>
                    <w:t>升/秒</w:t>
                  </w:r>
                </w:p>
              </w:tc>
            </w:tr>
            <w:tr w14:paraId="62AA84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01BE64D4">
                  <w:pPr>
                    <w:adjustRightInd w:val="0"/>
                    <w:snapToGrid w:val="0"/>
                    <w:jc w:val="center"/>
                    <w:rPr>
                      <w:bCs/>
                      <w:spacing w:val="10"/>
                      <w:sz w:val="18"/>
                      <w:szCs w:val="18"/>
                    </w:rPr>
                  </w:pPr>
                  <w:r>
                    <w:rPr>
                      <w:bCs/>
                      <w:spacing w:val="10"/>
                      <w:sz w:val="18"/>
                      <w:szCs w:val="18"/>
                    </w:rPr>
                    <w:t>2025/7/2</w:t>
                  </w:r>
                </w:p>
              </w:tc>
              <w:tc>
                <w:tcPr>
                  <w:tcW w:w="714" w:type="pct"/>
                  <w:tcBorders>
                    <w:tl2br w:val="nil"/>
                    <w:tr2bl w:val="nil"/>
                  </w:tcBorders>
                  <w:vAlign w:val="center"/>
                </w:tcPr>
                <w:p w14:paraId="653E627C">
                  <w:pPr>
                    <w:adjustRightInd w:val="0"/>
                    <w:snapToGrid w:val="0"/>
                    <w:jc w:val="center"/>
                    <w:rPr>
                      <w:bCs/>
                      <w:spacing w:val="10"/>
                      <w:sz w:val="18"/>
                      <w:szCs w:val="18"/>
                    </w:rPr>
                  </w:pPr>
                  <w:r>
                    <w:rPr>
                      <w:bCs/>
                      <w:spacing w:val="10"/>
                      <w:sz w:val="18"/>
                      <w:szCs w:val="18"/>
                    </w:rPr>
                    <w:t>6.63</w:t>
                  </w:r>
                </w:p>
              </w:tc>
              <w:tc>
                <w:tcPr>
                  <w:tcW w:w="714" w:type="pct"/>
                  <w:tcBorders>
                    <w:tl2br w:val="nil"/>
                    <w:tr2bl w:val="nil"/>
                  </w:tcBorders>
                  <w:vAlign w:val="center"/>
                </w:tcPr>
                <w:p w14:paraId="70D13B82">
                  <w:pPr>
                    <w:adjustRightInd w:val="0"/>
                    <w:snapToGrid w:val="0"/>
                    <w:jc w:val="center"/>
                    <w:rPr>
                      <w:bCs/>
                      <w:spacing w:val="10"/>
                      <w:sz w:val="18"/>
                      <w:szCs w:val="18"/>
                    </w:rPr>
                  </w:pPr>
                  <w:r>
                    <w:rPr>
                      <w:bCs/>
                      <w:spacing w:val="10"/>
                      <w:sz w:val="18"/>
                      <w:szCs w:val="18"/>
                    </w:rPr>
                    <w:t>13.04</w:t>
                  </w:r>
                </w:p>
              </w:tc>
              <w:tc>
                <w:tcPr>
                  <w:tcW w:w="715" w:type="pct"/>
                  <w:tcBorders>
                    <w:tl2br w:val="nil"/>
                    <w:tr2bl w:val="nil"/>
                  </w:tcBorders>
                  <w:vAlign w:val="center"/>
                </w:tcPr>
                <w:p w14:paraId="357D5399">
                  <w:pPr>
                    <w:adjustRightInd w:val="0"/>
                    <w:snapToGrid w:val="0"/>
                    <w:jc w:val="center"/>
                    <w:rPr>
                      <w:bCs/>
                      <w:spacing w:val="10"/>
                      <w:sz w:val="18"/>
                      <w:szCs w:val="18"/>
                    </w:rPr>
                  </w:pPr>
                  <w:r>
                    <w:rPr>
                      <w:bCs/>
                      <w:spacing w:val="10"/>
                      <w:sz w:val="18"/>
                      <w:szCs w:val="18"/>
                    </w:rPr>
                    <w:t>0.5518</w:t>
                  </w:r>
                </w:p>
              </w:tc>
              <w:tc>
                <w:tcPr>
                  <w:tcW w:w="715" w:type="pct"/>
                  <w:tcBorders>
                    <w:tl2br w:val="nil"/>
                    <w:tr2bl w:val="nil"/>
                  </w:tcBorders>
                  <w:vAlign w:val="center"/>
                </w:tcPr>
                <w:p w14:paraId="4E529EE8">
                  <w:pPr>
                    <w:adjustRightInd w:val="0"/>
                    <w:snapToGrid w:val="0"/>
                    <w:jc w:val="center"/>
                    <w:rPr>
                      <w:bCs/>
                      <w:spacing w:val="10"/>
                      <w:sz w:val="18"/>
                      <w:szCs w:val="18"/>
                    </w:rPr>
                  </w:pPr>
                  <w:r>
                    <w:rPr>
                      <w:bCs/>
                      <w:spacing w:val="10"/>
                      <w:sz w:val="18"/>
                      <w:szCs w:val="18"/>
                    </w:rPr>
                    <w:t>0.0597</w:t>
                  </w:r>
                </w:p>
              </w:tc>
              <w:tc>
                <w:tcPr>
                  <w:tcW w:w="715" w:type="pct"/>
                  <w:tcBorders>
                    <w:tl2br w:val="nil"/>
                    <w:tr2bl w:val="nil"/>
                  </w:tcBorders>
                  <w:vAlign w:val="center"/>
                </w:tcPr>
                <w:p w14:paraId="05B1E7C8">
                  <w:pPr>
                    <w:adjustRightInd w:val="0"/>
                    <w:snapToGrid w:val="0"/>
                    <w:jc w:val="center"/>
                    <w:rPr>
                      <w:bCs/>
                      <w:spacing w:val="10"/>
                      <w:sz w:val="18"/>
                      <w:szCs w:val="18"/>
                    </w:rPr>
                  </w:pPr>
                  <w:r>
                    <w:rPr>
                      <w:bCs/>
                      <w:spacing w:val="10"/>
                      <w:sz w:val="18"/>
                      <w:szCs w:val="18"/>
                    </w:rPr>
                    <w:t>8.786</w:t>
                  </w:r>
                </w:p>
              </w:tc>
              <w:tc>
                <w:tcPr>
                  <w:tcW w:w="714" w:type="pct"/>
                  <w:tcBorders>
                    <w:tl2br w:val="nil"/>
                    <w:tr2bl w:val="nil"/>
                  </w:tcBorders>
                  <w:vAlign w:val="center"/>
                </w:tcPr>
                <w:p w14:paraId="6DA36FF8">
                  <w:pPr>
                    <w:adjustRightInd w:val="0"/>
                    <w:snapToGrid w:val="0"/>
                    <w:jc w:val="center"/>
                    <w:rPr>
                      <w:bCs/>
                      <w:spacing w:val="10"/>
                      <w:sz w:val="18"/>
                      <w:szCs w:val="18"/>
                    </w:rPr>
                  </w:pPr>
                  <w:r>
                    <w:rPr>
                      <w:bCs/>
                      <w:spacing w:val="10"/>
                      <w:sz w:val="18"/>
                      <w:szCs w:val="18"/>
                    </w:rPr>
                    <w:t>1580.72</w:t>
                  </w:r>
                </w:p>
              </w:tc>
            </w:tr>
            <w:tr w14:paraId="5B50F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2006B3A8">
                  <w:pPr>
                    <w:adjustRightInd w:val="0"/>
                    <w:snapToGrid w:val="0"/>
                    <w:jc w:val="center"/>
                    <w:rPr>
                      <w:bCs/>
                      <w:spacing w:val="10"/>
                      <w:sz w:val="18"/>
                      <w:szCs w:val="18"/>
                    </w:rPr>
                  </w:pPr>
                  <w:r>
                    <w:rPr>
                      <w:bCs/>
                      <w:spacing w:val="10"/>
                      <w:sz w:val="18"/>
                      <w:szCs w:val="18"/>
                    </w:rPr>
                    <w:t>2025/7/1</w:t>
                  </w:r>
                </w:p>
              </w:tc>
              <w:tc>
                <w:tcPr>
                  <w:tcW w:w="714" w:type="pct"/>
                  <w:tcBorders>
                    <w:tl2br w:val="nil"/>
                    <w:tr2bl w:val="nil"/>
                  </w:tcBorders>
                  <w:vAlign w:val="center"/>
                </w:tcPr>
                <w:p w14:paraId="6ECA4FF1">
                  <w:pPr>
                    <w:adjustRightInd w:val="0"/>
                    <w:snapToGrid w:val="0"/>
                    <w:jc w:val="center"/>
                    <w:rPr>
                      <w:bCs/>
                      <w:spacing w:val="10"/>
                      <w:sz w:val="18"/>
                      <w:szCs w:val="18"/>
                    </w:rPr>
                  </w:pPr>
                  <w:r>
                    <w:rPr>
                      <w:bCs/>
                      <w:spacing w:val="10"/>
                      <w:sz w:val="18"/>
                      <w:szCs w:val="18"/>
                    </w:rPr>
                    <w:t>6.65</w:t>
                  </w:r>
                </w:p>
              </w:tc>
              <w:tc>
                <w:tcPr>
                  <w:tcW w:w="714" w:type="pct"/>
                  <w:tcBorders>
                    <w:tl2br w:val="nil"/>
                    <w:tr2bl w:val="nil"/>
                  </w:tcBorders>
                  <w:vAlign w:val="center"/>
                </w:tcPr>
                <w:p w14:paraId="605D07A0">
                  <w:pPr>
                    <w:adjustRightInd w:val="0"/>
                    <w:snapToGrid w:val="0"/>
                    <w:jc w:val="center"/>
                    <w:rPr>
                      <w:bCs/>
                      <w:spacing w:val="10"/>
                      <w:sz w:val="18"/>
                      <w:szCs w:val="18"/>
                    </w:rPr>
                  </w:pPr>
                  <w:r>
                    <w:rPr>
                      <w:bCs/>
                      <w:spacing w:val="10"/>
                      <w:sz w:val="18"/>
                      <w:szCs w:val="18"/>
                    </w:rPr>
                    <w:t>13.11</w:t>
                  </w:r>
                </w:p>
              </w:tc>
              <w:tc>
                <w:tcPr>
                  <w:tcW w:w="715" w:type="pct"/>
                  <w:tcBorders>
                    <w:tl2br w:val="nil"/>
                    <w:tr2bl w:val="nil"/>
                  </w:tcBorders>
                  <w:vAlign w:val="center"/>
                </w:tcPr>
                <w:p w14:paraId="7BF9865B">
                  <w:pPr>
                    <w:adjustRightInd w:val="0"/>
                    <w:snapToGrid w:val="0"/>
                    <w:jc w:val="center"/>
                    <w:rPr>
                      <w:bCs/>
                      <w:spacing w:val="10"/>
                      <w:sz w:val="18"/>
                      <w:szCs w:val="18"/>
                    </w:rPr>
                  </w:pPr>
                  <w:r>
                    <w:rPr>
                      <w:bCs/>
                      <w:spacing w:val="10"/>
                      <w:sz w:val="18"/>
                      <w:szCs w:val="18"/>
                    </w:rPr>
                    <w:t>0.5382</w:t>
                  </w:r>
                </w:p>
              </w:tc>
              <w:tc>
                <w:tcPr>
                  <w:tcW w:w="715" w:type="pct"/>
                  <w:tcBorders>
                    <w:tl2br w:val="nil"/>
                    <w:tr2bl w:val="nil"/>
                  </w:tcBorders>
                  <w:vAlign w:val="center"/>
                </w:tcPr>
                <w:p w14:paraId="3A9A589F">
                  <w:pPr>
                    <w:adjustRightInd w:val="0"/>
                    <w:snapToGrid w:val="0"/>
                    <w:jc w:val="center"/>
                    <w:rPr>
                      <w:bCs/>
                      <w:spacing w:val="10"/>
                      <w:sz w:val="18"/>
                      <w:szCs w:val="18"/>
                    </w:rPr>
                  </w:pPr>
                  <w:r>
                    <w:rPr>
                      <w:bCs/>
                      <w:spacing w:val="10"/>
                      <w:sz w:val="18"/>
                      <w:szCs w:val="18"/>
                    </w:rPr>
                    <w:t>0.0507</w:t>
                  </w:r>
                </w:p>
              </w:tc>
              <w:tc>
                <w:tcPr>
                  <w:tcW w:w="715" w:type="pct"/>
                  <w:tcBorders>
                    <w:tl2br w:val="nil"/>
                    <w:tr2bl w:val="nil"/>
                  </w:tcBorders>
                  <w:vAlign w:val="center"/>
                </w:tcPr>
                <w:p w14:paraId="59361803">
                  <w:pPr>
                    <w:adjustRightInd w:val="0"/>
                    <w:snapToGrid w:val="0"/>
                    <w:jc w:val="center"/>
                    <w:rPr>
                      <w:bCs/>
                      <w:spacing w:val="10"/>
                      <w:sz w:val="18"/>
                      <w:szCs w:val="18"/>
                    </w:rPr>
                  </w:pPr>
                  <w:r>
                    <w:rPr>
                      <w:bCs/>
                      <w:spacing w:val="10"/>
                      <w:sz w:val="18"/>
                      <w:szCs w:val="18"/>
                    </w:rPr>
                    <w:t>8.625</w:t>
                  </w:r>
                </w:p>
              </w:tc>
              <w:tc>
                <w:tcPr>
                  <w:tcW w:w="714" w:type="pct"/>
                  <w:tcBorders>
                    <w:tl2br w:val="nil"/>
                    <w:tr2bl w:val="nil"/>
                  </w:tcBorders>
                  <w:vAlign w:val="center"/>
                </w:tcPr>
                <w:p w14:paraId="13E2EBB7">
                  <w:pPr>
                    <w:adjustRightInd w:val="0"/>
                    <w:snapToGrid w:val="0"/>
                    <w:jc w:val="center"/>
                    <w:rPr>
                      <w:bCs/>
                      <w:spacing w:val="10"/>
                      <w:sz w:val="18"/>
                      <w:szCs w:val="18"/>
                    </w:rPr>
                  </w:pPr>
                  <w:r>
                    <w:rPr>
                      <w:bCs/>
                      <w:spacing w:val="10"/>
                      <w:sz w:val="18"/>
                      <w:szCs w:val="18"/>
                    </w:rPr>
                    <w:t>1637.3</w:t>
                  </w:r>
                </w:p>
              </w:tc>
            </w:tr>
            <w:tr w14:paraId="6873D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70139887">
                  <w:pPr>
                    <w:adjustRightInd w:val="0"/>
                    <w:snapToGrid w:val="0"/>
                    <w:jc w:val="center"/>
                    <w:rPr>
                      <w:bCs/>
                      <w:spacing w:val="10"/>
                      <w:sz w:val="18"/>
                      <w:szCs w:val="18"/>
                    </w:rPr>
                  </w:pPr>
                  <w:r>
                    <w:rPr>
                      <w:bCs/>
                      <w:spacing w:val="10"/>
                      <w:sz w:val="18"/>
                      <w:szCs w:val="18"/>
                    </w:rPr>
                    <w:t>2025/6/30</w:t>
                  </w:r>
                </w:p>
              </w:tc>
              <w:tc>
                <w:tcPr>
                  <w:tcW w:w="714" w:type="pct"/>
                  <w:tcBorders>
                    <w:tl2br w:val="nil"/>
                    <w:tr2bl w:val="nil"/>
                  </w:tcBorders>
                  <w:vAlign w:val="center"/>
                </w:tcPr>
                <w:p w14:paraId="3E9B9B47">
                  <w:pPr>
                    <w:adjustRightInd w:val="0"/>
                    <w:snapToGrid w:val="0"/>
                    <w:jc w:val="center"/>
                    <w:rPr>
                      <w:bCs/>
                      <w:spacing w:val="10"/>
                      <w:sz w:val="18"/>
                      <w:szCs w:val="18"/>
                    </w:rPr>
                  </w:pPr>
                  <w:r>
                    <w:rPr>
                      <w:bCs/>
                      <w:spacing w:val="10"/>
                      <w:sz w:val="18"/>
                      <w:szCs w:val="18"/>
                    </w:rPr>
                    <w:t>6.7</w:t>
                  </w:r>
                </w:p>
              </w:tc>
              <w:tc>
                <w:tcPr>
                  <w:tcW w:w="714" w:type="pct"/>
                  <w:tcBorders>
                    <w:tl2br w:val="nil"/>
                    <w:tr2bl w:val="nil"/>
                  </w:tcBorders>
                  <w:vAlign w:val="center"/>
                </w:tcPr>
                <w:p w14:paraId="3246D19A">
                  <w:pPr>
                    <w:adjustRightInd w:val="0"/>
                    <w:snapToGrid w:val="0"/>
                    <w:jc w:val="center"/>
                    <w:rPr>
                      <w:bCs/>
                      <w:spacing w:val="10"/>
                      <w:sz w:val="18"/>
                      <w:szCs w:val="18"/>
                    </w:rPr>
                  </w:pPr>
                  <w:r>
                    <w:rPr>
                      <w:bCs/>
                      <w:spacing w:val="10"/>
                      <w:sz w:val="18"/>
                      <w:szCs w:val="18"/>
                    </w:rPr>
                    <w:t>13.88</w:t>
                  </w:r>
                </w:p>
              </w:tc>
              <w:tc>
                <w:tcPr>
                  <w:tcW w:w="715" w:type="pct"/>
                  <w:tcBorders>
                    <w:tl2br w:val="nil"/>
                    <w:tr2bl w:val="nil"/>
                  </w:tcBorders>
                  <w:vAlign w:val="center"/>
                </w:tcPr>
                <w:p w14:paraId="2629FFCF">
                  <w:pPr>
                    <w:adjustRightInd w:val="0"/>
                    <w:snapToGrid w:val="0"/>
                    <w:jc w:val="center"/>
                    <w:rPr>
                      <w:bCs/>
                      <w:spacing w:val="10"/>
                      <w:sz w:val="18"/>
                      <w:szCs w:val="18"/>
                    </w:rPr>
                  </w:pPr>
                  <w:r>
                    <w:rPr>
                      <w:bCs/>
                      <w:spacing w:val="10"/>
                      <w:sz w:val="18"/>
                      <w:szCs w:val="18"/>
                    </w:rPr>
                    <w:t>0.6427</w:t>
                  </w:r>
                </w:p>
              </w:tc>
              <w:tc>
                <w:tcPr>
                  <w:tcW w:w="715" w:type="pct"/>
                  <w:tcBorders>
                    <w:tl2br w:val="nil"/>
                    <w:tr2bl w:val="nil"/>
                  </w:tcBorders>
                  <w:vAlign w:val="center"/>
                </w:tcPr>
                <w:p w14:paraId="0D03A6BB">
                  <w:pPr>
                    <w:adjustRightInd w:val="0"/>
                    <w:snapToGrid w:val="0"/>
                    <w:jc w:val="center"/>
                    <w:rPr>
                      <w:bCs/>
                      <w:spacing w:val="10"/>
                      <w:sz w:val="18"/>
                      <w:szCs w:val="18"/>
                    </w:rPr>
                  </w:pPr>
                  <w:r>
                    <w:rPr>
                      <w:bCs/>
                      <w:spacing w:val="10"/>
                      <w:sz w:val="18"/>
                      <w:szCs w:val="18"/>
                    </w:rPr>
                    <w:t>0.0727</w:t>
                  </w:r>
                </w:p>
              </w:tc>
              <w:tc>
                <w:tcPr>
                  <w:tcW w:w="715" w:type="pct"/>
                  <w:tcBorders>
                    <w:tl2br w:val="nil"/>
                    <w:tr2bl w:val="nil"/>
                  </w:tcBorders>
                  <w:vAlign w:val="center"/>
                </w:tcPr>
                <w:p w14:paraId="6DED5775">
                  <w:pPr>
                    <w:adjustRightInd w:val="0"/>
                    <w:snapToGrid w:val="0"/>
                    <w:jc w:val="center"/>
                    <w:rPr>
                      <w:bCs/>
                      <w:spacing w:val="10"/>
                      <w:sz w:val="18"/>
                      <w:szCs w:val="18"/>
                    </w:rPr>
                  </w:pPr>
                  <w:r>
                    <w:rPr>
                      <w:bCs/>
                      <w:spacing w:val="10"/>
                      <w:sz w:val="18"/>
                      <w:szCs w:val="18"/>
                    </w:rPr>
                    <w:t>8.341</w:t>
                  </w:r>
                </w:p>
              </w:tc>
              <w:tc>
                <w:tcPr>
                  <w:tcW w:w="714" w:type="pct"/>
                  <w:tcBorders>
                    <w:tl2br w:val="nil"/>
                    <w:tr2bl w:val="nil"/>
                  </w:tcBorders>
                  <w:vAlign w:val="center"/>
                </w:tcPr>
                <w:p w14:paraId="1984D775">
                  <w:pPr>
                    <w:adjustRightInd w:val="0"/>
                    <w:snapToGrid w:val="0"/>
                    <w:jc w:val="center"/>
                    <w:rPr>
                      <w:bCs/>
                      <w:spacing w:val="10"/>
                      <w:sz w:val="18"/>
                      <w:szCs w:val="18"/>
                    </w:rPr>
                  </w:pPr>
                  <w:r>
                    <w:rPr>
                      <w:bCs/>
                      <w:spacing w:val="10"/>
                      <w:sz w:val="18"/>
                      <w:szCs w:val="18"/>
                    </w:rPr>
                    <w:t>1671.83</w:t>
                  </w:r>
                </w:p>
              </w:tc>
            </w:tr>
            <w:tr w14:paraId="511A2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2BD28947">
                  <w:pPr>
                    <w:adjustRightInd w:val="0"/>
                    <w:snapToGrid w:val="0"/>
                    <w:jc w:val="center"/>
                    <w:rPr>
                      <w:bCs/>
                      <w:spacing w:val="10"/>
                      <w:sz w:val="18"/>
                      <w:szCs w:val="18"/>
                    </w:rPr>
                  </w:pPr>
                  <w:r>
                    <w:rPr>
                      <w:bCs/>
                      <w:spacing w:val="10"/>
                      <w:sz w:val="18"/>
                      <w:szCs w:val="18"/>
                    </w:rPr>
                    <w:t>2025/6/29</w:t>
                  </w:r>
                </w:p>
              </w:tc>
              <w:tc>
                <w:tcPr>
                  <w:tcW w:w="714" w:type="pct"/>
                  <w:tcBorders>
                    <w:tl2br w:val="nil"/>
                    <w:tr2bl w:val="nil"/>
                  </w:tcBorders>
                  <w:vAlign w:val="center"/>
                </w:tcPr>
                <w:p w14:paraId="553A6BA6">
                  <w:pPr>
                    <w:adjustRightInd w:val="0"/>
                    <w:snapToGrid w:val="0"/>
                    <w:jc w:val="center"/>
                    <w:rPr>
                      <w:bCs/>
                      <w:spacing w:val="10"/>
                      <w:sz w:val="18"/>
                      <w:szCs w:val="18"/>
                    </w:rPr>
                  </w:pPr>
                  <w:r>
                    <w:rPr>
                      <w:bCs/>
                      <w:spacing w:val="10"/>
                      <w:sz w:val="18"/>
                      <w:szCs w:val="18"/>
                    </w:rPr>
                    <w:t>6.73</w:t>
                  </w:r>
                </w:p>
              </w:tc>
              <w:tc>
                <w:tcPr>
                  <w:tcW w:w="714" w:type="pct"/>
                  <w:tcBorders>
                    <w:tl2br w:val="nil"/>
                    <w:tr2bl w:val="nil"/>
                  </w:tcBorders>
                  <w:vAlign w:val="center"/>
                </w:tcPr>
                <w:p w14:paraId="3F020E45">
                  <w:pPr>
                    <w:adjustRightInd w:val="0"/>
                    <w:snapToGrid w:val="0"/>
                    <w:jc w:val="center"/>
                    <w:rPr>
                      <w:bCs/>
                      <w:spacing w:val="10"/>
                      <w:sz w:val="18"/>
                      <w:szCs w:val="18"/>
                    </w:rPr>
                  </w:pPr>
                  <w:r>
                    <w:rPr>
                      <w:bCs/>
                      <w:spacing w:val="10"/>
                      <w:sz w:val="18"/>
                      <w:szCs w:val="18"/>
                    </w:rPr>
                    <w:t>12.04</w:t>
                  </w:r>
                </w:p>
              </w:tc>
              <w:tc>
                <w:tcPr>
                  <w:tcW w:w="715" w:type="pct"/>
                  <w:tcBorders>
                    <w:tl2br w:val="nil"/>
                    <w:tr2bl w:val="nil"/>
                  </w:tcBorders>
                  <w:vAlign w:val="center"/>
                </w:tcPr>
                <w:p w14:paraId="33323889">
                  <w:pPr>
                    <w:adjustRightInd w:val="0"/>
                    <w:snapToGrid w:val="0"/>
                    <w:jc w:val="center"/>
                    <w:rPr>
                      <w:bCs/>
                      <w:spacing w:val="10"/>
                      <w:sz w:val="18"/>
                      <w:szCs w:val="18"/>
                    </w:rPr>
                  </w:pPr>
                  <w:r>
                    <w:rPr>
                      <w:bCs/>
                      <w:spacing w:val="10"/>
                      <w:sz w:val="18"/>
                      <w:szCs w:val="18"/>
                    </w:rPr>
                    <w:t>0.6318</w:t>
                  </w:r>
                </w:p>
              </w:tc>
              <w:tc>
                <w:tcPr>
                  <w:tcW w:w="715" w:type="pct"/>
                  <w:tcBorders>
                    <w:tl2br w:val="nil"/>
                    <w:tr2bl w:val="nil"/>
                  </w:tcBorders>
                  <w:vAlign w:val="center"/>
                </w:tcPr>
                <w:p w14:paraId="519A91BE">
                  <w:pPr>
                    <w:adjustRightInd w:val="0"/>
                    <w:snapToGrid w:val="0"/>
                    <w:jc w:val="center"/>
                    <w:rPr>
                      <w:bCs/>
                      <w:spacing w:val="10"/>
                      <w:sz w:val="18"/>
                      <w:szCs w:val="18"/>
                    </w:rPr>
                  </w:pPr>
                  <w:r>
                    <w:rPr>
                      <w:bCs/>
                      <w:spacing w:val="10"/>
                      <w:sz w:val="18"/>
                      <w:szCs w:val="18"/>
                    </w:rPr>
                    <w:t>0.0604</w:t>
                  </w:r>
                </w:p>
              </w:tc>
              <w:tc>
                <w:tcPr>
                  <w:tcW w:w="715" w:type="pct"/>
                  <w:tcBorders>
                    <w:tl2br w:val="nil"/>
                    <w:tr2bl w:val="nil"/>
                  </w:tcBorders>
                  <w:vAlign w:val="center"/>
                </w:tcPr>
                <w:p w14:paraId="1C9E3502">
                  <w:pPr>
                    <w:adjustRightInd w:val="0"/>
                    <w:snapToGrid w:val="0"/>
                    <w:jc w:val="center"/>
                    <w:rPr>
                      <w:bCs/>
                      <w:spacing w:val="10"/>
                      <w:sz w:val="18"/>
                      <w:szCs w:val="18"/>
                    </w:rPr>
                  </w:pPr>
                  <w:r>
                    <w:rPr>
                      <w:bCs/>
                      <w:spacing w:val="10"/>
                      <w:sz w:val="18"/>
                      <w:szCs w:val="18"/>
                    </w:rPr>
                    <w:t>7.59</w:t>
                  </w:r>
                </w:p>
              </w:tc>
              <w:tc>
                <w:tcPr>
                  <w:tcW w:w="714" w:type="pct"/>
                  <w:tcBorders>
                    <w:tl2br w:val="nil"/>
                    <w:tr2bl w:val="nil"/>
                  </w:tcBorders>
                  <w:vAlign w:val="center"/>
                </w:tcPr>
                <w:p w14:paraId="004BB504">
                  <w:pPr>
                    <w:adjustRightInd w:val="0"/>
                    <w:snapToGrid w:val="0"/>
                    <w:jc w:val="center"/>
                    <w:rPr>
                      <w:bCs/>
                      <w:spacing w:val="10"/>
                      <w:sz w:val="18"/>
                      <w:szCs w:val="18"/>
                    </w:rPr>
                  </w:pPr>
                  <w:r>
                    <w:rPr>
                      <w:bCs/>
                      <w:spacing w:val="10"/>
                      <w:sz w:val="18"/>
                      <w:szCs w:val="18"/>
                    </w:rPr>
                    <w:t>1722.27</w:t>
                  </w:r>
                </w:p>
              </w:tc>
            </w:tr>
            <w:tr w14:paraId="7989D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2AD17D34">
                  <w:pPr>
                    <w:adjustRightInd w:val="0"/>
                    <w:snapToGrid w:val="0"/>
                    <w:jc w:val="center"/>
                    <w:rPr>
                      <w:bCs/>
                      <w:spacing w:val="10"/>
                      <w:sz w:val="18"/>
                      <w:szCs w:val="18"/>
                    </w:rPr>
                  </w:pPr>
                  <w:r>
                    <w:rPr>
                      <w:bCs/>
                      <w:spacing w:val="10"/>
                      <w:sz w:val="18"/>
                      <w:szCs w:val="18"/>
                    </w:rPr>
                    <w:t>2025/6/28</w:t>
                  </w:r>
                </w:p>
              </w:tc>
              <w:tc>
                <w:tcPr>
                  <w:tcW w:w="714" w:type="pct"/>
                  <w:tcBorders>
                    <w:tl2br w:val="nil"/>
                    <w:tr2bl w:val="nil"/>
                  </w:tcBorders>
                  <w:vAlign w:val="center"/>
                </w:tcPr>
                <w:p w14:paraId="5A584BD8">
                  <w:pPr>
                    <w:adjustRightInd w:val="0"/>
                    <w:snapToGrid w:val="0"/>
                    <w:jc w:val="center"/>
                    <w:rPr>
                      <w:bCs/>
                      <w:spacing w:val="10"/>
                      <w:sz w:val="18"/>
                      <w:szCs w:val="18"/>
                    </w:rPr>
                  </w:pPr>
                  <w:r>
                    <w:rPr>
                      <w:bCs/>
                      <w:spacing w:val="10"/>
                      <w:sz w:val="18"/>
                      <w:szCs w:val="18"/>
                    </w:rPr>
                    <w:t>6.75</w:t>
                  </w:r>
                </w:p>
              </w:tc>
              <w:tc>
                <w:tcPr>
                  <w:tcW w:w="714" w:type="pct"/>
                  <w:tcBorders>
                    <w:tl2br w:val="nil"/>
                    <w:tr2bl w:val="nil"/>
                  </w:tcBorders>
                  <w:vAlign w:val="center"/>
                </w:tcPr>
                <w:p w14:paraId="1D79595F">
                  <w:pPr>
                    <w:adjustRightInd w:val="0"/>
                    <w:snapToGrid w:val="0"/>
                    <w:jc w:val="center"/>
                    <w:rPr>
                      <w:bCs/>
                      <w:spacing w:val="10"/>
                      <w:sz w:val="18"/>
                      <w:szCs w:val="18"/>
                    </w:rPr>
                  </w:pPr>
                  <w:r>
                    <w:rPr>
                      <w:bCs/>
                      <w:spacing w:val="10"/>
                      <w:sz w:val="18"/>
                      <w:szCs w:val="18"/>
                    </w:rPr>
                    <w:t>12.4</w:t>
                  </w:r>
                </w:p>
              </w:tc>
              <w:tc>
                <w:tcPr>
                  <w:tcW w:w="715" w:type="pct"/>
                  <w:tcBorders>
                    <w:tl2br w:val="nil"/>
                    <w:tr2bl w:val="nil"/>
                  </w:tcBorders>
                  <w:vAlign w:val="center"/>
                </w:tcPr>
                <w:p w14:paraId="3F233EC3">
                  <w:pPr>
                    <w:adjustRightInd w:val="0"/>
                    <w:snapToGrid w:val="0"/>
                    <w:jc w:val="center"/>
                    <w:rPr>
                      <w:bCs/>
                      <w:spacing w:val="10"/>
                      <w:sz w:val="18"/>
                      <w:szCs w:val="18"/>
                    </w:rPr>
                  </w:pPr>
                  <w:r>
                    <w:rPr>
                      <w:bCs/>
                      <w:spacing w:val="10"/>
                      <w:sz w:val="18"/>
                      <w:szCs w:val="18"/>
                    </w:rPr>
                    <w:t>0.4393</w:t>
                  </w:r>
                </w:p>
              </w:tc>
              <w:tc>
                <w:tcPr>
                  <w:tcW w:w="715" w:type="pct"/>
                  <w:tcBorders>
                    <w:tl2br w:val="nil"/>
                    <w:tr2bl w:val="nil"/>
                  </w:tcBorders>
                  <w:vAlign w:val="center"/>
                </w:tcPr>
                <w:p w14:paraId="4FD9CCE0">
                  <w:pPr>
                    <w:adjustRightInd w:val="0"/>
                    <w:snapToGrid w:val="0"/>
                    <w:jc w:val="center"/>
                    <w:rPr>
                      <w:bCs/>
                      <w:spacing w:val="10"/>
                      <w:sz w:val="18"/>
                      <w:szCs w:val="18"/>
                    </w:rPr>
                  </w:pPr>
                  <w:r>
                    <w:rPr>
                      <w:bCs/>
                      <w:spacing w:val="10"/>
                      <w:sz w:val="18"/>
                      <w:szCs w:val="18"/>
                    </w:rPr>
                    <w:t>0.0729</w:t>
                  </w:r>
                </w:p>
              </w:tc>
              <w:tc>
                <w:tcPr>
                  <w:tcW w:w="715" w:type="pct"/>
                  <w:tcBorders>
                    <w:tl2br w:val="nil"/>
                    <w:tr2bl w:val="nil"/>
                  </w:tcBorders>
                  <w:vAlign w:val="center"/>
                </w:tcPr>
                <w:p w14:paraId="735D9BC4">
                  <w:pPr>
                    <w:adjustRightInd w:val="0"/>
                    <w:snapToGrid w:val="0"/>
                    <w:jc w:val="center"/>
                    <w:rPr>
                      <w:bCs/>
                      <w:spacing w:val="10"/>
                      <w:sz w:val="18"/>
                      <w:szCs w:val="18"/>
                    </w:rPr>
                  </w:pPr>
                  <w:r>
                    <w:rPr>
                      <w:bCs/>
                      <w:spacing w:val="10"/>
                      <w:sz w:val="18"/>
                      <w:szCs w:val="18"/>
                    </w:rPr>
                    <w:t>6.982</w:t>
                  </w:r>
                </w:p>
              </w:tc>
              <w:tc>
                <w:tcPr>
                  <w:tcW w:w="714" w:type="pct"/>
                  <w:tcBorders>
                    <w:tl2br w:val="nil"/>
                    <w:tr2bl w:val="nil"/>
                  </w:tcBorders>
                  <w:vAlign w:val="center"/>
                </w:tcPr>
                <w:p w14:paraId="3555686E">
                  <w:pPr>
                    <w:adjustRightInd w:val="0"/>
                    <w:snapToGrid w:val="0"/>
                    <w:jc w:val="center"/>
                    <w:rPr>
                      <w:bCs/>
                      <w:spacing w:val="10"/>
                      <w:sz w:val="18"/>
                      <w:szCs w:val="18"/>
                    </w:rPr>
                  </w:pPr>
                  <w:r>
                    <w:rPr>
                      <w:bCs/>
                      <w:spacing w:val="10"/>
                      <w:sz w:val="18"/>
                      <w:szCs w:val="18"/>
                    </w:rPr>
                    <w:t>1731.64</w:t>
                  </w:r>
                </w:p>
              </w:tc>
            </w:tr>
            <w:tr w14:paraId="10979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4A692364">
                  <w:pPr>
                    <w:adjustRightInd w:val="0"/>
                    <w:snapToGrid w:val="0"/>
                    <w:jc w:val="center"/>
                    <w:rPr>
                      <w:bCs/>
                      <w:spacing w:val="10"/>
                      <w:sz w:val="18"/>
                      <w:szCs w:val="18"/>
                    </w:rPr>
                  </w:pPr>
                  <w:r>
                    <w:rPr>
                      <w:bCs/>
                      <w:spacing w:val="10"/>
                      <w:sz w:val="18"/>
                      <w:szCs w:val="18"/>
                    </w:rPr>
                    <w:t>2025/6/27</w:t>
                  </w:r>
                </w:p>
              </w:tc>
              <w:tc>
                <w:tcPr>
                  <w:tcW w:w="714" w:type="pct"/>
                  <w:tcBorders>
                    <w:tl2br w:val="nil"/>
                    <w:tr2bl w:val="nil"/>
                  </w:tcBorders>
                  <w:vAlign w:val="center"/>
                </w:tcPr>
                <w:p w14:paraId="0D03CD18">
                  <w:pPr>
                    <w:adjustRightInd w:val="0"/>
                    <w:snapToGrid w:val="0"/>
                    <w:jc w:val="center"/>
                    <w:rPr>
                      <w:bCs/>
                      <w:spacing w:val="10"/>
                      <w:sz w:val="18"/>
                      <w:szCs w:val="18"/>
                    </w:rPr>
                  </w:pPr>
                  <w:r>
                    <w:rPr>
                      <w:bCs/>
                      <w:spacing w:val="10"/>
                      <w:sz w:val="18"/>
                      <w:szCs w:val="18"/>
                    </w:rPr>
                    <w:t>6.79</w:t>
                  </w:r>
                </w:p>
              </w:tc>
              <w:tc>
                <w:tcPr>
                  <w:tcW w:w="714" w:type="pct"/>
                  <w:tcBorders>
                    <w:tl2br w:val="nil"/>
                    <w:tr2bl w:val="nil"/>
                  </w:tcBorders>
                  <w:vAlign w:val="center"/>
                </w:tcPr>
                <w:p w14:paraId="25FC5CB3">
                  <w:pPr>
                    <w:adjustRightInd w:val="0"/>
                    <w:snapToGrid w:val="0"/>
                    <w:jc w:val="center"/>
                    <w:rPr>
                      <w:bCs/>
                      <w:spacing w:val="10"/>
                      <w:sz w:val="18"/>
                      <w:szCs w:val="18"/>
                    </w:rPr>
                  </w:pPr>
                  <w:r>
                    <w:rPr>
                      <w:bCs/>
                      <w:spacing w:val="10"/>
                      <w:sz w:val="18"/>
                      <w:szCs w:val="18"/>
                    </w:rPr>
                    <w:t>12</w:t>
                  </w:r>
                </w:p>
              </w:tc>
              <w:tc>
                <w:tcPr>
                  <w:tcW w:w="715" w:type="pct"/>
                  <w:tcBorders>
                    <w:tl2br w:val="nil"/>
                    <w:tr2bl w:val="nil"/>
                  </w:tcBorders>
                  <w:vAlign w:val="center"/>
                </w:tcPr>
                <w:p w14:paraId="55456AEB">
                  <w:pPr>
                    <w:adjustRightInd w:val="0"/>
                    <w:snapToGrid w:val="0"/>
                    <w:jc w:val="center"/>
                    <w:rPr>
                      <w:bCs/>
                      <w:spacing w:val="10"/>
                      <w:sz w:val="18"/>
                      <w:szCs w:val="18"/>
                    </w:rPr>
                  </w:pPr>
                  <w:r>
                    <w:rPr>
                      <w:bCs/>
                      <w:spacing w:val="10"/>
                      <w:sz w:val="18"/>
                      <w:szCs w:val="18"/>
                    </w:rPr>
                    <w:t>0.2758</w:t>
                  </w:r>
                </w:p>
              </w:tc>
              <w:tc>
                <w:tcPr>
                  <w:tcW w:w="715" w:type="pct"/>
                  <w:tcBorders>
                    <w:tl2br w:val="nil"/>
                    <w:tr2bl w:val="nil"/>
                  </w:tcBorders>
                  <w:vAlign w:val="center"/>
                </w:tcPr>
                <w:p w14:paraId="05FF14F5">
                  <w:pPr>
                    <w:adjustRightInd w:val="0"/>
                    <w:snapToGrid w:val="0"/>
                    <w:jc w:val="center"/>
                    <w:rPr>
                      <w:bCs/>
                      <w:spacing w:val="10"/>
                      <w:sz w:val="18"/>
                      <w:szCs w:val="18"/>
                    </w:rPr>
                  </w:pPr>
                  <w:r>
                    <w:rPr>
                      <w:bCs/>
                      <w:spacing w:val="10"/>
                      <w:sz w:val="18"/>
                      <w:szCs w:val="18"/>
                    </w:rPr>
                    <w:t>0.0729</w:t>
                  </w:r>
                </w:p>
              </w:tc>
              <w:tc>
                <w:tcPr>
                  <w:tcW w:w="715" w:type="pct"/>
                  <w:tcBorders>
                    <w:tl2br w:val="nil"/>
                    <w:tr2bl w:val="nil"/>
                  </w:tcBorders>
                  <w:vAlign w:val="center"/>
                </w:tcPr>
                <w:p w14:paraId="2DA9C748">
                  <w:pPr>
                    <w:adjustRightInd w:val="0"/>
                    <w:snapToGrid w:val="0"/>
                    <w:jc w:val="center"/>
                    <w:rPr>
                      <w:bCs/>
                      <w:spacing w:val="10"/>
                      <w:sz w:val="18"/>
                      <w:szCs w:val="18"/>
                    </w:rPr>
                  </w:pPr>
                  <w:r>
                    <w:rPr>
                      <w:bCs/>
                      <w:spacing w:val="10"/>
                      <w:sz w:val="18"/>
                      <w:szCs w:val="18"/>
                    </w:rPr>
                    <w:t>6.774</w:t>
                  </w:r>
                </w:p>
              </w:tc>
              <w:tc>
                <w:tcPr>
                  <w:tcW w:w="714" w:type="pct"/>
                  <w:tcBorders>
                    <w:tl2br w:val="nil"/>
                    <w:tr2bl w:val="nil"/>
                  </w:tcBorders>
                  <w:vAlign w:val="center"/>
                </w:tcPr>
                <w:p w14:paraId="738A81AA">
                  <w:pPr>
                    <w:adjustRightInd w:val="0"/>
                    <w:snapToGrid w:val="0"/>
                    <w:jc w:val="center"/>
                    <w:rPr>
                      <w:bCs/>
                      <w:spacing w:val="10"/>
                      <w:sz w:val="18"/>
                      <w:szCs w:val="18"/>
                    </w:rPr>
                  </w:pPr>
                  <w:r>
                    <w:rPr>
                      <w:bCs/>
                      <w:spacing w:val="10"/>
                      <w:sz w:val="18"/>
                      <w:szCs w:val="18"/>
                    </w:rPr>
                    <w:t>1738.18</w:t>
                  </w:r>
                </w:p>
              </w:tc>
            </w:tr>
            <w:tr w14:paraId="66895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641658C1">
                  <w:pPr>
                    <w:adjustRightInd w:val="0"/>
                    <w:snapToGrid w:val="0"/>
                    <w:jc w:val="center"/>
                    <w:rPr>
                      <w:bCs/>
                      <w:spacing w:val="10"/>
                      <w:sz w:val="18"/>
                      <w:szCs w:val="18"/>
                    </w:rPr>
                  </w:pPr>
                  <w:r>
                    <w:rPr>
                      <w:bCs/>
                      <w:spacing w:val="10"/>
                      <w:sz w:val="18"/>
                      <w:szCs w:val="18"/>
                    </w:rPr>
                    <w:t>2025/6/26</w:t>
                  </w:r>
                </w:p>
              </w:tc>
              <w:tc>
                <w:tcPr>
                  <w:tcW w:w="714" w:type="pct"/>
                  <w:tcBorders>
                    <w:tl2br w:val="nil"/>
                    <w:tr2bl w:val="nil"/>
                  </w:tcBorders>
                  <w:vAlign w:val="center"/>
                </w:tcPr>
                <w:p w14:paraId="13706BBC">
                  <w:pPr>
                    <w:adjustRightInd w:val="0"/>
                    <w:snapToGrid w:val="0"/>
                    <w:jc w:val="center"/>
                    <w:rPr>
                      <w:bCs/>
                      <w:spacing w:val="10"/>
                      <w:sz w:val="18"/>
                      <w:szCs w:val="18"/>
                    </w:rPr>
                  </w:pPr>
                  <w:r>
                    <w:rPr>
                      <w:bCs/>
                      <w:spacing w:val="10"/>
                      <w:sz w:val="18"/>
                      <w:szCs w:val="18"/>
                    </w:rPr>
                    <w:t>6.81</w:t>
                  </w:r>
                </w:p>
              </w:tc>
              <w:tc>
                <w:tcPr>
                  <w:tcW w:w="714" w:type="pct"/>
                  <w:tcBorders>
                    <w:tl2br w:val="nil"/>
                    <w:tr2bl w:val="nil"/>
                  </w:tcBorders>
                  <w:vAlign w:val="center"/>
                </w:tcPr>
                <w:p w14:paraId="772BE750">
                  <w:pPr>
                    <w:adjustRightInd w:val="0"/>
                    <w:snapToGrid w:val="0"/>
                    <w:jc w:val="center"/>
                    <w:rPr>
                      <w:bCs/>
                      <w:spacing w:val="10"/>
                      <w:sz w:val="18"/>
                      <w:szCs w:val="18"/>
                    </w:rPr>
                  </w:pPr>
                  <w:r>
                    <w:rPr>
                      <w:bCs/>
                      <w:spacing w:val="10"/>
                      <w:sz w:val="18"/>
                      <w:szCs w:val="18"/>
                    </w:rPr>
                    <w:t>12.14</w:t>
                  </w:r>
                </w:p>
              </w:tc>
              <w:tc>
                <w:tcPr>
                  <w:tcW w:w="715" w:type="pct"/>
                  <w:tcBorders>
                    <w:tl2br w:val="nil"/>
                    <w:tr2bl w:val="nil"/>
                  </w:tcBorders>
                  <w:vAlign w:val="center"/>
                </w:tcPr>
                <w:p w14:paraId="767DC859">
                  <w:pPr>
                    <w:adjustRightInd w:val="0"/>
                    <w:snapToGrid w:val="0"/>
                    <w:jc w:val="center"/>
                    <w:rPr>
                      <w:bCs/>
                      <w:spacing w:val="10"/>
                      <w:sz w:val="18"/>
                      <w:szCs w:val="18"/>
                    </w:rPr>
                  </w:pPr>
                  <w:r>
                    <w:rPr>
                      <w:bCs/>
                      <w:spacing w:val="10"/>
                      <w:sz w:val="18"/>
                      <w:szCs w:val="18"/>
                    </w:rPr>
                    <w:t>0.279</w:t>
                  </w:r>
                </w:p>
              </w:tc>
              <w:tc>
                <w:tcPr>
                  <w:tcW w:w="715" w:type="pct"/>
                  <w:tcBorders>
                    <w:tl2br w:val="nil"/>
                    <w:tr2bl w:val="nil"/>
                  </w:tcBorders>
                  <w:vAlign w:val="center"/>
                </w:tcPr>
                <w:p w14:paraId="7E154800">
                  <w:pPr>
                    <w:adjustRightInd w:val="0"/>
                    <w:snapToGrid w:val="0"/>
                    <w:jc w:val="center"/>
                    <w:rPr>
                      <w:bCs/>
                      <w:spacing w:val="10"/>
                      <w:sz w:val="18"/>
                      <w:szCs w:val="18"/>
                    </w:rPr>
                  </w:pPr>
                  <w:r>
                    <w:rPr>
                      <w:bCs/>
                      <w:spacing w:val="10"/>
                      <w:sz w:val="18"/>
                      <w:szCs w:val="18"/>
                    </w:rPr>
                    <w:t>0.0925</w:t>
                  </w:r>
                </w:p>
              </w:tc>
              <w:tc>
                <w:tcPr>
                  <w:tcW w:w="715" w:type="pct"/>
                  <w:tcBorders>
                    <w:tl2br w:val="nil"/>
                    <w:tr2bl w:val="nil"/>
                  </w:tcBorders>
                  <w:vAlign w:val="center"/>
                </w:tcPr>
                <w:p w14:paraId="3221604C">
                  <w:pPr>
                    <w:adjustRightInd w:val="0"/>
                    <w:snapToGrid w:val="0"/>
                    <w:jc w:val="center"/>
                    <w:rPr>
                      <w:bCs/>
                      <w:spacing w:val="10"/>
                      <w:sz w:val="18"/>
                      <w:szCs w:val="18"/>
                    </w:rPr>
                  </w:pPr>
                  <w:r>
                    <w:rPr>
                      <w:bCs/>
                      <w:spacing w:val="10"/>
                      <w:sz w:val="18"/>
                      <w:szCs w:val="18"/>
                    </w:rPr>
                    <w:t>7.08</w:t>
                  </w:r>
                </w:p>
              </w:tc>
              <w:tc>
                <w:tcPr>
                  <w:tcW w:w="714" w:type="pct"/>
                  <w:tcBorders>
                    <w:tl2br w:val="nil"/>
                    <w:tr2bl w:val="nil"/>
                  </w:tcBorders>
                  <w:vAlign w:val="center"/>
                </w:tcPr>
                <w:p w14:paraId="586F94AA">
                  <w:pPr>
                    <w:adjustRightInd w:val="0"/>
                    <w:snapToGrid w:val="0"/>
                    <w:jc w:val="center"/>
                    <w:rPr>
                      <w:bCs/>
                      <w:spacing w:val="10"/>
                      <w:sz w:val="18"/>
                      <w:szCs w:val="18"/>
                    </w:rPr>
                  </w:pPr>
                  <w:r>
                    <w:rPr>
                      <w:bCs/>
                      <w:spacing w:val="10"/>
                      <w:sz w:val="18"/>
                      <w:szCs w:val="18"/>
                    </w:rPr>
                    <w:t>1736.89</w:t>
                  </w:r>
                </w:p>
              </w:tc>
            </w:tr>
            <w:tr w14:paraId="16759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320E5478">
                  <w:pPr>
                    <w:adjustRightInd w:val="0"/>
                    <w:snapToGrid w:val="0"/>
                    <w:jc w:val="center"/>
                    <w:rPr>
                      <w:bCs/>
                      <w:spacing w:val="10"/>
                      <w:sz w:val="18"/>
                      <w:szCs w:val="18"/>
                    </w:rPr>
                  </w:pPr>
                  <w:r>
                    <w:rPr>
                      <w:rFonts w:hint="eastAsia"/>
                      <w:bCs/>
                      <w:spacing w:val="10"/>
                      <w:sz w:val="18"/>
                      <w:szCs w:val="18"/>
                    </w:rPr>
                    <w:t>标准值</w:t>
                  </w:r>
                </w:p>
              </w:tc>
              <w:tc>
                <w:tcPr>
                  <w:tcW w:w="714" w:type="pct"/>
                  <w:tcBorders>
                    <w:tl2br w:val="nil"/>
                    <w:tr2bl w:val="nil"/>
                  </w:tcBorders>
                  <w:vAlign w:val="center"/>
                </w:tcPr>
                <w:p w14:paraId="39B64D86">
                  <w:pPr>
                    <w:adjustRightInd w:val="0"/>
                    <w:snapToGrid w:val="0"/>
                    <w:jc w:val="center"/>
                    <w:rPr>
                      <w:bCs/>
                      <w:spacing w:val="10"/>
                      <w:sz w:val="18"/>
                      <w:szCs w:val="18"/>
                    </w:rPr>
                  </w:pPr>
                  <w:r>
                    <w:rPr>
                      <w:bCs/>
                      <w:spacing w:val="10"/>
                      <w:sz w:val="18"/>
                      <w:szCs w:val="18"/>
                    </w:rPr>
                    <w:t>6~9</w:t>
                  </w:r>
                </w:p>
              </w:tc>
              <w:tc>
                <w:tcPr>
                  <w:tcW w:w="714" w:type="pct"/>
                  <w:tcBorders>
                    <w:tl2br w:val="nil"/>
                    <w:tr2bl w:val="nil"/>
                  </w:tcBorders>
                  <w:vAlign w:val="center"/>
                </w:tcPr>
                <w:p w14:paraId="2487D5AA">
                  <w:pPr>
                    <w:adjustRightInd w:val="0"/>
                    <w:snapToGrid w:val="0"/>
                    <w:jc w:val="center"/>
                    <w:rPr>
                      <w:bCs/>
                      <w:spacing w:val="10"/>
                      <w:sz w:val="18"/>
                      <w:szCs w:val="18"/>
                    </w:rPr>
                  </w:pPr>
                  <w:r>
                    <w:rPr>
                      <w:bCs/>
                      <w:spacing w:val="10"/>
                      <w:sz w:val="18"/>
                      <w:szCs w:val="18"/>
                    </w:rPr>
                    <w:t>40</w:t>
                  </w:r>
                </w:p>
              </w:tc>
              <w:tc>
                <w:tcPr>
                  <w:tcW w:w="715" w:type="pct"/>
                  <w:tcBorders>
                    <w:tl2br w:val="nil"/>
                    <w:tr2bl w:val="nil"/>
                  </w:tcBorders>
                  <w:vAlign w:val="center"/>
                </w:tcPr>
                <w:p w14:paraId="2777C7D7">
                  <w:pPr>
                    <w:adjustRightInd w:val="0"/>
                    <w:snapToGrid w:val="0"/>
                    <w:jc w:val="center"/>
                    <w:rPr>
                      <w:bCs/>
                      <w:spacing w:val="10"/>
                      <w:sz w:val="18"/>
                      <w:szCs w:val="18"/>
                    </w:rPr>
                  </w:pPr>
                  <w:r>
                    <w:rPr>
                      <w:bCs/>
                      <w:spacing w:val="10"/>
                      <w:sz w:val="18"/>
                      <w:szCs w:val="18"/>
                    </w:rPr>
                    <w:t>2</w:t>
                  </w:r>
                </w:p>
              </w:tc>
              <w:tc>
                <w:tcPr>
                  <w:tcW w:w="715" w:type="pct"/>
                  <w:tcBorders>
                    <w:tl2br w:val="nil"/>
                    <w:tr2bl w:val="nil"/>
                  </w:tcBorders>
                  <w:vAlign w:val="center"/>
                </w:tcPr>
                <w:p w14:paraId="331A6D71">
                  <w:pPr>
                    <w:adjustRightInd w:val="0"/>
                    <w:snapToGrid w:val="0"/>
                    <w:jc w:val="center"/>
                    <w:rPr>
                      <w:bCs/>
                      <w:spacing w:val="10"/>
                      <w:sz w:val="18"/>
                      <w:szCs w:val="18"/>
                    </w:rPr>
                  </w:pPr>
                  <w:r>
                    <w:rPr>
                      <w:bCs/>
                      <w:spacing w:val="10"/>
                      <w:sz w:val="18"/>
                      <w:szCs w:val="18"/>
                    </w:rPr>
                    <w:t>0.3</w:t>
                  </w:r>
                </w:p>
              </w:tc>
              <w:tc>
                <w:tcPr>
                  <w:tcW w:w="715" w:type="pct"/>
                  <w:tcBorders>
                    <w:tl2br w:val="nil"/>
                    <w:tr2bl w:val="nil"/>
                  </w:tcBorders>
                  <w:vAlign w:val="center"/>
                </w:tcPr>
                <w:p w14:paraId="3881E6C1">
                  <w:pPr>
                    <w:adjustRightInd w:val="0"/>
                    <w:snapToGrid w:val="0"/>
                    <w:jc w:val="center"/>
                    <w:rPr>
                      <w:bCs/>
                      <w:spacing w:val="10"/>
                      <w:sz w:val="18"/>
                      <w:szCs w:val="18"/>
                    </w:rPr>
                  </w:pPr>
                  <w:r>
                    <w:rPr>
                      <w:bCs/>
                      <w:spacing w:val="10"/>
                      <w:sz w:val="18"/>
                      <w:szCs w:val="18"/>
                    </w:rPr>
                    <w:t>12</w:t>
                  </w:r>
                </w:p>
              </w:tc>
              <w:tc>
                <w:tcPr>
                  <w:tcW w:w="714" w:type="pct"/>
                  <w:tcBorders>
                    <w:tl2br w:val="nil"/>
                    <w:tr2bl w:val="nil"/>
                  </w:tcBorders>
                  <w:vAlign w:val="center"/>
                </w:tcPr>
                <w:p w14:paraId="7EBAC593">
                  <w:pPr>
                    <w:adjustRightInd w:val="0"/>
                    <w:snapToGrid w:val="0"/>
                    <w:jc w:val="center"/>
                    <w:rPr>
                      <w:bCs/>
                      <w:spacing w:val="10"/>
                      <w:sz w:val="18"/>
                      <w:szCs w:val="18"/>
                    </w:rPr>
                  </w:pPr>
                  <w:r>
                    <w:rPr>
                      <w:bCs/>
                      <w:spacing w:val="10"/>
                      <w:sz w:val="18"/>
                      <w:szCs w:val="18"/>
                    </w:rPr>
                    <w:t>/</w:t>
                  </w:r>
                </w:p>
              </w:tc>
            </w:tr>
            <w:tr w14:paraId="15314F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2" w:type="pct"/>
                  <w:tcBorders>
                    <w:tl2br w:val="nil"/>
                    <w:tr2bl w:val="nil"/>
                  </w:tcBorders>
                  <w:vAlign w:val="center"/>
                </w:tcPr>
                <w:p w14:paraId="673ABCD7">
                  <w:pPr>
                    <w:adjustRightInd w:val="0"/>
                    <w:snapToGrid w:val="0"/>
                    <w:jc w:val="center"/>
                    <w:rPr>
                      <w:bCs/>
                      <w:spacing w:val="10"/>
                      <w:sz w:val="18"/>
                      <w:szCs w:val="18"/>
                    </w:rPr>
                  </w:pPr>
                  <w:r>
                    <w:rPr>
                      <w:rFonts w:hint="eastAsia"/>
                      <w:bCs/>
                      <w:spacing w:val="10"/>
                      <w:sz w:val="18"/>
                      <w:szCs w:val="18"/>
                    </w:rPr>
                    <w:t>是否达标</w:t>
                  </w:r>
                </w:p>
              </w:tc>
              <w:tc>
                <w:tcPr>
                  <w:tcW w:w="714" w:type="pct"/>
                  <w:tcBorders>
                    <w:tl2br w:val="nil"/>
                    <w:tr2bl w:val="nil"/>
                  </w:tcBorders>
                  <w:vAlign w:val="center"/>
                </w:tcPr>
                <w:p w14:paraId="78A2024E">
                  <w:pPr>
                    <w:adjustRightInd w:val="0"/>
                    <w:snapToGrid w:val="0"/>
                    <w:jc w:val="center"/>
                    <w:rPr>
                      <w:bCs/>
                      <w:spacing w:val="10"/>
                      <w:sz w:val="18"/>
                      <w:szCs w:val="18"/>
                    </w:rPr>
                  </w:pPr>
                  <w:r>
                    <w:rPr>
                      <w:rFonts w:hint="eastAsia"/>
                      <w:bCs/>
                      <w:spacing w:val="10"/>
                      <w:sz w:val="18"/>
                      <w:szCs w:val="18"/>
                    </w:rPr>
                    <w:t>达标</w:t>
                  </w:r>
                </w:p>
              </w:tc>
              <w:tc>
                <w:tcPr>
                  <w:tcW w:w="714" w:type="pct"/>
                  <w:tcBorders>
                    <w:tl2br w:val="nil"/>
                    <w:tr2bl w:val="nil"/>
                  </w:tcBorders>
                  <w:vAlign w:val="center"/>
                </w:tcPr>
                <w:p w14:paraId="477130B1">
                  <w:pPr>
                    <w:adjustRightInd w:val="0"/>
                    <w:snapToGrid w:val="0"/>
                    <w:jc w:val="center"/>
                    <w:rPr>
                      <w:bCs/>
                      <w:spacing w:val="10"/>
                      <w:sz w:val="18"/>
                      <w:szCs w:val="18"/>
                    </w:rPr>
                  </w:pPr>
                  <w:r>
                    <w:rPr>
                      <w:rFonts w:hint="eastAsia"/>
                      <w:bCs/>
                      <w:spacing w:val="10"/>
                      <w:sz w:val="18"/>
                      <w:szCs w:val="18"/>
                    </w:rPr>
                    <w:t>达标</w:t>
                  </w:r>
                </w:p>
              </w:tc>
              <w:tc>
                <w:tcPr>
                  <w:tcW w:w="715" w:type="pct"/>
                  <w:tcBorders>
                    <w:tl2br w:val="nil"/>
                    <w:tr2bl w:val="nil"/>
                  </w:tcBorders>
                  <w:vAlign w:val="center"/>
                </w:tcPr>
                <w:p w14:paraId="643EBAF5">
                  <w:pPr>
                    <w:adjustRightInd w:val="0"/>
                    <w:snapToGrid w:val="0"/>
                    <w:jc w:val="center"/>
                    <w:rPr>
                      <w:bCs/>
                      <w:spacing w:val="10"/>
                      <w:sz w:val="18"/>
                      <w:szCs w:val="18"/>
                    </w:rPr>
                  </w:pPr>
                  <w:r>
                    <w:rPr>
                      <w:rFonts w:hint="eastAsia"/>
                      <w:bCs/>
                      <w:spacing w:val="10"/>
                      <w:sz w:val="18"/>
                      <w:szCs w:val="18"/>
                    </w:rPr>
                    <w:t>达标</w:t>
                  </w:r>
                </w:p>
              </w:tc>
              <w:tc>
                <w:tcPr>
                  <w:tcW w:w="715" w:type="pct"/>
                  <w:tcBorders>
                    <w:tl2br w:val="nil"/>
                    <w:tr2bl w:val="nil"/>
                  </w:tcBorders>
                  <w:vAlign w:val="center"/>
                </w:tcPr>
                <w:p w14:paraId="6CF4F752">
                  <w:pPr>
                    <w:adjustRightInd w:val="0"/>
                    <w:snapToGrid w:val="0"/>
                    <w:jc w:val="center"/>
                    <w:rPr>
                      <w:bCs/>
                      <w:spacing w:val="10"/>
                      <w:sz w:val="18"/>
                      <w:szCs w:val="18"/>
                    </w:rPr>
                  </w:pPr>
                  <w:r>
                    <w:rPr>
                      <w:rFonts w:hint="eastAsia"/>
                      <w:bCs/>
                      <w:spacing w:val="10"/>
                      <w:sz w:val="18"/>
                      <w:szCs w:val="18"/>
                    </w:rPr>
                    <w:t>达标</w:t>
                  </w:r>
                </w:p>
              </w:tc>
              <w:tc>
                <w:tcPr>
                  <w:tcW w:w="715" w:type="pct"/>
                  <w:tcBorders>
                    <w:tl2br w:val="nil"/>
                    <w:tr2bl w:val="nil"/>
                  </w:tcBorders>
                  <w:vAlign w:val="center"/>
                </w:tcPr>
                <w:p w14:paraId="6F4EABCF">
                  <w:pPr>
                    <w:adjustRightInd w:val="0"/>
                    <w:snapToGrid w:val="0"/>
                    <w:jc w:val="center"/>
                    <w:rPr>
                      <w:bCs/>
                      <w:spacing w:val="10"/>
                      <w:sz w:val="18"/>
                      <w:szCs w:val="18"/>
                    </w:rPr>
                  </w:pPr>
                  <w:r>
                    <w:rPr>
                      <w:rFonts w:hint="eastAsia"/>
                      <w:bCs/>
                      <w:spacing w:val="10"/>
                      <w:sz w:val="18"/>
                      <w:szCs w:val="18"/>
                    </w:rPr>
                    <w:t>达标</w:t>
                  </w:r>
                </w:p>
              </w:tc>
              <w:tc>
                <w:tcPr>
                  <w:tcW w:w="714" w:type="pct"/>
                  <w:tcBorders>
                    <w:tl2br w:val="nil"/>
                    <w:tr2bl w:val="nil"/>
                  </w:tcBorders>
                  <w:vAlign w:val="center"/>
                </w:tcPr>
                <w:p w14:paraId="1160BC1C">
                  <w:pPr>
                    <w:adjustRightInd w:val="0"/>
                    <w:snapToGrid w:val="0"/>
                    <w:jc w:val="center"/>
                    <w:rPr>
                      <w:bCs/>
                      <w:spacing w:val="10"/>
                      <w:sz w:val="18"/>
                      <w:szCs w:val="18"/>
                    </w:rPr>
                  </w:pPr>
                  <w:r>
                    <w:rPr>
                      <w:bCs/>
                      <w:spacing w:val="10"/>
                      <w:sz w:val="18"/>
                      <w:szCs w:val="18"/>
                    </w:rPr>
                    <w:t>/</w:t>
                  </w:r>
                </w:p>
              </w:tc>
            </w:tr>
          </w:tbl>
          <w:p w14:paraId="79D248C7">
            <w:pPr>
              <w:adjustRightInd w:val="0"/>
              <w:snapToGrid w:val="0"/>
              <w:spacing w:line="360" w:lineRule="auto"/>
              <w:ind w:firstLine="460" w:firstLineChars="200"/>
              <w:rPr>
                <w:bCs/>
                <w:spacing w:val="10"/>
                <w:szCs w:val="21"/>
              </w:rPr>
            </w:pPr>
            <w:r>
              <w:rPr>
                <w:rFonts w:hint="eastAsia"/>
                <w:bCs/>
                <w:spacing w:val="10"/>
                <w:szCs w:val="21"/>
              </w:rPr>
              <w:t>从表中可以看出，余杭污水处理厂出水水质可以稳定达标。余杭污水处理厂设计污水处理能力为21万t/d（其中一~三期6万t/d，四期15万t/d），根据排污许可证公开平台的余杭污水处理厂2024年二季度季报，余杭污水处理厂一~三期日均处理量约4.7万t/d，四期日均处理量约13.7万t/d，合计尚有2.1万t/d余量。本项目新增废水排放量约为3</w:t>
            </w:r>
            <w:r>
              <w:rPr>
                <w:rFonts w:hint="eastAsia"/>
                <w:bCs/>
                <w:spacing w:val="10"/>
                <w:szCs w:val="21"/>
                <w:lang w:val="en-US" w:eastAsia="zh-CN"/>
              </w:rPr>
              <w:t xml:space="preserve">.3 </w:t>
            </w:r>
            <w:r>
              <w:rPr>
                <w:rFonts w:hint="eastAsia"/>
                <w:bCs/>
                <w:spacing w:val="10"/>
                <w:szCs w:val="21"/>
              </w:rPr>
              <w:t>t/d，故污水处理厂尚有足够的处理余量接纳本项目废水。</w:t>
            </w:r>
          </w:p>
          <w:p w14:paraId="54723FF1">
            <w:pPr>
              <w:spacing w:line="360" w:lineRule="auto"/>
              <w:ind w:firstLine="460" w:firstLineChars="200"/>
              <w:rPr>
                <w:rFonts w:hint="eastAsia"/>
                <w:bCs/>
                <w:spacing w:val="10"/>
                <w:szCs w:val="21"/>
              </w:rPr>
            </w:pPr>
            <w:r>
              <w:rPr>
                <w:rFonts w:hint="eastAsia"/>
                <w:bCs/>
                <w:spacing w:val="10"/>
                <w:szCs w:val="21"/>
              </w:rPr>
              <w:t>综上所述，项目废水采取相应治理措施后，废水达标纳管排放，依托的污水处理设施环境可行，因此，项目的地表水环境影响是可以接受的。</w:t>
            </w:r>
          </w:p>
          <w:p w14:paraId="38B4D707">
            <w:pPr>
              <w:numPr>
                <w:ilvl w:val="0"/>
                <w:numId w:val="14"/>
              </w:numPr>
              <w:spacing w:line="360" w:lineRule="auto"/>
              <w:rPr>
                <w:b/>
                <w:bCs/>
                <w:szCs w:val="21"/>
              </w:rPr>
            </w:pPr>
            <w:r>
              <w:rPr>
                <w:rFonts w:hint="eastAsia"/>
                <w:b/>
                <w:bCs/>
                <w:szCs w:val="21"/>
                <w:lang w:val="en-US" w:eastAsia="zh-CN"/>
              </w:rPr>
              <w:t>废水监测计划</w:t>
            </w:r>
          </w:p>
          <w:p w14:paraId="636A5E1C">
            <w:pPr>
              <w:bidi w:val="0"/>
              <w:spacing w:line="360" w:lineRule="auto"/>
              <w:ind w:firstLine="420" w:firstLineChars="200"/>
              <w:rPr>
                <w:rFonts w:hint="eastAsia"/>
              </w:rPr>
            </w:pPr>
            <w:r>
              <w:rPr>
                <w:rFonts w:hint="eastAsia"/>
              </w:rPr>
              <w:t>根据《排污单位自行监测技术指南</w:t>
            </w:r>
            <w:r>
              <w:rPr>
                <w:rFonts w:hint="default"/>
              </w:rPr>
              <w:t xml:space="preserve"> </w:t>
            </w:r>
            <w:r>
              <w:rPr>
                <w:rFonts w:hint="eastAsia"/>
              </w:rPr>
              <w:t>总则》</w:t>
            </w:r>
            <w:r>
              <w:rPr>
                <w:rFonts w:hint="eastAsia"/>
                <w:lang w:val="en-US" w:eastAsia="zh-CN"/>
              </w:rPr>
              <w:t>(</w:t>
            </w:r>
            <w:r>
              <w:rPr>
                <w:rFonts w:hint="default"/>
              </w:rPr>
              <w:t>HJ</w:t>
            </w:r>
            <w:r>
              <w:rPr>
                <w:rFonts w:hint="eastAsia"/>
                <w:lang w:val="en-US" w:eastAsia="zh-CN"/>
              </w:rPr>
              <w:t xml:space="preserve"> </w:t>
            </w:r>
            <w:r>
              <w:rPr>
                <w:rFonts w:hint="default"/>
              </w:rPr>
              <w:t>819-2017</w:t>
            </w:r>
            <w:r>
              <w:rPr>
                <w:rFonts w:hint="eastAsia"/>
                <w:lang w:val="en-US" w:eastAsia="zh-CN"/>
              </w:rPr>
              <w:t>)</w:t>
            </w:r>
            <w:r>
              <w:rPr>
                <w:rFonts w:hint="eastAsia"/>
              </w:rPr>
              <w:t>、《排污许可证申请与核发技术规范 总则》</w:t>
            </w:r>
            <w:r>
              <w:rPr>
                <w:rFonts w:hint="eastAsia"/>
                <w:lang w:val="en-US" w:eastAsia="zh-CN"/>
              </w:rPr>
              <w:t>(</w:t>
            </w:r>
            <w:r>
              <w:rPr>
                <w:rFonts w:hint="default"/>
              </w:rPr>
              <w:t>HJ</w:t>
            </w:r>
            <w:r>
              <w:rPr>
                <w:rFonts w:hint="eastAsia"/>
                <w:lang w:val="en-US" w:eastAsia="zh-CN"/>
              </w:rPr>
              <w:t xml:space="preserve"> </w:t>
            </w:r>
            <w:r>
              <w:rPr>
                <w:rFonts w:hint="default"/>
              </w:rPr>
              <w:t>942-2018</w:t>
            </w:r>
            <w:r>
              <w:rPr>
                <w:rFonts w:hint="eastAsia"/>
                <w:lang w:val="en-US" w:eastAsia="zh-CN"/>
              </w:rPr>
              <w:t>)</w:t>
            </w:r>
            <w:r>
              <w:rPr>
                <w:rFonts w:hint="eastAsia"/>
              </w:rPr>
              <w:t>，本项目废</w:t>
            </w:r>
            <w:r>
              <w:rPr>
                <w:rFonts w:hint="eastAsia"/>
                <w:lang w:val="en-US" w:eastAsia="zh-CN"/>
              </w:rPr>
              <w:t>水</w:t>
            </w:r>
            <w:r>
              <w:rPr>
                <w:rFonts w:hint="eastAsia"/>
              </w:rPr>
              <w:t>污染源自行监测计划如下：</w:t>
            </w:r>
          </w:p>
          <w:p w14:paraId="6DE6DCED">
            <w:pPr>
              <w:keepNext w:val="0"/>
              <w:keepLines w:val="0"/>
              <w:pageBreakBefore w:val="0"/>
              <w:widowControl/>
              <w:numPr>
                <w:ilvl w:val="0"/>
                <w:numId w:val="12"/>
              </w:numPr>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hAnsi="黑体" w:eastAsia="黑体" w:cs="黑体"/>
              </w:rPr>
            </w:pPr>
            <w:bookmarkStart w:id="59" w:name="OLE_LINK84"/>
            <w:r>
              <w:rPr>
                <w:rFonts w:hint="eastAsia" w:ascii="黑体" w:hAnsi="黑体" w:eastAsia="黑体" w:cs="黑体"/>
                <w:b w:val="0"/>
                <w:bCs w:val="0"/>
                <w:szCs w:val="24"/>
              </w:rPr>
              <w:t>废水污染源监测计划</w:t>
            </w:r>
            <w:bookmarkEnd w:id="59"/>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95"/>
              <w:gridCol w:w="4598"/>
              <w:gridCol w:w="1227"/>
            </w:tblGrid>
            <w:tr w14:paraId="4807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 w:hRule="atLeast"/>
                <w:jc w:val="center"/>
              </w:trPr>
              <w:tc>
                <w:tcPr>
                  <w:tcW w:w="1178" w:type="pct"/>
                  <w:tcBorders>
                    <w:top w:val="single" w:color="auto" w:sz="4" w:space="0"/>
                    <w:left w:val="single" w:color="auto" w:sz="4" w:space="0"/>
                    <w:bottom w:val="single" w:color="auto" w:sz="4" w:space="0"/>
                    <w:right w:val="single" w:color="auto" w:sz="4" w:space="0"/>
                  </w:tcBorders>
                  <w:vAlign w:val="center"/>
                </w:tcPr>
                <w:p w14:paraId="097EAB4A">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监测点位</w:t>
                  </w:r>
                </w:p>
              </w:tc>
              <w:tc>
                <w:tcPr>
                  <w:tcW w:w="3017" w:type="pct"/>
                  <w:tcBorders>
                    <w:top w:val="single" w:color="auto" w:sz="4" w:space="0"/>
                    <w:left w:val="nil"/>
                    <w:bottom w:val="single" w:color="auto" w:sz="4" w:space="0"/>
                    <w:right w:val="single" w:color="auto" w:sz="4" w:space="0"/>
                  </w:tcBorders>
                  <w:vAlign w:val="center"/>
                </w:tcPr>
                <w:p w14:paraId="5B7DD966">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监测指标</w:t>
                  </w:r>
                </w:p>
              </w:tc>
              <w:tc>
                <w:tcPr>
                  <w:tcW w:w="805" w:type="pct"/>
                  <w:tcBorders>
                    <w:top w:val="single" w:color="auto" w:sz="4" w:space="0"/>
                    <w:left w:val="nil"/>
                    <w:bottom w:val="single" w:color="auto" w:sz="4" w:space="0"/>
                    <w:right w:val="single" w:color="auto" w:sz="4" w:space="0"/>
                  </w:tcBorders>
                  <w:vAlign w:val="center"/>
                </w:tcPr>
                <w:p w14:paraId="0609FBA5">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监测频次</w:t>
                  </w:r>
                </w:p>
              </w:tc>
            </w:tr>
            <w:tr w14:paraId="0D41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 w:hRule="atLeast"/>
                <w:jc w:val="center"/>
              </w:trPr>
              <w:tc>
                <w:tcPr>
                  <w:tcW w:w="1178" w:type="pct"/>
                  <w:tcBorders>
                    <w:top w:val="nil"/>
                    <w:left w:val="single" w:color="auto" w:sz="4" w:space="0"/>
                    <w:right w:val="single" w:color="auto" w:sz="4" w:space="0"/>
                  </w:tcBorders>
                  <w:vAlign w:val="center"/>
                </w:tcPr>
                <w:p w14:paraId="6647EF35">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eastAsia"/>
                    </w:rPr>
                    <w:t>厂区</w:t>
                  </w:r>
                  <w:r>
                    <w:rPr>
                      <w:rFonts w:hint="default"/>
                    </w:rPr>
                    <w:t>废水总排口</w:t>
                  </w:r>
                </w:p>
              </w:tc>
              <w:tc>
                <w:tcPr>
                  <w:tcW w:w="3017" w:type="pct"/>
                  <w:tcBorders>
                    <w:top w:val="single" w:color="auto" w:sz="4" w:space="0"/>
                    <w:left w:val="nil"/>
                    <w:bottom w:val="single" w:color="auto" w:sz="4" w:space="0"/>
                    <w:right w:val="single" w:color="auto" w:sz="4" w:space="0"/>
                  </w:tcBorders>
                  <w:vAlign w:val="center"/>
                </w:tcPr>
                <w:p w14:paraId="70B0A535">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流量、pH值、</w:t>
                  </w:r>
                  <w:r>
                    <w:rPr>
                      <w:rFonts w:hint="eastAsia"/>
                    </w:rPr>
                    <w:t>COD、BOD、氨氮、总氮</w:t>
                  </w:r>
                </w:p>
              </w:tc>
              <w:tc>
                <w:tcPr>
                  <w:tcW w:w="805" w:type="pct"/>
                  <w:tcBorders>
                    <w:top w:val="single" w:color="auto" w:sz="4" w:space="0"/>
                    <w:left w:val="nil"/>
                    <w:bottom w:val="single" w:color="auto" w:sz="4" w:space="0"/>
                    <w:right w:val="single" w:color="auto" w:sz="4" w:space="0"/>
                  </w:tcBorders>
                  <w:vAlign w:val="center"/>
                </w:tcPr>
                <w:p w14:paraId="43BEE41B">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lang w:val="en-US" w:eastAsia="zh-CN"/>
                    </w:rPr>
                  </w:pPr>
                  <w:r>
                    <w:rPr>
                      <w:rFonts w:hint="eastAsia"/>
                      <w:lang w:val="en-US" w:eastAsia="zh-CN"/>
                    </w:rPr>
                    <w:t>一次/年</w:t>
                  </w:r>
                </w:p>
              </w:tc>
            </w:tr>
          </w:tbl>
          <w:p w14:paraId="141D079F">
            <w:pPr>
              <w:spacing w:line="360" w:lineRule="auto"/>
              <w:ind w:firstLine="460" w:firstLineChars="200"/>
              <w:rPr>
                <w:rFonts w:hint="eastAsia"/>
                <w:bCs/>
                <w:spacing w:val="10"/>
                <w:szCs w:val="21"/>
              </w:rPr>
            </w:pPr>
          </w:p>
          <w:p w14:paraId="686CD85A">
            <w:pPr>
              <w:spacing w:line="360" w:lineRule="auto"/>
              <w:rPr>
                <w:b/>
                <w:bCs/>
                <w:sz w:val="22"/>
                <w:szCs w:val="28"/>
              </w:rPr>
            </w:pPr>
            <w:r>
              <w:rPr>
                <w:rFonts w:hint="eastAsia"/>
                <w:b/>
                <w:bCs/>
                <w:sz w:val="22"/>
                <w:szCs w:val="28"/>
              </w:rPr>
              <w:t>4.2.3 噪声</w:t>
            </w:r>
          </w:p>
          <w:p w14:paraId="768A944C">
            <w:pPr>
              <w:spacing w:line="360" w:lineRule="auto"/>
              <w:rPr>
                <w:b/>
                <w:bCs/>
              </w:rPr>
            </w:pPr>
            <w:r>
              <w:rPr>
                <w:rFonts w:hint="eastAsia"/>
                <w:b/>
                <w:bCs/>
              </w:rPr>
              <w:t>1、噪声源强</w:t>
            </w:r>
          </w:p>
          <w:p w14:paraId="61E4603A">
            <w:pPr>
              <w:adjustRightInd w:val="0"/>
              <w:snapToGrid w:val="0"/>
              <w:spacing w:line="360" w:lineRule="auto"/>
              <w:ind w:firstLine="420" w:firstLineChars="200"/>
              <w:jc w:val="left"/>
              <w:rPr>
                <w:bCs/>
                <w:color w:val="0000FF"/>
                <w:spacing w:val="-10"/>
                <w:szCs w:val="18"/>
              </w:rPr>
            </w:pPr>
            <w:r>
              <w:rPr>
                <w:rFonts w:hint="eastAsia"/>
                <w:bCs/>
                <w:szCs w:val="21"/>
              </w:rPr>
              <w:t>本项目噪声主要来自生产设备运转产生的噪声，噪声值在65 dB(A)~8</w:t>
            </w:r>
            <w:r>
              <w:rPr>
                <w:bCs/>
                <w:szCs w:val="21"/>
              </w:rPr>
              <w:t>0</w:t>
            </w:r>
            <w:r>
              <w:rPr>
                <w:rFonts w:hint="eastAsia"/>
                <w:bCs/>
                <w:szCs w:val="21"/>
              </w:rPr>
              <w:t xml:space="preserve"> dB(A)之间，生产设备运转产生的噪声其防护措施主要通过建筑物隔声、基础减振等降噪措施以及加强车间门窗密闭性，定期保养和维护设备，避免设备在不良状态下运行，通过以上措施可使其噪声强度降低10~20 dB(A)；噪声源强详见下表：</w:t>
            </w:r>
          </w:p>
          <w:p w14:paraId="3C01269F">
            <w:pPr>
              <w:spacing w:line="360" w:lineRule="auto"/>
              <w:rPr>
                <w:b/>
                <w:bCs/>
              </w:rPr>
            </w:pPr>
          </w:p>
        </w:tc>
      </w:tr>
    </w:tbl>
    <w:p w14:paraId="085E961C">
      <w:pPr>
        <w:pStyle w:val="22"/>
        <w:jc w:val="both"/>
        <w:outlineLvl w:val="0"/>
        <w:rPr>
          <w:rFonts w:ascii="Times New Roman" w:hAnsi="Times New Roman" w:eastAsia="黑体"/>
          <w:snapToGrid w:val="0"/>
          <w:sz w:val="30"/>
          <w:szCs w:val="30"/>
        </w:rPr>
        <w:sectPr>
          <w:footerReference r:id="rId7"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E5B43D3">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 xml:space="preserve"> 工业企业噪声源强调查清单</w:t>
      </w:r>
    </w:p>
    <w:tbl>
      <w:tblPr>
        <w:tblStyle w:val="26"/>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479"/>
        <w:gridCol w:w="940"/>
        <w:gridCol w:w="1907"/>
        <w:gridCol w:w="1679"/>
        <w:gridCol w:w="1295"/>
        <w:gridCol w:w="1279"/>
        <w:gridCol w:w="736"/>
        <w:gridCol w:w="651"/>
        <w:gridCol w:w="341"/>
        <w:gridCol w:w="651"/>
        <w:gridCol w:w="651"/>
        <w:gridCol w:w="651"/>
        <w:gridCol w:w="655"/>
        <w:gridCol w:w="661"/>
        <w:gridCol w:w="661"/>
        <w:gridCol w:w="661"/>
        <w:gridCol w:w="665"/>
        <w:gridCol w:w="766"/>
        <w:gridCol w:w="1117"/>
        <w:gridCol w:w="962"/>
        <w:gridCol w:w="652"/>
        <w:gridCol w:w="652"/>
        <w:gridCol w:w="656"/>
        <w:gridCol w:w="1011"/>
      </w:tblGrid>
      <w:tr w14:paraId="011251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vMerge w:val="restart"/>
            <w:tcBorders>
              <w:tl2br w:val="nil"/>
              <w:tr2bl w:val="nil"/>
            </w:tcBorders>
            <w:vAlign w:val="center"/>
          </w:tcPr>
          <w:p w14:paraId="7EFDDBDD">
            <w:pPr>
              <w:widowControl/>
              <w:jc w:val="center"/>
              <w:textAlignment w:val="center"/>
              <w:rPr>
                <w:color w:val="000000"/>
                <w:sz w:val="18"/>
                <w:szCs w:val="18"/>
              </w:rPr>
            </w:pPr>
            <w:r>
              <w:rPr>
                <w:rFonts w:hint="eastAsia"/>
                <w:color w:val="000000"/>
                <w:kern w:val="0"/>
                <w:sz w:val="18"/>
                <w:szCs w:val="18"/>
                <w:lang w:bidi="ar"/>
              </w:rPr>
              <w:t>序号</w:t>
            </w:r>
          </w:p>
        </w:tc>
        <w:tc>
          <w:tcPr>
            <w:tcW w:w="231" w:type="pct"/>
            <w:vMerge w:val="restart"/>
            <w:tcBorders>
              <w:tl2br w:val="nil"/>
              <w:tr2bl w:val="nil"/>
            </w:tcBorders>
            <w:vAlign w:val="center"/>
          </w:tcPr>
          <w:p w14:paraId="324F474C">
            <w:pPr>
              <w:widowControl/>
              <w:jc w:val="center"/>
              <w:textAlignment w:val="center"/>
              <w:rPr>
                <w:color w:val="000000"/>
                <w:sz w:val="18"/>
                <w:szCs w:val="18"/>
              </w:rPr>
            </w:pPr>
            <w:r>
              <w:rPr>
                <w:rFonts w:hint="eastAsia"/>
                <w:color w:val="000000"/>
                <w:kern w:val="0"/>
                <w:sz w:val="18"/>
                <w:szCs w:val="18"/>
                <w:lang w:bidi="ar"/>
              </w:rPr>
              <w:t>建筑物名称</w:t>
            </w:r>
          </w:p>
        </w:tc>
        <w:tc>
          <w:tcPr>
            <w:tcW w:w="468" w:type="pct"/>
            <w:vMerge w:val="restart"/>
            <w:tcBorders>
              <w:tl2br w:val="nil"/>
              <w:tr2bl w:val="nil"/>
            </w:tcBorders>
            <w:vAlign w:val="center"/>
          </w:tcPr>
          <w:p w14:paraId="297C57CC">
            <w:pPr>
              <w:widowControl/>
              <w:jc w:val="center"/>
              <w:textAlignment w:val="center"/>
              <w:rPr>
                <w:color w:val="000000"/>
                <w:sz w:val="18"/>
                <w:szCs w:val="18"/>
              </w:rPr>
            </w:pPr>
            <w:r>
              <w:rPr>
                <w:rFonts w:hint="eastAsia"/>
                <w:color w:val="000000"/>
                <w:kern w:val="0"/>
                <w:sz w:val="18"/>
                <w:szCs w:val="18"/>
                <w:lang w:bidi="ar"/>
              </w:rPr>
              <w:t>声源名称</w:t>
            </w:r>
          </w:p>
        </w:tc>
        <w:tc>
          <w:tcPr>
            <w:tcW w:w="412" w:type="pct"/>
            <w:vMerge w:val="restart"/>
            <w:tcBorders>
              <w:tl2br w:val="nil"/>
              <w:tr2bl w:val="nil"/>
            </w:tcBorders>
            <w:vAlign w:val="center"/>
          </w:tcPr>
          <w:p w14:paraId="49C24287">
            <w:pPr>
              <w:widowControl/>
              <w:jc w:val="center"/>
              <w:textAlignment w:val="center"/>
              <w:rPr>
                <w:color w:val="000000"/>
                <w:sz w:val="18"/>
                <w:szCs w:val="18"/>
              </w:rPr>
            </w:pPr>
            <w:r>
              <w:rPr>
                <w:rFonts w:hint="eastAsia"/>
                <w:color w:val="000000"/>
                <w:kern w:val="0"/>
                <w:sz w:val="18"/>
                <w:szCs w:val="18"/>
                <w:lang w:bidi="ar"/>
              </w:rPr>
              <w:t>型号</w:t>
            </w:r>
          </w:p>
        </w:tc>
        <w:tc>
          <w:tcPr>
            <w:tcW w:w="318" w:type="pct"/>
            <w:tcBorders>
              <w:tl2br w:val="nil"/>
              <w:tr2bl w:val="nil"/>
            </w:tcBorders>
            <w:vAlign w:val="center"/>
          </w:tcPr>
          <w:p w14:paraId="144EF385">
            <w:pPr>
              <w:widowControl/>
              <w:jc w:val="center"/>
              <w:textAlignment w:val="center"/>
              <w:rPr>
                <w:color w:val="000000"/>
                <w:sz w:val="18"/>
                <w:szCs w:val="18"/>
              </w:rPr>
            </w:pPr>
            <w:r>
              <w:rPr>
                <w:rFonts w:hint="eastAsia"/>
                <w:color w:val="000000"/>
                <w:kern w:val="0"/>
                <w:sz w:val="18"/>
                <w:szCs w:val="18"/>
                <w:lang w:bidi="ar"/>
              </w:rPr>
              <w:t>声源源强</w:t>
            </w:r>
          </w:p>
        </w:tc>
        <w:tc>
          <w:tcPr>
            <w:tcW w:w="314" w:type="pct"/>
            <w:vMerge w:val="restart"/>
            <w:tcBorders>
              <w:tl2br w:val="nil"/>
              <w:tr2bl w:val="nil"/>
            </w:tcBorders>
            <w:vAlign w:val="center"/>
          </w:tcPr>
          <w:p w14:paraId="6317A2CD">
            <w:pPr>
              <w:widowControl/>
              <w:jc w:val="center"/>
              <w:textAlignment w:val="center"/>
              <w:rPr>
                <w:color w:val="000000"/>
                <w:sz w:val="18"/>
                <w:szCs w:val="18"/>
              </w:rPr>
            </w:pPr>
            <w:r>
              <w:rPr>
                <w:rFonts w:hint="eastAsia"/>
                <w:color w:val="000000"/>
                <w:kern w:val="0"/>
                <w:sz w:val="18"/>
                <w:szCs w:val="18"/>
                <w:lang w:bidi="ar"/>
              </w:rPr>
              <w:t>声源控制措施</w:t>
            </w:r>
          </w:p>
        </w:tc>
        <w:tc>
          <w:tcPr>
            <w:tcW w:w="425" w:type="pct"/>
            <w:gridSpan w:val="3"/>
            <w:tcBorders>
              <w:tl2br w:val="nil"/>
              <w:tr2bl w:val="nil"/>
            </w:tcBorders>
            <w:vAlign w:val="center"/>
          </w:tcPr>
          <w:p w14:paraId="0C0BBBD4">
            <w:pPr>
              <w:widowControl/>
              <w:jc w:val="center"/>
              <w:textAlignment w:val="center"/>
              <w:rPr>
                <w:color w:val="000000"/>
                <w:sz w:val="18"/>
                <w:szCs w:val="18"/>
              </w:rPr>
            </w:pPr>
            <w:r>
              <w:rPr>
                <w:rFonts w:hint="eastAsia"/>
                <w:color w:val="000000"/>
                <w:kern w:val="0"/>
                <w:sz w:val="18"/>
                <w:szCs w:val="18"/>
                <w:lang w:bidi="ar"/>
              </w:rPr>
              <w:t>空间相对位置/m</w:t>
            </w:r>
          </w:p>
        </w:tc>
        <w:tc>
          <w:tcPr>
            <w:tcW w:w="641" w:type="pct"/>
            <w:gridSpan w:val="4"/>
            <w:tcBorders>
              <w:tl2br w:val="nil"/>
              <w:tr2bl w:val="nil"/>
            </w:tcBorders>
            <w:vAlign w:val="center"/>
          </w:tcPr>
          <w:p w14:paraId="1728C18A">
            <w:pPr>
              <w:widowControl/>
              <w:jc w:val="center"/>
              <w:textAlignment w:val="center"/>
              <w:rPr>
                <w:color w:val="000000"/>
                <w:sz w:val="18"/>
                <w:szCs w:val="18"/>
              </w:rPr>
            </w:pPr>
            <w:r>
              <w:rPr>
                <w:rFonts w:hint="eastAsia"/>
                <w:color w:val="000000"/>
                <w:kern w:val="0"/>
                <w:sz w:val="18"/>
                <w:szCs w:val="18"/>
                <w:lang w:bidi="ar"/>
              </w:rPr>
              <w:t>距室内边界距离/m</w:t>
            </w:r>
          </w:p>
        </w:tc>
        <w:tc>
          <w:tcPr>
            <w:tcW w:w="641" w:type="pct"/>
            <w:gridSpan w:val="4"/>
            <w:tcBorders>
              <w:tl2br w:val="nil"/>
              <w:tr2bl w:val="nil"/>
            </w:tcBorders>
            <w:vAlign w:val="center"/>
          </w:tcPr>
          <w:p w14:paraId="26C14210">
            <w:pPr>
              <w:widowControl/>
              <w:jc w:val="center"/>
              <w:textAlignment w:val="center"/>
              <w:rPr>
                <w:color w:val="000000"/>
                <w:sz w:val="18"/>
                <w:szCs w:val="18"/>
              </w:rPr>
            </w:pPr>
            <w:r>
              <w:rPr>
                <w:rFonts w:hint="eastAsia"/>
                <w:color w:val="000000"/>
                <w:kern w:val="0"/>
                <w:sz w:val="18"/>
                <w:szCs w:val="18"/>
                <w:lang w:bidi="ar"/>
              </w:rPr>
              <w:t>室内边界声级/dB(A)</w:t>
            </w:r>
          </w:p>
        </w:tc>
        <w:tc>
          <w:tcPr>
            <w:tcW w:w="188" w:type="pct"/>
            <w:tcBorders>
              <w:tl2br w:val="nil"/>
              <w:tr2bl w:val="nil"/>
            </w:tcBorders>
            <w:vAlign w:val="center"/>
          </w:tcPr>
          <w:p w14:paraId="21C207AC">
            <w:pPr>
              <w:widowControl/>
              <w:jc w:val="center"/>
              <w:textAlignment w:val="center"/>
              <w:rPr>
                <w:color w:val="000000"/>
                <w:sz w:val="18"/>
                <w:szCs w:val="18"/>
              </w:rPr>
            </w:pPr>
            <w:r>
              <w:rPr>
                <w:rFonts w:hint="eastAsia"/>
                <w:color w:val="000000"/>
                <w:kern w:val="0"/>
                <w:sz w:val="18"/>
                <w:szCs w:val="18"/>
                <w:lang w:bidi="ar"/>
              </w:rPr>
              <w:t>运行时段</w:t>
            </w:r>
          </w:p>
        </w:tc>
        <w:tc>
          <w:tcPr>
            <w:tcW w:w="274" w:type="pct"/>
            <w:tcBorders>
              <w:tl2br w:val="nil"/>
              <w:tr2bl w:val="nil"/>
            </w:tcBorders>
            <w:vAlign w:val="center"/>
          </w:tcPr>
          <w:p w14:paraId="14234562">
            <w:pPr>
              <w:widowControl/>
              <w:jc w:val="center"/>
              <w:textAlignment w:val="center"/>
              <w:rPr>
                <w:color w:val="000000"/>
                <w:sz w:val="18"/>
                <w:szCs w:val="18"/>
              </w:rPr>
            </w:pPr>
            <w:r>
              <w:rPr>
                <w:rFonts w:hint="eastAsia"/>
                <w:color w:val="000000"/>
                <w:kern w:val="0"/>
                <w:sz w:val="18"/>
                <w:szCs w:val="18"/>
                <w:lang w:bidi="ar"/>
              </w:rPr>
              <w:t>建筑物插入损失/dB(A)</w:t>
            </w:r>
          </w:p>
        </w:tc>
        <w:tc>
          <w:tcPr>
            <w:tcW w:w="717" w:type="pct"/>
            <w:gridSpan w:val="4"/>
            <w:tcBorders>
              <w:tl2br w:val="nil"/>
              <w:tr2bl w:val="nil"/>
            </w:tcBorders>
            <w:vAlign w:val="center"/>
          </w:tcPr>
          <w:p w14:paraId="559A44B8">
            <w:pPr>
              <w:widowControl/>
              <w:jc w:val="center"/>
              <w:textAlignment w:val="center"/>
              <w:rPr>
                <w:color w:val="000000"/>
                <w:sz w:val="18"/>
                <w:szCs w:val="18"/>
              </w:rPr>
            </w:pPr>
            <w:r>
              <w:rPr>
                <w:rFonts w:hint="eastAsia"/>
                <w:color w:val="000000"/>
                <w:kern w:val="0"/>
                <w:sz w:val="18"/>
                <w:szCs w:val="18"/>
                <w:lang w:bidi="ar"/>
              </w:rPr>
              <w:t>建筑物外噪声/dB(A)</w:t>
            </w:r>
          </w:p>
        </w:tc>
        <w:tc>
          <w:tcPr>
            <w:tcW w:w="248" w:type="pct"/>
            <w:tcBorders>
              <w:tl2br w:val="nil"/>
              <w:tr2bl w:val="nil"/>
            </w:tcBorders>
            <w:vAlign w:val="center"/>
          </w:tcPr>
          <w:p w14:paraId="5BC8AF96">
            <w:pPr>
              <w:widowControl/>
              <w:jc w:val="center"/>
              <w:textAlignment w:val="center"/>
              <w:rPr>
                <w:color w:val="000000"/>
                <w:sz w:val="18"/>
                <w:szCs w:val="18"/>
              </w:rPr>
            </w:pPr>
            <w:r>
              <w:rPr>
                <w:rFonts w:hint="eastAsia"/>
                <w:color w:val="000000"/>
                <w:kern w:val="0"/>
                <w:sz w:val="18"/>
                <w:szCs w:val="18"/>
                <w:lang w:bidi="ar"/>
              </w:rPr>
              <w:t>建筑物外距离/m</w:t>
            </w:r>
          </w:p>
        </w:tc>
      </w:tr>
      <w:tr w14:paraId="058C07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vMerge w:val="continue"/>
            <w:tcBorders>
              <w:tl2br w:val="nil"/>
              <w:tr2bl w:val="nil"/>
            </w:tcBorders>
            <w:vAlign w:val="center"/>
          </w:tcPr>
          <w:p w14:paraId="1FC57A1D">
            <w:pPr>
              <w:widowControl/>
              <w:jc w:val="center"/>
              <w:rPr>
                <w:color w:val="000000"/>
                <w:sz w:val="18"/>
                <w:szCs w:val="18"/>
              </w:rPr>
            </w:pPr>
          </w:p>
        </w:tc>
        <w:tc>
          <w:tcPr>
            <w:tcW w:w="231" w:type="pct"/>
            <w:vMerge w:val="continue"/>
            <w:tcBorders>
              <w:tl2br w:val="nil"/>
              <w:tr2bl w:val="nil"/>
            </w:tcBorders>
            <w:vAlign w:val="center"/>
          </w:tcPr>
          <w:p w14:paraId="2722E4E8">
            <w:pPr>
              <w:widowControl/>
              <w:jc w:val="center"/>
              <w:rPr>
                <w:color w:val="000000"/>
                <w:sz w:val="18"/>
                <w:szCs w:val="18"/>
              </w:rPr>
            </w:pPr>
          </w:p>
        </w:tc>
        <w:tc>
          <w:tcPr>
            <w:tcW w:w="468" w:type="pct"/>
            <w:vMerge w:val="continue"/>
            <w:tcBorders>
              <w:tl2br w:val="nil"/>
              <w:tr2bl w:val="nil"/>
            </w:tcBorders>
            <w:vAlign w:val="center"/>
          </w:tcPr>
          <w:p w14:paraId="72A7C017">
            <w:pPr>
              <w:widowControl/>
              <w:jc w:val="center"/>
              <w:rPr>
                <w:color w:val="000000"/>
                <w:sz w:val="18"/>
                <w:szCs w:val="18"/>
              </w:rPr>
            </w:pPr>
          </w:p>
        </w:tc>
        <w:tc>
          <w:tcPr>
            <w:tcW w:w="412" w:type="pct"/>
            <w:vMerge w:val="continue"/>
            <w:tcBorders>
              <w:tl2br w:val="nil"/>
              <w:tr2bl w:val="nil"/>
            </w:tcBorders>
            <w:vAlign w:val="center"/>
          </w:tcPr>
          <w:p w14:paraId="5545ADA5">
            <w:pPr>
              <w:widowControl/>
              <w:jc w:val="center"/>
              <w:rPr>
                <w:color w:val="000000"/>
                <w:sz w:val="18"/>
                <w:szCs w:val="18"/>
              </w:rPr>
            </w:pPr>
          </w:p>
        </w:tc>
        <w:tc>
          <w:tcPr>
            <w:tcW w:w="318" w:type="pct"/>
            <w:tcBorders>
              <w:tl2br w:val="nil"/>
              <w:tr2bl w:val="nil"/>
            </w:tcBorders>
            <w:vAlign w:val="center"/>
          </w:tcPr>
          <w:p w14:paraId="7B1A8448">
            <w:pPr>
              <w:widowControl/>
              <w:jc w:val="center"/>
              <w:textAlignment w:val="center"/>
              <w:rPr>
                <w:color w:val="000000"/>
                <w:sz w:val="18"/>
                <w:szCs w:val="18"/>
              </w:rPr>
            </w:pPr>
            <w:r>
              <w:rPr>
                <w:rFonts w:hint="eastAsia"/>
                <w:color w:val="000000"/>
                <w:kern w:val="0"/>
                <w:sz w:val="18"/>
                <w:szCs w:val="18"/>
                <w:lang w:bidi="ar"/>
              </w:rPr>
              <w:t>1米处声压级/dB(A)</w:t>
            </w:r>
          </w:p>
        </w:tc>
        <w:tc>
          <w:tcPr>
            <w:tcW w:w="314" w:type="pct"/>
            <w:vMerge w:val="continue"/>
            <w:tcBorders>
              <w:tl2br w:val="nil"/>
              <w:tr2bl w:val="nil"/>
            </w:tcBorders>
            <w:vAlign w:val="center"/>
          </w:tcPr>
          <w:p w14:paraId="09A7020D">
            <w:pPr>
              <w:widowControl/>
              <w:jc w:val="center"/>
              <w:rPr>
                <w:color w:val="000000"/>
                <w:sz w:val="18"/>
                <w:szCs w:val="18"/>
              </w:rPr>
            </w:pPr>
          </w:p>
        </w:tc>
        <w:tc>
          <w:tcPr>
            <w:tcW w:w="181" w:type="pct"/>
            <w:tcBorders>
              <w:tl2br w:val="nil"/>
              <w:tr2bl w:val="nil"/>
            </w:tcBorders>
            <w:vAlign w:val="center"/>
          </w:tcPr>
          <w:p w14:paraId="226D4B13">
            <w:pPr>
              <w:widowControl/>
              <w:jc w:val="center"/>
              <w:textAlignment w:val="center"/>
              <w:rPr>
                <w:color w:val="000000"/>
                <w:sz w:val="18"/>
                <w:szCs w:val="18"/>
              </w:rPr>
            </w:pPr>
            <w:r>
              <w:rPr>
                <w:color w:val="000000"/>
                <w:kern w:val="0"/>
                <w:sz w:val="18"/>
                <w:szCs w:val="18"/>
                <w:lang w:bidi="ar"/>
              </w:rPr>
              <w:t>X</w:t>
            </w:r>
          </w:p>
        </w:tc>
        <w:tc>
          <w:tcPr>
            <w:tcW w:w="160" w:type="pct"/>
            <w:tcBorders>
              <w:tl2br w:val="nil"/>
              <w:tr2bl w:val="nil"/>
            </w:tcBorders>
            <w:vAlign w:val="center"/>
          </w:tcPr>
          <w:p w14:paraId="630FA01B">
            <w:pPr>
              <w:widowControl/>
              <w:jc w:val="center"/>
              <w:textAlignment w:val="center"/>
              <w:rPr>
                <w:color w:val="000000"/>
                <w:sz w:val="18"/>
                <w:szCs w:val="18"/>
              </w:rPr>
            </w:pPr>
            <w:r>
              <w:rPr>
                <w:color w:val="000000"/>
                <w:kern w:val="0"/>
                <w:sz w:val="18"/>
                <w:szCs w:val="18"/>
                <w:lang w:bidi="ar"/>
              </w:rPr>
              <w:t>Y</w:t>
            </w:r>
          </w:p>
        </w:tc>
        <w:tc>
          <w:tcPr>
            <w:tcW w:w="83" w:type="pct"/>
            <w:tcBorders>
              <w:tl2br w:val="nil"/>
              <w:tr2bl w:val="nil"/>
            </w:tcBorders>
            <w:vAlign w:val="center"/>
          </w:tcPr>
          <w:p w14:paraId="08FAD448">
            <w:pPr>
              <w:widowControl/>
              <w:jc w:val="center"/>
              <w:textAlignment w:val="center"/>
              <w:rPr>
                <w:color w:val="000000"/>
                <w:sz w:val="18"/>
                <w:szCs w:val="18"/>
              </w:rPr>
            </w:pPr>
            <w:r>
              <w:rPr>
                <w:color w:val="000000"/>
                <w:kern w:val="0"/>
                <w:sz w:val="18"/>
                <w:szCs w:val="18"/>
                <w:lang w:bidi="ar"/>
              </w:rPr>
              <w:t>Z</w:t>
            </w:r>
          </w:p>
        </w:tc>
        <w:tc>
          <w:tcPr>
            <w:tcW w:w="160" w:type="pct"/>
            <w:tcBorders>
              <w:tl2br w:val="nil"/>
              <w:tr2bl w:val="nil"/>
            </w:tcBorders>
            <w:vAlign w:val="center"/>
          </w:tcPr>
          <w:p w14:paraId="587D5333">
            <w:pPr>
              <w:widowControl/>
              <w:jc w:val="center"/>
              <w:textAlignment w:val="center"/>
              <w:rPr>
                <w:color w:val="000000"/>
                <w:sz w:val="18"/>
                <w:szCs w:val="18"/>
              </w:rPr>
            </w:pPr>
            <w:r>
              <w:rPr>
                <w:rFonts w:hint="eastAsia"/>
                <w:color w:val="000000"/>
                <w:kern w:val="0"/>
                <w:sz w:val="18"/>
                <w:szCs w:val="18"/>
                <w:lang w:bidi="ar"/>
              </w:rPr>
              <w:t>东</w:t>
            </w:r>
          </w:p>
        </w:tc>
        <w:tc>
          <w:tcPr>
            <w:tcW w:w="160" w:type="pct"/>
            <w:tcBorders>
              <w:tl2br w:val="nil"/>
              <w:tr2bl w:val="nil"/>
            </w:tcBorders>
            <w:vAlign w:val="center"/>
          </w:tcPr>
          <w:p w14:paraId="00022FDC">
            <w:pPr>
              <w:widowControl/>
              <w:jc w:val="center"/>
              <w:textAlignment w:val="center"/>
              <w:rPr>
                <w:color w:val="000000"/>
                <w:sz w:val="18"/>
                <w:szCs w:val="18"/>
              </w:rPr>
            </w:pPr>
            <w:r>
              <w:rPr>
                <w:rFonts w:hint="eastAsia"/>
                <w:color w:val="000000"/>
                <w:kern w:val="0"/>
                <w:sz w:val="18"/>
                <w:szCs w:val="18"/>
                <w:lang w:bidi="ar"/>
              </w:rPr>
              <w:t>南</w:t>
            </w:r>
          </w:p>
        </w:tc>
        <w:tc>
          <w:tcPr>
            <w:tcW w:w="160" w:type="pct"/>
            <w:tcBorders>
              <w:tl2br w:val="nil"/>
              <w:tr2bl w:val="nil"/>
            </w:tcBorders>
            <w:vAlign w:val="center"/>
          </w:tcPr>
          <w:p w14:paraId="65B7ED9A">
            <w:pPr>
              <w:widowControl/>
              <w:jc w:val="center"/>
              <w:textAlignment w:val="center"/>
              <w:rPr>
                <w:color w:val="000000"/>
                <w:sz w:val="18"/>
                <w:szCs w:val="18"/>
              </w:rPr>
            </w:pPr>
            <w:r>
              <w:rPr>
                <w:rFonts w:hint="eastAsia"/>
                <w:color w:val="000000"/>
                <w:kern w:val="0"/>
                <w:sz w:val="18"/>
                <w:szCs w:val="18"/>
                <w:lang w:bidi="ar"/>
              </w:rPr>
              <w:t>西</w:t>
            </w:r>
          </w:p>
        </w:tc>
        <w:tc>
          <w:tcPr>
            <w:tcW w:w="160" w:type="pct"/>
            <w:tcBorders>
              <w:tl2br w:val="nil"/>
              <w:tr2bl w:val="nil"/>
            </w:tcBorders>
            <w:vAlign w:val="center"/>
          </w:tcPr>
          <w:p w14:paraId="53BDC251">
            <w:pPr>
              <w:widowControl/>
              <w:jc w:val="center"/>
              <w:textAlignment w:val="center"/>
              <w:rPr>
                <w:color w:val="000000"/>
                <w:sz w:val="18"/>
                <w:szCs w:val="18"/>
              </w:rPr>
            </w:pPr>
            <w:r>
              <w:rPr>
                <w:rFonts w:hint="eastAsia"/>
                <w:color w:val="000000"/>
                <w:kern w:val="0"/>
                <w:sz w:val="18"/>
                <w:szCs w:val="18"/>
                <w:lang w:bidi="ar"/>
              </w:rPr>
              <w:t>北</w:t>
            </w:r>
          </w:p>
        </w:tc>
        <w:tc>
          <w:tcPr>
            <w:tcW w:w="160" w:type="pct"/>
            <w:tcBorders>
              <w:tl2br w:val="nil"/>
              <w:tr2bl w:val="nil"/>
            </w:tcBorders>
            <w:vAlign w:val="center"/>
          </w:tcPr>
          <w:p w14:paraId="3E8D3DEB">
            <w:pPr>
              <w:widowControl/>
              <w:jc w:val="center"/>
              <w:textAlignment w:val="center"/>
              <w:rPr>
                <w:color w:val="000000"/>
                <w:sz w:val="18"/>
                <w:szCs w:val="18"/>
              </w:rPr>
            </w:pPr>
            <w:r>
              <w:rPr>
                <w:rFonts w:hint="eastAsia"/>
                <w:color w:val="000000"/>
                <w:kern w:val="0"/>
                <w:sz w:val="18"/>
                <w:szCs w:val="18"/>
                <w:lang w:bidi="ar"/>
              </w:rPr>
              <w:t>东</w:t>
            </w:r>
          </w:p>
        </w:tc>
        <w:tc>
          <w:tcPr>
            <w:tcW w:w="160" w:type="pct"/>
            <w:tcBorders>
              <w:tl2br w:val="nil"/>
              <w:tr2bl w:val="nil"/>
            </w:tcBorders>
            <w:vAlign w:val="center"/>
          </w:tcPr>
          <w:p w14:paraId="27871CE4">
            <w:pPr>
              <w:widowControl/>
              <w:jc w:val="center"/>
              <w:textAlignment w:val="center"/>
              <w:rPr>
                <w:color w:val="000000"/>
                <w:sz w:val="18"/>
                <w:szCs w:val="18"/>
              </w:rPr>
            </w:pPr>
            <w:r>
              <w:rPr>
                <w:rFonts w:hint="eastAsia"/>
                <w:color w:val="000000"/>
                <w:kern w:val="0"/>
                <w:sz w:val="18"/>
                <w:szCs w:val="18"/>
                <w:lang w:bidi="ar"/>
              </w:rPr>
              <w:t>南</w:t>
            </w:r>
          </w:p>
        </w:tc>
        <w:tc>
          <w:tcPr>
            <w:tcW w:w="160" w:type="pct"/>
            <w:tcBorders>
              <w:tl2br w:val="nil"/>
              <w:tr2bl w:val="nil"/>
            </w:tcBorders>
            <w:vAlign w:val="center"/>
          </w:tcPr>
          <w:p w14:paraId="407C58D1">
            <w:pPr>
              <w:widowControl/>
              <w:jc w:val="center"/>
              <w:textAlignment w:val="center"/>
              <w:rPr>
                <w:color w:val="000000"/>
                <w:sz w:val="18"/>
                <w:szCs w:val="18"/>
              </w:rPr>
            </w:pPr>
            <w:r>
              <w:rPr>
                <w:rFonts w:hint="eastAsia"/>
                <w:color w:val="000000"/>
                <w:kern w:val="0"/>
                <w:sz w:val="18"/>
                <w:szCs w:val="18"/>
                <w:lang w:bidi="ar"/>
              </w:rPr>
              <w:t>西</w:t>
            </w:r>
          </w:p>
        </w:tc>
        <w:tc>
          <w:tcPr>
            <w:tcW w:w="160" w:type="pct"/>
            <w:tcBorders>
              <w:tl2br w:val="nil"/>
              <w:tr2bl w:val="nil"/>
            </w:tcBorders>
            <w:vAlign w:val="center"/>
          </w:tcPr>
          <w:p w14:paraId="2D714E64">
            <w:pPr>
              <w:widowControl/>
              <w:jc w:val="center"/>
              <w:textAlignment w:val="center"/>
              <w:rPr>
                <w:color w:val="000000"/>
                <w:sz w:val="18"/>
                <w:szCs w:val="18"/>
              </w:rPr>
            </w:pPr>
            <w:r>
              <w:rPr>
                <w:rFonts w:hint="eastAsia"/>
                <w:color w:val="000000"/>
                <w:kern w:val="0"/>
                <w:sz w:val="18"/>
                <w:szCs w:val="18"/>
                <w:lang w:bidi="ar"/>
              </w:rPr>
              <w:t>北</w:t>
            </w:r>
          </w:p>
        </w:tc>
        <w:tc>
          <w:tcPr>
            <w:tcW w:w="188" w:type="pct"/>
            <w:tcBorders>
              <w:tl2br w:val="nil"/>
              <w:tr2bl w:val="nil"/>
            </w:tcBorders>
            <w:vAlign w:val="center"/>
          </w:tcPr>
          <w:p w14:paraId="30AA12A6">
            <w:pPr>
              <w:widowControl/>
              <w:jc w:val="center"/>
              <w:rPr>
                <w:color w:val="000000"/>
                <w:sz w:val="18"/>
                <w:szCs w:val="18"/>
              </w:rPr>
            </w:pPr>
          </w:p>
        </w:tc>
        <w:tc>
          <w:tcPr>
            <w:tcW w:w="274" w:type="pct"/>
            <w:tcBorders>
              <w:tl2br w:val="nil"/>
              <w:tr2bl w:val="nil"/>
            </w:tcBorders>
            <w:vAlign w:val="center"/>
          </w:tcPr>
          <w:p w14:paraId="6494DDF6">
            <w:pPr>
              <w:widowControl/>
              <w:jc w:val="center"/>
              <w:rPr>
                <w:color w:val="000000"/>
                <w:sz w:val="18"/>
                <w:szCs w:val="18"/>
              </w:rPr>
            </w:pPr>
          </w:p>
        </w:tc>
        <w:tc>
          <w:tcPr>
            <w:tcW w:w="236" w:type="pct"/>
            <w:tcBorders>
              <w:tl2br w:val="nil"/>
              <w:tr2bl w:val="nil"/>
            </w:tcBorders>
            <w:vAlign w:val="center"/>
          </w:tcPr>
          <w:p w14:paraId="181B73BA">
            <w:pPr>
              <w:widowControl/>
              <w:jc w:val="center"/>
              <w:textAlignment w:val="center"/>
              <w:rPr>
                <w:color w:val="000000"/>
                <w:sz w:val="18"/>
                <w:szCs w:val="18"/>
              </w:rPr>
            </w:pPr>
            <w:r>
              <w:rPr>
                <w:rFonts w:hint="eastAsia"/>
                <w:color w:val="000000"/>
                <w:kern w:val="0"/>
                <w:sz w:val="18"/>
                <w:szCs w:val="18"/>
                <w:lang w:bidi="ar"/>
              </w:rPr>
              <w:t>东</w:t>
            </w:r>
          </w:p>
        </w:tc>
        <w:tc>
          <w:tcPr>
            <w:tcW w:w="160" w:type="pct"/>
            <w:tcBorders>
              <w:tl2br w:val="nil"/>
              <w:tr2bl w:val="nil"/>
            </w:tcBorders>
            <w:vAlign w:val="center"/>
          </w:tcPr>
          <w:p w14:paraId="27155131">
            <w:pPr>
              <w:widowControl/>
              <w:jc w:val="center"/>
              <w:textAlignment w:val="center"/>
              <w:rPr>
                <w:color w:val="000000"/>
                <w:sz w:val="18"/>
                <w:szCs w:val="18"/>
              </w:rPr>
            </w:pPr>
            <w:r>
              <w:rPr>
                <w:rFonts w:hint="eastAsia"/>
                <w:color w:val="000000"/>
                <w:kern w:val="0"/>
                <w:sz w:val="18"/>
                <w:szCs w:val="18"/>
                <w:lang w:bidi="ar"/>
              </w:rPr>
              <w:t>南</w:t>
            </w:r>
          </w:p>
        </w:tc>
        <w:tc>
          <w:tcPr>
            <w:tcW w:w="160" w:type="pct"/>
            <w:tcBorders>
              <w:tl2br w:val="nil"/>
              <w:tr2bl w:val="nil"/>
            </w:tcBorders>
            <w:vAlign w:val="center"/>
          </w:tcPr>
          <w:p w14:paraId="57DDB5F9">
            <w:pPr>
              <w:widowControl/>
              <w:jc w:val="center"/>
              <w:textAlignment w:val="center"/>
              <w:rPr>
                <w:color w:val="000000"/>
                <w:sz w:val="18"/>
                <w:szCs w:val="18"/>
              </w:rPr>
            </w:pPr>
            <w:r>
              <w:rPr>
                <w:rFonts w:hint="eastAsia"/>
                <w:color w:val="000000"/>
                <w:kern w:val="0"/>
                <w:sz w:val="18"/>
                <w:szCs w:val="18"/>
                <w:lang w:bidi="ar"/>
              </w:rPr>
              <w:t>西</w:t>
            </w:r>
          </w:p>
        </w:tc>
        <w:tc>
          <w:tcPr>
            <w:tcW w:w="160" w:type="pct"/>
            <w:tcBorders>
              <w:tl2br w:val="nil"/>
              <w:tr2bl w:val="nil"/>
            </w:tcBorders>
            <w:vAlign w:val="center"/>
          </w:tcPr>
          <w:p w14:paraId="3E41D840">
            <w:pPr>
              <w:widowControl/>
              <w:jc w:val="center"/>
              <w:textAlignment w:val="center"/>
              <w:rPr>
                <w:color w:val="000000"/>
                <w:sz w:val="18"/>
                <w:szCs w:val="18"/>
              </w:rPr>
            </w:pPr>
            <w:r>
              <w:rPr>
                <w:rFonts w:hint="eastAsia"/>
                <w:color w:val="000000"/>
                <w:kern w:val="0"/>
                <w:sz w:val="18"/>
                <w:szCs w:val="18"/>
                <w:lang w:bidi="ar"/>
              </w:rPr>
              <w:t>北</w:t>
            </w:r>
          </w:p>
        </w:tc>
        <w:tc>
          <w:tcPr>
            <w:tcW w:w="248" w:type="pct"/>
            <w:tcBorders>
              <w:tl2br w:val="nil"/>
              <w:tr2bl w:val="nil"/>
            </w:tcBorders>
            <w:vAlign w:val="center"/>
          </w:tcPr>
          <w:p w14:paraId="48F4E275">
            <w:pPr>
              <w:widowControl/>
              <w:jc w:val="center"/>
              <w:rPr>
                <w:color w:val="000000"/>
                <w:sz w:val="18"/>
                <w:szCs w:val="18"/>
              </w:rPr>
            </w:pPr>
          </w:p>
        </w:tc>
      </w:tr>
      <w:tr w14:paraId="3D0B40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5934551D">
            <w:pPr>
              <w:widowControl/>
              <w:jc w:val="center"/>
              <w:textAlignment w:val="center"/>
              <w:rPr>
                <w:color w:val="000000"/>
                <w:sz w:val="18"/>
                <w:szCs w:val="18"/>
              </w:rPr>
            </w:pPr>
            <w:r>
              <w:rPr>
                <w:color w:val="000000"/>
                <w:kern w:val="0"/>
                <w:sz w:val="18"/>
                <w:szCs w:val="18"/>
                <w:lang w:bidi="ar"/>
              </w:rPr>
              <w:t>1</w:t>
            </w:r>
          </w:p>
        </w:tc>
        <w:tc>
          <w:tcPr>
            <w:tcW w:w="231" w:type="pct"/>
            <w:vMerge w:val="restart"/>
            <w:tcBorders>
              <w:tl2br w:val="nil"/>
              <w:tr2bl w:val="nil"/>
            </w:tcBorders>
            <w:noWrap/>
            <w:vAlign w:val="center"/>
          </w:tcPr>
          <w:p w14:paraId="65DDAFD8">
            <w:pPr>
              <w:widowControl/>
              <w:jc w:val="center"/>
              <w:textAlignment w:val="center"/>
              <w:rPr>
                <w:color w:val="000000"/>
                <w:sz w:val="18"/>
                <w:szCs w:val="18"/>
              </w:rPr>
            </w:pPr>
            <w:r>
              <w:rPr>
                <w:rFonts w:hint="eastAsia"/>
                <w:color w:val="000000"/>
                <w:kern w:val="0"/>
                <w:sz w:val="18"/>
                <w:szCs w:val="18"/>
                <w:lang w:bidi="ar"/>
              </w:rPr>
              <w:t>组装一</w:t>
            </w:r>
          </w:p>
        </w:tc>
        <w:tc>
          <w:tcPr>
            <w:tcW w:w="468" w:type="pct"/>
            <w:tcBorders>
              <w:tl2br w:val="nil"/>
              <w:tr2bl w:val="nil"/>
            </w:tcBorders>
            <w:noWrap/>
            <w:vAlign w:val="center"/>
          </w:tcPr>
          <w:p w14:paraId="34270ED4">
            <w:pPr>
              <w:widowControl/>
              <w:jc w:val="center"/>
              <w:textAlignment w:val="center"/>
              <w:rPr>
                <w:color w:val="000000"/>
                <w:sz w:val="18"/>
                <w:szCs w:val="18"/>
              </w:rPr>
            </w:pPr>
            <w:r>
              <w:rPr>
                <w:rFonts w:hint="eastAsia"/>
                <w:color w:val="000000"/>
                <w:kern w:val="0"/>
                <w:sz w:val="18"/>
                <w:szCs w:val="18"/>
                <w:lang w:bidi="ar"/>
              </w:rPr>
              <w:t>料管拉伸机-1</w:t>
            </w:r>
          </w:p>
        </w:tc>
        <w:tc>
          <w:tcPr>
            <w:tcW w:w="412" w:type="pct"/>
            <w:tcBorders>
              <w:tl2br w:val="nil"/>
              <w:tr2bl w:val="nil"/>
            </w:tcBorders>
            <w:noWrap/>
            <w:vAlign w:val="center"/>
          </w:tcPr>
          <w:p w14:paraId="5E5E7ECC">
            <w:pPr>
              <w:widowControl/>
              <w:jc w:val="center"/>
              <w:textAlignment w:val="center"/>
              <w:rPr>
                <w:color w:val="000000"/>
                <w:sz w:val="18"/>
                <w:szCs w:val="18"/>
              </w:rPr>
            </w:pPr>
            <w:r>
              <w:rPr>
                <w:color w:val="000000"/>
                <w:kern w:val="0"/>
                <w:sz w:val="18"/>
                <w:szCs w:val="18"/>
                <w:lang w:bidi="ar"/>
              </w:rPr>
              <w:t>BSM-450</w:t>
            </w:r>
          </w:p>
        </w:tc>
        <w:tc>
          <w:tcPr>
            <w:tcW w:w="318" w:type="pct"/>
            <w:tcBorders>
              <w:tl2br w:val="nil"/>
              <w:tr2bl w:val="nil"/>
            </w:tcBorders>
            <w:noWrap/>
            <w:vAlign w:val="center"/>
          </w:tcPr>
          <w:p w14:paraId="34D9DFE8">
            <w:pPr>
              <w:widowControl/>
              <w:jc w:val="center"/>
              <w:textAlignment w:val="center"/>
              <w:rPr>
                <w:color w:val="000000"/>
                <w:sz w:val="18"/>
                <w:szCs w:val="18"/>
              </w:rPr>
            </w:pPr>
            <w:r>
              <w:rPr>
                <w:color w:val="000000"/>
                <w:kern w:val="0"/>
                <w:sz w:val="18"/>
                <w:szCs w:val="18"/>
                <w:lang w:bidi="ar"/>
              </w:rPr>
              <w:t>70</w:t>
            </w:r>
          </w:p>
        </w:tc>
        <w:tc>
          <w:tcPr>
            <w:tcW w:w="314" w:type="pct"/>
            <w:vMerge w:val="restart"/>
            <w:tcBorders>
              <w:tl2br w:val="nil"/>
              <w:tr2bl w:val="nil"/>
            </w:tcBorders>
            <w:vAlign w:val="center"/>
          </w:tcPr>
          <w:p w14:paraId="6976B390">
            <w:pPr>
              <w:widowControl/>
              <w:jc w:val="center"/>
              <w:textAlignment w:val="center"/>
              <w:rPr>
                <w:color w:val="000000"/>
                <w:sz w:val="18"/>
                <w:szCs w:val="18"/>
              </w:rPr>
            </w:pPr>
            <w:r>
              <w:rPr>
                <w:rFonts w:hint="eastAsia"/>
                <w:color w:val="000000"/>
                <w:kern w:val="0"/>
                <w:sz w:val="18"/>
                <w:szCs w:val="18"/>
                <w:lang w:bidi="ar"/>
              </w:rPr>
              <w:t>基础减震、建筑隔声</w:t>
            </w:r>
          </w:p>
        </w:tc>
        <w:tc>
          <w:tcPr>
            <w:tcW w:w="181" w:type="pct"/>
            <w:tcBorders>
              <w:tl2br w:val="nil"/>
              <w:tr2bl w:val="nil"/>
            </w:tcBorders>
            <w:noWrap/>
            <w:vAlign w:val="center"/>
          </w:tcPr>
          <w:p w14:paraId="7ABA3A35">
            <w:pPr>
              <w:widowControl/>
              <w:jc w:val="center"/>
              <w:textAlignment w:val="center"/>
              <w:rPr>
                <w:color w:val="000000"/>
                <w:sz w:val="18"/>
                <w:szCs w:val="18"/>
              </w:rPr>
            </w:pPr>
            <w:r>
              <w:rPr>
                <w:color w:val="000000"/>
                <w:kern w:val="0"/>
                <w:sz w:val="18"/>
                <w:szCs w:val="18"/>
                <w:lang w:bidi="ar"/>
              </w:rPr>
              <w:t>-90.8</w:t>
            </w:r>
          </w:p>
        </w:tc>
        <w:tc>
          <w:tcPr>
            <w:tcW w:w="160" w:type="pct"/>
            <w:tcBorders>
              <w:tl2br w:val="nil"/>
              <w:tr2bl w:val="nil"/>
            </w:tcBorders>
            <w:noWrap/>
            <w:vAlign w:val="center"/>
          </w:tcPr>
          <w:p w14:paraId="4BA2BBB9">
            <w:pPr>
              <w:widowControl/>
              <w:jc w:val="center"/>
              <w:textAlignment w:val="center"/>
              <w:rPr>
                <w:color w:val="000000"/>
                <w:sz w:val="18"/>
                <w:szCs w:val="18"/>
              </w:rPr>
            </w:pPr>
            <w:r>
              <w:rPr>
                <w:color w:val="000000"/>
                <w:kern w:val="0"/>
                <w:sz w:val="18"/>
                <w:szCs w:val="18"/>
                <w:lang w:bidi="ar"/>
              </w:rPr>
              <w:t>44.77</w:t>
            </w:r>
          </w:p>
        </w:tc>
        <w:tc>
          <w:tcPr>
            <w:tcW w:w="83" w:type="pct"/>
            <w:tcBorders>
              <w:tl2br w:val="nil"/>
              <w:tr2bl w:val="nil"/>
            </w:tcBorders>
            <w:noWrap/>
            <w:vAlign w:val="center"/>
          </w:tcPr>
          <w:p w14:paraId="19026B2E">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CA5B27E">
            <w:pPr>
              <w:widowControl/>
              <w:jc w:val="center"/>
              <w:textAlignment w:val="center"/>
              <w:rPr>
                <w:color w:val="000000"/>
                <w:sz w:val="18"/>
                <w:szCs w:val="18"/>
              </w:rPr>
            </w:pPr>
            <w:r>
              <w:rPr>
                <w:color w:val="000000"/>
                <w:kern w:val="0"/>
                <w:sz w:val="18"/>
                <w:szCs w:val="18"/>
                <w:lang w:bidi="ar"/>
              </w:rPr>
              <w:t>3.27</w:t>
            </w:r>
          </w:p>
        </w:tc>
        <w:tc>
          <w:tcPr>
            <w:tcW w:w="160" w:type="pct"/>
            <w:tcBorders>
              <w:tl2br w:val="nil"/>
              <w:tr2bl w:val="nil"/>
            </w:tcBorders>
            <w:noWrap/>
            <w:vAlign w:val="center"/>
          </w:tcPr>
          <w:p w14:paraId="1451C4B1">
            <w:pPr>
              <w:widowControl/>
              <w:jc w:val="center"/>
              <w:textAlignment w:val="center"/>
              <w:rPr>
                <w:color w:val="000000"/>
                <w:sz w:val="18"/>
                <w:szCs w:val="18"/>
              </w:rPr>
            </w:pPr>
            <w:r>
              <w:rPr>
                <w:color w:val="000000"/>
                <w:kern w:val="0"/>
                <w:sz w:val="18"/>
                <w:szCs w:val="18"/>
                <w:lang w:bidi="ar"/>
              </w:rPr>
              <w:t>18.70</w:t>
            </w:r>
          </w:p>
        </w:tc>
        <w:tc>
          <w:tcPr>
            <w:tcW w:w="160" w:type="pct"/>
            <w:tcBorders>
              <w:tl2br w:val="nil"/>
              <w:tr2bl w:val="nil"/>
            </w:tcBorders>
            <w:noWrap/>
            <w:vAlign w:val="center"/>
          </w:tcPr>
          <w:p w14:paraId="65BEEFBA">
            <w:pPr>
              <w:widowControl/>
              <w:jc w:val="center"/>
              <w:textAlignment w:val="center"/>
              <w:rPr>
                <w:color w:val="000000"/>
                <w:sz w:val="18"/>
                <w:szCs w:val="18"/>
              </w:rPr>
            </w:pPr>
            <w:r>
              <w:rPr>
                <w:color w:val="000000"/>
                <w:kern w:val="0"/>
                <w:sz w:val="18"/>
                <w:szCs w:val="18"/>
                <w:lang w:bidi="ar"/>
              </w:rPr>
              <w:t>99.51</w:t>
            </w:r>
          </w:p>
        </w:tc>
        <w:tc>
          <w:tcPr>
            <w:tcW w:w="160" w:type="pct"/>
            <w:tcBorders>
              <w:tl2br w:val="nil"/>
              <w:tr2bl w:val="nil"/>
            </w:tcBorders>
            <w:noWrap/>
            <w:vAlign w:val="center"/>
          </w:tcPr>
          <w:p w14:paraId="713FA5AE">
            <w:pPr>
              <w:widowControl/>
              <w:jc w:val="center"/>
              <w:textAlignment w:val="center"/>
              <w:rPr>
                <w:color w:val="000000"/>
                <w:sz w:val="18"/>
                <w:szCs w:val="18"/>
              </w:rPr>
            </w:pPr>
            <w:r>
              <w:rPr>
                <w:color w:val="000000"/>
                <w:kern w:val="0"/>
                <w:sz w:val="18"/>
                <w:szCs w:val="18"/>
                <w:lang w:bidi="ar"/>
              </w:rPr>
              <w:t>14.35</w:t>
            </w:r>
          </w:p>
        </w:tc>
        <w:tc>
          <w:tcPr>
            <w:tcW w:w="160" w:type="pct"/>
            <w:tcBorders>
              <w:tl2br w:val="nil"/>
              <w:tr2bl w:val="nil"/>
            </w:tcBorders>
            <w:noWrap/>
            <w:vAlign w:val="center"/>
          </w:tcPr>
          <w:p w14:paraId="03BD2DAA">
            <w:pPr>
              <w:widowControl/>
              <w:jc w:val="center"/>
              <w:textAlignment w:val="center"/>
              <w:rPr>
                <w:color w:val="000000"/>
                <w:sz w:val="18"/>
                <w:szCs w:val="18"/>
              </w:rPr>
            </w:pPr>
            <w:r>
              <w:rPr>
                <w:color w:val="000000"/>
                <w:kern w:val="0"/>
                <w:sz w:val="18"/>
                <w:szCs w:val="18"/>
                <w:lang w:bidi="ar"/>
              </w:rPr>
              <w:t>62.00</w:t>
            </w:r>
          </w:p>
        </w:tc>
        <w:tc>
          <w:tcPr>
            <w:tcW w:w="160" w:type="pct"/>
            <w:tcBorders>
              <w:tl2br w:val="nil"/>
              <w:tr2bl w:val="nil"/>
            </w:tcBorders>
            <w:noWrap/>
            <w:vAlign w:val="center"/>
          </w:tcPr>
          <w:p w14:paraId="7D25F961">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5EDACDD8">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4A330878">
            <w:pPr>
              <w:widowControl/>
              <w:jc w:val="center"/>
              <w:textAlignment w:val="center"/>
              <w:rPr>
                <w:color w:val="000000"/>
                <w:sz w:val="18"/>
                <w:szCs w:val="18"/>
              </w:rPr>
            </w:pPr>
            <w:r>
              <w:rPr>
                <w:color w:val="000000"/>
                <w:kern w:val="0"/>
                <w:sz w:val="18"/>
                <w:szCs w:val="18"/>
                <w:lang w:bidi="ar"/>
              </w:rPr>
              <w:t>61.81</w:t>
            </w:r>
          </w:p>
        </w:tc>
        <w:tc>
          <w:tcPr>
            <w:tcW w:w="188" w:type="pct"/>
            <w:tcBorders>
              <w:tl2br w:val="nil"/>
              <w:tr2bl w:val="nil"/>
            </w:tcBorders>
            <w:noWrap/>
            <w:vAlign w:val="center"/>
          </w:tcPr>
          <w:p w14:paraId="093D7C6A">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38E5CBA">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5FE19F6">
            <w:pPr>
              <w:widowControl/>
              <w:jc w:val="center"/>
              <w:textAlignment w:val="center"/>
              <w:rPr>
                <w:color w:val="000000"/>
                <w:sz w:val="18"/>
                <w:szCs w:val="18"/>
              </w:rPr>
            </w:pPr>
            <w:r>
              <w:rPr>
                <w:color w:val="000000"/>
                <w:kern w:val="0"/>
                <w:sz w:val="18"/>
                <w:szCs w:val="18"/>
                <w:lang w:bidi="ar"/>
              </w:rPr>
              <w:t>41.00</w:t>
            </w:r>
          </w:p>
        </w:tc>
        <w:tc>
          <w:tcPr>
            <w:tcW w:w="160" w:type="pct"/>
            <w:tcBorders>
              <w:tl2br w:val="nil"/>
              <w:tr2bl w:val="nil"/>
            </w:tcBorders>
            <w:noWrap/>
            <w:vAlign w:val="center"/>
          </w:tcPr>
          <w:p w14:paraId="59B44BFE">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44AA12A3">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53590130">
            <w:pPr>
              <w:widowControl/>
              <w:jc w:val="center"/>
              <w:textAlignment w:val="center"/>
              <w:rPr>
                <w:color w:val="000000"/>
                <w:sz w:val="18"/>
                <w:szCs w:val="18"/>
              </w:rPr>
            </w:pPr>
            <w:r>
              <w:rPr>
                <w:color w:val="000000"/>
                <w:kern w:val="0"/>
                <w:sz w:val="18"/>
                <w:szCs w:val="18"/>
                <w:lang w:bidi="ar"/>
              </w:rPr>
              <w:t>40.81</w:t>
            </w:r>
          </w:p>
        </w:tc>
        <w:tc>
          <w:tcPr>
            <w:tcW w:w="248" w:type="pct"/>
            <w:tcBorders>
              <w:tl2br w:val="nil"/>
              <w:tr2bl w:val="nil"/>
            </w:tcBorders>
            <w:noWrap/>
            <w:vAlign w:val="center"/>
          </w:tcPr>
          <w:p w14:paraId="66B4EF40">
            <w:pPr>
              <w:widowControl/>
              <w:jc w:val="center"/>
              <w:textAlignment w:val="center"/>
              <w:rPr>
                <w:color w:val="000000"/>
                <w:sz w:val="18"/>
                <w:szCs w:val="18"/>
              </w:rPr>
            </w:pPr>
            <w:r>
              <w:rPr>
                <w:color w:val="000000"/>
                <w:kern w:val="0"/>
                <w:sz w:val="18"/>
                <w:szCs w:val="18"/>
                <w:lang w:bidi="ar"/>
              </w:rPr>
              <w:t>1</w:t>
            </w:r>
          </w:p>
        </w:tc>
      </w:tr>
      <w:tr w14:paraId="1F48FF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72DD5FA9">
            <w:pPr>
              <w:widowControl/>
              <w:jc w:val="center"/>
              <w:textAlignment w:val="center"/>
              <w:rPr>
                <w:color w:val="000000"/>
                <w:sz w:val="18"/>
                <w:szCs w:val="18"/>
              </w:rPr>
            </w:pPr>
            <w:r>
              <w:rPr>
                <w:color w:val="000000"/>
                <w:kern w:val="0"/>
                <w:sz w:val="18"/>
                <w:szCs w:val="18"/>
                <w:lang w:bidi="ar"/>
              </w:rPr>
              <w:t>2</w:t>
            </w:r>
          </w:p>
        </w:tc>
        <w:tc>
          <w:tcPr>
            <w:tcW w:w="231" w:type="pct"/>
            <w:vMerge w:val="continue"/>
            <w:tcBorders>
              <w:tl2br w:val="nil"/>
              <w:tr2bl w:val="nil"/>
            </w:tcBorders>
            <w:noWrap/>
            <w:vAlign w:val="center"/>
          </w:tcPr>
          <w:p w14:paraId="6A0A5F17">
            <w:pPr>
              <w:widowControl/>
              <w:jc w:val="center"/>
              <w:rPr>
                <w:color w:val="000000"/>
                <w:sz w:val="18"/>
                <w:szCs w:val="18"/>
              </w:rPr>
            </w:pPr>
          </w:p>
        </w:tc>
        <w:tc>
          <w:tcPr>
            <w:tcW w:w="468" w:type="pct"/>
            <w:tcBorders>
              <w:tl2br w:val="nil"/>
              <w:tr2bl w:val="nil"/>
            </w:tcBorders>
            <w:noWrap/>
            <w:vAlign w:val="center"/>
          </w:tcPr>
          <w:p w14:paraId="77313242">
            <w:pPr>
              <w:widowControl/>
              <w:jc w:val="center"/>
              <w:textAlignment w:val="center"/>
              <w:rPr>
                <w:color w:val="000000"/>
                <w:sz w:val="18"/>
                <w:szCs w:val="18"/>
              </w:rPr>
            </w:pPr>
            <w:r>
              <w:rPr>
                <w:rFonts w:hint="eastAsia"/>
                <w:color w:val="000000"/>
                <w:kern w:val="0"/>
                <w:sz w:val="18"/>
                <w:szCs w:val="18"/>
                <w:lang w:bidi="ar"/>
              </w:rPr>
              <w:t>料管拉伸机-2</w:t>
            </w:r>
          </w:p>
        </w:tc>
        <w:tc>
          <w:tcPr>
            <w:tcW w:w="412" w:type="pct"/>
            <w:tcBorders>
              <w:tl2br w:val="nil"/>
              <w:tr2bl w:val="nil"/>
            </w:tcBorders>
            <w:noWrap/>
            <w:vAlign w:val="center"/>
          </w:tcPr>
          <w:p w14:paraId="269C4514">
            <w:pPr>
              <w:widowControl/>
              <w:jc w:val="center"/>
              <w:textAlignment w:val="center"/>
              <w:rPr>
                <w:color w:val="000000"/>
                <w:sz w:val="18"/>
                <w:szCs w:val="18"/>
              </w:rPr>
            </w:pPr>
            <w:r>
              <w:rPr>
                <w:color w:val="000000"/>
                <w:kern w:val="0"/>
                <w:sz w:val="18"/>
                <w:szCs w:val="18"/>
                <w:lang w:bidi="ar"/>
              </w:rPr>
              <w:t>BSM-450</w:t>
            </w:r>
          </w:p>
        </w:tc>
        <w:tc>
          <w:tcPr>
            <w:tcW w:w="318" w:type="pct"/>
            <w:tcBorders>
              <w:tl2br w:val="nil"/>
              <w:tr2bl w:val="nil"/>
            </w:tcBorders>
            <w:noWrap/>
            <w:vAlign w:val="center"/>
          </w:tcPr>
          <w:p w14:paraId="60063651">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2B0B30DE">
            <w:pPr>
              <w:widowControl/>
              <w:jc w:val="center"/>
              <w:rPr>
                <w:color w:val="000000"/>
                <w:sz w:val="18"/>
                <w:szCs w:val="18"/>
              </w:rPr>
            </w:pPr>
          </w:p>
        </w:tc>
        <w:tc>
          <w:tcPr>
            <w:tcW w:w="181" w:type="pct"/>
            <w:tcBorders>
              <w:tl2br w:val="nil"/>
              <w:tr2bl w:val="nil"/>
            </w:tcBorders>
            <w:noWrap/>
            <w:vAlign w:val="center"/>
          </w:tcPr>
          <w:p w14:paraId="5D37A5DB">
            <w:pPr>
              <w:widowControl/>
              <w:jc w:val="center"/>
              <w:textAlignment w:val="center"/>
              <w:rPr>
                <w:color w:val="000000"/>
                <w:sz w:val="18"/>
                <w:szCs w:val="18"/>
              </w:rPr>
            </w:pPr>
            <w:r>
              <w:rPr>
                <w:color w:val="000000"/>
                <w:kern w:val="0"/>
                <w:sz w:val="18"/>
                <w:szCs w:val="18"/>
                <w:lang w:bidi="ar"/>
              </w:rPr>
              <w:t>-89.22</w:t>
            </w:r>
          </w:p>
        </w:tc>
        <w:tc>
          <w:tcPr>
            <w:tcW w:w="160" w:type="pct"/>
            <w:tcBorders>
              <w:tl2br w:val="nil"/>
              <w:tr2bl w:val="nil"/>
            </w:tcBorders>
            <w:noWrap/>
            <w:vAlign w:val="center"/>
          </w:tcPr>
          <w:p w14:paraId="2F6BB476">
            <w:pPr>
              <w:widowControl/>
              <w:jc w:val="center"/>
              <w:textAlignment w:val="center"/>
              <w:rPr>
                <w:color w:val="000000"/>
                <w:sz w:val="18"/>
                <w:szCs w:val="18"/>
              </w:rPr>
            </w:pPr>
            <w:r>
              <w:rPr>
                <w:color w:val="000000"/>
                <w:kern w:val="0"/>
                <w:sz w:val="18"/>
                <w:szCs w:val="18"/>
                <w:lang w:bidi="ar"/>
              </w:rPr>
              <w:t>44.39</w:t>
            </w:r>
          </w:p>
        </w:tc>
        <w:tc>
          <w:tcPr>
            <w:tcW w:w="83" w:type="pct"/>
            <w:tcBorders>
              <w:tl2br w:val="nil"/>
              <w:tr2bl w:val="nil"/>
            </w:tcBorders>
            <w:noWrap/>
            <w:vAlign w:val="center"/>
          </w:tcPr>
          <w:p w14:paraId="428EC296">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55F6375">
            <w:pPr>
              <w:widowControl/>
              <w:jc w:val="center"/>
              <w:textAlignment w:val="center"/>
              <w:rPr>
                <w:color w:val="000000"/>
                <w:sz w:val="18"/>
                <w:szCs w:val="18"/>
              </w:rPr>
            </w:pPr>
            <w:r>
              <w:rPr>
                <w:color w:val="000000"/>
                <w:kern w:val="0"/>
                <w:sz w:val="18"/>
                <w:szCs w:val="18"/>
                <w:lang w:bidi="ar"/>
              </w:rPr>
              <w:t>4.89</w:t>
            </w:r>
          </w:p>
        </w:tc>
        <w:tc>
          <w:tcPr>
            <w:tcW w:w="160" w:type="pct"/>
            <w:tcBorders>
              <w:tl2br w:val="nil"/>
              <w:tr2bl w:val="nil"/>
            </w:tcBorders>
            <w:noWrap/>
            <w:vAlign w:val="center"/>
          </w:tcPr>
          <w:p w14:paraId="28F51048">
            <w:pPr>
              <w:widowControl/>
              <w:jc w:val="center"/>
              <w:textAlignment w:val="center"/>
              <w:rPr>
                <w:color w:val="000000"/>
                <w:sz w:val="18"/>
                <w:szCs w:val="18"/>
              </w:rPr>
            </w:pPr>
            <w:r>
              <w:rPr>
                <w:color w:val="000000"/>
                <w:kern w:val="0"/>
                <w:sz w:val="18"/>
                <w:szCs w:val="18"/>
                <w:lang w:bidi="ar"/>
              </w:rPr>
              <w:t>18.76</w:t>
            </w:r>
          </w:p>
        </w:tc>
        <w:tc>
          <w:tcPr>
            <w:tcW w:w="160" w:type="pct"/>
            <w:tcBorders>
              <w:tl2br w:val="nil"/>
              <w:tr2bl w:val="nil"/>
            </w:tcBorders>
            <w:noWrap/>
            <w:vAlign w:val="center"/>
          </w:tcPr>
          <w:p w14:paraId="3D995D5C">
            <w:pPr>
              <w:widowControl/>
              <w:jc w:val="center"/>
              <w:textAlignment w:val="center"/>
              <w:rPr>
                <w:color w:val="000000"/>
                <w:sz w:val="18"/>
                <w:szCs w:val="18"/>
              </w:rPr>
            </w:pPr>
            <w:r>
              <w:rPr>
                <w:color w:val="000000"/>
                <w:kern w:val="0"/>
                <w:sz w:val="18"/>
                <w:szCs w:val="18"/>
                <w:lang w:bidi="ar"/>
              </w:rPr>
              <w:t>97.88</w:t>
            </w:r>
          </w:p>
        </w:tc>
        <w:tc>
          <w:tcPr>
            <w:tcW w:w="160" w:type="pct"/>
            <w:tcBorders>
              <w:tl2br w:val="nil"/>
              <w:tr2bl w:val="nil"/>
            </w:tcBorders>
            <w:noWrap/>
            <w:vAlign w:val="center"/>
          </w:tcPr>
          <w:p w14:paraId="0345A7F7">
            <w:pPr>
              <w:widowControl/>
              <w:jc w:val="center"/>
              <w:textAlignment w:val="center"/>
              <w:rPr>
                <w:color w:val="000000"/>
                <w:sz w:val="18"/>
                <w:szCs w:val="18"/>
              </w:rPr>
            </w:pPr>
            <w:r>
              <w:rPr>
                <w:color w:val="000000"/>
                <w:kern w:val="0"/>
                <w:sz w:val="18"/>
                <w:szCs w:val="18"/>
                <w:lang w:bidi="ar"/>
              </w:rPr>
              <w:t>14.29</w:t>
            </w:r>
          </w:p>
        </w:tc>
        <w:tc>
          <w:tcPr>
            <w:tcW w:w="160" w:type="pct"/>
            <w:tcBorders>
              <w:tl2br w:val="nil"/>
              <w:tr2bl w:val="nil"/>
            </w:tcBorders>
            <w:noWrap/>
            <w:vAlign w:val="center"/>
          </w:tcPr>
          <w:p w14:paraId="5BFF51B4">
            <w:pPr>
              <w:widowControl/>
              <w:jc w:val="center"/>
              <w:textAlignment w:val="center"/>
              <w:rPr>
                <w:color w:val="000000"/>
                <w:sz w:val="18"/>
                <w:szCs w:val="18"/>
              </w:rPr>
            </w:pPr>
            <w:r>
              <w:rPr>
                <w:color w:val="000000"/>
                <w:kern w:val="0"/>
                <w:sz w:val="18"/>
                <w:szCs w:val="18"/>
                <w:lang w:bidi="ar"/>
              </w:rPr>
              <w:t>61.89</w:t>
            </w:r>
          </w:p>
        </w:tc>
        <w:tc>
          <w:tcPr>
            <w:tcW w:w="160" w:type="pct"/>
            <w:tcBorders>
              <w:tl2br w:val="nil"/>
              <w:tr2bl w:val="nil"/>
            </w:tcBorders>
            <w:noWrap/>
            <w:vAlign w:val="center"/>
          </w:tcPr>
          <w:p w14:paraId="4C2DE6A3">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4B8801B5">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3FBD883E">
            <w:pPr>
              <w:widowControl/>
              <w:jc w:val="center"/>
              <w:textAlignment w:val="center"/>
              <w:rPr>
                <w:color w:val="000000"/>
                <w:sz w:val="18"/>
                <w:szCs w:val="18"/>
              </w:rPr>
            </w:pPr>
            <w:r>
              <w:rPr>
                <w:color w:val="000000"/>
                <w:kern w:val="0"/>
                <w:sz w:val="18"/>
                <w:szCs w:val="18"/>
                <w:lang w:bidi="ar"/>
              </w:rPr>
              <w:t>61.81</w:t>
            </w:r>
          </w:p>
        </w:tc>
        <w:tc>
          <w:tcPr>
            <w:tcW w:w="188" w:type="pct"/>
            <w:tcBorders>
              <w:tl2br w:val="nil"/>
              <w:tr2bl w:val="nil"/>
            </w:tcBorders>
            <w:noWrap/>
            <w:vAlign w:val="center"/>
          </w:tcPr>
          <w:p w14:paraId="27A1E231">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9B72C30">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702DE9B">
            <w:pPr>
              <w:widowControl/>
              <w:jc w:val="center"/>
              <w:textAlignment w:val="center"/>
              <w:rPr>
                <w:color w:val="000000"/>
                <w:sz w:val="18"/>
                <w:szCs w:val="18"/>
              </w:rPr>
            </w:pPr>
            <w:r>
              <w:rPr>
                <w:color w:val="000000"/>
                <w:kern w:val="0"/>
                <w:sz w:val="18"/>
                <w:szCs w:val="18"/>
                <w:lang w:bidi="ar"/>
              </w:rPr>
              <w:t>40.89</w:t>
            </w:r>
          </w:p>
        </w:tc>
        <w:tc>
          <w:tcPr>
            <w:tcW w:w="160" w:type="pct"/>
            <w:tcBorders>
              <w:tl2br w:val="nil"/>
              <w:tr2bl w:val="nil"/>
            </w:tcBorders>
            <w:noWrap/>
            <w:vAlign w:val="center"/>
          </w:tcPr>
          <w:p w14:paraId="05E419A8">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6AE8B79C">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6FBA4D7F">
            <w:pPr>
              <w:widowControl/>
              <w:jc w:val="center"/>
              <w:textAlignment w:val="center"/>
              <w:rPr>
                <w:color w:val="000000"/>
                <w:sz w:val="18"/>
                <w:szCs w:val="18"/>
              </w:rPr>
            </w:pPr>
            <w:r>
              <w:rPr>
                <w:color w:val="000000"/>
                <w:kern w:val="0"/>
                <w:sz w:val="18"/>
                <w:szCs w:val="18"/>
                <w:lang w:bidi="ar"/>
              </w:rPr>
              <w:t>40.81</w:t>
            </w:r>
          </w:p>
        </w:tc>
        <w:tc>
          <w:tcPr>
            <w:tcW w:w="248" w:type="pct"/>
            <w:tcBorders>
              <w:tl2br w:val="nil"/>
              <w:tr2bl w:val="nil"/>
            </w:tcBorders>
            <w:noWrap/>
            <w:vAlign w:val="center"/>
          </w:tcPr>
          <w:p w14:paraId="3B291352">
            <w:pPr>
              <w:widowControl/>
              <w:jc w:val="center"/>
              <w:textAlignment w:val="center"/>
              <w:rPr>
                <w:color w:val="000000"/>
                <w:sz w:val="18"/>
                <w:szCs w:val="18"/>
              </w:rPr>
            </w:pPr>
            <w:r>
              <w:rPr>
                <w:color w:val="000000"/>
                <w:kern w:val="0"/>
                <w:sz w:val="18"/>
                <w:szCs w:val="18"/>
                <w:lang w:bidi="ar"/>
              </w:rPr>
              <w:t>1</w:t>
            </w:r>
          </w:p>
        </w:tc>
      </w:tr>
      <w:tr w14:paraId="010F5F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7154B2CF">
            <w:pPr>
              <w:widowControl/>
              <w:jc w:val="center"/>
              <w:textAlignment w:val="center"/>
              <w:rPr>
                <w:color w:val="000000"/>
                <w:sz w:val="18"/>
                <w:szCs w:val="18"/>
              </w:rPr>
            </w:pPr>
            <w:r>
              <w:rPr>
                <w:color w:val="000000"/>
                <w:kern w:val="0"/>
                <w:sz w:val="18"/>
                <w:szCs w:val="18"/>
                <w:lang w:bidi="ar"/>
              </w:rPr>
              <w:t>3</w:t>
            </w:r>
          </w:p>
        </w:tc>
        <w:tc>
          <w:tcPr>
            <w:tcW w:w="231" w:type="pct"/>
            <w:vMerge w:val="continue"/>
            <w:tcBorders>
              <w:tl2br w:val="nil"/>
              <w:tr2bl w:val="nil"/>
            </w:tcBorders>
            <w:noWrap/>
            <w:vAlign w:val="center"/>
          </w:tcPr>
          <w:p w14:paraId="09DF491B">
            <w:pPr>
              <w:widowControl/>
              <w:jc w:val="center"/>
              <w:rPr>
                <w:color w:val="000000"/>
                <w:sz w:val="18"/>
                <w:szCs w:val="18"/>
              </w:rPr>
            </w:pPr>
          </w:p>
        </w:tc>
        <w:tc>
          <w:tcPr>
            <w:tcW w:w="468" w:type="pct"/>
            <w:tcBorders>
              <w:tl2br w:val="nil"/>
              <w:tr2bl w:val="nil"/>
            </w:tcBorders>
            <w:noWrap/>
            <w:vAlign w:val="center"/>
          </w:tcPr>
          <w:p w14:paraId="0000C027">
            <w:pPr>
              <w:widowControl/>
              <w:jc w:val="center"/>
              <w:textAlignment w:val="center"/>
              <w:rPr>
                <w:color w:val="000000"/>
                <w:sz w:val="18"/>
                <w:szCs w:val="18"/>
              </w:rPr>
            </w:pPr>
            <w:r>
              <w:rPr>
                <w:rFonts w:hint="eastAsia"/>
                <w:color w:val="000000"/>
                <w:kern w:val="0"/>
                <w:sz w:val="18"/>
                <w:szCs w:val="18"/>
                <w:lang w:bidi="ar"/>
              </w:rPr>
              <w:t>球囊成型机</w:t>
            </w:r>
          </w:p>
        </w:tc>
        <w:tc>
          <w:tcPr>
            <w:tcW w:w="412" w:type="pct"/>
            <w:tcBorders>
              <w:tl2br w:val="nil"/>
              <w:tr2bl w:val="nil"/>
            </w:tcBorders>
            <w:noWrap/>
            <w:vAlign w:val="center"/>
          </w:tcPr>
          <w:p w14:paraId="6D58FF77">
            <w:pPr>
              <w:widowControl/>
              <w:jc w:val="center"/>
              <w:textAlignment w:val="center"/>
              <w:rPr>
                <w:color w:val="000000"/>
                <w:sz w:val="18"/>
                <w:szCs w:val="18"/>
              </w:rPr>
            </w:pPr>
            <w:r>
              <w:rPr>
                <w:color w:val="000000"/>
                <w:kern w:val="0"/>
                <w:sz w:val="18"/>
                <w:szCs w:val="18"/>
                <w:lang w:bidi="ar"/>
              </w:rPr>
              <w:t>BFM-3300</w:t>
            </w:r>
          </w:p>
        </w:tc>
        <w:tc>
          <w:tcPr>
            <w:tcW w:w="318" w:type="pct"/>
            <w:tcBorders>
              <w:tl2br w:val="nil"/>
              <w:tr2bl w:val="nil"/>
            </w:tcBorders>
            <w:noWrap/>
            <w:vAlign w:val="center"/>
          </w:tcPr>
          <w:p w14:paraId="1ABD9AA0">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254BCE6F">
            <w:pPr>
              <w:widowControl/>
              <w:jc w:val="center"/>
              <w:rPr>
                <w:color w:val="000000"/>
                <w:sz w:val="18"/>
                <w:szCs w:val="18"/>
              </w:rPr>
            </w:pPr>
          </w:p>
        </w:tc>
        <w:tc>
          <w:tcPr>
            <w:tcW w:w="181" w:type="pct"/>
            <w:tcBorders>
              <w:tl2br w:val="nil"/>
              <w:tr2bl w:val="nil"/>
            </w:tcBorders>
            <w:noWrap/>
            <w:vAlign w:val="center"/>
          </w:tcPr>
          <w:p w14:paraId="72D7C014">
            <w:pPr>
              <w:widowControl/>
              <w:jc w:val="center"/>
              <w:textAlignment w:val="center"/>
              <w:rPr>
                <w:color w:val="000000"/>
                <w:sz w:val="18"/>
                <w:szCs w:val="18"/>
              </w:rPr>
            </w:pPr>
            <w:r>
              <w:rPr>
                <w:color w:val="000000"/>
                <w:kern w:val="0"/>
                <w:sz w:val="18"/>
                <w:szCs w:val="18"/>
                <w:lang w:bidi="ar"/>
              </w:rPr>
              <w:t>-87.69</w:t>
            </w:r>
          </w:p>
        </w:tc>
        <w:tc>
          <w:tcPr>
            <w:tcW w:w="160" w:type="pct"/>
            <w:tcBorders>
              <w:tl2br w:val="nil"/>
              <w:tr2bl w:val="nil"/>
            </w:tcBorders>
            <w:noWrap/>
            <w:vAlign w:val="center"/>
          </w:tcPr>
          <w:p w14:paraId="22CE977D">
            <w:pPr>
              <w:widowControl/>
              <w:jc w:val="center"/>
              <w:textAlignment w:val="center"/>
              <w:rPr>
                <w:color w:val="000000"/>
                <w:sz w:val="18"/>
                <w:szCs w:val="18"/>
              </w:rPr>
            </w:pPr>
            <w:r>
              <w:rPr>
                <w:color w:val="000000"/>
                <w:kern w:val="0"/>
                <w:sz w:val="18"/>
                <w:szCs w:val="18"/>
                <w:lang w:bidi="ar"/>
              </w:rPr>
              <w:t>44.02</w:t>
            </w:r>
          </w:p>
        </w:tc>
        <w:tc>
          <w:tcPr>
            <w:tcW w:w="83" w:type="pct"/>
            <w:tcBorders>
              <w:tl2br w:val="nil"/>
              <w:tr2bl w:val="nil"/>
            </w:tcBorders>
            <w:noWrap/>
            <w:vAlign w:val="center"/>
          </w:tcPr>
          <w:p w14:paraId="1ED9CA9A">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014EE66">
            <w:pPr>
              <w:widowControl/>
              <w:jc w:val="center"/>
              <w:textAlignment w:val="center"/>
              <w:rPr>
                <w:color w:val="000000"/>
                <w:sz w:val="18"/>
                <w:szCs w:val="18"/>
              </w:rPr>
            </w:pPr>
            <w:r>
              <w:rPr>
                <w:color w:val="000000"/>
                <w:kern w:val="0"/>
                <w:sz w:val="18"/>
                <w:szCs w:val="18"/>
                <w:lang w:bidi="ar"/>
              </w:rPr>
              <w:t>6.47</w:t>
            </w:r>
          </w:p>
        </w:tc>
        <w:tc>
          <w:tcPr>
            <w:tcW w:w="160" w:type="pct"/>
            <w:tcBorders>
              <w:tl2br w:val="nil"/>
              <w:tr2bl w:val="nil"/>
            </w:tcBorders>
            <w:noWrap/>
            <w:vAlign w:val="center"/>
          </w:tcPr>
          <w:p w14:paraId="2359A902">
            <w:pPr>
              <w:widowControl/>
              <w:jc w:val="center"/>
              <w:textAlignment w:val="center"/>
              <w:rPr>
                <w:color w:val="000000"/>
                <w:sz w:val="18"/>
                <w:szCs w:val="18"/>
              </w:rPr>
            </w:pPr>
            <w:r>
              <w:rPr>
                <w:color w:val="000000"/>
                <w:kern w:val="0"/>
                <w:sz w:val="18"/>
                <w:szCs w:val="18"/>
                <w:lang w:bidi="ar"/>
              </w:rPr>
              <w:t>18.82</w:t>
            </w:r>
          </w:p>
        </w:tc>
        <w:tc>
          <w:tcPr>
            <w:tcW w:w="160" w:type="pct"/>
            <w:tcBorders>
              <w:tl2br w:val="nil"/>
              <w:tr2bl w:val="nil"/>
            </w:tcBorders>
            <w:noWrap/>
            <w:vAlign w:val="center"/>
          </w:tcPr>
          <w:p w14:paraId="110CC2A8">
            <w:pPr>
              <w:widowControl/>
              <w:jc w:val="center"/>
              <w:textAlignment w:val="center"/>
              <w:rPr>
                <w:color w:val="000000"/>
                <w:sz w:val="18"/>
                <w:szCs w:val="18"/>
              </w:rPr>
            </w:pPr>
            <w:r>
              <w:rPr>
                <w:color w:val="000000"/>
                <w:kern w:val="0"/>
                <w:sz w:val="18"/>
                <w:szCs w:val="18"/>
                <w:lang w:bidi="ar"/>
              </w:rPr>
              <w:t>96.31</w:t>
            </w:r>
          </w:p>
        </w:tc>
        <w:tc>
          <w:tcPr>
            <w:tcW w:w="160" w:type="pct"/>
            <w:tcBorders>
              <w:tl2br w:val="nil"/>
              <w:tr2bl w:val="nil"/>
            </w:tcBorders>
            <w:noWrap/>
            <w:vAlign w:val="center"/>
          </w:tcPr>
          <w:p w14:paraId="6055A8A8">
            <w:pPr>
              <w:widowControl/>
              <w:jc w:val="center"/>
              <w:textAlignment w:val="center"/>
              <w:rPr>
                <w:color w:val="000000"/>
                <w:sz w:val="18"/>
                <w:szCs w:val="18"/>
              </w:rPr>
            </w:pPr>
            <w:r>
              <w:rPr>
                <w:color w:val="000000"/>
                <w:kern w:val="0"/>
                <w:sz w:val="18"/>
                <w:szCs w:val="18"/>
                <w:lang w:bidi="ar"/>
              </w:rPr>
              <w:t>14.24</w:t>
            </w:r>
          </w:p>
        </w:tc>
        <w:tc>
          <w:tcPr>
            <w:tcW w:w="160" w:type="pct"/>
            <w:tcBorders>
              <w:tl2br w:val="nil"/>
              <w:tr2bl w:val="nil"/>
            </w:tcBorders>
            <w:noWrap/>
            <w:vAlign w:val="center"/>
          </w:tcPr>
          <w:p w14:paraId="2DE10E93">
            <w:pPr>
              <w:widowControl/>
              <w:jc w:val="center"/>
              <w:textAlignment w:val="center"/>
              <w:rPr>
                <w:color w:val="000000"/>
                <w:sz w:val="18"/>
                <w:szCs w:val="18"/>
              </w:rPr>
            </w:pPr>
            <w:r>
              <w:rPr>
                <w:color w:val="000000"/>
                <w:kern w:val="0"/>
                <w:sz w:val="18"/>
                <w:szCs w:val="18"/>
                <w:lang w:bidi="ar"/>
              </w:rPr>
              <w:t>56.85</w:t>
            </w:r>
          </w:p>
        </w:tc>
        <w:tc>
          <w:tcPr>
            <w:tcW w:w="160" w:type="pct"/>
            <w:tcBorders>
              <w:tl2br w:val="nil"/>
              <w:tr2bl w:val="nil"/>
            </w:tcBorders>
            <w:noWrap/>
            <w:vAlign w:val="center"/>
          </w:tcPr>
          <w:p w14:paraId="0DE4D244">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678DB102">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4228CD60">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6C04C5EA">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7326AD9F">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55B040E">
            <w:pPr>
              <w:widowControl/>
              <w:jc w:val="center"/>
              <w:textAlignment w:val="center"/>
              <w:rPr>
                <w:color w:val="000000"/>
                <w:sz w:val="18"/>
                <w:szCs w:val="18"/>
              </w:rPr>
            </w:pPr>
            <w:r>
              <w:rPr>
                <w:color w:val="000000"/>
                <w:kern w:val="0"/>
                <w:sz w:val="18"/>
                <w:szCs w:val="18"/>
                <w:lang w:bidi="ar"/>
              </w:rPr>
              <w:t>35.85</w:t>
            </w:r>
          </w:p>
        </w:tc>
        <w:tc>
          <w:tcPr>
            <w:tcW w:w="160" w:type="pct"/>
            <w:tcBorders>
              <w:tl2br w:val="nil"/>
              <w:tr2bl w:val="nil"/>
            </w:tcBorders>
            <w:noWrap/>
            <w:vAlign w:val="center"/>
          </w:tcPr>
          <w:p w14:paraId="58305C64">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58408AFB">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410CBDB7">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6BA38D76">
            <w:pPr>
              <w:widowControl/>
              <w:jc w:val="center"/>
              <w:textAlignment w:val="center"/>
              <w:rPr>
                <w:color w:val="000000"/>
                <w:sz w:val="18"/>
                <w:szCs w:val="18"/>
              </w:rPr>
            </w:pPr>
            <w:r>
              <w:rPr>
                <w:color w:val="000000"/>
                <w:kern w:val="0"/>
                <w:sz w:val="18"/>
                <w:szCs w:val="18"/>
                <w:lang w:bidi="ar"/>
              </w:rPr>
              <w:t>1</w:t>
            </w:r>
          </w:p>
        </w:tc>
      </w:tr>
      <w:tr w14:paraId="404E01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118" w:type="pct"/>
            <w:tcBorders>
              <w:tl2br w:val="nil"/>
              <w:tr2bl w:val="nil"/>
            </w:tcBorders>
            <w:noWrap/>
            <w:vAlign w:val="center"/>
          </w:tcPr>
          <w:p w14:paraId="36461F1C">
            <w:pPr>
              <w:widowControl/>
              <w:jc w:val="center"/>
              <w:textAlignment w:val="center"/>
              <w:rPr>
                <w:color w:val="000000"/>
                <w:sz w:val="18"/>
                <w:szCs w:val="18"/>
              </w:rPr>
            </w:pPr>
            <w:r>
              <w:rPr>
                <w:color w:val="000000"/>
                <w:kern w:val="0"/>
                <w:sz w:val="18"/>
                <w:szCs w:val="18"/>
                <w:lang w:bidi="ar"/>
              </w:rPr>
              <w:t>4</w:t>
            </w:r>
          </w:p>
        </w:tc>
        <w:tc>
          <w:tcPr>
            <w:tcW w:w="231" w:type="pct"/>
            <w:vMerge w:val="continue"/>
            <w:tcBorders>
              <w:tl2br w:val="nil"/>
              <w:tr2bl w:val="nil"/>
            </w:tcBorders>
            <w:noWrap/>
            <w:vAlign w:val="center"/>
          </w:tcPr>
          <w:p w14:paraId="7F8F1A7A">
            <w:pPr>
              <w:widowControl/>
              <w:jc w:val="center"/>
              <w:rPr>
                <w:color w:val="000000"/>
                <w:sz w:val="18"/>
                <w:szCs w:val="18"/>
              </w:rPr>
            </w:pPr>
          </w:p>
        </w:tc>
        <w:tc>
          <w:tcPr>
            <w:tcW w:w="468" w:type="pct"/>
            <w:tcBorders>
              <w:tl2br w:val="nil"/>
              <w:tr2bl w:val="nil"/>
            </w:tcBorders>
            <w:noWrap/>
            <w:vAlign w:val="center"/>
          </w:tcPr>
          <w:p w14:paraId="461FD8FC">
            <w:pPr>
              <w:widowControl/>
              <w:jc w:val="center"/>
              <w:textAlignment w:val="center"/>
              <w:rPr>
                <w:color w:val="000000"/>
                <w:sz w:val="18"/>
                <w:szCs w:val="18"/>
              </w:rPr>
            </w:pPr>
            <w:r>
              <w:rPr>
                <w:rFonts w:hint="eastAsia"/>
                <w:color w:val="000000"/>
                <w:kern w:val="0"/>
                <w:sz w:val="18"/>
                <w:szCs w:val="18"/>
                <w:lang w:bidi="ar"/>
              </w:rPr>
              <w:t>冷水机-1</w:t>
            </w:r>
          </w:p>
        </w:tc>
        <w:tc>
          <w:tcPr>
            <w:tcW w:w="412" w:type="pct"/>
            <w:tcBorders>
              <w:tl2br w:val="nil"/>
              <w:tr2bl w:val="nil"/>
            </w:tcBorders>
            <w:noWrap/>
            <w:vAlign w:val="center"/>
          </w:tcPr>
          <w:p w14:paraId="3486B3DA">
            <w:pPr>
              <w:widowControl/>
              <w:jc w:val="center"/>
              <w:textAlignment w:val="center"/>
              <w:rPr>
                <w:color w:val="000000"/>
                <w:sz w:val="18"/>
                <w:szCs w:val="18"/>
              </w:rPr>
            </w:pPr>
            <w:r>
              <w:rPr>
                <w:color w:val="000000"/>
                <w:kern w:val="0"/>
                <w:sz w:val="18"/>
                <w:szCs w:val="18"/>
                <w:lang w:bidi="ar"/>
              </w:rPr>
              <w:t>CZ-1000</w:t>
            </w:r>
          </w:p>
        </w:tc>
        <w:tc>
          <w:tcPr>
            <w:tcW w:w="318" w:type="pct"/>
            <w:tcBorders>
              <w:tl2br w:val="nil"/>
              <w:tr2bl w:val="nil"/>
            </w:tcBorders>
            <w:noWrap/>
            <w:vAlign w:val="center"/>
          </w:tcPr>
          <w:p w14:paraId="17F74797">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4954478F">
            <w:pPr>
              <w:widowControl/>
              <w:jc w:val="center"/>
              <w:rPr>
                <w:color w:val="000000"/>
                <w:sz w:val="18"/>
                <w:szCs w:val="18"/>
              </w:rPr>
            </w:pPr>
          </w:p>
        </w:tc>
        <w:tc>
          <w:tcPr>
            <w:tcW w:w="181" w:type="pct"/>
            <w:tcBorders>
              <w:tl2br w:val="nil"/>
              <w:tr2bl w:val="nil"/>
            </w:tcBorders>
            <w:noWrap/>
            <w:vAlign w:val="center"/>
          </w:tcPr>
          <w:p w14:paraId="32B6AC5E">
            <w:pPr>
              <w:widowControl/>
              <w:jc w:val="center"/>
              <w:textAlignment w:val="center"/>
              <w:rPr>
                <w:color w:val="000000"/>
                <w:sz w:val="18"/>
                <w:szCs w:val="18"/>
              </w:rPr>
            </w:pPr>
            <w:r>
              <w:rPr>
                <w:color w:val="000000"/>
                <w:kern w:val="0"/>
                <w:sz w:val="18"/>
                <w:szCs w:val="18"/>
                <w:lang w:bidi="ar"/>
              </w:rPr>
              <w:t>-85.69</w:t>
            </w:r>
          </w:p>
        </w:tc>
        <w:tc>
          <w:tcPr>
            <w:tcW w:w="160" w:type="pct"/>
            <w:tcBorders>
              <w:tl2br w:val="nil"/>
              <w:tr2bl w:val="nil"/>
            </w:tcBorders>
            <w:noWrap/>
            <w:vAlign w:val="center"/>
          </w:tcPr>
          <w:p w14:paraId="0927DEB9">
            <w:pPr>
              <w:widowControl/>
              <w:jc w:val="center"/>
              <w:textAlignment w:val="center"/>
              <w:rPr>
                <w:color w:val="000000"/>
                <w:sz w:val="18"/>
                <w:szCs w:val="18"/>
              </w:rPr>
            </w:pPr>
            <w:r>
              <w:rPr>
                <w:color w:val="000000"/>
                <w:kern w:val="0"/>
                <w:sz w:val="18"/>
                <w:szCs w:val="18"/>
                <w:lang w:bidi="ar"/>
              </w:rPr>
              <w:t>43.49</w:t>
            </w:r>
          </w:p>
        </w:tc>
        <w:tc>
          <w:tcPr>
            <w:tcW w:w="83" w:type="pct"/>
            <w:tcBorders>
              <w:tl2br w:val="nil"/>
              <w:tr2bl w:val="nil"/>
            </w:tcBorders>
            <w:noWrap/>
            <w:vAlign w:val="center"/>
          </w:tcPr>
          <w:p w14:paraId="170F1B83">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3752E1D">
            <w:pPr>
              <w:widowControl/>
              <w:jc w:val="center"/>
              <w:textAlignment w:val="center"/>
              <w:rPr>
                <w:color w:val="000000"/>
                <w:sz w:val="18"/>
                <w:szCs w:val="18"/>
              </w:rPr>
            </w:pPr>
            <w:r>
              <w:rPr>
                <w:color w:val="000000"/>
                <w:kern w:val="0"/>
                <w:sz w:val="18"/>
                <w:szCs w:val="18"/>
                <w:lang w:bidi="ar"/>
              </w:rPr>
              <w:t>8.54</w:t>
            </w:r>
          </w:p>
        </w:tc>
        <w:tc>
          <w:tcPr>
            <w:tcW w:w="160" w:type="pct"/>
            <w:tcBorders>
              <w:tl2br w:val="nil"/>
              <w:tr2bl w:val="nil"/>
            </w:tcBorders>
            <w:noWrap/>
            <w:vAlign w:val="center"/>
          </w:tcPr>
          <w:p w14:paraId="6D1AFDE7">
            <w:pPr>
              <w:widowControl/>
              <w:jc w:val="center"/>
              <w:textAlignment w:val="center"/>
              <w:rPr>
                <w:color w:val="000000"/>
                <w:sz w:val="18"/>
                <w:szCs w:val="18"/>
              </w:rPr>
            </w:pPr>
            <w:r>
              <w:rPr>
                <w:color w:val="000000"/>
                <w:kern w:val="0"/>
                <w:sz w:val="18"/>
                <w:szCs w:val="18"/>
                <w:lang w:bidi="ar"/>
              </w:rPr>
              <w:t>18.84</w:t>
            </w:r>
          </w:p>
        </w:tc>
        <w:tc>
          <w:tcPr>
            <w:tcW w:w="160" w:type="pct"/>
            <w:tcBorders>
              <w:tl2br w:val="nil"/>
              <w:tr2bl w:val="nil"/>
            </w:tcBorders>
            <w:noWrap/>
            <w:vAlign w:val="center"/>
          </w:tcPr>
          <w:p w14:paraId="26A79CAE">
            <w:pPr>
              <w:widowControl/>
              <w:jc w:val="center"/>
              <w:textAlignment w:val="center"/>
              <w:rPr>
                <w:color w:val="000000"/>
                <w:sz w:val="18"/>
                <w:szCs w:val="18"/>
              </w:rPr>
            </w:pPr>
            <w:r>
              <w:rPr>
                <w:color w:val="000000"/>
                <w:kern w:val="0"/>
                <w:sz w:val="18"/>
                <w:szCs w:val="18"/>
                <w:lang w:bidi="ar"/>
              </w:rPr>
              <w:t>94.24</w:t>
            </w:r>
          </w:p>
        </w:tc>
        <w:tc>
          <w:tcPr>
            <w:tcW w:w="160" w:type="pct"/>
            <w:tcBorders>
              <w:tl2br w:val="nil"/>
              <w:tr2bl w:val="nil"/>
            </w:tcBorders>
            <w:noWrap/>
            <w:vAlign w:val="center"/>
          </w:tcPr>
          <w:p w14:paraId="5CA19905">
            <w:pPr>
              <w:widowControl/>
              <w:jc w:val="center"/>
              <w:textAlignment w:val="center"/>
              <w:rPr>
                <w:color w:val="000000"/>
                <w:sz w:val="18"/>
                <w:szCs w:val="18"/>
              </w:rPr>
            </w:pPr>
            <w:r>
              <w:rPr>
                <w:color w:val="000000"/>
                <w:kern w:val="0"/>
                <w:sz w:val="18"/>
                <w:szCs w:val="18"/>
                <w:lang w:bidi="ar"/>
              </w:rPr>
              <w:t>14.21</w:t>
            </w:r>
          </w:p>
        </w:tc>
        <w:tc>
          <w:tcPr>
            <w:tcW w:w="160" w:type="pct"/>
            <w:tcBorders>
              <w:tl2br w:val="nil"/>
              <w:tr2bl w:val="nil"/>
            </w:tcBorders>
            <w:noWrap/>
            <w:vAlign w:val="center"/>
          </w:tcPr>
          <w:p w14:paraId="05E22D23">
            <w:pPr>
              <w:widowControl/>
              <w:jc w:val="center"/>
              <w:textAlignment w:val="center"/>
              <w:rPr>
                <w:color w:val="000000"/>
                <w:sz w:val="18"/>
                <w:szCs w:val="18"/>
              </w:rPr>
            </w:pPr>
            <w:r>
              <w:rPr>
                <w:color w:val="000000"/>
                <w:kern w:val="0"/>
                <w:sz w:val="18"/>
                <w:szCs w:val="18"/>
                <w:lang w:bidi="ar"/>
              </w:rPr>
              <w:t>61.83</w:t>
            </w:r>
          </w:p>
        </w:tc>
        <w:tc>
          <w:tcPr>
            <w:tcW w:w="160" w:type="pct"/>
            <w:tcBorders>
              <w:tl2br w:val="nil"/>
              <w:tr2bl w:val="nil"/>
            </w:tcBorders>
            <w:noWrap/>
            <w:vAlign w:val="center"/>
          </w:tcPr>
          <w:p w14:paraId="477E8272">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59B24594">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3F36D354">
            <w:pPr>
              <w:widowControl/>
              <w:jc w:val="center"/>
              <w:textAlignment w:val="center"/>
              <w:rPr>
                <w:color w:val="000000"/>
                <w:sz w:val="18"/>
                <w:szCs w:val="18"/>
              </w:rPr>
            </w:pPr>
            <w:r>
              <w:rPr>
                <w:color w:val="000000"/>
                <w:kern w:val="0"/>
                <w:sz w:val="18"/>
                <w:szCs w:val="18"/>
                <w:lang w:bidi="ar"/>
              </w:rPr>
              <w:t>61.81</w:t>
            </w:r>
          </w:p>
        </w:tc>
        <w:tc>
          <w:tcPr>
            <w:tcW w:w="188" w:type="pct"/>
            <w:tcBorders>
              <w:tl2br w:val="nil"/>
              <w:tr2bl w:val="nil"/>
            </w:tcBorders>
            <w:noWrap/>
            <w:vAlign w:val="center"/>
          </w:tcPr>
          <w:p w14:paraId="2C704B49">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903934B">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8C3A652">
            <w:pPr>
              <w:widowControl/>
              <w:jc w:val="center"/>
              <w:textAlignment w:val="center"/>
              <w:rPr>
                <w:color w:val="000000"/>
                <w:sz w:val="18"/>
                <w:szCs w:val="18"/>
              </w:rPr>
            </w:pPr>
            <w:r>
              <w:rPr>
                <w:color w:val="000000"/>
                <w:kern w:val="0"/>
                <w:sz w:val="18"/>
                <w:szCs w:val="18"/>
                <w:lang w:bidi="ar"/>
              </w:rPr>
              <w:t>40.83</w:t>
            </w:r>
          </w:p>
        </w:tc>
        <w:tc>
          <w:tcPr>
            <w:tcW w:w="160" w:type="pct"/>
            <w:tcBorders>
              <w:tl2br w:val="nil"/>
              <w:tr2bl w:val="nil"/>
            </w:tcBorders>
            <w:noWrap/>
            <w:vAlign w:val="center"/>
          </w:tcPr>
          <w:p w14:paraId="465E4F6F">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1F853CC9">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41820C64">
            <w:pPr>
              <w:widowControl/>
              <w:jc w:val="center"/>
              <w:textAlignment w:val="center"/>
              <w:rPr>
                <w:color w:val="000000"/>
                <w:sz w:val="18"/>
                <w:szCs w:val="18"/>
              </w:rPr>
            </w:pPr>
            <w:r>
              <w:rPr>
                <w:color w:val="000000"/>
                <w:kern w:val="0"/>
                <w:sz w:val="18"/>
                <w:szCs w:val="18"/>
                <w:lang w:bidi="ar"/>
              </w:rPr>
              <w:t>40.81</w:t>
            </w:r>
          </w:p>
        </w:tc>
        <w:tc>
          <w:tcPr>
            <w:tcW w:w="248" w:type="pct"/>
            <w:tcBorders>
              <w:tl2br w:val="nil"/>
              <w:tr2bl w:val="nil"/>
            </w:tcBorders>
            <w:noWrap/>
            <w:vAlign w:val="center"/>
          </w:tcPr>
          <w:p w14:paraId="2491B54C">
            <w:pPr>
              <w:widowControl/>
              <w:jc w:val="center"/>
              <w:textAlignment w:val="center"/>
              <w:rPr>
                <w:color w:val="000000"/>
                <w:sz w:val="18"/>
                <w:szCs w:val="18"/>
              </w:rPr>
            </w:pPr>
            <w:r>
              <w:rPr>
                <w:color w:val="000000"/>
                <w:kern w:val="0"/>
                <w:sz w:val="18"/>
                <w:szCs w:val="18"/>
                <w:lang w:bidi="ar"/>
              </w:rPr>
              <w:t>1</w:t>
            </w:r>
          </w:p>
        </w:tc>
      </w:tr>
      <w:tr w14:paraId="38754C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5EED396">
            <w:pPr>
              <w:widowControl/>
              <w:jc w:val="center"/>
              <w:textAlignment w:val="center"/>
              <w:rPr>
                <w:color w:val="000000"/>
                <w:sz w:val="18"/>
                <w:szCs w:val="18"/>
              </w:rPr>
            </w:pPr>
            <w:r>
              <w:rPr>
                <w:color w:val="000000"/>
                <w:kern w:val="0"/>
                <w:sz w:val="18"/>
                <w:szCs w:val="18"/>
                <w:lang w:bidi="ar"/>
              </w:rPr>
              <w:t>5</w:t>
            </w:r>
          </w:p>
        </w:tc>
        <w:tc>
          <w:tcPr>
            <w:tcW w:w="231" w:type="pct"/>
            <w:vMerge w:val="continue"/>
            <w:tcBorders>
              <w:tl2br w:val="nil"/>
              <w:tr2bl w:val="nil"/>
            </w:tcBorders>
            <w:noWrap/>
            <w:vAlign w:val="center"/>
          </w:tcPr>
          <w:p w14:paraId="049D5D78">
            <w:pPr>
              <w:widowControl/>
              <w:jc w:val="center"/>
              <w:rPr>
                <w:color w:val="000000"/>
                <w:sz w:val="18"/>
                <w:szCs w:val="18"/>
              </w:rPr>
            </w:pPr>
          </w:p>
        </w:tc>
        <w:tc>
          <w:tcPr>
            <w:tcW w:w="468" w:type="pct"/>
            <w:tcBorders>
              <w:tl2br w:val="nil"/>
              <w:tr2bl w:val="nil"/>
            </w:tcBorders>
            <w:noWrap/>
            <w:vAlign w:val="center"/>
          </w:tcPr>
          <w:p w14:paraId="75C422D6">
            <w:pPr>
              <w:widowControl/>
              <w:jc w:val="center"/>
              <w:textAlignment w:val="center"/>
              <w:rPr>
                <w:color w:val="000000"/>
                <w:sz w:val="18"/>
                <w:szCs w:val="18"/>
              </w:rPr>
            </w:pPr>
            <w:r>
              <w:rPr>
                <w:rFonts w:hint="eastAsia"/>
                <w:color w:val="000000"/>
                <w:kern w:val="0"/>
                <w:sz w:val="18"/>
                <w:szCs w:val="18"/>
                <w:lang w:bidi="ar"/>
              </w:rPr>
              <w:t>冷水机-2</w:t>
            </w:r>
          </w:p>
        </w:tc>
        <w:tc>
          <w:tcPr>
            <w:tcW w:w="412" w:type="pct"/>
            <w:tcBorders>
              <w:tl2br w:val="nil"/>
              <w:tr2bl w:val="nil"/>
            </w:tcBorders>
            <w:noWrap/>
            <w:vAlign w:val="center"/>
          </w:tcPr>
          <w:p w14:paraId="345AA94B">
            <w:pPr>
              <w:widowControl/>
              <w:jc w:val="center"/>
              <w:textAlignment w:val="center"/>
              <w:rPr>
                <w:color w:val="000000"/>
                <w:sz w:val="18"/>
                <w:szCs w:val="18"/>
              </w:rPr>
            </w:pPr>
            <w:r>
              <w:rPr>
                <w:color w:val="000000"/>
                <w:kern w:val="0"/>
                <w:sz w:val="18"/>
                <w:szCs w:val="18"/>
                <w:lang w:bidi="ar"/>
              </w:rPr>
              <w:t>CZ-1000</w:t>
            </w:r>
          </w:p>
        </w:tc>
        <w:tc>
          <w:tcPr>
            <w:tcW w:w="318" w:type="pct"/>
            <w:tcBorders>
              <w:tl2br w:val="nil"/>
              <w:tr2bl w:val="nil"/>
            </w:tcBorders>
            <w:noWrap/>
            <w:vAlign w:val="center"/>
          </w:tcPr>
          <w:p w14:paraId="59BA99DD">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3C77433B">
            <w:pPr>
              <w:widowControl/>
              <w:jc w:val="center"/>
              <w:rPr>
                <w:color w:val="000000"/>
                <w:sz w:val="18"/>
                <w:szCs w:val="18"/>
              </w:rPr>
            </w:pPr>
          </w:p>
        </w:tc>
        <w:tc>
          <w:tcPr>
            <w:tcW w:w="181" w:type="pct"/>
            <w:tcBorders>
              <w:tl2br w:val="nil"/>
              <w:tr2bl w:val="nil"/>
            </w:tcBorders>
            <w:noWrap/>
            <w:vAlign w:val="center"/>
          </w:tcPr>
          <w:p w14:paraId="2CB5B01E">
            <w:pPr>
              <w:widowControl/>
              <w:jc w:val="center"/>
              <w:textAlignment w:val="center"/>
              <w:rPr>
                <w:color w:val="000000"/>
                <w:sz w:val="18"/>
                <w:szCs w:val="18"/>
              </w:rPr>
            </w:pPr>
            <w:r>
              <w:rPr>
                <w:color w:val="000000"/>
                <w:kern w:val="0"/>
                <w:sz w:val="18"/>
                <w:szCs w:val="18"/>
                <w:lang w:bidi="ar"/>
              </w:rPr>
              <w:t>-84.29</w:t>
            </w:r>
          </w:p>
        </w:tc>
        <w:tc>
          <w:tcPr>
            <w:tcW w:w="160" w:type="pct"/>
            <w:tcBorders>
              <w:tl2br w:val="nil"/>
              <w:tr2bl w:val="nil"/>
            </w:tcBorders>
            <w:noWrap/>
            <w:vAlign w:val="center"/>
          </w:tcPr>
          <w:p w14:paraId="55FA0BD6">
            <w:pPr>
              <w:widowControl/>
              <w:jc w:val="center"/>
              <w:textAlignment w:val="center"/>
              <w:rPr>
                <w:color w:val="000000"/>
                <w:sz w:val="18"/>
                <w:szCs w:val="18"/>
              </w:rPr>
            </w:pPr>
            <w:r>
              <w:rPr>
                <w:color w:val="000000"/>
                <w:kern w:val="0"/>
                <w:sz w:val="18"/>
                <w:szCs w:val="18"/>
                <w:lang w:bidi="ar"/>
              </w:rPr>
              <w:t>43.18</w:t>
            </w:r>
          </w:p>
        </w:tc>
        <w:tc>
          <w:tcPr>
            <w:tcW w:w="83" w:type="pct"/>
            <w:tcBorders>
              <w:tl2br w:val="nil"/>
              <w:tr2bl w:val="nil"/>
            </w:tcBorders>
            <w:noWrap/>
            <w:vAlign w:val="center"/>
          </w:tcPr>
          <w:p w14:paraId="60BC134E">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D5676CB">
            <w:pPr>
              <w:widowControl/>
              <w:jc w:val="center"/>
              <w:textAlignment w:val="center"/>
              <w:rPr>
                <w:color w:val="000000"/>
                <w:sz w:val="18"/>
                <w:szCs w:val="18"/>
              </w:rPr>
            </w:pPr>
            <w:r>
              <w:rPr>
                <w:color w:val="000000"/>
                <w:kern w:val="0"/>
                <w:sz w:val="18"/>
                <w:szCs w:val="18"/>
                <w:lang w:bidi="ar"/>
              </w:rPr>
              <w:t>9.97</w:t>
            </w:r>
          </w:p>
        </w:tc>
        <w:tc>
          <w:tcPr>
            <w:tcW w:w="160" w:type="pct"/>
            <w:tcBorders>
              <w:tl2br w:val="nil"/>
              <w:tr2bl w:val="nil"/>
            </w:tcBorders>
            <w:noWrap/>
            <w:vAlign w:val="center"/>
          </w:tcPr>
          <w:p w14:paraId="19013AE1">
            <w:pPr>
              <w:widowControl/>
              <w:jc w:val="center"/>
              <w:textAlignment w:val="center"/>
              <w:rPr>
                <w:color w:val="000000"/>
                <w:sz w:val="18"/>
                <w:szCs w:val="18"/>
              </w:rPr>
            </w:pPr>
            <w:r>
              <w:rPr>
                <w:color w:val="000000"/>
                <w:kern w:val="0"/>
                <w:sz w:val="18"/>
                <w:szCs w:val="18"/>
                <w:lang w:bidi="ar"/>
              </w:rPr>
              <w:t>18.92</w:t>
            </w:r>
          </w:p>
        </w:tc>
        <w:tc>
          <w:tcPr>
            <w:tcW w:w="160" w:type="pct"/>
            <w:tcBorders>
              <w:tl2br w:val="nil"/>
              <w:tr2bl w:val="nil"/>
            </w:tcBorders>
            <w:noWrap/>
            <w:vAlign w:val="center"/>
          </w:tcPr>
          <w:p w14:paraId="5AD3F106">
            <w:pPr>
              <w:widowControl/>
              <w:jc w:val="center"/>
              <w:textAlignment w:val="center"/>
              <w:rPr>
                <w:color w:val="000000"/>
                <w:sz w:val="18"/>
                <w:szCs w:val="18"/>
              </w:rPr>
            </w:pPr>
            <w:r>
              <w:rPr>
                <w:color w:val="000000"/>
                <w:kern w:val="0"/>
                <w:sz w:val="18"/>
                <w:szCs w:val="18"/>
                <w:lang w:bidi="ar"/>
              </w:rPr>
              <w:t>92.81</w:t>
            </w:r>
          </w:p>
        </w:tc>
        <w:tc>
          <w:tcPr>
            <w:tcW w:w="160" w:type="pct"/>
            <w:tcBorders>
              <w:tl2br w:val="nil"/>
              <w:tr2bl w:val="nil"/>
            </w:tcBorders>
            <w:noWrap/>
            <w:vAlign w:val="center"/>
          </w:tcPr>
          <w:p w14:paraId="6959939D">
            <w:pPr>
              <w:widowControl/>
              <w:jc w:val="center"/>
              <w:textAlignment w:val="center"/>
              <w:rPr>
                <w:color w:val="000000"/>
                <w:sz w:val="18"/>
                <w:szCs w:val="18"/>
              </w:rPr>
            </w:pPr>
            <w:r>
              <w:rPr>
                <w:color w:val="000000"/>
                <w:kern w:val="0"/>
                <w:sz w:val="18"/>
                <w:szCs w:val="18"/>
                <w:lang w:bidi="ar"/>
              </w:rPr>
              <w:t>14.13</w:t>
            </w:r>
          </w:p>
        </w:tc>
        <w:tc>
          <w:tcPr>
            <w:tcW w:w="160" w:type="pct"/>
            <w:tcBorders>
              <w:tl2br w:val="nil"/>
              <w:tr2bl w:val="nil"/>
            </w:tcBorders>
            <w:noWrap/>
            <w:vAlign w:val="center"/>
          </w:tcPr>
          <w:p w14:paraId="29A18193">
            <w:pPr>
              <w:widowControl/>
              <w:jc w:val="center"/>
              <w:textAlignment w:val="center"/>
              <w:rPr>
                <w:color w:val="000000"/>
                <w:sz w:val="18"/>
                <w:szCs w:val="18"/>
              </w:rPr>
            </w:pPr>
            <w:r>
              <w:rPr>
                <w:color w:val="000000"/>
                <w:kern w:val="0"/>
                <w:sz w:val="18"/>
                <w:szCs w:val="18"/>
                <w:lang w:bidi="ar"/>
              </w:rPr>
              <w:t>61.82</w:t>
            </w:r>
          </w:p>
        </w:tc>
        <w:tc>
          <w:tcPr>
            <w:tcW w:w="160" w:type="pct"/>
            <w:tcBorders>
              <w:tl2br w:val="nil"/>
              <w:tr2bl w:val="nil"/>
            </w:tcBorders>
            <w:noWrap/>
            <w:vAlign w:val="center"/>
          </w:tcPr>
          <w:p w14:paraId="573FB87E">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38E58DB1">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353B3E73">
            <w:pPr>
              <w:widowControl/>
              <w:jc w:val="center"/>
              <w:textAlignment w:val="center"/>
              <w:rPr>
                <w:color w:val="000000"/>
                <w:sz w:val="18"/>
                <w:szCs w:val="18"/>
              </w:rPr>
            </w:pPr>
            <w:r>
              <w:rPr>
                <w:color w:val="000000"/>
                <w:kern w:val="0"/>
                <w:sz w:val="18"/>
                <w:szCs w:val="18"/>
                <w:lang w:bidi="ar"/>
              </w:rPr>
              <w:t>61.81</w:t>
            </w:r>
          </w:p>
        </w:tc>
        <w:tc>
          <w:tcPr>
            <w:tcW w:w="188" w:type="pct"/>
            <w:tcBorders>
              <w:tl2br w:val="nil"/>
              <w:tr2bl w:val="nil"/>
            </w:tcBorders>
            <w:noWrap/>
            <w:vAlign w:val="center"/>
          </w:tcPr>
          <w:p w14:paraId="1C497954">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29D35EF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A9CCDC2">
            <w:pPr>
              <w:widowControl/>
              <w:jc w:val="center"/>
              <w:textAlignment w:val="center"/>
              <w:rPr>
                <w:color w:val="000000"/>
                <w:sz w:val="18"/>
                <w:szCs w:val="18"/>
              </w:rPr>
            </w:pPr>
            <w:r>
              <w:rPr>
                <w:color w:val="000000"/>
                <w:kern w:val="0"/>
                <w:sz w:val="18"/>
                <w:szCs w:val="18"/>
                <w:lang w:bidi="ar"/>
              </w:rPr>
              <w:t>40.82</w:t>
            </w:r>
          </w:p>
        </w:tc>
        <w:tc>
          <w:tcPr>
            <w:tcW w:w="160" w:type="pct"/>
            <w:tcBorders>
              <w:tl2br w:val="nil"/>
              <w:tr2bl w:val="nil"/>
            </w:tcBorders>
            <w:noWrap/>
            <w:vAlign w:val="center"/>
          </w:tcPr>
          <w:p w14:paraId="3B2AEC3D">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765EEB68">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502ECC4B">
            <w:pPr>
              <w:widowControl/>
              <w:jc w:val="center"/>
              <w:textAlignment w:val="center"/>
              <w:rPr>
                <w:color w:val="000000"/>
                <w:sz w:val="18"/>
                <w:szCs w:val="18"/>
              </w:rPr>
            </w:pPr>
            <w:r>
              <w:rPr>
                <w:color w:val="000000"/>
                <w:kern w:val="0"/>
                <w:sz w:val="18"/>
                <w:szCs w:val="18"/>
                <w:lang w:bidi="ar"/>
              </w:rPr>
              <w:t>40.81</w:t>
            </w:r>
          </w:p>
        </w:tc>
        <w:tc>
          <w:tcPr>
            <w:tcW w:w="248" w:type="pct"/>
            <w:tcBorders>
              <w:tl2br w:val="nil"/>
              <w:tr2bl w:val="nil"/>
            </w:tcBorders>
            <w:noWrap/>
            <w:vAlign w:val="center"/>
          </w:tcPr>
          <w:p w14:paraId="196FA005">
            <w:pPr>
              <w:widowControl/>
              <w:jc w:val="center"/>
              <w:textAlignment w:val="center"/>
              <w:rPr>
                <w:color w:val="000000"/>
                <w:sz w:val="18"/>
                <w:szCs w:val="18"/>
              </w:rPr>
            </w:pPr>
            <w:r>
              <w:rPr>
                <w:color w:val="000000"/>
                <w:kern w:val="0"/>
                <w:sz w:val="18"/>
                <w:szCs w:val="18"/>
                <w:lang w:bidi="ar"/>
              </w:rPr>
              <w:t>1</w:t>
            </w:r>
          </w:p>
        </w:tc>
      </w:tr>
      <w:tr w14:paraId="1368F6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0A04532">
            <w:pPr>
              <w:widowControl/>
              <w:jc w:val="center"/>
              <w:textAlignment w:val="center"/>
              <w:rPr>
                <w:color w:val="000000"/>
                <w:sz w:val="18"/>
                <w:szCs w:val="18"/>
              </w:rPr>
            </w:pPr>
            <w:r>
              <w:rPr>
                <w:color w:val="000000"/>
                <w:kern w:val="0"/>
                <w:sz w:val="18"/>
                <w:szCs w:val="18"/>
                <w:lang w:bidi="ar"/>
              </w:rPr>
              <w:t>6</w:t>
            </w:r>
          </w:p>
        </w:tc>
        <w:tc>
          <w:tcPr>
            <w:tcW w:w="231" w:type="pct"/>
            <w:vMerge w:val="continue"/>
            <w:tcBorders>
              <w:tl2br w:val="nil"/>
              <w:tr2bl w:val="nil"/>
            </w:tcBorders>
            <w:noWrap/>
            <w:vAlign w:val="center"/>
          </w:tcPr>
          <w:p w14:paraId="5DD00D6B">
            <w:pPr>
              <w:widowControl/>
              <w:jc w:val="center"/>
              <w:rPr>
                <w:color w:val="000000"/>
                <w:sz w:val="18"/>
                <w:szCs w:val="18"/>
              </w:rPr>
            </w:pPr>
          </w:p>
        </w:tc>
        <w:tc>
          <w:tcPr>
            <w:tcW w:w="468" w:type="pct"/>
            <w:tcBorders>
              <w:tl2br w:val="nil"/>
              <w:tr2bl w:val="nil"/>
            </w:tcBorders>
            <w:noWrap/>
            <w:vAlign w:val="center"/>
          </w:tcPr>
          <w:p w14:paraId="2634CB3B">
            <w:pPr>
              <w:widowControl/>
              <w:jc w:val="center"/>
              <w:textAlignment w:val="center"/>
              <w:rPr>
                <w:color w:val="000000"/>
                <w:sz w:val="18"/>
                <w:szCs w:val="18"/>
              </w:rPr>
            </w:pPr>
            <w:r>
              <w:rPr>
                <w:rFonts w:hint="eastAsia"/>
                <w:color w:val="000000"/>
                <w:kern w:val="0"/>
                <w:sz w:val="18"/>
                <w:szCs w:val="18"/>
                <w:lang w:bidi="ar"/>
              </w:rPr>
              <w:t>激光焊接机-1</w:t>
            </w:r>
          </w:p>
        </w:tc>
        <w:tc>
          <w:tcPr>
            <w:tcW w:w="412" w:type="pct"/>
            <w:tcBorders>
              <w:tl2br w:val="nil"/>
              <w:tr2bl w:val="nil"/>
            </w:tcBorders>
            <w:noWrap/>
            <w:vAlign w:val="center"/>
          </w:tcPr>
          <w:p w14:paraId="2EA1CE0A">
            <w:pPr>
              <w:widowControl/>
              <w:jc w:val="center"/>
              <w:textAlignment w:val="center"/>
              <w:rPr>
                <w:color w:val="000000"/>
                <w:sz w:val="18"/>
                <w:szCs w:val="18"/>
              </w:rPr>
            </w:pPr>
            <w:r>
              <w:rPr>
                <w:color w:val="000000"/>
                <w:kern w:val="0"/>
                <w:sz w:val="18"/>
                <w:szCs w:val="18"/>
                <w:lang w:bidi="ar"/>
              </w:rPr>
              <w:t>CZCL4100</w:t>
            </w:r>
          </w:p>
        </w:tc>
        <w:tc>
          <w:tcPr>
            <w:tcW w:w="318" w:type="pct"/>
            <w:tcBorders>
              <w:tl2br w:val="nil"/>
              <w:tr2bl w:val="nil"/>
            </w:tcBorders>
            <w:noWrap/>
            <w:vAlign w:val="center"/>
          </w:tcPr>
          <w:p w14:paraId="709A8152">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1F4CF65D">
            <w:pPr>
              <w:widowControl/>
              <w:jc w:val="center"/>
              <w:rPr>
                <w:color w:val="000000"/>
                <w:sz w:val="18"/>
                <w:szCs w:val="18"/>
              </w:rPr>
            </w:pPr>
          </w:p>
        </w:tc>
        <w:tc>
          <w:tcPr>
            <w:tcW w:w="181" w:type="pct"/>
            <w:tcBorders>
              <w:tl2br w:val="nil"/>
              <w:tr2bl w:val="nil"/>
            </w:tcBorders>
            <w:noWrap/>
            <w:vAlign w:val="center"/>
          </w:tcPr>
          <w:p w14:paraId="3AC5B052">
            <w:pPr>
              <w:widowControl/>
              <w:jc w:val="center"/>
              <w:textAlignment w:val="center"/>
              <w:rPr>
                <w:color w:val="000000"/>
                <w:sz w:val="18"/>
                <w:szCs w:val="18"/>
              </w:rPr>
            </w:pPr>
            <w:r>
              <w:rPr>
                <w:color w:val="000000"/>
                <w:kern w:val="0"/>
                <w:sz w:val="18"/>
                <w:szCs w:val="18"/>
                <w:lang w:bidi="ar"/>
              </w:rPr>
              <w:t>-82.59</w:t>
            </w:r>
          </w:p>
        </w:tc>
        <w:tc>
          <w:tcPr>
            <w:tcW w:w="160" w:type="pct"/>
            <w:tcBorders>
              <w:tl2br w:val="nil"/>
              <w:tr2bl w:val="nil"/>
            </w:tcBorders>
            <w:noWrap/>
            <w:vAlign w:val="center"/>
          </w:tcPr>
          <w:p w14:paraId="74D8F09C">
            <w:pPr>
              <w:widowControl/>
              <w:jc w:val="center"/>
              <w:textAlignment w:val="center"/>
              <w:rPr>
                <w:color w:val="000000"/>
                <w:sz w:val="18"/>
                <w:szCs w:val="18"/>
              </w:rPr>
            </w:pPr>
            <w:r>
              <w:rPr>
                <w:color w:val="000000"/>
                <w:kern w:val="0"/>
                <w:sz w:val="18"/>
                <w:szCs w:val="18"/>
                <w:lang w:bidi="ar"/>
              </w:rPr>
              <w:t>42.7</w:t>
            </w:r>
          </w:p>
        </w:tc>
        <w:tc>
          <w:tcPr>
            <w:tcW w:w="83" w:type="pct"/>
            <w:tcBorders>
              <w:tl2br w:val="nil"/>
              <w:tr2bl w:val="nil"/>
            </w:tcBorders>
            <w:noWrap/>
            <w:vAlign w:val="center"/>
          </w:tcPr>
          <w:p w14:paraId="5DF09790">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48C62DBC">
            <w:pPr>
              <w:widowControl/>
              <w:jc w:val="center"/>
              <w:textAlignment w:val="center"/>
              <w:rPr>
                <w:color w:val="000000"/>
                <w:sz w:val="18"/>
                <w:szCs w:val="18"/>
              </w:rPr>
            </w:pPr>
            <w:r>
              <w:rPr>
                <w:color w:val="000000"/>
                <w:kern w:val="0"/>
                <w:sz w:val="18"/>
                <w:szCs w:val="18"/>
                <w:lang w:bidi="ar"/>
              </w:rPr>
              <w:t>11.73</w:t>
            </w:r>
          </w:p>
        </w:tc>
        <w:tc>
          <w:tcPr>
            <w:tcW w:w="160" w:type="pct"/>
            <w:tcBorders>
              <w:tl2br w:val="nil"/>
              <w:tr2bl w:val="nil"/>
            </w:tcBorders>
            <w:noWrap/>
            <w:vAlign w:val="center"/>
          </w:tcPr>
          <w:p w14:paraId="2E9DBEF6">
            <w:pPr>
              <w:widowControl/>
              <w:jc w:val="center"/>
              <w:textAlignment w:val="center"/>
              <w:rPr>
                <w:color w:val="000000"/>
                <w:sz w:val="18"/>
                <w:szCs w:val="18"/>
              </w:rPr>
            </w:pPr>
            <w:r>
              <w:rPr>
                <w:color w:val="000000"/>
                <w:kern w:val="0"/>
                <w:sz w:val="18"/>
                <w:szCs w:val="18"/>
                <w:lang w:bidi="ar"/>
              </w:rPr>
              <w:t>18.92</w:t>
            </w:r>
          </w:p>
        </w:tc>
        <w:tc>
          <w:tcPr>
            <w:tcW w:w="160" w:type="pct"/>
            <w:tcBorders>
              <w:tl2br w:val="nil"/>
              <w:tr2bl w:val="nil"/>
            </w:tcBorders>
            <w:noWrap/>
            <w:vAlign w:val="center"/>
          </w:tcPr>
          <w:p w14:paraId="6EC1BCB8">
            <w:pPr>
              <w:widowControl/>
              <w:jc w:val="center"/>
              <w:textAlignment w:val="center"/>
              <w:rPr>
                <w:color w:val="000000"/>
                <w:sz w:val="18"/>
                <w:szCs w:val="18"/>
              </w:rPr>
            </w:pPr>
            <w:r>
              <w:rPr>
                <w:color w:val="000000"/>
                <w:kern w:val="0"/>
                <w:sz w:val="18"/>
                <w:szCs w:val="18"/>
                <w:lang w:bidi="ar"/>
              </w:rPr>
              <w:t>91.04</w:t>
            </w:r>
          </w:p>
        </w:tc>
        <w:tc>
          <w:tcPr>
            <w:tcW w:w="160" w:type="pct"/>
            <w:tcBorders>
              <w:tl2br w:val="nil"/>
              <w:tr2bl w:val="nil"/>
            </w:tcBorders>
            <w:noWrap/>
            <w:vAlign w:val="center"/>
          </w:tcPr>
          <w:p w14:paraId="4E1B2A41">
            <w:pPr>
              <w:widowControl/>
              <w:jc w:val="center"/>
              <w:textAlignment w:val="center"/>
              <w:rPr>
                <w:color w:val="000000"/>
                <w:sz w:val="18"/>
                <w:szCs w:val="18"/>
              </w:rPr>
            </w:pPr>
            <w:r>
              <w:rPr>
                <w:color w:val="000000"/>
                <w:kern w:val="0"/>
                <w:sz w:val="18"/>
                <w:szCs w:val="18"/>
                <w:lang w:bidi="ar"/>
              </w:rPr>
              <w:t>14.14</w:t>
            </w:r>
          </w:p>
        </w:tc>
        <w:tc>
          <w:tcPr>
            <w:tcW w:w="160" w:type="pct"/>
            <w:tcBorders>
              <w:tl2br w:val="nil"/>
              <w:tr2bl w:val="nil"/>
            </w:tcBorders>
            <w:noWrap/>
            <w:vAlign w:val="center"/>
          </w:tcPr>
          <w:p w14:paraId="7B45C82A">
            <w:pPr>
              <w:widowControl/>
              <w:jc w:val="center"/>
              <w:textAlignment w:val="center"/>
              <w:rPr>
                <w:color w:val="000000"/>
                <w:sz w:val="18"/>
                <w:szCs w:val="18"/>
              </w:rPr>
            </w:pPr>
            <w:r>
              <w:rPr>
                <w:color w:val="000000"/>
                <w:kern w:val="0"/>
                <w:sz w:val="18"/>
                <w:szCs w:val="18"/>
                <w:lang w:bidi="ar"/>
              </w:rPr>
              <w:t>56.81</w:t>
            </w:r>
          </w:p>
        </w:tc>
        <w:tc>
          <w:tcPr>
            <w:tcW w:w="160" w:type="pct"/>
            <w:tcBorders>
              <w:tl2br w:val="nil"/>
              <w:tr2bl w:val="nil"/>
            </w:tcBorders>
            <w:noWrap/>
            <w:vAlign w:val="center"/>
          </w:tcPr>
          <w:p w14:paraId="0F195121">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295C6D69">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0E16A28D">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41A93B3D">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F330C2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D2D6C0F">
            <w:pPr>
              <w:widowControl/>
              <w:jc w:val="center"/>
              <w:textAlignment w:val="center"/>
              <w:rPr>
                <w:color w:val="000000"/>
                <w:sz w:val="18"/>
                <w:szCs w:val="18"/>
              </w:rPr>
            </w:pPr>
            <w:r>
              <w:rPr>
                <w:color w:val="000000"/>
                <w:kern w:val="0"/>
                <w:sz w:val="18"/>
                <w:szCs w:val="18"/>
                <w:lang w:bidi="ar"/>
              </w:rPr>
              <w:t>35.81</w:t>
            </w:r>
          </w:p>
        </w:tc>
        <w:tc>
          <w:tcPr>
            <w:tcW w:w="160" w:type="pct"/>
            <w:tcBorders>
              <w:tl2br w:val="nil"/>
              <w:tr2bl w:val="nil"/>
            </w:tcBorders>
            <w:noWrap/>
            <w:vAlign w:val="center"/>
          </w:tcPr>
          <w:p w14:paraId="4432C3C7">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335E024C">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7268087A">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258BCDBB">
            <w:pPr>
              <w:widowControl/>
              <w:jc w:val="center"/>
              <w:textAlignment w:val="center"/>
              <w:rPr>
                <w:color w:val="000000"/>
                <w:sz w:val="18"/>
                <w:szCs w:val="18"/>
              </w:rPr>
            </w:pPr>
            <w:r>
              <w:rPr>
                <w:color w:val="000000"/>
                <w:kern w:val="0"/>
                <w:sz w:val="18"/>
                <w:szCs w:val="18"/>
                <w:lang w:bidi="ar"/>
              </w:rPr>
              <w:t>1</w:t>
            </w:r>
          </w:p>
        </w:tc>
      </w:tr>
      <w:tr w14:paraId="592143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3B2922A">
            <w:pPr>
              <w:widowControl/>
              <w:jc w:val="center"/>
              <w:textAlignment w:val="center"/>
              <w:rPr>
                <w:color w:val="000000"/>
                <w:sz w:val="18"/>
                <w:szCs w:val="18"/>
              </w:rPr>
            </w:pPr>
            <w:r>
              <w:rPr>
                <w:color w:val="000000"/>
                <w:kern w:val="0"/>
                <w:sz w:val="18"/>
                <w:szCs w:val="18"/>
                <w:lang w:bidi="ar"/>
              </w:rPr>
              <w:t>7</w:t>
            </w:r>
          </w:p>
        </w:tc>
        <w:tc>
          <w:tcPr>
            <w:tcW w:w="231" w:type="pct"/>
            <w:vMerge w:val="continue"/>
            <w:tcBorders>
              <w:tl2br w:val="nil"/>
              <w:tr2bl w:val="nil"/>
            </w:tcBorders>
            <w:noWrap/>
            <w:vAlign w:val="center"/>
          </w:tcPr>
          <w:p w14:paraId="35101C35">
            <w:pPr>
              <w:widowControl/>
              <w:jc w:val="center"/>
              <w:rPr>
                <w:color w:val="000000"/>
                <w:sz w:val="18"/>
                <w:szCs w:val="18"/>
              </w:rPr>
            </w:pPr>
          </w:p>
        </w:tc>
        <w:tc>
          <w:tcPr>
            <w:tcW w:w="468" w:type="pct"/>
            <w:tcBorders>
              <w:tl2br w:val="nil"/>
              <w:tr2bl w:val="nil"/>
            </w:tcBorders>
            <w:noWrap/>
            <w:vAlign w:val="center"/>
          </w:tcPr>
          <w:p w14:paraId="6EDB7A4B">
            <w:pPr>
              <w:widowControl/>
              <w:jc w:val="center"/>
              <w:textAlignment w:val="center"/>
              <w:rPr>
                <w:color w:val="000000"/>
                <w:sz w:val="18"/>
                <w:szCs w:val="18"/>
              </w:rPr>
            </w:pPr>
            <w:r>
              <w:rPr>
                <w:rFonts w:hint="eastAsia"/>
                <w:color w:val="000000"/>
                <w:kern w:val="0"/>
                <w:sz w:val="18"/>
                <w:szCs w:val="18"/>
                <w:lang w:bidi="ar"/>
              </w:rPr>
              <w:t>激光焊接机-2</w:t>
            </w:r>
          </w:p>
        </w:tc>
        <w:tc>
          <w:tcPr>
            <w:tcW w:w="412" w:type="pct"/>
            <w:tcBorders>
              <w:tl2br w:val="nil"/>
              <w:tr2bl w:val="nil"/>
            </w:tcBorders>
            <w:noWrap/>
            <w:vAlign w:val="center"/>
          </w:tcPr>
          <w:p w14:paraId="0BC3CEFF">
            <w:pPr>
              <w:widowControl/>
              <w:jc w:val="center"/>
              <w:textAlignment w:val="center"/>
              <w:rPr>
                <w:color w:val="000000"/>
                <w:sz w:val="18"/>
                <w:szCs w:val="18"/>
              </w:rPr>
            </w:pPr>
            <w:r>
              <w:rPr>
                <w:color w:val="000000"/>
                <w:kern w:val="0"/>
                <w:sz w:val="18"/>
                <w:szCs w:val="18"/>
                <w:lang w:bidi="ar"/>
              </w:rPr>
              <w:t>LBS 5300A</w:t>
            </w:r>
          </w:p>
        </w:tc>
        <w:tc>
          <w:tcPr>
            <w:tcW w:w="318" w:type="pct"/>
            <w:tcBorders>
              <w:tl2br w:val="nil"/>
              <w:tr2bl w:val="nil"/>
            </w:tcBorders>
            <w:noWrap/>
            <w:vAlign w:val="center"/>
          </w:tcPr>
          <w:p w14:paraId="452F96F0">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66E6C89C">
            <w:pPr>
              <w:widowControl/>
              <w:jc w:val="center"/>
              <w:rPr>
                <w:color w:val="000000"/>
                <w:sz w:val="18"/>
                <w:szCs w:val="18"/>
              </w:rPr>
            </w:pPr>
          </w:p>
        </w:tc>
        <w:tc>
          <w:tcPr>
            <w:tcW w:w="181" w:type="pct"/>
            <w:tcBorders>
              <w:tl2br w:val="nil"/>
              <w:tr2bl w:val="nil"/>
            </w:tcBorders>
            <w:noWrap/>
            <w:vAlign w:val="center"/>
          </w:tcPr>
          <w:p w14:paraId="2F832DAD">
            <w:pPr>
              <w:widowControl/>
              <w:jc w:val="center"/>
              <w:textAlignment w:val="center"/>
              <w:rPr>
                <w:color w:val="000000"/>
                <w:sz w:val="18"/>
                <w:szCs w:val="18"/>
              </w:rPr>
            </w:pPr>
            <w:r>
              <w:rPr>
                <w:color w:val="000000"/>
                <w:kern w:val="0"/>
                <w:sz w:val="18"/>
                <w:szCs w:val="18"/>
                <w:lang w:bidi="ar"/>
              </w:rPr>
              <w:t>-81.2</w:t>
            </w:r>
          </w:p>
        </w:tc>
        <w:tc>
          <w:tcPr>
            <w:tcW w:w="160" w:type="pct"/>
            <w:tcBorders>
              <w:tl2br w:val="nil"/>
              <w:tr2bl w:val="nil"/>
            </w:tcBorders>
            <w:noWrap/>
            <w:vAlign w:val="center"/>
          </w:tcPr>
          <w:p w14:paraId="09FC5914">
            <w:pPr>
              <w:widowControl/>
              <w:jc w:val="center"/>
              <w:textAlignment w:val="center"/>
              <w:rPr>
                <w:color w:val="000000"/>
                <w:sz w:val="18"/>
                <w:szCs w:val="18"/>
              </w:rPr>
            </w:pPr>
            <w:r>
              <w:rPr>
                <w:color w:val="000000"/>
                <w:kern w:val="0"/>
                <w:sz w:val="18"/>
                <w:szCs w:val="18"/>
                <w:lang w:bidi="ar"/>
              </w:rPr>
              <w:t>42.37</w:t>
            </w:r>
          </w:p>
        </w:tc>
        <w:tc>
          <w:tcPr>
            <w:tcW w:w="83" w:type="pct"/>
            <w:tcBorders>
              <w:tl2br w:val="nil"/>
              <w:tr2bl w:val="nil"/>
            </w:tcBorders>
            <w:noWrap/>
            <w:vAlign w:val="center"/>
          </w:tcPr>
          <w:p w14:paraId="21193A47">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D794CBF">
            <w:pPr>
              <w:widowControl/>
              <w:jc w:val="center"/>
              <w:textAlignment w:val="center"/>
              <w:rPr>
                <w:color w:val="000000"/>
                <w:sz w:val="18"/>
                <w:szCs w:val="18"/>
              </w:rPr>
            </w:pPr>
            <w:r>
              <w:rPr>
                <w:color w:val="000000"/>
                <w:kern w:val="0"/>
                <w:sz w:val="18"/>
                <w:szCs w:val="18"/>
                <w:lang w:bidi="ar"/>
              </w:rPr>
              <w:t>13.16</w:t>
            </w:r>
          </w:p>
        </w:tc>
        <w:tc>
          <w:tcPr>
            <w:tcW w:w="160" w:type="pct"/>
            <w:tcBorders>
              <w:tl2br w:val="nil"/>
              <w:tr2bl w:val="nil"/>
            </w:tcBorders>
            <w:noWrap/>
            <w:vAlign w:val="center"/>
          </w:tcPr>
          <w:p w14:paraId="3D655233">
            <w:pPr>
              <w:widowControl/>
              <w:jc w:val="center"/>
              <w:textAlignment w:val="center"/>
              <w:rPr>
                <w:color w:val="000000"/>
                <w:sz w:val="18"/>
                <w:szCs w:val="18"/>
              </w:rPr>
            </w:pPr>
            <w:r>
              <w:rPr>
                <w:color w:val="000000"/>
                <w:kern w:val="0"/>
                <w:sz w:val="18"/>
                <w:szCs w:val="18"/>
                <w:lang w:bidi="ar"/>
              </w:rPr>
              <w:t>18.97</w:t>
            </w:r>
          </w:p>
        </w:tc>
        <w:tc>
          <w:tcPr>
            <w:tcW w:w="160" w:type="pct"/>
            <w:tcBorders>
              <w:tl2br w:val="nil"/>
              <w:tr2bl w:val="nil"/>
            </w:tcBorders>
            <w:noWrap/>
            <w:vAlign w:val="center"/>
          </w:tcPr>
          <w:p w14:paraId="12CA138C">
            <w:pPr>
              <w:widowControl/>
              <w:jc w:val="center"/>
              <w:textAlignment w:val="center"/>
              <w:rPr>
                <w:color w:val="000000"/>
                <w:sz w:val="18"/>
                <w:szCs w:val="18"/>
              </w:rPr>
            </w:pPr>
            <w:r>
              <w:rPr>
                <w:color w:val="000000"/>
                <w:kern w:val="0"/>
                <w:sz w:val="18"/>
                <w:szCs w:val="18"/>
                <w:lang w:bidi="ar"/>
              </w:rPr>
              <w:t>89.62</w:t>
            </w:r>
          </w:p>
        </w:tc>
        <w:tc>
          <w:tcPr>
            <w:tcW w:w="160" w:type="pct"/>
            <w:tcBorders>
              <w:tl2br w:val="nil"/>
              <w:tr2bl w:val="nil"/>
            </w:tcBorders>
            <w:noWrap/>
            <w:vAlign w:val="center"/>
          </w:tcPr>
          <w:p w14:paraId="0A731F96">
            <w:pPr>
              <w:widowControl/>
              <w:jc w:val="center"/>
              <w:textAlignment w:val="center"/>
              <w:rPr>
                <w:color w:val="000000"/>
                <w:sz w:val="18"/>
                <w:szCs w:val="18"/>
              </w:rPr>
            </w:pPr>
            <w:r>
              <w:rPr>
                <w:color w:val="000000"/>
                <w:kern w:val="0"/>
                <w:sz w:val="18"/>
                <w:szCs w:val="18"/>
                <w:lang w:bidi="ar"/>
              </w:rPr>
              <w:t>14.08</w:t>
            </w:r>
          </w:p>
        </w:tc>
        <w:tc>
          <w:tcPr>
            <w:tcW w:w="160" w:type="pct"/>
            <w:tcBorders>
              <w:tl2br w:val="nil"/>
              <w:tr2bl w:val="nil"/>
            </w:tcBorders>
            <w:noWrap/>
            <w:vAlign w:val="center"/>
          </w:tcPr>
          <w:p w14:paraId="44DAAF83">
            <w:pPr>
              <w:widowControl/>
              <w:jc w:val="center"/>
              <w:textAlignment w:val="center"/>
              <w:rPr>
                <w:color w:val="000000"/>
                <w:sz w:val="18"/>
                <w:szCs w:val="18"/>
              </w:rPr>
            </w:pPr>
            <w:r>
              <w:rPr>
                <w:color w:val="000000"/>
                <w:kern w:val="0"/>
                <w:sz w:val="18"/>
                <w:szCs w:val="18"/>
                <w:lang w:bidi="ar"/>
              </w:rPr>
              <w:t>56.81</w:t>
            </w:r>
          </w:p>
        </w:tc>
        <w:tc>
          <w:tcPr>
            <w:tcW w:w="160" w:type="pct"/>
            <w:tcBorders>
              <w:tl2br w:val="nil"/>
              <w:tr2bl w:val="nil"/>
            </w:tcBorders>
            <w:noWrap/>
            <w:vAlign w:val="center"/>
          </w:tcPr>
          <w:p w14:paraId="54DB1E78">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75D0A55C">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15F06365">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28AFFBE2">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4B6C2C62">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013362D">
            <w:pPr>
              <w:widowControl/>
              <w:jc w:val="center"/>
              <w:textAlignment w:val="center"/>
              <w:rPr>
                <w:color w:val="000000"/>
                <w:sz w:val="18"/>
                <w:szCs w:val="18"/>
              </w:rPr>
            </w:pPr>
            <w:r>
              <w:rPr>
                <w:color w:val="000000"/>
                <w:kern w:val="0"/>
                <w:sz w:val="18"/>
                <w:szCs w:val="18"/>
                <w:lang w:bidi="ar"/>
              </w:rPr>
              <w:t>35.81</w:t>
            </w:r>
          </w:p>
        </w:tc>
        <w:tc>
          <w:tcPr>
            <w:tcW w:w="160" w:type="pct"/>
            <w:tcBorders>
              <w:tl2br w:val="nil"/>
              <w:tr2bl w:val="nil"/>
            </w:tcBorders>
            <w:noWrap/>
            <w:vAlign w:val="center"/>
          </w:tcPr>
          <w:p w14:paraId="42DEAF2D">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14893CD9">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716B54D7">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0AFA746B">
            <w:pPr>
              <w:widowControl/>
              <w:jc w:val="center"/>
              <w:textAlignment w:val="center"/>
              <w:rPr>
                <w:color w:val="000000"/>
                <w:sz w:val="18"/>
                <w:szCs w:val="18"/>
              </w:rPr>
            </w:pPr>
            <w:r>
              <w:rPr>
                <w:color w:val="000000"/>
                <w:kern w:val="0"/>
                <w:sz w:val="18"/>
                <w:szCs w:val="18"/>
                <w:lang w:bidi="ar"/>
              </w:rPr>
              <w:t>1</w:t>
            </w:r>
          </w:p>
        </w:tc>
      </w:tr>
      <w:tr w14:paraId="52BA7E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118" w:type="pct"/>
            <w:tcBorders>
              <w:tl2br w:val="nil"/>
              <w:tr2bl w:val="nil"/>
            </w:tcBorders>
            <w:noWrap/>
            <w:vAlign w:val="center"/>
          </w:tcPr>
          <w:p w14:paraId="2767C65F">
            <w:pPr>
              <w:widowControl/>
              <w:jc w:val="center"/>
              <w:textAlignment w:val="center"/>
              <w:rPr>
                <w:color w:val="000000"/>
                <w:sz w:val="18"/>
                <w:szCs w:val="18"/>
              </w:rPr>
            </w:pPr>
            <w:r>
              <w:rPr>
                <w:color w:val="000000"/>
                <w:kern w:val="0"/>
                <w:sz w:val="18"/>
                <w:szCs w:val="18"/>
                <w:lang w:bidi="ar"/>
              </w:rPr>
              <w:t>8</w:t>
            </w:r>
          </w:p>
        </w:tc>
        <w:tc>
          <w:tcPr>
            <w:tcW w:w="231" w:type="pct"/>
            <w:vMerge w:val="continue"/>
            <w:tcBorders>
              <w:tl2br w:val="nil"/>
              <w:tr2bl w:val="nil"/>
            </w:tcBorders>
            <w:noWrap/>
            <w:vAlign w:val="center"/>
          </w:tcPr>
          <w:p w14:paraId="56B5BB51">
            <w:pPr>
              <w:widowControl/>
              <w:jc w:val="center"/>
              <w:rPr>
                <w:color w:val="000000"/>
                <w:sz w:val="18"/>
                <w:szCs w:val="18"/>
              </w:rPr>
            </w:pPr>
          </w:p>
        </w:tc>
        <w:tc>
          <w:tcPr>
            <w:tcW w:w="468" w:type="pct"/>
            <w:tcBorders>
              <w:tl2br w:val="nil"/>
              <w:tr2bl w:val="nil"/>
            </w:tcBorders>
            <w:noWrap/>
            <w:vAlign w:val="center"/>
          </w:tcPr>
          <w:p w14:paraId="0316459C">
            <w:pPr>
              <w:widowControl/>
              <w:jc w:val="center"/>
              <w:textAlignment w:val="center"/>
              <w:rPr>
                <w:color w:val="000000"/>
                <w:sz w:val="18"/>
                <w:szCs w:val="18"/>
              </w:rPr>
            </w:pPr>
            <w:r>
              <w:rPr>
                <w:rFonts w:hint="eastAsia"/>
                <w:color w:val="000000"/>
                <w:kern w:val="0"/>
                <w:sz w:val="18"/>
                <w:szCs w:val="18"/>
                <w:lang w:bidi="ar"/>
              </w:rPr>
              <w:t>3#热风焊接机</w:t>
            </w:r>
          </w:p>
        </w:tc>
        <w:tc>
          <w:tcPr>
            <w:tcW w:w="412" w:type="pct"/>
            <w:tcBorders>
              <w:tl2br w:val="nil"/>
              <w:tr2bl w:val="nil"/>
            </w:tcBorders>
            <w:noWrap/>
            <w:vAlign w:val="center"/>
          </w:tcPr>
          <w:p w14:paraId="24E39C99">
            <w:pPr>
              <w:widowControl/>
              <w:jc w:val="center"/>
              <w:textAlignment w:val="center"/>
              <w:rPr>
                <w:color w:val="000000"/>
                <w:sz w:val="18"/>
                <w:szCs w:val="18"/>
              </w:rPr>
            </w:pPr>
            <w:r>
              <w:rPr>
                <w:color w:val="000000"/>
                <w:kern w:val="0"/>
                <w:sz w:val="18"/>
                <w:szCs w:val="18"/>
                <w:lang w:bidi="ar"/>
              </w:rPr>
              <w:t>FM-HOTBOX-300</w:t>
            </w:r>
          </w:p>
        </w:tc>
        <w:tc>
          <w:tcPr>
            <w:tcW w:w="318" w:type="pct"/>
            <w:tcBorders>
              <w:tl2br w:val="nil"/>
              <w:tr2bl w:val="nil"/>
            </w:tcBorders>
            <w:noWrap/>
            <w:vAlign w:val="center"/>
          </w:tcPr>
          <w:p w14:paraId="6D33B92E">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54FCCEB4">
            <w:pPr>
              <w:widowControl/>
              <w:jc w:val="center"/>
              <w:rPr>
                <w:color w:val="000000"/>
                <w:sz w:val="18"/>
                <w:szCs w:val="18"/>
              </w:rPr>
            </w:pPr>
          </w:p>
        </w:tc>
        <w:tc>
          <w:tcPr>
            <w:tcW w:w="181" w:type="pct"/>
            <w:tcBorders>
              <w:tl2br w:val="nil"/>
              <w:tr2bl w:val="nil"/>
            </w:tcBorders>
            <w:noWrap/>
            <w:vAlign w:val="center"/>
          </w:tcPr>
          <w:p w14:paraId="7F985251">
            <w:pPr>
              <w:widowControl/>
              <w:jc w:val="center"/>
              <w:textAlignment w:val="center"/>
              <w:rPr>
                <w:color w:val="000000"/>
                <w:sz w:val="18"/>
                <w:szCs w:val="18"/>
              </w:rPr>
            </w:pPr>
            <w:r>
              <w:rPr>
                <w:color w:val="000000"/>
                <w:kern w:val="0"/>
                <w:sz w:val="18"/>
                <w:szCs w:val="18"/>
                <w:lang w:bidi="ar"/>
              </w:rPr>
              <w:t>-79.34</w:t>
            </w:r>
          </w:p>
        </w:tc>
        <w:tc>
          <w:tcPr>
            <w:tcW w:w="160" w:type="pct"/>
            <w:tcBorders>
              <w:tl2br w:val="nil"/>
              <w:tr2bl w:val="nil"/>
            </w:tcBorders>
            <w:noWrap/>
            <w:vAlign w:val="center"/>
          </w:tcPr>
          <w:p w14:paraId="7C376559">
            <w:pPr>
              <w:widowControl/>
              <w:jc w:val="center"/>
              <w:textAlignment w:val="center"/>
              <w:rPr>
                <w:color w:val="000000"/>
                <w:sz w:val="18"/>
                <w:szCs w:val="18"/>
              </w:rPr>
            </w:pPr>
            <w:r>
              <w:rPr>
                <w:color w:val="000000"/>
                <w:kern w:val="0"/>
                <w:sz w:val="18"/>
                <w:szCs w:val="18"/>
                <w:lang w:bidi="ar"/>
              </w:rPr>
              <w:t>41.89</w:t>
            </w:r>
          </w:p>
        </w:tc>
        <w:tc>
          <w:tcPr>
            <w:tcW w:w="83" w:type="pct"/>
            <w:tcBorders>
              <w:tl2br w:val="nil"/>
              <w:tr2bl w:val="nil"/>
            </w:tcBorders>
            <w:noWrap/>
            <w:vAlign w:val="center"/>
          </w:tcPr>
          <w:p w14:paraId="30EEBF80">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6E0906F">
            <w:pPr>
              <w:widowControl/>
              <w:jc w:val="center"/>
              <w:textAlignment w:val="center"/>
              <w:rPr>
                <w:color w:val="000000"/>
                <w:sz w:val="18"/>
                <w:szCs w:val="18"/>
              </w:rPr>
            </w:pPr>
            <w:r>
              <w:rPr>
                <w:color w:val="000000"/>
                <w:kern w:val="0"/>
                <w:sz w:val="18"/>
                <w:szCs w:val="18"/>
                <w:lang w:bidi="ar"/>
              </w:rPr>
              <w:t>15.08</w:t>
            </w:r>
          </w:p>
        </w:tc>
        <w:tc>
          <w:tcPr>
            <w:tcW w:w="160" w:type="pct"/>
            <w:tcBorders>
              <w:tl2br w:val="nil"/>
              <w:tr2bl w:val="nil"/>
            </w:tcBorders>
            <w:noWrap/>
            <w:vAlign w:val="center"/>
          </w:tcPr>
          <w:p w14:paraId="6B143CC8">
            <w:pPr>
              <w:widowControl/>
              <w:jc w:val="center"/>
              <w:textAlignment w:val="center"/>
              <w:rPr>
                <w:color w:val="000000"/>
                <w:sz w:val="18"/>
                <w:szCs w:val="18"/>
              </w:rPr>
            </w:pPr>
            <w:r>
              <w:rPr>
                <w:color w:val="000000"/>
                <w:kern w:val="0"/>
                <w:sz w:val="18"/>
                <w:szCs w:val="18"/>
                <w:lang w:bidi="ar"/>
              </w:rPr>
              <w:t>19.01</w:t>
            </w:r>
          </w:p>
        </w:tc>
        <w:tc>
          <w:tcPr>
            <w:tcW w:w="160" w:type="pct"/>
            <w:tcBorders>
              <w:tl2br w:val="nil"/>
              <w:tr2bl w:val="nil"/>
            </w:tcBorders>
            <w:noWrap/>
            <w:vAlign w:val="center"/>
          </w:tcPr>
          <w:p w14:paraId="598005EC">
            <w:pPr>
              <w:widowControl/>
              <w:jc w:val="center"/>
              <w:textAlignment w:val="center"/>
              <w:rPr>
                <w:color w:val="000000"/>
                <w:sz w:val="18"/>
                <w:szCs w:val="18"/>
              </w:rPr>
            </w:pPr>
            <w:r>
              <w:rPr>
                <w:color w:val="000000"/>
                <w:kern w:val="0"/>
                <w:sz w:val="18"/>
                <w:szCs w:val="18"/>
                <w:lang w:bidi="ar"/>
              </w:rPr>
              <w:t>87.69</w:t>
            </w:r>
          </w:p>
        </w:tc>
        <w:tc>
          <w:tcPr>
            <w:tcW w:w="160" w:type="pct"/>
            <w:tcBorders>
              <w:tl2br w:val="nil"/>
              <w:tr2bl w:val="nil"/>
            </w:tcBorders>
            <w:noWrap/>
            <w:vAlign w:val="center"/>
          </w:tcPr>
          <w:p w14:paraId="19F7BBEE">
            <w:pPr>
              <w:widowControl/>
              <w:jc w:val="center"/>
              <w:textAlignment w:val="center"/>
              <w:rPr>
                <w:color w:val="000000"/>
                <w:sz w:val="18"/>
                <w:szCs w:val="18"/>
              </w:rPr>
            </w:pPr>
            <w:r>
              <w:rPr>
                <w:color w:val="000000"/>
                <w:kern w:val="0"/>
                <w:sz w:val="18"/>
                <w:szCs w:val="18"/>
                <w:lang w:bidi="ar"/>
              </w:rPr>
              <w:t>14.04</w:t>
            </w:r>
          </w:p>
        </w:tc>
        <w:tc>
          <w:tcPr>
            <w:tcW w:w="160" w:type="pct"/>
            <w:tcBorders>
              <w:tl2br w:val="nil"/>
              <w:tr2bl w:val="nil"/>
            </w:tcBorders>
            <w:noWrap/>
            <w:vAlign w:val="center"/>
          </w:tcPr>
          <w:p w14:paraId="1B877D40">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0BBB80F8">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3B3BC1A9">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7F474BF0">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4B427DEE">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F0F6F77">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4AF623A8">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339F294E">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23403AC4">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58D61E9">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172D4A46">
            <w:pPr>
              <w:widowControl/>
              <w:jc w:val="center"/>
              <w:textAlignment w:val="center"/>
              <w:rPr>
                <w:color w:val="000000"/>
                <w:sz w:val="18"/>
                <w:szCs w:val="18"/>
              </w:rPr>
            </w:pPr>
            <w:r>
              <w:rPr>
                <w:color w:val="000000"/>
                <w:kern w:val="0"/>
                <w:sz w:val="18"/>
                <w:szCs w:val="18"/>
                <w:lang w:bidi="ar"/>
              </w:rPr>
              <w:t>1</w:t>
            </w:r>
          </w:p>
        </w:tc>
      </w:tr>
      <w:tr w14:paraId="18DDC2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94AC78E">
            <w:pPr>
              <w:widowControl/>
              <w:jc w:val="center"/>
              <w:textAlignment w:val="center"/>
              <w:rPr>
                <w:color w:val="000000"/>
                <w:sz w:val="18"/>
                <w:szCs w:val="18"/>
              </w:rPr>
            </w:pPr>
            <w:r>
              <w:rPr>
                <w:color w:val="000000"/>
                <w:kern w:val="0"/>
                <w:sz w:val="18"/>
                <w:szCs w:val="18"/>
                <w:lang w:bidi="ar"/>
              </w:rPr>
              <w:t>9</w:t>
            </w:r>
          </w:p>
        </w:tc>
        <w:tc>
          <w:tcPr>
            <w:tcW w:w="231" w:type="pct"/>
            <w:vMerge w:val="continue"/>
            <w:tcBorders>
              <w:tl2br w:val="nil"/>
              <w:tr2bl w:val="nil"/>
            </w:tcBorders>
            <w:noWrap/>
            <w:vAlign w:val="center"/>
          </w:tcPr>
          <w:p w14:paraId="48F3595F">
            <w:pPr>
              <w:widowControl/>
              <w:jc w:val="center"/>
              <w:rPr>
                <w:color w:val="000000"/>
                <w:sz w:val="18"/>
                <w:szCs w:val="18"/>
              </w:rPr>
            </w:pPr>
          </w:p>
        </w:tc>
        <w:tc>
          <w:tcPr>
            <w:tcW w:w="468" w:type="pct"/>
            <w:tcBorders>
              <w:tl2br w:val="nil"/>
              <w:tr2bl w:val="nil"/>
            </w:tcBorders>
            <w:noWrap/>
            <w:vAlign w:val="center"/>
          </w:tcPr>
          <w:p w14:paraId="5F2BE728">
            <w:pPr>
              <w:widowControl/>
              <w:jc w:val="center"/>
              <w:textAlignment w:val="center"/>
              <w:rPr>
                <w:color w:val="000000"/>
                <w:sz w:val="18"/>
                <w:szCs w:val="18"/>
              </w:rPr>
            </w:pPr>
            <w:r>
              <w:rPr>
                <w:rFonts w:hint="eastAsia"/>
                <w:color w:val="000000"/>
                <w:kern w:val="0"/>
                <w:sz w:val="18"/>
                <w:szCs w:val="18"/>
                <w:lang w:bidi="ar"/>
              </w:rPr>
              <w:t>2#热风焊接机</w:t>
            </w:r>
          </w:p>
        </w:tc>
        <w:tc>
          <w:tcPr>
            <w:tcW w:w="412" w:type="pct"/>
            <w:tcBorders>
              <w:tl2br w:val="nil"/>
              <w:tr2bl w:val="nil"/>
            </w:tcBorders>
            <w:noWrap/>
            <w:vAlign w:val="center"/>
          </w:tcPr>
          <w:p w14:paraId="3E477732">
            <w:pPr>
              <w:widowControl/>
              <w:jc w:val="center"/>
              <w:textAlignment w:val="center"/>
              <w:rPr>
                <w:color w:val="000000"/>
                <w:sz w:val="18"/>
                <w:szCs w:val="18"/>
              </w:rPr>
            </w:pPr>
            <w:r>
              <w:rPr>
                <w:color w:val="000000"/>
                <w:kern w:val="0"/>
                <w:sz w:val="18"/>
                <w:szCs w:val="18"/>
                <w:lang w:bidi="ar"/>
              </w:rPr>
              <w:t>CZRF800</w:t>
            </w:r>
          </w:p>
        </w:tc>
        <w:tc>
          <w:tcPr>
            <w:tcW w:w="318" w:type="pct"/>
            <w:tcBorders>
              <w:tl2br w:val="nil"/>
              <w:tr2bl w:val="nil"/>
            </w:tcBorders>
            <w:noWrap/>
            <w:vAlign w:val="center"/>
          </w:tcPr>
          <w:p w14:paraId="7972F272">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7F2F0369">
            <w:pPr>
              <w:widowControl/>
              <w:jc w:val="center"/>
              <w:rPr>
                <w:color w:val="000000"/>
                <w:sz w:val="18"/>
                <w:szCs w:val="18"/>
              </w:rPr>
            </w:pPr>
          </w:p>
        </w:tc>
        <w:tc>
          <w:tcPr>
            <w:tcW w:w="181" w:type="pct"/>
            <w:tcBorders>
              <w:tl2br w:val="nil"/>
              <w:tr2bl w:val="nil"/>
            </w:tcBorders>
            <w:noWrap/>
            <w:vAlign w:val="center"/>
          </w:tcPr>
          <w:p w14:paraId="0B9943BB">
            <w:pPr>
              <w:widowControl/>
              <w:jc w:val="center"/>
              <w:textAlignment w:val="center"/>
              <w:rPr>
                <w:color w:val="000000"/>
                <w:sz w:val="18"/>
                <w:szCs w:val="18"/>
              </w:rPr>
            </w:pPr>
            <w:r>
              <w:rPr>
                <w:color w:val="000000"/>
                <w:kern w:val="0"/>
                <w:sz w:val="18"/>
                <w:szCs w:val="18"/>
                <w:lang w:bidi="ar"/>
              </w:rPr>
              <w:t>-77.5</w:t>
            </w:r>
          </w:p>
        </w:tc>
        <w:tc>
          <w:tcPr>
            <w:tcW w:w="160" w:type="pct"/>
            <w:tcBorders>
              <w:tl2br w:val="nil"/>
              <w:tr2bl w:val="nil"/>
            </w:tcBorders>
            <w:noWrap/>
            <w:vAlign w:val="center"/>
          </w:tcPr>
          <w:p w14:paraId="25F14CAE">
            <w:pPr>
              <w:widowControl/>
              <w:jc w:val="center"/>
              <w:textAlignment w:val="center"/>
              <w:rPr>
                <w:color w:val="000000"/>
                <w:sz w:val="18"/>
                <w:szCs w:val="18"/>
              </w:rPr>
            </w:pPr>
            <w:r>
              <w:rPr>
                <w:color w:val="000000"/>
                <w:kern w:val="0"/>
                <w:sz w:val="18"/>
                <w:szCs w:val="18"/>
                <w:lang w:bidi="ar"/>
              </w:rPr>
              <w:t>41.39</w:t>
            </w:r>
          </w:p>
        </w:tc>
        <w:tc>
          <w:tcPr>
            <w:tcW w:w="83" w:type="pct"/>
            <w:tcBorders>
              <w:tl2br w:val="nil"/>
              <w:tr2bl w:val="nil"/>
            </w:tcBorders>
            <w:noWrap/>
            <w:vAlign w:val="center"/>
          </w:tcPr>
          <w:p w14:paraId="6371DF7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239BC03B">
            <w:pPr>
              <w:widowControl/>
              <w:jc w:val="center"/>
              <w:textAlignment w:val="center"/>
              <w:rPr>
                <w:color w:val="000000"/>
                <w:sz w:val="18"/>
                <w:szCs w:val="18"/>
              </w:rPr>
            </w:pPr>
            <w:r>
              <w:rPr>
                <w:color w:val="000000"/>
                <w:kern w:val="0"/>
                <w:sz w:val="18"/>
                <w:szCs w:val="18"/>
                <w:lang w:bidi="ar"/>
              </w:rPr>
              <w:t>16.99</w:t>
            </w:r>
          </w:p>
        </w:tc>
        <w:tc>
          <w:tcPr>
            <w:tcW w:w="160" w:type="pct"/>
            <w:tcBorders>
              <w:tl2br w:val="nil"/>
              <w:tr2bl w:val="nil"/>
            </w:tcBorders>
            <w:noWrap/>
            <w:vAlign w:val="center"/>
          </w:tcPr>
          <w:p w14:paraId="12140D64">
            <w:pPr>
              <w:widowControl/>
              <w:jc w:val="center"/>
              <w:textAlignment w:val="center"/>
              <w:rPr>
                <w:color w:val="000000"/>
                <w:sz w:val="18"/>
                <w:szCs w:val="18"/>
              </w:rPr>
            </w:pPr>
            <w:r>
              <w:rPr>
                <w:color w:val="000000"/>
                <w:kern w:val="0"/>
                <w:sz w:val="18"/>
                <w:szCs w:val="18"/>
                <w:lang w:bidi="ar"/>
              </w:rPr>
              <w:t>19.02</w:t>
            </w:r>
          </w:p>
        </w:tc>
        <w:tc>
          <w:tcPr>
            <w:tcW w:w="160" w:type="pct"/>
            <w:tcBorders>
              <w:tl2br w:val="nil"/>
              <w:tr2bl w:val="nil"/>
            </w:tcBorders>
            <w:noWrap/>
            <w:vAlign w:val="center"/>
          </w:tcPr>
          <w:p w14:paraId="31001D96">
            <w:pPr>
              <w:widowControl/>
              <w:jc w:val="center"/>
              <w:textAlignment w:val="center"/>
              <w:rPr>
                <w:color w:val="000000"/>
                <w:sz w:val="18"/>
                <w:szCs w:val="18"/>
              </w:rPr>
            </w:pPr>
            <w:r>
              <w:rPr>
                <w:color w:val="000000"/>
                <w:kern w:val="0"/>
                <w:sz w:val="18"/>
                <w:szCs w:val="18"/>
                <w:lang w:bidi="ar"/>
              </w:rPr>
              <w:t>85.79</w:t>
            </w:r>
          </w:p>
        </w:tc>
        <w:tc>
          <w:tcPr>
            <w:tcW w:w="160" w:type="pct"/>
            <w:tcBorders>
              <w:tl2br w:val="nil"/>
              <w:tr2bl w:val="nil"/>
            </w:tcBorders>
            <w:noWrap/>
            <w:vAlign w:val="center"/>
          </w:tcPr>
          <w:p w14:paraId="0EF588B5">
            <w:pPr>
              <w:widowControl/>
              <w:jc w:val="center"/>
              <w:textAlignment w:val="center"/>
              <w:rPr>
                <w:color w:val="000000"/>
                <w:sz w:val="18"/>
                <w:szCs w:val="18"/>
              </w:rPr>
            </w:pPr>
            <w:r>
              <w:rPr>
                <w:color w:val="000000"/>
                <w:kern w:val="0"/>
                <w:sz w:val="18"/>
                <w:szCs w:val="18"/>
                <w:lang w:bidi="ar"/>
              </w:rPr>
              <w:t>14.03</w:t>
            </w:r>
          </w:p>
        </w:tc>
        <w:tc>
          <w:tcPr>
            <w:tcW w:w="160" w:type="pct"/>
            <w:tcBorders>
              <w:tl2br w:val="nil"/>
              <w:tr2bl w:val="nil"/>
            </w:tcBorders>
            <w:noWrap/>
            <w:vAlign w:val="center"/>
          </w:tcPr>
          <w:p w14:paraId="3E06C0F1">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0DE40900">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5B93FEDE">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6420AA5E">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4F8CC84B">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5AB72521">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A3BF19E">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6933C06C">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6BE987B9">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4C6C51D7">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14F93B20">
            <w:pPr>
              <w:widowControl/>
              <w:jc w:val="center"/>
              <w:textAlignment w:val="center"/>
              <w:rPr>
                <w:color w:val="000000"/>
                <w:sz w:val="18"/>
                <w:szCs w:val="18"/>
              </w:rPr>
            </w:pPr>
            <w:r>
              <w:rPr>
                <w:color w:val="000000"/>
                <w:kern w:val="0"/>
                <w:sz w:val="18"/>
                <w:szCs w:val="18"/>
                <w:lang w:bidi="ar"/>
              </w:rPr>
              <w:t>1</w:t>
            </w:r>
          </w:p>
        </w:tc>
      </w:tr>
      <w:tr w14:paraId="39836C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05CC91B3">
            <w:pPr>
              <w:widowControl/>
              <w:jc w:val="center"/>
              <w:textAlignment w:val="center"/>
              <w:rPr>
                <w:color w:val="000000"/>
                <w:sz w:val="18"/>
                <w:szCs w:val="18"/>
              </w:rPr>
            </w:pPr>
            <w:r>
              <w:rPr>
                <w:color w:val="000000"/>
                <w:kern w:val="0"/>
                <w:sz w:val="18"/>
                <w:szCs w:val="18"/>
                <w:lang w:bidi="ar"/>
              </w:rPr>
              <w:t>10</w:t>
            </w:r>
          </w:p>
        </w:tc>
        <w:tc>
          <w:tcPr>
            <w:tcW w:w="231" w:type="pct"/>
            <w:vMerge w:val="continue"/>
            <w:tcBorders>
              <w:tl2br w:val="nil"/>
              <w:tr2bl w:val="nil"/>
            </w:tcBorders>
            <w:noWrap/>
            <w:vAlign w:val="center"/>
          </w:tcPr>
          <w:p w14:paraId="1E46B8E1">
            <w:pPr>
              <w:widowControl/>
              <w:jc w:val="center"/>
              <w:rPr>
                <w:color w:val="000000"/>
                <w:sz w:val="18"/>
                <w:szCs w:val="18"/>
              </w:rPr>
            </w:pPr>
          </w:p>
        </w:tc>
        <w:tc>
          <w:tcPr>
            <w:tcW w:w="468" w:type="pct"/>
            <w:tcBorders>
              <w:tl2br w:val="nil"/>
              <w:tr2bl w:val="nil"/>
            </w:tcBorders>
            <w:noWrap/>
            <w:vAlign w:val="center"/>
          </w:tcPr>
          <w:p w14:paraId="615B65F1">
            <w:pPr>
              <w:widowControl/>
              <w:jc w:val="center"/>
              <w:textAlignment w:val="center"/>
              <w:rPr>
                <w:color w:val="000000"/>
                <w:sz w:val="18"/>
                <w:szCs w:val="18"/>
              </w:rPr>
            </w:pPr>
            <w:r>
              <w:rPr>
                <w:rFonts w:hint="eastAsia"/>
                <w:color w:val="000000"/>
                <w:kern w:val="0"/>
                <w:sz w:val="18"/>
                <w:szCs w:val="18"/>
                <w:lang w:bidi="ar"/>
              </w:rPr>
              <w:t>1#标记环锻造机</w:t>
            </w:r>
          </w:p>
        </w:tc>
        <w:tc>
          <w:tcPr>
            <w:tcW w:w="412" w:type="pct"/>
            <w:tcBorders>
              <w:tl2br w:val="nil"/>
              <w:tr2bl w:val="nil"/>
            </w:tcBorders>
            <w:noWrap/>
            <w:vAlign w:val="center"/>
          </w:tcPr>
          <w:p w14:paraId="6C8E30FB">
            <w:pPr>
              <w:widowControl/>
              <w:jc w:val="center"/>
              <w:textAlignment w:val="center"/>
              <w:rPr>
                <w:color w:val="000000"/>
                <w:sz w:val="18"/>
                <w:szCs w:val="18"/>
              </w:rPr>
            </w:pPr>
            <w:r>
              <w:rPr>
                <w:color w:val="000000"/>
                <w:kern w:val="0"/>
                <w:sz w:val="18"/>
                <w:szCs w:val="18"/>
                <w:lang w:bidi="ar"/>
              </w:rPr>
              <w:t>MBS140CRE</w:t>
            </w:r>
          </w:p>
        </w:tc>
        <w:tc>
          <w:tcPr>
            <w:tcW w:w="318" w:type="pct"/>
            <w:tcBorders>
              <w:tl2br w:val="nil"/>
              <w:tr2bl w:val="nil"/>
            </w:tcBorders>
            <w:noWrap/>
            <w:vAlign w:val="center"/>
          </w:tcPr>
          <w:p w14:paraId="71654A52">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13701CC2">
            <w:pPr>
              <w:widowControl/>
              <w:jc w:val="center"/>
              <w:rPr>
                <w:color w:val="000000"/>
                <w:sz w:val="18"/>
                <w:szCs w:val="18"/>
              </w:rPr>
            </w:pPr>
          </w:p>
        </w:tc>
        <w:tc>
          <w:tcPr>
            <w:tcW w:w="181" w:type="pct"/>
            <w:tcBorders>
              <w:tl2br w:val="nil"/>
              <w:tr2bl w:val="nil"/>
            </w:tcBorders>
            <w:noWrap/>
            <w:vAlign w:val="center"/>
          </w:tcPr>
          <w:p w14:paraId="046C2EBF">
            <w:pPr>
              <w:widowControl/>
              <w:jc w:val="center"/>
              <w:textAlignment w:val="center"/>
              <w:rPr>
                <w:color w:val="000000"/>
                <w:sz w:val="18"/>
                <w:szCs w:val="18"/>
              </w:rPr>
            </w:pPr>
            <w:r>
              <w:rPr>
                <w:color w:val="000000"/>
                <w:kern w:val="0"/>
                <w:sz w:val="18"/>
                <w:szCs w:val="18"/>
                <w:lang w:bidi="ar"/>
              </w:rPr>
              <w:t>-75.39</w:t>
            </w:r>
          </w:p>
        </w:tc>
        <w:tc>
          <w:tcPr>
            <w:tcW w:w="160" w:type="pct"/>
            <w:tcBorders>
              <w:tl2br w:val="nil"/>
              <w:tr2bl w:val="nil"/>
            </w:tcBorders>
            <w:noWrap/>
            <w:vAlign w:val="center"/>
          </w:tcPr>
          <w:p w14:paraId="7721731E">
            <w:pPr>
              <w:widowControl/>
              <w:jc w:val="center"/>
              <w:textAlignment w:val="center"/>
              <w:rPr>
                <w:color w:val="000000"/>
                <w:sz w:val="18"/>
                <w:szCs w:val="18"/>
              </w:rPr>
            </w:pPr>
            <w:r>
              <w:rPr>
                <w:color w:val="000000"/>
                <w:kern w:val="0"/>
                <w:sz w:val="18"/>
                <w:szCs w:val="18"/>
                <w:lang w:bidi="ar"/>
              </w:rPr>
              <w:t>40.77</w:t>
            </w:r>
          </w:p>
        </w:tc>
        <w:tc>
          <w:tcPr>
            <w:tcW w:w="83" w:type="pct"/>
            <w:tcBorders>
              <w:tl2br w:val="nil"/>
              <w:tr2bl w:val="nil"/>
            </w:tcBorders>
            <w:noWrap/>
            <w:vAlign w:val="center"/>
          </w:tcPr>
          <w:p w14:paraId="19AC9CF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633848DE">
            <w:pPr>
              <w:widowControl/>
              <w:jc w:val="center"/>
              <w:textAlignment w:val="center"/>
              <w:rPr>
                <w:color w:val="000000"/>
                <w:sz w:val="18"/>
                <w:szCs w:val="18"/>
              </w:rPr>
            </w:pPr>
            <w:r>
              <w:rPr>
                <w:color w:val="000000"/>
                <w:kern w:val="0"/>
                <w:sz w:val="18"/>
                <w:szCs w:val="18"/>
                <w:lang w:bidi="ar"/>
              </w:rPr>
              <w:t>19.19</w:t>
            </w:r>
          </w:p>
        </w:tc>
        <w:tc>
          <w:tcPr>
            <w:tcW w:w="160" w:type="pct"/>
            <w:tcBorders>
              <w:tl2br w:val="nil"/>
              <w:tr2bl w:val="nil"/>
            </w:tcBorders>
            <w:noWrap/>
            <w:vAlign w:val="center"/>
          </w:tcPr>
          <w:p w14:paraId="69410635">
            <w:pPr>
              <w:widowControl/>
              <w:jc w:val="center"/>
              <w:textAlignment w:val="center"/>
              <w:rPr>
                <w:color w:val="000000"/>
                <w:sz w:val="18"/>
                <w:szCs w:val="18"/>
              </w:rPr>
            </w:pPr>
            <w:r>
              <w:rPr>
                <w:color w:val="000000"/>
                <w:kern w:val="0"/>
                <w:sz w:val="18"/>
                <w:szCs w:val="18"/>
                <w:lang w:bidi="ar"/>
              </w:rPr>
              <w:t>18.99</w:t>
            </w:r>
          </w:p>
        </w:tc>
        <w:tc>
          <w:tcPr>
            <w:tcW w:w="160" w:type="pct"/>
            <w:tcBorders>
              <w:tl2br w:val="nil"/>
              <w:tr2bl w:val="nil"/>
            </w:tcBorders>
            <w:noWrap/>
            <w:vAlign w:val="center"/>
          </w:tcPr>
          <w:p w14:paraId="0091CA6D">
            <w:pPr>
              <w:widowControl/>
              <w:jc w:val="center"/>
              <w:textAlignment w:val="center"/>
              <w:rPr>
                <w:color w:val="000000"/>
                <w:sz w:val="18"/>
                <w:szCs w:val="18"/>
              </w:rPr>
            </w:pPr>
            <w:r>
              <w:rPr>
                <w:color w:val="000000"/>
                <w:kern w:val="0"/>
                <w:sz w:val="18"/>
                <w:szCs w:val="18"/>
                <w:lang w:bidi="ar"/>
              </w:rPr>
              <w:t>83.59</w:t>
            </w:r>
          </w:p>
        </w:tc>
        <w:tc>
          <w:tcPr>
            <w:tcW w:w="160" w:type="pct"/>
            <w:tcBorders>
              <w:tl2br w:val="nil"/>
              <w:tr2bl w:val="nil"/>
            </w:tcBorders>
            <w:noWrap/>
            <w:vAlign w:val="center"/>
          </w:tcPr>
          <w:p w14:paraId="3B4C9688">
            <w:pPr>
              <w:widowControl/>
              <w:jc w:val="center"/>
              <w:textAlignment w:val="center"/>
              <w:rPr>
                <w:color w:val="000000"/>
                <w:sz w:val="18"/>
                <w:szCs w:val="18"/>
              </w:rPr>
            </w:pPr>
            <w:r>
              <w:rPr>
                <w:color w:val="000000"/>
                <w:kern w:val="0"/>
                <w:sz w:val="18"/>
                <w:szCs w:val="18"/>
                <w:lang w:bidi="ar"/>
              </w:rPr>
              <w:t>14.06</w:t>
            </w:r>
          </w:p>
        </w:tc>
        <w:tc>
          <w:tcPr>
            <w:tcW w:w="160" w:type="pct"/>
            <w:tcBorders>
              <w:tl2br w:val="nil"/>
              <w:tr2bl w:val="nil"/>
            </w:tcBorders>
            <w:noWrap/>
            <w:vAlign w:val="center"/>
          </w:tcPr>
          <w:p w14:paraId="0E41F242">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668D3D37">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2FDC27F3">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5D022F7D">
            <w:pPr>
              <w:widowControl/>
              <w:jc w:val="center"/>
              <w:textAlignment w:val="center"/>
              <w:rPr>
                <w:color w:val="000000"/>
                <w:sz w:val="18"/>
                <w:szCs w:val="18"/>
              </w:rPr>
            </w:pPr>
            <w:r>
              <w:rPr>
                <w:color w:val="000000"/>
                <w:kern w:val="0"/>
                <w:sz w:val="18"/>
                <w:szCs w:val="18"/>
                <w:lang w:bidi="ar"/>
              </w:rPr>
              <w:t>56.81</w:t>
            </w:r>
          </w:p>
        </w:tc>
        <w:tc>
          <w:tcPr>
            <w:tcW w:w="188" w:type="pct"/>
            <w:tcBorders>
              <w:tl2br w:val="nil"/>
              <w:tr2bl w:val="nil"/>
            </w:tcBorders>
            <w:noWrap/>
            <w:vAlign w:val="center"/>
          </w:tcPr>
          <w:p w14:paraId="36796C91">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E3970F9">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D9218B2">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45943D92">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73FACB0C">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67B2E9BB">
            <w:pPr>
              <w:widowControl/>
              <w:jc w:val="center"/>
              <w:textAlignment w:val="center"/>
              <w:rPr>
                <w:color w:val="000000"/>
                <w:sz w:val="18"/>
                <w:szCs w:val="18"/>
              </w:rPr>
            </w:pPr>
            <w:r>
              <w:rPr>
                <w:color w:val="000000"/>
                <w:kern w:val="0"/>
                <w:sz w:val="18"/>
                <w:szCs w:val="18"/>
                <w:lang w:bidi="ar"/>
              </w:rPr>
              <w:t>35.81</w:t>
            </w:r>
          </w:p>
        </w:tc>
        <w:tc>
          <w:tcPr>
            <w:tcW w:w="248" w:type="pct"/>
            <w:tcBorders>
              <w:tl2br w:val="nil"/>
              <w:tr2bl w:val="nil"/>
            </w:tcBorders>
            <w:noWrap/>
            <w:vAlign w:val="center"/>
          </w:tcPr>
          <w:p w14:paraId="7210BC88">
            <w:pPr>
              <w:widowControl/>
              <w:jc w:val="center"/>
              <w:textAlignment w:val="center"/>
              <w:rPr>
                <w:color w:val="000000"/>
                <w:sz w:val="18"/>
                <w:szCs w:val="18"/>
              </w:rPr>
            </w:pPr>
            <w:r>
              <w:rPr>
                <w:color w:val="000000"/>
                <w:kern w:val="0"/>
                <w:sz w:val="18"/>
                <w:szCs w:val="18"/>
                <w:lang w:bidi="ar"/>
              </w:rPr>
              <w:t>1</w:t>
            </w:r>
          </w:p>
        </w:tc>
      </w:tr>
      <w:tr w14:paraId="560A94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118" w:type="pct"/>
            <w:tcBorders>
              <w:tl2br w:val="nil"/>
              <w:tr2bl w:val="nil"/>
            </w:tcBorders>
            <w:noWrap/>
            <w:vAlign w:val="center"/>
          </w:tcPr>
          <w:p w14:paraId="4C6F3EAC">
            <w:pPr>
              <w:widowControl/>
              <w:jc w:val="center"/>
              <w:textAlignment w:val="center"/>
              <w:rPr>
                <w:color w:val="000000"/>
                <w:sz w:val="18"/>
                <w:szCs w:val="18"/>
              </w:rPr>
            </w:pPr>
            <w:r>
              <w:rPr>
                <w:color w:val="000000"/>
                <w:kern w:val="0"/>
                <w:sz w:val="18"/>
                <w:szCs w:val="18"/>
                <w:lang w:bidi="ar"/>
              </w:rPr>
              <w:t>11</w:t>
            </w:r>
          </w:p>
        </w:tc>
        <w:tc>
          <w:tcPr>
            <w:tcW w:w="231" w:type="pct"/>
            <w:vMerge w:val="continue"/>
            <w:tcBorders>
              <w:tl2br w:val="nil"/>
              <w:tr2bl w:val="nil"/>
            </w:tcBorders>
            <w:noWrap/>
            <w:vAlign w:val="center"/>
          </w:tcPr>
          <w:p w14:paraId="558511BC">
            <w:pPr>
              <w:widowControl/>
              <w:jc w:val="center"/>
              <w:rPr>
                <w:color w:val="000000"/>
                <w:sz w:val="18"/>
                <w:szCs w:val="18"/>
              </w:rPr>
            </w:pPr>
          </w:p>
        </w:tc>
        <w:tc>
          <w:tcPr>
            <w:tcW w:w="468" w:type="pct"/>
            <w:tcBorders>
              <w:tl2br w:val="nil"/>
              <w:tr2bl w:val="nil"/>
            </w:tcBorders>
            <w:noWrap/>
            <w:vAlign w:val="center"/>
          </w:tcPr>
          <w:p w14:paraId="5F46178F">
            <w:pPr>
              <w:widowControl/>
              <w:jc w:val="center"/>
              <w:textAlignment w:val="center"/>
              <w:rPr>
                <w:color w:val="000000"/>
                <w:sz w:val="18"/>
                <w:szCs w:val="18"/>
              </w:rPr>
            </w:pPr>
            <w:r>
              <w:rPr>
                <w:rFonts w:hint="eastAsia"/>
                <w:color w:val="000000"/>
                <w:kern w:val="0"/>
                <w:sz w:val="18"/>
                <w:szCs w:val="18"/>
                <w:lang w:bidi="ar"/>
              </w:rPr>
              <w:t>2#球囊折叠机</w:t>
            </w:r>
          </w:p>
        </w:tc>
        <w:tc>
          <w:tcPr>
            <w:tcW w:w="412" w:type="pct"/>
            <w:tcBorders>
              <w:tl2br w:val="nil"/>
              <w:tr2bl w:val="nil"/>
            </w:tcBorders>
            <w:noWrap/>
            <w:vAlign w:val="center"/>
          </w:tcPr>
          <w:p w14:paraId="3A1C4BDE">
            <w:pPr>
              <w:widowControl/>
              <w:jc w:val="center"/>
              <w:textAlignment w:val="center"/>
              <w:rPr>
                <w:color w:val="000000"/>
                <w:sz w:val="18"/>
                <w:szCs w:val="18"/>
              </w:rPr>
            </w:pPr>
            <w:r>
              <w:rPr>
                <w:color w:val="000000"/>
                <w:kern w:val="0"/>
                <w:sz w:val="18"/>
                <w:szCs w:val="18"/>
                <w:lang w:bidi="ar"/>
              </w:rPr>
              <w:t>FFS475-300</w:t>
            </w:r>
          </w:p>
        </w:tc>
        <w:tc>
          <w:tcPr>
            <w:tcW w:w="318" w:type="pct"/>
            <w:tcBorders>
              <w:tl2br w:val="nil"/>
              <w:tr2bl w:val="nil"/>
            </w:tcBorders>
            <w:noWrap/>
            <w:vAlign w:val="center"/>
          </w:tcPr>
          <w:p w14:paraId="6CA89EF4">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2C1FBB5D">
            <w:pPr>
              <w:widowControl/>
              <w:jc w:val="center"/>
              <w:rPr>
                <w:color w:val="000000"/>
                <w:sz w:val="18"/>
                <w:szCs w:val="18"/>
              </w:rPr>
            </w:pPr>
          </w:p>
        </w:tc>
        <w:tc>
          <w:tcPr>
            <w:tcW w:w="181" w:type="pct"/>
            <w:tcBorders>
              <w:tl2br w:val="nil"/>
              <w:tr2bl w:val="nil"/>
            </w:tcBorders>
            <w:noWrap/>
            <w:vAlign w:val="center"/>
          </w:tcPr>
          <w:p w14:paraId="74CC1F1E">
            <w:pPr>
              <w:widowControl/>
              <w:jc w:val="center"/>
              <w:textAlignment w:val="center"/>
              <w:rPr>
                <w:color w:val="000000"/>
                <w:sz w:val="18"/>
                <w:szCs w:val="18"/>
              </w:rPr>
            </w:pPr>
            <w:r>
              <w:rPr>
                <w:color w:val="000000"/>
                <w:kern w:val="0"/>
                <w:sz w:val="18"/>
                <w:szCs w:val="18"/>
                <w:lang w:bidi="ar"/>
              </w:rPr>
              <w:t>-91.73</w:t>
            </w:r>
          </w:p>
        </w:tc>
        <w:tc>
          <w:tcPr>
            <w:tcW w:w="160" w:type="pct"/>
            <w:tcBorders>
              <w:tl2br w:val="nil"/>
              <w:tr2bl w:val="nil"/>
            </w:tcBorders>
            <w:noWrap/>
            <w:vAlign w:val="center"/>
          </w:tcPr>
          <w:p w14:paraId="7971437A">
            <w:pPr>
              <w:widowControl/>
              <w:jc w:val="center"/>
              <w:textAlignment w:val="center"/>
              <w:rPr>
                <w:color w:val="000000"/>
                <w:sz w:val="18"/>
                <w:szCs w:val="18"/>
              </w:rPr>
            </w:pPr>
            <w:r>
              <w:rPr>
                <w:color w:val="000000"/>
                <w:kern w:val="0"/>
                <w:sz w:val="18"/>
                <w:szCs w:val="18"/>
                <w:lang w:bidi="ar"/>
              </w:rPr>
              <w:t>41.52</w:t>
            </w:r>
          </w:p>
        </w:tc>
        <w:tc>
          <w:tcPr>
            <w:tcW w:w="83" w:type="pct"/>
            <w:tcBorders>
              <w:tl2br w:val="nil"/>
              <w:tr2bl w:val="nil"/>
            </w:tcBorders>
            <w:noWrap/>
            <w:vAlign w:val="center"/>
          </w:tcPr>
          <w:p w14:paraId="2B548973">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ACF94DA">
            <w:pPr>
              <w:widowControl/>
              <w:jc w:val="center"/>
              <w:textAlignment w:val="center"/>
              <w:rPr>
                <w:color w:val="000000"/>
                <w:sz w:val="18"/>
                <w:szCs w:val="18"/>
              </w:rPr>
            </w:pPr>
            <w:r>
              <w:rPr>
                <w:color w:val="000000"/>
                <w:kern w:val="0"/>
                <w:sz w:val="18"/>
                <w:szCs w:val="18"/>
                <w:lang w:bidi="ar"/>
              </w:rPr>
              <w:t>3.25</w:t>
            </w:r>
          </w:p>
        </w:tc>
        <w:tc>
          <w:tcPr>
            <w:tcW w:w="160" w:type="pct"/>
            <w:tcBorders>
              <w:tl2br w:val="nil"/>
              <w:tr2bl w:val="nil"/>
            </w:tcBorders>
            <w:noWrap/>
            <w:vAlign w:val="center"/>
          </w:tcPr>
          <w:p w14:paraId="351736AB">
            <w:pPr>
              <w:widowControl/>
              <w:jc w:val="center"/>
              <w:textAlignment w:val="center"/>
              <w:rPr>
                <w:color w:val="000000"/>
                <w:sz w:val="18"/>
                <w:szCs w:val="18"/>
              </w:rPr>
            </w:pPr>
            <w:r>
              <w:rPr>
                <w:color w:val="000000"/>
                <w:kern w:val="0"/>
                <w:sz w:val="18"/>
                <w:szCs w:val="18"/>
                <w:lang w:bidi="ar"/>
              </w:rPr>
              <w:t>15.32</w:t>
            </w:r>
          </w:p>
        </w:tc>
        <w:tc>
          <w:tcPr>
            <w:tcW w:w="160" w:type="pct"/>
            <w:tcBorders>
              <w:tl2br w:val="nil"/>
              <w:tr2bl w:val="nil"/>
            </w:tcBorders>
            <w:noWrap/>
            <w:vAlign w:val="center"/>
          </w:tcPr>
          <w:p w14:paraId="7F44D75A">
            <w:pPr>
              <w:widowControl/>
              <w:jc w:val="center"/>
              <w:textAlignment w:val="center"/>
              <w:rPr>
                <w:color w:val="000000"/>
                <w:sz w:val="18"/>
                <w:szCs w:val="18"/>
              </w:rPr>
            </w:pPr>
            <w:r>
              <w:rPr>
                <w:color w:val="000000"/>
                <w:kern w:val="0"/>
                <w:sz w:val="18"/>
                <w:szCs w:val="18"/>
                <w:lang w:bidi="ar"/>
              </w:rPr>
              <w:t>99.53</w:t>
            </w:r>
          </w:p>
        </w:tc>
        <w:tc>
          <w:tcPr>
            <w:tcW w:w="160" w:type="pct"/>
            <w:tcBorders>
              <w:tl2br w:val="nil"/>
              <w:tr2bl w:val="nil"/>
            </w:tcBorders>
            <w:noWrap/>
            <w:vAlign w:val="center"/>
          </w:tcPr>
          <w:p w14:paraId="33194C3D">
            <w:pPr>
              <w:widowControl/>
              <w:jc w:val="center"/>
              <w:textAlignment w:val="center"/>
              <w:rPr>
                <w:color w:val="000000"/>
                <w:sz w:val="18"/>
                <w:szCs w:val="18"/>
              </w:rPr>
            </w:pPr>
            <w:r>
              <w:rPr>
                <w:color w:val="000000"/>
                <w:kern w:val="0"/>
                <w:sz w:val="18"/>
                <w:szCs w:val="18"/>
                <w:lang w:bidi="ar"/>
              </w:rPr>
              <w:t>17.73</w:t>
            </w:r>
          </w:p>
        </w:tc>
        <w:tc>
          <w:tcPr>
            <w:tcW w:w="160" w:type="pct"/>
            <w:tcBorders>
              <w:tl2br w:val="nil"/>
              <w:tr2bl w:val="nil"/>
            </w:tcBorders>
            <w:noWrap/>
            <w:vAlign w:val="center"/>
          </w:tcPr>
          <w:p w14:paraId="3824DE19">
            <w:pPr>
              <w:widowControl/>
              <w:jc w:val="center"/>
              <w:textAlignment w:val="center"/>
              <w:rPr>
                <w:color w:val="000000"/>
                <w:sz w:val="18"/>
                <w:szCs w:val="18"/>
              </w:rPr>
            </w:pPr>
            <w:r>
              <w:rPr>
                <w:color w:val="000000"/>
                <w:kern w:val="0"/>
                <w:sz w:val="18"/>
                <w:szCs w:val="18"/>
                <w:lang w:bidi="ar"/>
              </w:rPr>
              <w:t>62.01</w:t>
            </w:r>
          </w:p>
        </w:tc>
        <w:tc>
          <w:tcPr>
            <w:tcW w:w="160" w:type="pct"/>
            <w:tcBorders>
              <w:tl2br w:val="nil"/>
              <w:tr2bl w:val="nil"/>
            </w:tcBorders>
            <w:noWrap/>
            <w:vAlign w:val="center"/>
          </w:tcPr>
          <w:p w14:paraId="22EA2C49">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57CD565B">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4C0E8758">
            <w:pPr>
              <w:widowControl/>
              <w:jc w:val="center"/>
              <w:textAlignment w:val="center"/>
              <w:rPr>
                <w:color w:val="000000"/>
                <w:sz w:val="18"/>
                <w:szCs w:val="18"/>
              </w:rPr>
            </w:pPr>
            <w:r>
              <w:rPr>
                <w:color w:val="000000"/>
                <w:kern w:val="0"/>
                <w:sz w:val="18"/>
                <w:szCs w:val="18"/>
                <w:lang w:bidi="ar"/>
              </w:rPr>
              <w:t>61.80</w:t>
            </w:r>
          </w:p>
        </w:tc>
        <w:tc>
          <w:tcPr>
            <w:tcW w:w="188" w:type="pct"/>
            <w:tcBorders>
              <w:tl2br w:val="nil"/>
              <w:tr2bl w:val="nil"/>
            </w:tcBorders>
            <w:noWrap/>
            <w:vAlign w:val="center"/>
          </w:tcPr>
          <w:p w14:paraId="3BA2141B">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C82C59D">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AAA6845">
            <w:pPr>
              <w:widowControl/>
              <w:jc w:val="center"/>
              <w:textAlignment w:val="center"/>
              <w:rPr>
                <w:color w:val="000000"/>
                <w:sz w:val="18"/>
                <w:szCs w:val="18"/>
              </w:rPr>
            </w:pPr>
            <w:r>
              <w:rPr>
                <w:color w:val="000000"/>
                <w:kern w:val="0"/>
                <w:sz w:val="18"/>
                <w:szCs w:val="18"/>
                <w:lang w:bidi="ar"/>
              </w:rPr>
              <w:t>41.01</w:t>
            </w:r>
          </w:p>
        </w:tc>
        <w:tc>
          <w:tcPr>
            <w:tcW w:w="160" w:type="pct"/>
            <w:tcBorders>
              <w:tl2br w:val="nil"/>
              <w:tr2bl w:val="nil"/>
            </w:tcBorders>
            <w:noWrap/>
            <w:vAlign w:val="center"/>
          </w:tcPr>
          <w:p w14:paraId="0DCF7A5C">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21902B0D">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68A4FCDD">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4FDCE51D">
            <w:pPr>
              <w:widowControl/>
              <w:jc w:val="center"/>
              <w:textAlignment w:val="center"/>
              <w:rPr>
                <w:color w:val="000000"/>
                <w:sz w:val="18"/>
                <w:szCs w:val="18"/>
              </w:rPr>
            </w:pPr>
            <w:r>
              <w:rPr>
                <w:color w:val="000000"/>
                <w:kern w:val="0"/>
                <w:sz w:val="18"/>
                <w:szCs w:val="18"/>
                <w:lang w:bidi="ar"/>
              </w:rPr>
              <w:t>1</w:t>
            </w:r>
          </w:p>
        </w:tc>
      </w:tr>
      <w:tr w14:paraId="02BEDF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300AA03">
            <w:pPr>
              <w:widowControl/>
              <w:jc w:val="center"/>
              <w:textAlignment w:val="center"/>
              <w:rPr>
                <w:color w:val="000000"/>
                <w:sz w:val="18"/>
                <w:szCs w:val="18"/>
              </w:rPr>
            </w:pPr>
            <w:r>
              <w:rPr>
                <w:color w:val="000000"/>
                <w:kern w:val="0"/>
                <w:sz w:val="18"/>
                <w:szCs w:val="18"/>
                <w:lang w:bidi="ar"/>
              </w:rPr>
              <w:t>12</w:t>
            </w:r>
          </w:p>
        </w:tc>
        <w:tc>
          <w:tcPr>
            <w:tcW w:w="231" w:type="pct"/>
            <w:vMerge w:val="continue"/>
            <w:tcBorders>
              <w:tl2br w:val="nil"/>
              <w:tr2bl w:val="nil"/>
            </w:tcBorders>
            <w:noWrap/>
            <w:vAlign w:val="center"/>
          </w:tcPr>
          <w:p w14:paraId="40E9FD39">
            <w:pPr>
              <w:widowControl/>
              <w:jc w:val="center"/>
              <w:rPr>
                <w:color w:val="000000"/>
                <w:sz w:val="18"/>
                <w:szCs w:val="18"/>
              </w:rPr>
            </w:pPr>
          </w:p>
        </w:tc>
        <w:tc>
          <w:tcPr>
            <w:tcW w:w="468" w:type="pct"/>
            <w:tcBorders>
              <w:tl2br w:val="nil"/>
              <w:tr2bl w:val="nil"/>
            </w:tcBorders>
            <w:noWrap/>
            <w:vAlign w:val="center"/>
          </w:tcPr>
          <w:p w14:paraId="3B9708B7">
            <w:pPr>
              <w:widowControl/>
              <w:jc w:val="center"/>
              <w:textAlignment w:val="center"/>
              <w:rPr>
                <w:color w:val="000000"/>
                <w:sz w:val="18"/>
                <w:szCs w:val="18"/>
              </w:rPr>
            </w:pPr>
            <w:r>
              <w:rPr>
                <w:rFonts w:hint="eastAsia"/>
                <w:color w:val="000000"/>
                <w:kern w:val="0"/>
                <w:sz w:val="18"/>
                <w:szCs w:val="18"/>
                <w:lang w:bidi="ar"/>
              </w:rPr>
              <w:t>亲水涂层机</w:t>
            </w:r>
          </w:p>
        </w:tc>
        <w:tc>
          <w:tcPr>
            <w:tcW w:w="412" w:type="pct"/>
            <w:tcBorders>
              <w:tl2br w:val="nil"/>
              <w:tr2bl w:val="nil"/>
            </w:tcBorders>
            <w:noWrap/>
            <w:vAlign w:val="center"/>
          </w:tcPr>
          <w:p w14:paraId="6146E159">
            <w:pPr>
              <w:widowControl/>
              <w:jc w:val="center"/>
              <w:textAlignment w:val="center"/>
              <w:rPr>
                <w:color w:val="000000"/>
                <w:sz w:val="18"/>
                <w:szCs w:val="18"/>
              </w:rPr>
            </w:pPr>
            <w:r>
              <w:rPr>
                <w:color w:val="000000"/>
                <w:kern w:val="0"/>
                <w:sz w:val="18"/>
                <w:szCs w:val="18"/>
                <w:lang w:bidi="ar"/>
              </w:rPr>
              <w:t>CZTC2900</w:t>
            </w:r>
          </w:p>
        </w:tc>
        <w:tc>
          <w:tcPr>
            <w:tcW w:w="318" w:type="pct"/>
            <w:tcBorders>
              <w:tl2br w:val="nil"/>
              <w:tr2bl w:val="nil"/>
            </w:tcBorders>
            <w:noWrap/>
            <w:vAlign w:val="center"/>
          </w:tcPr>
          <w:p w14:paraId="55051090">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79EE7073">
            <w:pPr>
              <w:widowControl/>
              <w:jc w:val="center"/>
              <w:rPr>
                <w:color w:val="000000"/>
                <w:sz w:val="18"/>
                <w:szCs w:val="18"/>
              </w:rPr>
            </w:pPr>
          </w:p>
        </w:tc>
        <w:tc>
          <w:tcPr>
            <w:tcW w:w="181" w:type="pct"/>
            <w:tcBorders>
              <w:tl2br w:val="nil"/>
              <w:tr2bl w:val="nil"/>
            </w:tcBorders>
            <w:noWrap/>
            <w:vAlign w:val="center"/>
          </w:tcPr>
          <w:p w14:paraId="09DF1B9A">
            <w:pPr>
              <w:widowControl/>
              <w:jc w:val="center"/>
              <w:textAlignment w:val="center"/>
              <w:rPr>
                <w:color w:val="000000"/>
                <w:sz w:val="18"/>
                <w:szCs w:val="18"/>
              </w:rPr>
            </w:pPr>
            <w:r>
              <w:rPr>
                <w:color w:val="000000"/>
                <w:kern w:val="0"/>
                <w:sz w:val="18"/>
                <w:szCs w:val="18"/>
                <w:lang w:bidi="ar"/>
              </w:rPr>
              <w:t>-89.47</w:t>
            </w:r>
          </w:p>
        </w:tc>
        <w:tc>
          <w:tcPr>
            <w:tcW w:w="160" w:type="pct"/>
            <w:tcBorders>
              <w:tl2br w:val="nil"/>
              <w:tr2bl w:val="nil"/>
            </w:tcBorders>
            <w:noWrap/>
            <w:vAlign w:val="center"/>
          </w:tcPr>
          <w:p w14:paraId="4E9D7CBF">
            <w:pPr>
              <w:widowControl/>
              <w:jc w:val="center"/>
              <w:textAlignment w:val="center"/>
              <w:rPr>
                <w:color w:val="000000"/>
                <w:sz w:val="18"/>
                <w:szCs w:val="18"/>
              </w:rPr>
            </w:pPr>
            <w:r>
              <w:rPr>
                <w:color w:val="000000"/>
                <w:kern w:val="0"/>
                <w:sz w:val="18"/>
                <w:szCs w:val="18"/>
                <w:lang w:bidi="ar"/>
              </w:rPr>
              <w:t>40.88</w:t>
            </w:r>
          </w:p>
        </w:tc>
        <w:tc>
          <w:tcPr>
            <w:tcW w:w="83" w:type="pct"/>
            <w:tcBorders>
              <w:tl2br w:val="nil"/>
              <w:tr2bl w:val="nil"/>
            </w:tcBorders>
            <w:noWrap/>
            <w:vAlign w:val="center"/>
          </w:tcPr>
          <w:p w14:paraId="5F1C8586">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A2676B4">
            <w:pPr>
              <w:widowControl/>
              <w:jc w:val="center"/>
              <w:textAlignment w:val="center"/>
              <w:rPr>
                <w:color w:val="000000"/>
                <w:sz w:val="18"/>
                <w:szCs w:val="18"/>
              </w:rPr>
            </w:pPr>
            <w:r>
              <w:rPr>
                <w:color w:val="000000"/>
                <w:kern w:val="0"/>
                <w:sz w:val="18"/>
                <w:szCs w:val="18"/>
                <w:lang w:bidi="ar"/>
              </w:rPr>
              <w:t>5.60</w:t>
            </w:r>
          </w:p>
        </w:tc>
        <w:tc>
          <w:tcPr>
            <w:tcW w:w="160" w:type="pct"/>
            <w:tcBorders>
              <w:tl2br w:val="nil"/>
              <w:tr2bl w:val="nil"/>
            </w:tcBorders>
            <w:noWrap/>
            <w:vAlign w:val="center"/>
          </w:tcPr>
          <w:p w14:paraId="0ECF8AE5">
            <w:pPr>
              <w:widowControl/>
              <w:jc w:val="center"/>
              <w:textAlignment w:val="center"/>
              <w:rPr>
                <w:color w:val="000000"/>
                <w:sz w:val="18"/>
                <w:szCs w:val="18"/>
              </w:rPr>
            </w:pPr>
            <w:r>
              <w:rPr>
                <w:color w:val="000000"/>
                <w:kern w:val="0"/>
                <w:sz w:val="18"/>
                <w:szCs w:val="18"/>
                <w:lang w:bidi="ar"/>
              </w:rPr>
              <w:t>15.31</w:t>
            </w:r>
          </w:p>
        </w:tc>
        <w:tc>
          <w:tcPr>
            <w:tcW w:w="160" w:type="pct"/>
            <w:tcBorders>
              <w:tl2br w:val="nil"/>
              <w:tr2bl w:val="nil"/>
            </w:tcBorders>
            <w:noWrap/>
            <w:vAlign w:val="center"/>
          </w:tcPr>
          <w:p w14:paraId="65C302E1">
            <w:pPr>
              <w:widowControl/>
              <w:jc w:val="center"/>
              <w:textAlignment w:val="center"/>
              <w:rPr>
                <w:color w:val="000000"/>
                <w:sz w:val="18"/>
                <w:szCs w:val="18"/>
              </w:rPr>
            </w:pPr>
            <w:r>
              <w:rPr>
                <w:color w:val="000000"/>
                <w:kern w:val="0"/>
                <w:sz w:val="18"/>
                <w:szCs w:val="18"/>
                <w:lang w:bidi="ar"/>
              </w:rPr>
              <w:t>97.18</w:t>
            </w:r>
          </w:p>
        </w:tc>
        <w:tc>
          <w:tcPr>
            <w:tcW w:w="160" w:type="pct"/>
            <w:tcBorders>
              <w:tl2br w:val="nil"/>
              <w:tr2bl w:val="nil"/>
            </w:tcBorders>
            <w:noWrap/>
            <w:vAlign w:val="center"/>
          </w:tcPr>
          <w:p w14:paraId="51EF5767">
            <w:pPr>
              <w:widowControl/>
              <w:jc w:val="center"/>
              <w:textAlignment w:val="center"/>
              <w:rPr>
                <w:color w:val="000000"/>
                <w:sz w:val="18"/>
                <w:szCs w:val="18"/>
              </w:rPr>
            </w:pPr>
            <w:r>
              <w:rPr>
                <w:color w:val="000000"/>
                <w:kern w:val="0"/>
                <w:sz w:val="18"/>
                <w:szCs w:val="18"/>
                <w:lang w:bidi="ar"/>
              </w:rPr>
              <w:t>17.74</w:t>
            </w:r>
          </w:p>
        </w:tc>
        <w:tc>
          <w:tcPr>
            <w:tcW w:w="160" w:type="pct"/>
            <w:tcBorders>
              <w:tl2br w:val="nil"/>
              <w:tr2bl w:val="nil"/>
            </w:tcBorders>
            <w:noWrap/>
            <w:vAlign w:val="center"/>
          </w:tcPr>
          <w:p w14:paraId="15644FCC">
            <w:pPr>
              <w:widowControl/>
              <w:jc w:val="center"/>
              <w:textAlignment w:val="center"/>
              <w:rPr>
                <w:color w:val="000000"/>
                <w:sz w:val="18"/>
                <w:szCs w:val="18"/>
              </w:rPr>
            </w:pPr>
            <w:r>
              <w:rPr>
                <w:color w:val="000000"/>
                <w:kern w:val="0"/>
                <w:sz w:val="18"/>
                <w:szCs w:val="18"/>
                <w:lang w:bidi="ar"/>
              </w:rPr>
              <w:t>51.87</w:t>
            </w:r>
          </w:p>
        </w:tc>
        <w:tc>
          <w:tcPr>
            <w:tcW w:w="160" w:type="pct"/>
            <w:tcBorders>
              <w:tl2br w:val="nil"/>
              <w:tr2bl w:val="nil"/>
            </w:tcBorders>
            <w:noWrap/>
            <w:vAlign w:val="center"/>
          </w:tcPr>
          <w:p w14:paraId="6C48E845">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1042D39F">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4D68D025">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131E8E89">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144348C">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85B2394">
            <w:pPr>
              <w:widowControl/>
              <w:jc w:val="center"/>
              <w:textAlignment w:val="center"/>
              <w:rPr>
                <w:color w:val="000000"/>
                <w:sz w:val="18"/>
                <w:szCs w:val="18"/>
              </w:rPr>
            </w:pPr>
            <w:r>
              <w:rPr>
                <w:color w:val="000000"/>
                <w:kern w:val="0"/>
                <w:sz w:val="18"/>
                <w:szCs w:val="18"/>
                <w:lang w:bidi="ar"/>
              </w:rPr>
              <w:t>30.87</w:t>
            </w:r>
          </w:p>
        </w:tc>
        <w:tc>
          <w:tcPr>
            <w:tcW w:w="160" w:type="pct"/>
            <w:tcBorders>
              <w:tl2br w:val="nil"/>
              <w:tr2bl w:val="nil"/>
            </w:tcBorders>
            <w:noWrap/>
            <w:vAlign w:val="center"/>
          </w:tcPr>
          <w:p w14:paraId="18CC4CD2">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2F3C7B7D">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19713A96">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6C1396B1">
            <w:pPr>
              <w:widowControl/>
              <w:jc w:val="center"/>
              <w:textAlignment w:val="center"/>
              <w:rPr>
                <w:color w:val="000000"/>
                <w:sz w:val="18"/>
                <w:szCs w:val="18"/>
              </w:rPr>
            </w:pPr>
            <w:r>
              <w:rPr>
                <w:color w:val="000000"/>
                <w:kern w:val="0"/>
                <w:sz w:val="18"/>
                <w:szCs w:val="18"/>
                <w:lang w:bidi="ar"/>
              </w:rPr>
              <w:t>1</w:t>
            </w:r>
          </w:p>
        </w:tc>
      </w:tr>
      <w:tr w14:paraId="567B63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82CF846">
            <w:pPr>
              <w:widowControl/>
              <w:jc w:val="center"/>
              <w:textAlignment w:val="center"/>
              <w:rPr>
                <w:color w:val="000000"/>
                <w:sz w:val="18"/>
                <w:szCs w:val="18"/>
              </w:rPr>
            </w:pPr>
            <w:r>
              <w:rPr>
                <w:color w:val="000000"/>
                <w:kern w:val="0"/>
                <w:sz w:val="18"/>
                <w:szCs w:val="18"/>
                <w:lang w:bidi="ar"/>
              </w:rPr>
              <w:t>13</w:t>
            </w:r>
          </w:p>
        </w:tc>
        <w:tc>
          <w:tcPr>
            <w:tcW w:w="231" w:type="pct"/>
            <w:vMerge w:val="continue"/>
            <w:tcBorders>
              <w:tl2br w:val="nil"/>
              <w:tr2bl w:val="nil"/>
            </w:tcBorders>
            <w:noWrap/>
            <w:vAlign w:val="center"/>
          </w:tcPr>
          <w:p w14:paraId="4F5B3977">
            <w:pPr>
              <w:widowControl/>
              <w:jc w:val="center"/>
              <w:rPr>
                <w:color w:val="000000"/>
                <w:sz w:val="18"/>
                <w:szCs w:val="18"/>
              </w:rPr>
            </w:pPr>
          </w:p>
        </w:tc>
        <w:tc>
          <w:tcPr>
            <w:tcW w:w="468" w:type="pct"/>
            <w:tcBorders>
              <w:tl2br w:val="nil"/>
              <w:tr2bl w:val="nil"/>
            </w:tcBorders>
            <w:noWrap/>
            <w:vAlign w:val="center"/>
          </w:tcPr>
          <w:p w14:paraId="676166A4">
            <w:pPr>
              <w:widowControl/>
              <w:jc w:val="center"/>
              <w:textAlignment w:val="center"/>
              <w:rPr>
                <w:color w:val="000000"/>
                <w:sz w:val="18"/>
                <w:szCs w:val="18"/>
              </w:rPr>
            </w:pPr>
            <w:r>
              <w:rPr>
                <w:rFonts w:hint="eastAsia"/>
                <w:color w:val="000000"/>
                <w:kern w:val="0"/>
                <w:sz w:val="18"/>
                <w:szCs w:val="18"/>
                <w:lang w:bidi="ar"/>
              </w:rPr>
              <w:t>冷水机-3</w:t>
            </w:r>
          </w:p>
        </w:tc>
        <w:tc>
          <w:tcPr>
            <w:tcW w:w="412" w:type="pct"/>
            <w:tcBorders>
              <w:tl2br w:val="nil"/>
              <w:tr2bl w:val="nil"/>
            </w:tcBorders>
            <w:noWrap/>
            <w:vAlign w:val="center"/>
          </w:tcPr>
          <w:p w14:paraId="575F41FB">
            <w:pPr>
              <w:widowControl/>
              <w:jc w:val="center"/>
              <w:textAlignment w:val="center"/>
              <w:rPr>
                <w:color w:val="000000"/>
                <w:sz w:val="18"/>
                <w:szCs w:val="18"/>
              </w:rPr>
            </w:pPr>
            <w:r>
              <w:rPr>
                <w:color w:val="000000"/>
                <w:kern w:val="0"/>
                <w:sz w:val="18"/>
                <w:szCs w:val="18"/>
                <w:lang w:bidi="ar"/>
              </w:rPr>
              <w:t>CWUL-05AH</w:t>
            </w:r>
          </w:p>
        </w:tc>
        <w:tc>
          <w:tcPr>
            <w:tcW w:w="318" w:type="pct"/>
            <w:tcBorders>
              <w:tl2br w:val="nil"/>
              <w:tr2bl w:val="nil"/>
            </w:tcBorders>
            <w:noWrap/>
            <w:vAlign w:val="center"/>
          </w:tcPr>
          <w:p w14:paraId="41D8D3A1">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75117570">
            <w:pPr>
              <w:widowControl/>
              <w:jc w:val="center"/>
              <w:rPr>
                <w:color w:val="000000"/>
                <w:sz w:val="18"/>
                <w:szCs w:val="18"/>
              </w:rPr>
            </w:pPr>
          </w:p>
        </w:tc>
        <w:tc>
          <w:tcPr>
            <w:tcW w:w="181" w:type="pct"/>
            <w:tcBorders>
              <w:tl2br w:val="nil"/>
              <w:tr2bl w:val="nil"/>
            </w:tcBorders>
            <w:noWrap/>
            <w:vAlign w:val="center"/>
          </w:tcPr>
          <w:p w14:paraId="24E74D55">
            <w:pPr>
              <w:widowControl/>
              <w:jc w:val="center"/>
              <w:textAlignment w:val="center"/>
              <w:rPr>
                <w:color w:val="000000"/>
                <w:sz w:val="18"/>
                <w:szCs w:val="18"/>
              </w:rPr>
            </w:pPr>
            <w:r>
              <w:rPr>
                <w:color w:val="000000"/>
                <w:kern w:val="0"/>
                <w:sz w:val="18"/>
                <w:szCs w:val="18"/>
                <w:lang w:bidi="ar"/>
              </w:rPr>
              <w:t>-86.09</w:t>
            </w:r>
          </w:p>
        </w:tc>
        <w:tc>
          <w:tcPr>
            <w:tcW w:w="160" w:type="pct"/>
            <w:tcBorders>
              <w:tl2br w:val="nil"/>
              <w:tr2bl w:val="nil"/>
            </w:tcBorders>
            <w:noWrap/>
            <w:vAlign w:val="center"/>
          </w:tcPr>
          <w:p w14:paraId="43E32591">
            <w:pPr>
              <w:widowControl/>
              <w:jc w:val="center"/>
              <w:textAlignment w:val="center"/>
              <w:rPr>
                <w:color w:val="000000"/>
                <w:sz w:val="18"/>
                <w:szCs w:val="18"/>
              </w:rPr>
            </w:pPr>
            <w:r>
              <w:rPr>
                <w:color w:val="000000"/>
                <w:kern w:val="0"/>
                <w:sz w:val="18"/>
                <w:szCs w:val="18"/>
                <w:lang w:bidi="ar"/>
              </w:rPr>
              <w:t>39.95</w:t>
            </w:r>
          </w:p>
        </w:tc>
        <w:tc>
          <w:tcPr>
            <w:tcW w:w="83" w:type="pct"/>
            <w:tcBorders>
              <w:tl2br w:val="nil"/>
              <w:tr2bl w:val="nil"/>
            </w:tcBorders>
            <w:noWrap/>
            <w:vAlign w:val="center"/>
          </w:tcPr>
          <w:p w14:paraId="05280073">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ED6BCEF">
            <w:pPr>
              <w:widowControl/>
              <w:jc w:val="center"/>
              <w:textAlignment w:val="center"/>
              <w:rPr>
                <w:color w:val="000000"/>
                <w:sz w:val="18"/>
                <w:szCs w:val="18"/>
              </w:rPr>
            </w:pPr>
            <w:r>
              <w:rPr>
                <w:color w:val="000000"/>
                <w:kern w:val="0"/>
                <w:sz w:val="18"/>
                <w:szCs w:val="18"/>
                <w:lang w:bidi="ar"/>
              </w:rPr>
              <w:t>9.10</w:t>
            </w:r>
          </w:p>
        </w:tc>
        <w:tc>
          <w:tcPr>
            <w:tcW w:w="160" w:type="pct"/>
            <w:tcBorders>
              <w:tl2br w:val="nil"/>
              <w:tr2bl w:val="nil"/>
            </w:tcBorders>
            <w:noWrap/>
            <w:vAlign w:val="center"/>
          </w:tcPr>
          <w:p w14:paraId="1D044F79">
            <w:pPr>
              <w:widowControl/>
              <w:jc w:val="center"/>
              <w:textAlignment w:val="center"/>
              <w:rPr>
                <w:color w:val="000000"/>
                <w:sz w:val="18"/>
                <w:szCs w:val="18"/>
              </w:rPr>
            </w:pPr>
            <w:r>
              <w:rPr>
                <w:color w:val="000000"/>
                <w:kern w:val="0"/>
                <w:sz w:val="18"/>
                <w:szCs w:val="18"/>
                <w:lang w:bidi="ar"/>
              </w:rPr>
              <w:t>15.33</w:t>
            </w:r>
          </w:p>
        </w:tc>
        <w:tc>
          <w:tcPr>
            <w:tcW w:w="160" w:type="pct"/>
            <w:tcBorders>
              <w:tl2br w:val="nil"/>
              <w:tr2bl w:val="nil"/>
            </w:tcBorders>
            <w:noWrap/>
            <w:vAlign w:val="center"/>
          </w:tcPr>
          <w:p w14:paraId="64C6271B">
            <w:pPr>
              <w:widowControl/>
              <w:jc w:val="center"/>
              <w:textAlignment w:val="center"/>
              <w:rPr>
                <w:color w:val="000000"/>
                <w:sz w:val="18"/>
                <w:szCs w:val="18"/>
              </w:rPr>
            </w:pPr>
            <w:r>
              <w:rPr>
                <w:color w:val="000000"/>
                <w:kern w:val="0"/>
                <w:sz w:val="18"/>
                <w:szCs w:val="18"/>
                <w:lang w:bidi="ar"/>
              </w:rPr>
              <w:t>93.67</w:t>
            </w:r>
          </w:p>
        </w:tc>
        <w:tc>
          <w:tcPr>
            <w:tcW w:w="160" w:type="pct"/>
            <w:tcBorders>
              <w:tl2br w:val="nil"/>
              <w:tr2bl w:val="nil"/>
            </w:tcBorders>
            <w:noWrap/>
            <w:vAlign w:val="center"/>
          </w:tcPr>
          <w:p w14:paraId="79C1B74A">
            <w:pPr>
              <w:widowControl/>
              <w:jc w:val="center"/>
              <w:textAlignment w:val="center"/>
              <w:rPr>
                <w:color w:val="000000"/>
                <w:sz w:val="18"/>
                <w:szCs w:val="18"/>
              </w:rPr>
            </w:pPr>
            <w:r>
              <w:rPr>
                <w:color w:val="000000"/>
                <w:kern w:val="0"/>
                <w:sz w:val="18"/>
                <w:szCs w:val="18"/>
                <w:lang w:bidi="ar"/>
              </w:rPr>
              <w:t>17.73</w:t>
            </w:r>
          </w:p>
        </w:tc>
        <w:tc>
          <w:tcPr>
            <w:tcW w:w="160" w:type="pct"/>
            <w:tcBorders>
              <w:tl2br w:val="nil"/>
              <w:tr2bl w:val="nil"/>
            </w:tcBorders>
            <w:noWrap/>
            <w:vAlign w:val="center"/>
          </w:tcPr>
          <w:p w14:paraId="74EE5161">
            <w:pPr>
              <w:widowControl/>
              <w:jc w:val="center"/>
              <w:textAlignment w:val="center"/>
              <w:rPr>
                <w:color w:val="000000"/>
                <w:sz w:val="18"/>
                <w:szCs w:val="18"/>
              </w:rPr>
            </w:pPr>
            <w:r>
              <w:rPr>
                <w:color w:val="000000"/>
                <w:kern w:val="0"/>
                <w:sz w:val="18"/>
                <w:szCs w:val="18"/>
                <w:lang w:bidi="ar"/>
              </w:rPr>
              <w:t>51.82</w:t>
            </w:r>
          </w:p>
        </w:tc>
        <w:tc>
          <w:tcPr>
            <w:tcW w:w="160" w:type="pct"/>
            <w:tcBorders>
              <w:tl2br w:val="nil"/>
              <w:tr2bl w:val="nil"/>
            </w:tcBorders>
            <w:noWrap/>
            <w:vAlign w:val="center"/>
          </w:tcPr>
          <w:p w14:paraId="1F185B30">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5B7DC935">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1840CC20">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6AD90160">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812D553">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5257EC5C">
            <w:pPr>
              <w:widowControl/>
              <w:jc w:val="center"/>
              <w:textAlignment w:val="center"/>
              <w:rPr>
                <w:color w:val="000000"/>
                <w:sz w:val="18"/>
                <w:szCs w:val="18"/>
              </w:rPr>
            </w:pPr>
            <w:r>
              <w:rPr>
                <w:color w:val="000000"/>
                <w:kern w:val="0"/>
                <w:sz w:val="18"/>
                <w:szCs w:val="18"/>
                <w:lang w:bidi="ar"/>
              </w:rPr>
              <w:t>30.82</w:t>
            </w:r>
          </w:p>
        </w:tc>
        <w:tc>
          <w:tcPr>
            <w:tcW w:w="160" w:type="pct"/>
            <w:tcBorders>
              <w:tl2br w:val="nil"/>
              <w:tr2bl w:val="nil"/>
            </w:tcBorders>
            <w:noWrap/>
            <w:vAlign w:val="center"/>
          </w:tcPr>
          <w:p w14:paraId="2B2C9D5F">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1BA9CE92">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5459C78C">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7406F04D">
            <w:pPr>
              <w:widowControl/>
              <w:jc w:val="center"/>
              <w:textAlignment w:val="center"/>
              <w:rPr>
                <w:color w:val="000000"/>
                <w:sz w:val="18"/>
                <w:szCs w:val="18"/>
              </w:rPr>
            </w:pPr>
            <w:r>
              <w:rPr>
                <w:color w:val="000000"/>
                <w:kern w:val="0"/>
                <w:sz w:val="18"/>
                <w:szCs w:val="18"/>
                <w:lang w:bidi="ar"/>
              </w:rPr>
              <w:t>1</w:t>
            </w:r>
          </w:p>
        </w:tc>
      </w:tr>
      <w:tr w14:paraId="4E3CE7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032D3A0">
            <w:pPr>
              <w:widowControl/>
              <w:jc w:val="center"/>
              <w:textAlignment w:val="center"/>
              <w:rPr>
                <w:color w:val="000000"/>
                <w:sz w:val="18"/>
                <w:szCs w:val="18"/>
              </w:rPr>
            </w:pPr>
            <w:r>
              <w:rPr>
                <w:color w:val="000000"/>
                <w:kern w:val="0"/>
                <w:sz w:val="18"/>
                <w:szCs w:val="18"/>
                <w:lang w:bidi="ar"/>
              </w:rPr>
              <w:t>14</w:t>
            </w:r>
          </w:p>
        </w:tc>
        <w:tc>
          <w:tcPr>
            <w:tcW w:w="231" w:type="pct"/>
            <w:vMerge w:val="continue"/>
            <w:tcBorders>
              <w:tl2br w:val="nil"/>
              <w:tr2bl w:val="nil"/>
            </w:tcBorders>
            <w:noWrap/>
            <w:vAlign w:val="center"/>
          </w:tcPr>
          <w:p w14:paraId="048D4E9F">
            <w:pPr>
              <w:widowControl/>
              <w:jc w:val="center"/>
              <w:rPr>
                <w:color w:val="000000"/>
                <w:sz w:val="18"/>
                <w:szCs w:val="18"/>
              </w:rPr>
            </w:pPr>
          </w:p>
        </w:tc>
        <w:tc>
          <w:tcPr>
            <w:tcW w:w="468" w:type="pct"/>
            <w:tcBorders>
              <w:tl2br w:val="nil"/>
              <w:tr2bl w:val="nil"/>
            </w:tcBorders>
            <w:noWrap/>
            <w:vAlign w:val="center"/>
          </w:tcPr>
          <w:p w14:paraId="5898C6DF">
            <w:pPr>
              <w:widowControl/>
              <w:jc w:val="center"/>
              <w:textAlignment w:val="center"/>
              <w:rPr>
                <w:color w:val="000000"/>
                <w:sz w:val="18"/>
                <w:szCs w:val="18"/>
              </w:rPr>
            </w:pPr>
            <w:r>
              <w:rPr>
                <w:rFonts w:hint="eastAsia"/>
                <w:color w:val="000000"/>
                <w:kern w:val="0"/>
                <w:sz w:val="18"/>
                <w:szCs w:val="18"/>
                <w:lang w:bidi="ar"/>
              </w:rPr>
              <w:t>热定型炉</w:t>
            </w:r>
          </w:p>
        </w:tc>
        <w:tc>
          <w:tcPr>
            <w:tcW w:w="412" w:type="pct"/>
            <w:tcBorders>
              <w:tl2br w:val="nil"/>
              <w:tr2bl w:val="nil"/>
            </w:tcBorders>
            <w:noWrap/>
            <w:vAlign w:val="center"/>
          </w:tcPr>
          <w:p w14:paraId="073BD31C">
            <w:pPr>
              <w:widowControl/>
              <w:jc w:val="center"/>
              <w:textAlignment w:val="center"/>
              <w:rPr>
                <w:color w:val="000000"/>
                <w:sz w:val="18"/>
                <w:szCs w:val="18"/>
              </w:rPr>
            </w:pPr>
            <w:r>
              <w:rPr>
                <w:color w:val="000000"/>
                <w:kern w:val="0"/>
                <w:sz w:val="18"/>
                <w:szCs w:val="18"/>
                <w:lang w:bidi="ar"/>
              </w:rPr>
              <w:t>CZDX</w:t>
            </w:r>
          </w:p>
        </w:tc>
        <w:tc>
          <w:tcPr>
            <w:tcW w:w="318" w:type="pct"/>
            <w:tcBorders>
              <w:tl2br w:val="nil"/>
              <w:tr2bl w:val="nil"/>
            </w:tcBorders>
            <w:noWrap/>
            <w:vAlign w:val="center"/>
          </w:tcPr>
          <w:p w14:paraId="6D317D60">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33346024">
            <w:pPr>
              <w:widowControl/>
              <w:jc w:val="center"/>
              <w:rPr>
                <w:color w:val="000000"/>
                <w:sz w:val="18"/>
                <w:szCs w:val="18"/>
              </w:rPr>
            </w:pPr>
          </w:p>
        </w:tc>
        <w:tc>
          <w:tcPr>
            <w:tcW w:w="181" w:type="pct"/>
            <w:tcBorders>
              <w:tl2br w:val="nil"/>
              <w:tr2bl w:val="nil"/>
            </w:tcBorders>
            <w:noWrap/>
            <w:vAlign w:val="center"/>
          </w:tcPr>
          <w:p w14:paraId="6D136D65">
            <w:pPr>
              <w:widowControl/>
              <w:jc w:val="center"/>
              <w:textAlignment w:val="center"/>
              <w:rPr>
                <w:color w:val="000000"/>
                <w:sz w:val="18"/>
                <w:szCs w:val="18"/>
              </w:rPr>
            </w:pPr>
            <w:r>
              <w:rPr>
                <w:color w:val="000000"/>
                <w:kern w:val="0"/>
                <w:sz w:val="18"/>
                <w:szCs w:val="18"/>
                <w:lang w:bidi="ar"/>
              </w:rPr>
              <w:t>-84.61</w:t>
            </w:r>
          </w:p>
        </w:tc>
        <w:tc>
          <w:tcPr>
            <w:tcW w:w="160" w:type="pct"/>
            <w:tcBorders>
              <w:tl2br w:val="nil"/>
              <w:tr2bl w:val="nil"/>
            </w:tcBorders>
            <w:noWrap/>
            <w:vAlign w:val="center"/>
          </w:tcPr>
          <w:p w14:paraId="7DB05D26">
            <w:pPr>
              <w:widowControl/>
              <w:jc w:val="center"/>
              <w:textAlignment w:val="center"/>
              <w:rPr>
                <w:color w:val="000000"/>
                <w:sz w:val="18"/>
                <w:szCs w:val="18"/>
              </w:rPr>
            </w:pPr>
            <w:r>
              <w:rPr>
                <w:color w:val="000000"/>
                <w:kern w:val="0"/>
                <w:sz w:val="18"/>
                <w:szCs w:val="18"/>
                <w:lang w:bidi="ar"/>
              </w:rPr>
              <w:t>39.62</w:t>
            </w:r>
          </w:p>
        </w:tc>
        <w:tc>
          <w:tcPr>
            <w:tcW w:w="83" w:type="pct"/>
            <w:tcBorders>
              <w:tl2br w:val="nil"/>
              <w:tr2bl w:val="nil"/>
            </w:tcBorders>
            <w:noWrap/>
            <w:vAlign w:val="center"/>
          </w:tcPr>
          <w:p w14:paraId="2F24590F">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6231FC0A">
            <w:pPr>
              <w:widowControl/>
              <w:jc w:val="center"/>
              <w:textAlignment w:val="center"/>
              <w:rPr>
                <w:color w:val="000000"/>
                <w:sz w:val="18"/>
                <w:szCs w:val="18"/>
              </w:rPr>
            </w:pPr>
            <w:r>
              <w:rPr>
                <w:color w:val="000000"/>
                <w:kern w:val="0"/>
                <w:sz w:val="18"/>
                <w:szCs w:val="18"/>
                <w:lang w:bidi="ar"/>
              </w:rPr>
              <w:t>10.62</w:t>
            </w:r>
          </w:p>
        </w:tc>
        <w:tc>
          <w:tcPr>
            <w:tcW w:w="160" w:type="pct"/>
            <w:tcBorders>
              <w:tl2br w:val="nil"/>
              <w:tr2bl w:val="nil"/>
            </w:tcBorders>
            <w:noWrap/>
            <w:vAlign w:val="center"/>
          </w:tcPr>
          <w:p w14:paraId="01436D8B">
            <w:pPr>
              <w:widowControl/>
              <w:jc w:val="center"/>
              <w:textAlignment w:val="center"/>
              <w:rPr>
                <w:color w:val="000000"/>
                <w:sz w:val="18"/>
                <w:szCs w:val="18"/>
              </w:rPr>
            </w:pPr>
            <w:r>
              <w:rPr>
                <w:color w:val="000000"/>
                <w:kern w:val="0"/>
                <w:sz w:val="18"/>
                <w:szCs w:val="18"/>
                <w:lang w:bidi="ar"/>
              </w:rPr>
              <w:t>15.41</w:t>
            </w:r>
          </w:p>
        </w:tc>
        <w:tc>
          <w:tcPr>
            <w:tcW w:w="160" w:type="pct"/>
            <w:tcBorders>
              <w:tl2br w:val="nil"/>
              <w:tr2bl w:val="nil"/>
            </w:tcBorders>
            <w:noWrap/>
            <w:vAlign w:val="center"/>
          </w:tcPr>
          <w:p w14:paraId="59F5859B">
            <w:pPr>
              <w:widowControl/>
              <w:jc w:val="center"/>
              <w:textAlignment w:val="center"/>
              <w:rPr>
                <w:color w:val="000000"/>
                <w:sz w:val="18"/>
                <w:szCs w:val="18"/>
              </w:rPr>
            </w:pPr>
            <w:r>
              <w:rPr>
                <w:color w:val="000000"/>
                <w:kern w:val="0"/>
                <w:sz w:val="18"/>
                <w:szCs w:val="18"/>
                <w:lang w:bidi="ar"/>
              </w:rPr>
              <w:t>92.16</w:t>
            </w:r>
          </w:p>
        </w:tc>
        <w:tc>
          <w:tcPr>
            <w:tcW w:w="160" w:type="pct"/>
            <w:tcBorders>
              <w:tl2br w:val="nil"/>
              <w:tr2bl w:val="nil"/>
            </w:tcBorders>
            <w:noWrap/>
            <w:vAlign w:val="center"/>
          </w:tcPr>
          <w:p w14:paraId="57EACBBE">
            <w:pPr>
              <w:widowControl/>
              <w:jc w:val="center"/>
              <w:textAlignment w:val="center"/>
              <w:rPr>
                <w:color w:val="000000"/>
                <w:sz w:val="18"/>
                <w:szCs w:val="18"/>
              </w:rPr>
            </w:pPr>
            <w:r>
              <w:rPr>
                <w:color w:val="000000"/>
                <w:kern w:val="0"/>
                <w:sz w:val="18"/>
                <w:szCs w:val="18"/>
                <w:lang w:bidi="ar"/>
              </w:rPr>
              <w:t>17.65</w:t>
            </w:r>
          </w:p>
        </w:tc>
        <w:tc>
          <w:tcPr>
            <w:tcW w:w="160" w:type="pct"/>
            <w:tcBorders>
              <w:tl2br w:val="nil"/>
              <w:tr2bl w:val="nil"/>
            </w:tcBorders>
            <w:noWrap/>
            <w:vAlign w:val="center"/>
          </w:tcPr>
          <w:p w14:paraId="5B86763C">
            <w:pPr>
              <w:widowControl/>
              <w:jc w:val="center"/>
              <w:textAlignment w:val="center"/>
              <w:rPr>
                <w:color w:val="000000"/>
                <w:sz w:val="18"/>
                <w:szCs w:val="18"/>
              </w:rPr>
            </w:pPr>
            <w:r>
              <w:rPr>
                <w:color w:val="000000"/>
                <w:kern w:val="0"/>
                <w:sz w:val="18"/>
                <w:szCs w:val="18"/>
                <w:lang w:bidi="ar"/>
              </w:rPr>
              <w:t>51.81</w:t>
            </w:r>
          </w:p>
        </w:tc>
        <w:tc>
          <w:tcPr>
            <w:tcW w:w="160" w:type="pct"/>
            <w:tcBorders>
              <w:tl2br w:val="nil"/>
              <w:tr2bl w:val="nil"/>
            </w:tcBorders>
            <w:noWrap/>
            <w:vAlign w:val="center"/>
          </w:tcPr>
          <w:p w14:paraId="028D0897">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1ED72232">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59E8FF1E">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56ED9F63">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295C6222">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7926776">
            <w:pPr>
              <w:widowControl/>
              <w:jc w:val="center"/>
              <w:textAlignment w:val="center"/>
              <w:rPr>
                <w:color w:val="000000"/>
                <w:sz w:val="18"/>
                <w:szCs w:val="18"/>
              </w:rPr>
            </w:pPr>
            <w:r>
              <w:rPr>
                <w:color w:val="000000"/>
                <w:kern w:val="0"/>
                <w:sz w:val="18"/>
                <w:szCs w:val="18"/>
                <w:lang w:bidi="ar"/>
              </w:rPr>
              <w:t>30.81</w:t>
            </w:r>
          </w:p>
        </w:tc>
        <w:tc>
          <w:tcPr>
            <w:tcW w:w="160" w:type="pct"/>
            <w:tcBorders>
              <w:tl2br w:val="nil"/>
              <w:tr2bl w:val="nil"/>
            </w:tcBorders>
            <w:noWrap/>
            <w:vAlign w:val="center"/>
          </w:tcPr>
          <w:p w14:paraId="7ED0A7CE">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1B2AECB4">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7D734D3E">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45273886">
            <w:pPr>
              <w:widowControl/>
              <w:jc w:val="center"/>
              <w:textAlignment w:val="center"/>
              <w:rPr>
                <w:color w:val="000000"/>
                <w:sz w:val="18"/>
                <w:szCs w:val="18"/>
              </w:rPr>
            </w:pPr>
            <w:r>
              <w:rPr>
                <w:color w:val="000000"/>
                <w:kern w:val="0"/>
                <w:sz w:val="18"/>
                <w:szCs w:val="18"/>
                <w:lang w:bidi="ar"/>
              </w:rPr>
              <w:t>1</w:t>
            </w:r>
          </w:p>
        </w:tc>
      </w:tr>
      <w:tr w14:paraId="302292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4182396">
            <w:pPr>
              <w:widowControl/>
              <w:jc w:val="center"/>
              <w:textAlignment w:val="center"/>
              <w:rPr>
                <w:color w:val="000000"/>
                <w:sz w:val="18"/>
                <w:szCs w:val="18"/>
              </w:rPr>
            </w:pPr>
            <w:r>
              <w:rPr>
                <w:color w:val="000000"/>
                <w:kern w:val="0"/>
                <w:sz w:val="18"/>
                <w:szCs w:val="18"/>
                <w:lang w:bidi="ar"/>
              </w:rPr>
              <w:t>15</w:t>
            </w:r>
          </w:p>
        </w:tc>
        <w:tc>
          <w:tcPr>
            <w:tcW w:w="231" w:type="pct"/>
            <w:vMerge w:val="continue"/>
            <w:tcBorders>
              <w:tl2br w:val="nil"/>
              <w:tr2bl w:val="nil"/>
            </w:tcBorders>
            <w:noWrap/>
            <w:vAlign w:val="center"/>
          </w:tcPr>
          <w:p w14:paraId="42EA1D70">
            <w:pPr>
              <w:widowControl/>
              <w:jc w:val="center"/>
              <w:rPr>
                <w:color w:val="000000"/>
                <w:sz w:val="18"/>
                <w:szCs w:val="18"/>
              </w:rPr>
            </w:pPr>
          </w:p>
        </w:tc>
        <w:tc>
          <w:tcPr>
            <w:tcW w:w="468" w:type="pct"/>
            <w:tcBorders>
              <w:tl2br w:val="nil"/>
              <w:tr2bl w:val="nil"/>
            </w:tcBorders>
            <w:noWrap/>
            <w:vAlign w:val="center"/>
          </w:tcPr>
          <w:p w14:paraId="7706724C">
            <w:pPr>
              <w:widowControl/>
              <w:jc w:val="center"/>
              <w:textAlignment w:val="center"/>
              <w:rPr>
                <w:color w:val="000000"/>
                <w:sz w:val="18"/>
                <w:szCs w:val="18"/>
              </w:rPr>
            </w:pPr>
            <w:r>
              <w:rPr>
                <w:rFonts w:hint="eastAsia"/>
                <w:color w:val="000000"/>
                <w:kern w:val="0"/>
                <w:sz w:val="18"/>
                <w:szCs w:val="18"/>
                <w:lang w:bidi="ar"/>
              </w:rPr>
              <w:t>点胶机-1</w:t>
            </w:r>
          </w:p>
        </w:tc>
        <w:tc>
          <w:tcPr>
            <w:tcW w:w="412" w:type="pct"/>
            <w:tcBorders>
              <w:tl2br w:val="nil"/>
              <w:tr2bl w:val="nil"/>
            </w:tcBorders>
            <w:noWrap/>
            <w:vAlign w:val="center"/>
          </w:tcPr>
          <w:p w14:paraId="37F8D5A6">
            <w:pPr>
              <w:widowControl/>
              <w:jc w:val="center"/>
              <w:textAlignment w:val="center"/>
              <w:rPr>
                <w:color w:val="000000"/>
                <w:sz w:val="18"/>
                <w:szCs w:val="18"/>
              </w:rPr>
            </w:pPr>
            <w:r>
              <w:rPr>
                <w:color w:val="000000"/>
                <w:kern w:val="0"/>
                <w:sz w:val="18"/>
                <w:szCs w:val="18"/>
                <w:lang w:bidi="ar"/>
              </w:rPr>
              <w:t>UltimusTMI</w:t>
            </w:r>
          </w:p>
        </w:tc>
        <w:tc>
          <w:tcPr>
            <w:tcW w:w="318" w:type="pct"/>
            <w:tcBorders>
              <w:tl2br w:val="nil"/>
              <w:tr2bl w:val="nil"/>
            </w:tcBorders>
            <w:noWrap/>
            <w:vAlign w:val="center"/>
          </w:tcPr>
          <w:p w14:paraId="1BBF643D">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47A36107">
            <w:pPr>
              <w:widowControl/>
              <w:jc w:val="center"/>
              <w:rPr>
                <w:color w:val="000000"/>
                <w:sz w:val="18"/>
                <w:szCs w:val="18"/>
              </w:rPr>
            </w:pPr>
          </w:p>
        </w:tc>
        <w:tc>
          <w:tcPr>
            <w:tcW w:w="181" w:type="pct"/>
            <w:tcBorders>
              <w:tl2br w:val="nil"/>
              <w:tr2bl w:val="nil"/>
            </w:tcBorders>
            <w:noWrap/>
            <w:vAlign w:val="center"/>
          </w:tcPr>
          <w:p w14:paraId="6674D7FA">
            <w:pPr>
              <w:widowControl/>
              <w:jc w:val="center"/>
              <w:textAlignment w:val="center"/>
              <w:rPr>
                <w:color w:val="000000"/>
                <w:sz w:val="18"/>
                <w:szCs w:val="18"/>
              </w:rPr>
            </w:pPr>
            <w:r>
              <w:rPr>
                <w:color w:val="000000"/>
                <w:kern w:val="0"/>
                <w:sz w:val="18"/>
                <w:szCs w:val="18"/>
                <w:lang w:bidi="ar"/>
              </w:rPr>
              <w:t>-81.31</w:t>
            </w:r>
          </w:p>
        </w:tc>
        <w:tc>
          <w:tcPr>
            <w:tcW w:w="160" w:type="pct"/>
            <w:tcBorders>
              <w:tl2br w:val="nil"/>
              <w:tr2bl w:val="nil"/>
            </w:tcBorders>
            <w:noWrap/>
            <w:vAlign w:val="center"/>
          </w:tcPr>
          <w:p w14:paraId="766E7883">
            <w:pPr>
              <w:widowControl/>
              <w:jc w:val="center"/>
              <w:textAlignment w:val="center"/>
              <w:rPr>
                <w:color w:val="000000"/>
                <w:sz w:val="18"/>
                <w:szCs w:val="18"/>
              </w:rPr>
            </w:pPr>
            <w:r>
              <w:rPr>
                <w:color w:val="000000"/>
                <w:kern w:val="0"/>
                <w:sz w:val="18"/>
                <w:szCs w:val="18"/>
                <w:lang w:bidi="ar"/>
              </w:rPr>
              <w:t>38.75</w:t>
            </w:r>
          </w:p>
        </w:tc>
        <w:tc>
          <w:tcPr>
            <w:tcW w:w="83" w:type="pct"/>
            <w:tcBorders>
              <w:tl2br w:val="nil"/>
              <w:tr2bl w:val="nil"/>
            </w:tcBorders>
            <w:noWrap/>
            <w:vAlign w:val="center"/>
          </w:tcPr>
          <w:p w14:paraId="359D4EA1">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5DAD0E7D">
            <w:pPr>
              <w:widowControl/>
              <w:jc w:val="center"/>
              <w:textAlignment w:val="center"/>
              <w:rPr>
                <w:color w:val="000000"/>
                <w:sz w:val="18"/>
                <w:szCs w:val="18"/>
              </w:rPr>
            </w:pPr>
            <w:r>
              <w:rPr>
                <w:color w:val="000000"/>
                <w:kern w:val="0"/>
                <w:sz w:val="18"/>
                <w:szCs w:val="18"/>
                <w:lang w:bidi="ar"/>
              </w:rPr>
              <w:t>14.03</w:t>
            </w:r>
          </w:p>
        </w:tc>
        <w:tc>
          <w:tcPr>
            <w:tcW w:w="160" w:type="pct"/>
            <w:tcBorders>
              <w:tl2br w:val="nil"/>
              <w:tr2bl w:val="nil"/>
            </w:tcBorders>
            <w:noWrap/>
            <w:vAlign w:val="center"/>
          </w:tcPr>
          <w:p w14:paraId="6AD2B47A">
            <w:pPr>
              <w:widowControl/>
              <w:jc w:val="center"/>
              <w:textAlignment w:val="center"/>
              <w:rPr>
                <w:color w:val="000000"/>
                <w:sz w:val="18"/>
                <w:szCs w:val="18"/>
              </w:rPr>
            </w:pPr>
            <w:r>
              <w:rPr>
                <w:color w:val="000000"/>
                <w:kern w:val="0"/>
                <w:sz w:val="18"/>
                <w:szCs w:val="18"/>
                <w:lang w:bidi="ar"/>
              </w:rPr>
              <w:t>15.46</w:t>
            </w:r>
          </w:p>
        </w:tc>
        <w:tc>
          <w:tcPr>
            <w:tcW w:w="160" w:type="pct"/>
            <w:tcBorders>
              <w:tl2br w:val="nil"/>
              <w:tr2bl w:val="nil"/>
            </w:tcBorders>
            <w:noWrap/>
            <w:vAlign w:val="center"/>
          </w:tcPr>
          <w:p w14:paraId="228C68DF">
            <w:pPr>
              <w:widowControl/>
              <w:jc w:val="center"/>
              <w:textAlignment w:val="center"/>
              <w:rPr>
                <w:color w:val="000000"/>
                <w:sz w:val="18"/>
                <w:szCs w:val="18"/>
              </w:rPr>
            </w:pPr>
            <w:r>
              <w:rPr>
                <w:color w:val="000000"/>
                <w:kern w:val="0"/>
                <w:sz w:val="18"/>
                <w:szCs w:val="18"/>
                <w:lang w:bidi="ar"/>
              </w:rPr>
              <w:t>88.75</w:t>
            </w:r>
          </w:p>
        </w:tc>
        <w:tc>
          <w:tcPr>
            <w:tcW w:w="160" w:type="pct"/>
            <w:tcBorders>
              <w:tl2br w:val="nil"/>
              <w:tr2bl w:val="nil"/>
            </w:tcBorders>
            <w:noWrap/>
            <w:vAlign w:val="center"/>
          </w:tcPr>
          <w:p w14:paraId="58A9272A">
            <w:pPr>
              <w:widowControl/>
              <w:jc w:val="center"/>
              <w:textAlignment w:val="center"/>
              <w:rPr>
                <w:color w:val="000000"/>
                <w:sz w:val="18"/>
                <w:szCs w:val="18"/>
              </w:rPr>
            </w:pPr>
            <w:r>
              <w:rPr>
                <w:color w:val="000000"/>
                <w:kern w:val="0"/>
                <w:sz w:val="18"/>
                <w:szCs w:val="18"/>
                <w:lang w:bidi="ar"/>
              </w:rPr>
              <w:t>17.60</w:t>
            </w:r>
          </w:p>
        </w:tc>
        <w:tc>
          <w:tcPr>
            <w:tcW w:w="160" w:type="pct"/>
            <w:tcBorders>
              <w:tl2br w:val="nil"/>
              <w:tr2bl w:val="nil"/>
            </w:tcBorders>
            <w:noWrap/>
            <w:vAlign w:val="center"/>
          </w:tcPr>
          <w:p w14:paraId="4285BA3F">
            <w:pPr>
              <w:widowControl/>
              <w:jc w:val="center"/>
              <w:textAlignment w:val="center"/>
              <w:rPr>
                <w:color w:val="000000"/>
                <w:sz w:val="18"/>
                <w:szCs w:val="18"/>
              </w:rPr>
            </w:pPr>
            <w:r>
              <w:rPr>
                <w:color w:val="000000"/>
                <w:kern w:val="0"/>
                <w:sz w:val="18"/>
                <w:szCs w:val="18"/>
                <w:lang w:bidi="ar"/>
              </w:rPr>
              <w:t>56.81</w:t>
            </w:r>
          </w:p>
        </w:tc>
        <w:tc>
          <w:tcPr>
            <w:tcW w:w="160" w:type="pct"/>
            <w:tcBorders>
              <w:tl2br w:val="nil"/>
              <w:tr2bl w:val="nil"/>
            </w:tcBorders>
            <w:noWrap/>
            <w:vAlign w:val="center"/>
          </w:tcPr>
          <w:p w14:paraId="39A57284">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2D8DAD77">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53176012">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741933C6">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87D00F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38B0213">
            <w:pPr>
              <w:widowControl/>
              <w:jc w:val="center"/>
              <w:textAlignment w:val="center"/>
              <w:rPr>
                <w:color w:val="000000"/>
                <w:sz w:val="18"/>
                <w:szCs w:val="18"/>
              </w:rPr>
            </w:pPr>
            <w:r>
              <w:rPr>
                <w:color w:val="000000"/>
                <w:kern w:val="0"/>
                <w:sz w:val="18"/>
                <w:szCs w:val="18"/>
                <w:lang w:bidi="ar"/>
              </w:rPr>
              <w:t>35.81</w:t>
            </w:r>
          </w:p>
        </w:tc>
        <w:tc>
          <w:tcPr>
            <w:tcW w:w="160" w:type="pct"/>
            <w:tcBorders>
              <w:tl2br w:val="nil"/>
              <w:tr2bl w:val="nil"/>
            </w:tcBorders>
            <w:noWrap/>
            <w:vAlign w:val="center"/>
          </w:tcPr>
          <w:p w14:paraId="0C3AE74D">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6A5F784F">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2DBAB3ED">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581110EC">
            <w:pPr>
              <w:widowControl/>
              <w:jc w:val="center"/>
              <w:textAlignment w:val="center"/>
              <w:rPr>
                <w:color w:val="000000"/>
                <w:sz w:val="18"/>
                <w:szCs w:val="18"/>
              </w:rPr>
            </w:pPr>
            <w:r>
              <w:rPr>
                <w:color w:val="000000"/>
                <w:kern w:val="0"/>
                <w:sz w:val="18"/>
                <w:szCs w:val="18"/>
                <w:lang w:bidi="ar"/>
              </w:rPr>
              <w:t>1</w:t>
            </w:r>
          </w:p>
        </w:tc>
      </w:tr>
      <w:tr w14:paraId="777C5A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70851B52">
            <w:pPr>
              <w:widowControl/>
              <w:jc w:val="center"/>
              <w:textAlignment w:val="center"/>
              <w:rPr>
                <w:color w:val="000000"/>
                <w:sz w:val="18"/>
                <w:szCs w:val="18"/>
              </w:rPr>
            </w:pPr>
            <w:r>
              <w:rPr>
                <w:color w:val="000000"/>
                <w:kern w:val="0"/>
                <w:sz w:val="18"/>
                <w:szCs w:val="18"/>
                <w:lang w:bidi="ar"/>
              </w:rPr>
              <w:t>16</w:t>
            </w:r>
          </w:p>
        </w:tc>
        <w:tc>
          <w:tcPr>
            <w:tcW w:w="231" w:type="pct"/>
            <w:vMerge w:val="continue"/>
            <w:tcBorders>
              <w:tl2br w:val="nil"/>
              <w:tr2bl w:val="nil"/>
            </w:tcBorders>
            <w:noWrap/>
            <w:vAlign w:val="center"/>
          </w:tcPr>
          <w:p w14:paraId="72420066">
            <w:pPr>
              <w:widowControl/>
              <w:jc w:val="center"/>
              <w:rPr>
                <w:color w:val="000000"/>
                <w:sz w:val="18"/>
                <w:szCs w:val="18"/>
              </w:rPr>
            </w:pPr>
          </w:p>
        </w:tc>
        <w:tc>
          <w:tcPr>
            <w:tcW w:w="468" w:type="pct"/>
            <w:tcBorders>
              <w:tl2br w:val="nil"/>
              <w:tr2bl w:val="nil"/>
            </w:tcBorders>
            <w:noWrap/>
            <w:vAlign w:val="center"/>
          </w:tcPr>
          <w:p w14:paraId="5FC99F2A">
            <w:pPr>
              <w:widowControl/>
              <w:jc w:val="center"/>
              <w:textAlignment w:val="center"/>
              <w:rPr>
                <w:color w:val="000000"/>
                <w:sz w:val="18"/>
                <w:szCs w:val="18"/>
              </w:rPr>
            </w:pPr>
            <w:r>
              <w:rPr>
                <w:rFonts w:hint="eastAsia"/>
                <w:color w:val="000000"/>
                <w:kern w:val="0"/>
                <w:sz w:val="18"/>
                <w:szCs w:val="18"/>
                <w:lang w:bidi="ar"/>
              </w:rPr>
              <w:t>点胶机-2</w:t>
            </w:r>
          </w:p>
        </w:tc>
        <w:tc>
          <w:tcPr>
            <w:tcW w:w="412" w:type="pct"/>
            <w:tcBorders>
              <w:tl2br w:val="nil"/>
              <w:tr2bl w:val="nil"/>
            </w:tcBorders>
            <w:noWrap/>
            <w:vAlign w:val="center"/>
          </w:tcPr>
          <w:p w14:paraId="5669BB50">
            <w:pPr>
              <w:widowControl/>
              <w:jc w:val="center"/>
              <w:textAlignment w:val="center"/>
              <w:rPr>
                <w:color w:val="000000"/>
                <w:sz w:val="18"/>
                <w:szCs w:val="18"/>
              </w:rPr>
            </w:pPr>
            <w:r>
              <w:rPr>
                <w:color w:val="000000"/>
                <w:kern w:val="0"/>
                <w:sz w:val="18"/>
                <w:szCs w:val="18"/>
                <w:lang w:bidi="ar"/>
              </w:rPr>
              <w:t>UltimusTMI</w:t>
            </w:r>
          </w:p>
        </w:tc>
        <w:tc>
          <w:tcPr>
            <w:tcW w:w="318" w:type="pct"/>
            <w:tcBorders>
              <w:tl2br w:val="nil"/>
              <w:tr2bl w:val="nil"/>
            </w:tcBorders>
            <w:noWrap/>
            <w:vAlign w:val="center"/>
          </w:tcPr>
          <w:p w14:paraId="11C04819">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36A6D8CB">
            <w:pPr>
              <w:widowControl/>
              <w:jc w:val="center"/>
              <w:rPr>
                <w:color w:val="000000"/>
                <w:sz w:val="18"/>
                <w:szCs w:val="18"/>
              </w:rPr>
            </w:pPr>
          </w:p>
        </w:tc>
        <w:tc>
          <w:tcPr>
            <w:tcW w:w="181" w:type="pct"/>
            <w:tcBorders>
              <w:tl2br w:val="nil"/>
              <w:tr2bl w:val="nil"/>
            </w:tcBorders>
            <w:noWrap/>
            <w:vAlign w:val="center"/>
          </w:tcPr>
          <w:p w14:paraId="780A2A38">
            <w:pPr>
              <w:widowControl/>
              <w:jc w:val="center"/>
              <w:textAlignment w:val="center"/>
              <w:rPr>
                <w:color w:val="000000"/>
                <w:sz w:val="18"/>
                <w:szCs w:val="18"/>
              </w:rPr>
            </w:pPr>
            <w:r>
              <w:rPr>
                <w:color w:val="000000"/>
                <w:kern w:val="0"/>
                <w:sz w:val="18"/>
                <w:szCs w:val="18"/>
                <w:lang w:bidi="ar"/>
              </w:rPr>
              <w:t>-94.47</w:t>
            </w:r>
          </w:p>
        </w:tc>
        <w:tc>
          <w:tcPr>
            <w:tcW w:w="160" w:type="pct"/>
            <w:tcBorders>
              <w:tl2br w:val="nil"/>
              <w:tr2bl w:val="nil"/>
            </w:tcBorders>
            <w:noWrap/>
            <w:vAlign w:val="center"/>
          </w:tcPr>
          <w:p w14:paraId="3B198EA1">
            <w:pPr>
              <w:widowControl/>
              <w:jc w:val="center"/>
              <w:textAlignment w:val="center"/>
              <w:rPr>
                <w:color w:val="000000"/>
                <w:sz w:val="18"/>
                <w:szCs w:val="18"/>
              </w:rPr>
            </w:pPr>
            <w:r>
              <w:rPr>
                <w:color w:val="000000"/>
                <w:kern w:val="0"/>
                <w:sz w:val="18"/>
                <w:szCs w:val="18"/>
                <w:lang w:bidi="ar"/>
              </w:rPr>
              <w:t>33.34</w:t>
            </w:r>
          </w:p>
        </w:tc>
        <w:tc>
          <w:tcPr>
            <w:tcW w:w="83" w:type="pct"/>
            <w:tcBorders>
              <w:tl2br w:val="nil"/>
              <w:tr2bl w:val="nil"/>
            </w:tcBorders>
            <w:noWrap/>
            <w:vAlign w:val="center"/>
          </w:tcPr>
          <w:p w14:paraId="4AE2CD1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7AEFBDD">
            <w:pPr>
              <w:widowControl/>
              <w:jc w:val="center"/>
              <w:textAlignment w:val="center"/>
              <w:rPr>
                <w:color w:val="000000"/>
                <w:sz w:val="18"/>
                <w:szCs w:val="18"/>
              </w:rPr>
            </w:pPr>
            <w:r>
              <w:rPr>
                <w:color w:val="000000"/>
                <w:kern w:val="0"/>
                <w:sz w:val="18"/>
                <w:szCs w:val="18"/>
                <w:lang w:bidi="ar"/>
              </w:rPr>
              <w:t>2.82</w:t>
            </w:r>
          </w:p>
        </w:tc>
        <w:tc>
          <w:tcPr>
            <w:tcW w:w="160" w:type="pct"/>
            <w:tcBorders>
              <w:tl2br w:val="nil"/>
              <w:tr2bl w:val="nil"/>
            </w:tcBorders>
            <w:noWrap/>
            <w:vAlign w:val="center"/>
          </w:tcPr>
          <w:p w14:paraId="37A7F18E">
            <w:pPr>
              <w:widowControl/>
              <w:jc w:val="center"/>
              <w:textAlignment w:val="center"/>
              <w:rPr>
                <w:color w:val="000000"/>
                <w:sz w:val="18"/>
                <w:szCs w:val="18"/>
              </w:rPr>
            </w:pPr>
            <w:r>
              <w:rPr>
                <w:color w:val="000000"/>
                <w:kern w:val="0"/>
                <w:sz w:val="18"/>
                <w:szCs w:val="18"/>
                <w:lang w:bidi="ar"/>
              </w:rPr>
              <w:t>6.71</w:t>
            </w:r>
          </w:p>
        </w:tc>
        <w:tc>
          <w:tcPr>
            <w:tcW w:w="160" w:type="pct"/>
            <w:tcBorders>
              <w:tl2br w:val="nil"/>
              <w:tr2bl w:val="nil"/>
            </w:tcBorders>
            <w:noWrap/>
            <w:vAlign w:val="center"/>
          </w:tcPr>
          <w:p w14:paraId="1819F2A2">
            <w:pPr>
              <w:widowControl/>
              <w:jc w:val="center"/>
              <w:textAlignment w:val="center"/>
              <w:rPr>
                <w:color w:val="000000"/>
                <w:sz w:val="18"/>
                <w:szCs w:val="18"/>
              </w:rPr>
            </w:pPr>
            <w:r>
              <w:rPr>
                <w:color w:val="000000"/>
                <w:kern w:val="0"/>
                <w:sz w:val="18"/>
                <w:szCs w:val="18"/>
                <w:lang w:bidi="ar"/>
              </w:rPr>
              <w:t>99.97</w:t>
            </w:r>
          </w:p>
        </w:tc>
        <w:tc>
          <w:tcPr>
            <w:tcW w:w="160" w:type="pct"/>
            <w:tcBorders>
              <w:tl2br w:val="nil"/>
              <w:tr2bl w:val="nil"/>
            </w:tcBorders>
            <w:noWrap/>
            <w:vAlign w:val="center"/>
          </w:tcPr>
          <w:p w14:paraId="160D9B8A">
            <w:pPr>
              <w:widowControl/>
              <w:jc w:val="center"/>
              <w:textAlignment w:val="center"/>
              <w:rPr>
                <w:color w:val="000000"/>
                <w:sz w:val="18"/>
                <w:szCs w:val="18"/>
              </w:rPr>
            </w:pPr>
            <w:r>
              <w:rPr>
                <w:color w:val="000000"/>
                <w:kern w:val="0"/>
                <w:sz w:val="18"/>
                <w:szCs w:val="18"/>
                <w:lang w:bidi="ar"/>
              </w:rPr>
              <w:t>26.35</w:t>
            </w:r>
          </w:p>
        </w:tc>
        <w:tc>
          <w:tcPr>
            <w:tcW w:w="160" w:type="pct"/>
            <w:tcBorders>
              <w:tl2br w:val="nil"/>
              <w:tr2bl w:val="nil"/>
            </w:tcBorders>
            <w:noWrap/>
            <w:vAlign w:val="center"/>
          </w:tcPr>
          <w:p w14:paraId="6AF3E534">
            <w:pPr>
              <w:widowControl/>
              <w:jc w:val="center"/>
              <w:textAlignment w:val="center"/>
              <w:rPr>
                <w:color w:val="000000"/>
                <w:sz w:val="18"/>
                <w:szCs w:val="18"/>
              </w:rPr>
            </w:pPr>
            <w:r>
              <w:rPr>
                <w:color w:val="000000"/>
                <w:kern w:val="0"/>
                <w:sz w:val="18"/>
                <w:szCs w:val="18"/>
                <w:lang w:bidi="ar"/>
              </w:rPr>
              <w:t>57.07</w:t>
            </w:r>
          </w:p>
        </w:tc>
        <w:tc>
          <w:tcPr>
            <w:tcW w:w="160" w:type="pct"/>
            <w:tcBorders>
              <w:tl2br w:val="nil"/>
              <w:tr2bl w:val="nil"/>
            </w:tcBorders>
            <w:noWrap/>
            <w:vAlign w:val="center"/>
          </w:tcPr>
          <w:p w14:paraId="78B6592F">
            <w:pPr>
              <w:widowControl/>
              <w:jc w:val="center"/>
              <w:textAlignment w:val="center"/>
              <w:rPr>
                <w:color w:val="000000"/>
                <w:sz w:val="18"/>
                <w:szCs w:val="18"/>
              </w:rPr>
            </w:pPr>
            <w:r>
              <w:rPr>
                <w:color w:val="000000"/>
                <w:kern w:val="0"/>
                <w:sz w:val="18"/>
                <w:szCs w:val="18"/>
                <w:lang w:bidi="ar"/>
              </w:rPr>
              <w:t>56.84</w:t>
            </w:r>
          </w:p>
        </w:tc>
        <w:tc>
          <w:tcPr>
            <w:tcW w:w="160" w:type="pct"/>
            <w:tcBorders>
              <w:tl2br w:val="nil"/>
              <w:tr2bl w:val="nil"/>
            </w:tcBorders>
            <w:noWrap/>
            <w:vAlign w:val="center"/>
          </w:tcPr>
          <w:p w14:paraId="7791D295">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34091D3B">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425EEFEC">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50C2DA7D">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8E3CCB9">
            <w:pPr>
              <w:widowControl/>
              <w:jc w:val="center"/>
              <w:textAlignment w:val="center"/>
              <w:rPr>
                <w:color w:val="000000"/>
                <w:sz w:val="18"/>
                <w:szCs w:val="18"/>
              </w:rPr>
            </w:pPr>
            <w:r>
              <w:rPr>
                <w:color w:val="000000"/>
                <w:kern w:val="0"/>
                <w:sz w:val="18"/>
                <w:szCs w:val="18"/>
                <w:lang w:bidi="ar"/>
              </w:rPr>
              <w:t>36.07</w:t>
            </w:r>
          </w:p>
        </w:tc>
        <w:tc>
          <w:tcPr>
            <w:tcW w:w="160" w:type="pct"/>
            <w:tcBorders>
              <w:tl2br w:val="nil"/>
              <w:tr2bl w:val="nil"/>
            </w:tcBorders>
            <w:noWrap/>
            <w:vAlign w:val="center"/>
          </w:tcPr>
          <w:p w14:paraId="738EE1F8">
            <w:pPr>
              <w:widowControl/>
              <w:jc w:val="center"/>
              <w:textAlignment w:val="center"/>
              <w:rPr>
                <w:color w:val="000000"/>
                <w:sz w:val="18"/>
                <w:szCs w:val="18"/>
              </w:rPr>
            </w:pPr>
            <w:r>
              <w:rPr>
                <w:color w:val="000000"/>
                <w:kern w:val="0"/>
                <w:sz w:val="18"/>
                <w:szCs w:val="18"/>
                <w:lang w:bidi="ar"/>
              </w:rPr>
              <w:t>35.84</w:t>
            </w:r>
          </w:p>
        </w:tc>
        <w:tc>
          <w:tcPr>
            <w:tcW w:w="160" w:type="pct"/>
            <w:tcBorders>
              <w:tl2br w:val="nil"/>
              <w:tr2bl w:val="nil"/>
            </w:tcBorders>
            <w:noWrap/>
            <w:vAlign w:val="center"/>
          </w:tcPr>
          <w:p w14:paraId="3FA0CA7A">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23284E9A">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18FB1C0E">
            <w:pPr>
              <w:widowControl/>
              <w:jc w:val="center"/>
              <w:textAlignment w:val="center"/>
              <w:rPr>
                <w:color w:val="000000"/>
                <w:sz w:val="18"/>
                <w:szCs w:val="18"/>
              </w:rPr>
            </w:pPr>
            <w:r>
              <w:rPr>
                <w:color w:val="000000"/>
                <w:kern w:val="0"/>
                <w:sz w:val="18"/>
                <w:szCs w:val="18"/>
                <w:lang w:bidi="ar"/>
              </w:rPr>
              <w:t>1</w:t>
            </w:r>
          </w:p>
        </w:tc>
      </w:tr>
      <w:tr w14:paraId="27FAA3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987255D">
            <w:pPr>
              <w:widowControl/>
              <w:jc w:val="center"/>
              <w:textAlignment w:val="center"/>
              <w:rPr>
                <w:color w:val="000000"/>
                <w:sz w:val="18"/>
                <w:szCs w:val="18"/>
              </w:rPr>
            </w:pPr>
            <w:r>
              <w:rPr>
                <w:color w:val="000000"/>
                <w:kern w:val="0"/>
                <w:sz w:val="18"/>
                <w:szCs w:val="18"/>
                <w:lang w:bidi="ar"/>
              </w:rPr>
              <w:t>17</w:t>
            </w:r>
          </w:p>
        </w:tc>
        <w:tc>
          <w:tcPr>
            <w:tcW w:w="231" w:type="pct"/>
            <w:vMerge w:val="continue"/>
            <w:tcBorders>
              <w:tl2br w:val="nil"/>
              <w:tr2bl w:val="nil"/>
            </w:tcBorders>
            <w:noWrap/>
            <w:vAlign w:val="center"/>
          </w:tcPr>
          <w:p w14:paraId="58D80452">
            <w:pPr>
              <w:widowControl/>
              <w:jc w:val="center"/>
              <w:rPr>
                <w:color w:val="000000"/>
                <w:sz w:val="18"/>
                <w:szCs w:val="18"/>
              </w:rPr>
            </w:pPr>
          </w:p>
        </w:tc>
        <w:tc>
          <w:tcPr>
            <w:tcW w:w="468" w:type="pct"/>
            <w:tcBorders>
              <w:tl2br w:val="nil"/>
              <w:tr2bl w:val="nil"/>
            </w:tcBorders>
            <w:noWrap/>
            <w:vAlign w:val="center"/>
          </w:tcPr>
          <w:p w14:paraId="02F1B822">
            <w:pPr>
              <w:widowControl/>
              <w:jc w:val="center"/>
              <w:textAlignment w:val="center"/>
              <w:rPr>
                <w:color w:val="000000"/>
                <w:sz w:val="18"/>
                <w:szCs w:val="18"/>
              </w:rPr>
            </w:pPr>
            <w:r>
              <w:rPr>
                <w:rFonts w:hint="eastAsia"/>
                <w:color w:val="000000"/>
                <w:kern w:val="0"/>
                <w:sz w:val="18"/>
                <w:szCs w:val="18"/>
                <w:lang w:bidi="ar"/>
              </w:rPr>
              <w:t>面光源UV固化机</w:t>
            </w:r>
          </w:p>
        </w:tc>
        <w:tc>
          <w:tcPr>
            <w:tcW w:w="412" w:type="pct"/>
            <w:tcBorders>
              <w:tl2br w:val="nil"/>
              <w:tr2bl w:val="nil"/>
            </w:tcBorders>
            <w:noWrap/>
            <w:vAlign w:val="center"/>
          </w:tcPr>
          <w:p w14:paraId="40DC1C71">
            <w:pPr>
              <w:widowControl/>
              <w:jc w:val="center"/>
              <w:textAlignment w:val="center"/>
              <w:rPr>
                <w:color w:val="000000"/>
                <w:sz w:val="18"/>
                <w:szCs w:val="18"/>
              </w:rPr>
            </w:pPr>
            <w:r>
              <w:rPr>
                <w:color w:val="000000"/>
                <w:kern w:val="0"/>
                <w:sz w:val="18"/>
                <w:szCs w:val="18"/>
                <w:lang w:bidi="ar"/>
              </w:rPr>
              <w:t>DX-1000</w:t>
            </w:r>
          </w:p>
        </w:tc>
        <w:tc>
          <w:tcPr>
            <w:tcW w:w="318" w:type="pct"/>
            <w:tcBorders>
              <w:tl2br w:val="nil"/>
              <w:tr2bl w:val="nil"/>
            </w:tcBorders>
            <w:noWrap/>
            <w:vAlign w:val="center"/>
          </w:tcPr>
          <w:p w14:paraId="4B09D52C">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3B1C2E4D">
            <w:pPr>
              <w:widowControl/>
              <w:jc w:val="center"/>
              <w:rPr>
                <w:color w:val="000000"/>
                <w:sz w:val="18"/>
                <w:szCs w:val="18"/>
              </w:rPr>
            </w:pPr>
          </w:p>
        </w:tc>
        <w:tc>
          <w:tcPr>
            <w:tcW w:w="181" w:type="pct"/>
            <w:tcBorders>
              <w:tl2br w:val="nil"/>
              <w:tr2bl w:val="nil"/>
            </w:tcBorders>
            <w:noWrap/>
            <w:vAlign w:val="center"/>
          </w:tcPr>
          <w:p w14:paraId="19947D6A">
            <w:pPr>
              <w:widowControl/>
              <w:jc w:val="center"/>
              <w:textAlignment w:val="center"/>
              <w:rPr>
                <w:color w:val="000000"/>
                <w:sz w:val="18"/>
                <w:szCs w:val="18"/>
              </w:rPr>
            </w:pPr>
            <w:r>
              <w:rPr>
                <w:color w:val="000000"/>
                <w:kern w:val="0"/>
                <w:sz w:val="18"/>
                <w:szCs w:val="18"/>
                <w:lang w:bidi="ar"/>
              </w:rPr>
              <w:t>-90.98</w:t>
            </w:r>
          </w:p>
        </w:tc>
        <w:tc>
          <w:tcPr>
            <w:tcW w:w="160" w:type="pct"/>
            <w:tcBorders>
              <w:tl2br w:val="nil"/>
              <w:tr2bl w:val="nil"/>
            </w:tcBorders>
            <w:noWrap/>
            <w:vAlign w:val="center"/>
          </w:tcPr>
          <w:p w14:paraId="11393B2B">
            <w:pPr>
              <w:widowControl/>
              <w:jc w:val="center"/>
              <w:textAlignment w:val="center"/>
              <w:rPr>
                <w:color w:val="000000"/>
                <w:sz w:val="18"/>
                <w:szCs w:val="18"/>
              </w:rPr>
            </w:pPr>
            <w:r>
              <w:rPr>
                <w:color w:val="000000"/>
                <w:kern w:val="0"/>
                <w:sz w:val="18"/>
                <w:szCs w:val="18"/>
                <w:lang w:bidi="ar"/>
              </w:rPr>
              <w:t>32.42</w:t>
            </w:r>
          </w:p>
        </w:tc>
        <w:tc>
          <w:tcPr>
            <w:tcW w:w="83" w:type="pct"/>
            <w:tcBorders>
              <w:tl2br w:val="nil"/>
              <w:tr2bl w:val="nil"/>
            </w:tcBorders>
            <w:noWrap/>
            <w:vAlign w:val="center"/>
          </w:tcPr>
          <w:p w14:paraId="2D457F7A">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6E3E46A7">
            <w:pPr>
              <w:widowControl/>
              <w:jc w:val="center"/>
              <w:textAlignment w:val="center"/>
              <w:rPr>
                <w:color w:val="000000"/>
                <w:sz w:val="18"/>
                <w:szCs w:val="18"/>
              </w:rPr>
            </w:pPr>
            <w:r>
              <w:rPr>
                <w:color w:val="000000"/>
                <w:kern w:val="0"/>
                <w:sz w:val="18"/>
                <w:szCs w:val="18"/>
                <w:lang w:bidi="ar"/>
              </w:rPr>
              <w:t>6.42</w:t>
            </w:r>
          </w:p>
        </w:tc>
        <w:tc>
          <w:tcPr>
            <w:tcW w:w="160" w:type="pct"/>
            <w:tcBorders>
              <w:tl2br w:val="nil"/>
              <w:tr2bl w:val="nil"/>
            </w:tcBorders>
            <w:noWrap/>
            <w:vAlign w:val="center"/>
          </w:tcPr>
          <w:p w14:paraId="18BCC969">
            <w:pPr>
              <w:widowControl/>
              <w:jc w:val="center"/>
              <w:textAlignment w:val="center"/>
              <w:rPr>
                <w:color w:val="000000"/>
                <w:sz w:val="18"/>
                <w:szCs w:val="18"/>
              </w:rPr>
            </w:pPr>
            <w:r>
              <w:rPr>
                <w:color w:val="000000"/>
                <w:kern w:val="0"/>
                <w:sz w:val="18"/>
                <w:szCs w:val="18"/>
                <w:lang w:bidi="ar"/>
              </w:rPr>
              <w:t>6.76</w:t>
            </w:r>
          </w:p>
        </w:tc>
        <w:tc>
          <w:tcPr>
            <w:tcW w:w="160" w:type="pct"/>
            <w:tcBorders>
              <w:tl2br w:val="nil"/>
              <w:tr2bl w:val="nil"/>
            </w:tcBorders>
            <w:noWrap/>
            <w:vAlign w:val="center"/>
          </w:tcPr>
          <w:p w14:paraId="19F5CD3C">
            <w:pPr>
              <w:widowControl/>
              <w:jc w:val="center"/>
              <w:textAlignment w:val="center"/>
              <w:rPr>
                <w:color w:val="000000"/>
                <w:sz w:val="18"/>
                <w:szCs w:val="18"/>
              </w:rPr>
            </w:pPr>
            <w:r>
              <w:rPr>
                <w:color w:val="000000"/>
                <w:kern w:val="0"/>
                <w:sz w:val="18"/>
                <w:szCs w:val="18"/>
                <w:lang w:bidi="ar"/>
              </w:rPr>
              <w:t>96.36</w:t>
            </w:r>
          </w:p>
        </w:tc>
        <w:tc>
          <w:tcPr>
            <w:tcW w:w="160" w:type="pct"/>
            <w:tcBorders>
              <w:tl2br w:val="nil"/>
              <w:tr2bl w:val="nil"/>
            </w:tcBorders>
            <w:noWrap/>
            <w:vAlign w:val="center"/>
          </w:tcPr>
          <w:p w14:paraId="2B513915">
            <w:pPr>
              <w:widowControl/>
              <w:jc w:val="center"/>
              <w:textAlignment w:val="center"/>
              <w:rPr>
                <w:color w:val="000000"/>
                <w:sz w:val="18"/>
                <w:szCs w:val="18"/>
              </w:rPr>
            </w:pPr>
            <w:r>
              <w:rPr>
                <w:color w:val="000000"/>
                <w:kern w:val="0"/>
                <w:sz w:val="18"/>
                <w:szCs w:val="18"/>
                <w:lang w:bidi="ar"/>
              </w:rPr>
              <w:t>26.30</w:t>
            </w:r>
          </w:p>
        </w:tc>
        <w:tc>
          <w:tcPr>
            <w:tcW w:w="160" w:type="pct"/>
            <w:tcBorders>
              <w:tl2br w:val="nil"/>
              <w:tr2bl w:val="nil"/>
            </w:tcBorders>
            <w:noWrap/>
            <w:vAlign w:val="center"/>
          </w:tcPr>
          <w:p w14:paraId="20A9FD1C">
            <w:pPr>
              <w:widowControl/>
              <w:jc w:val="center"/>
              <w:textAlignment w:val="center"/>
              <w:rPr>
                <w:color w:val="000000"/>
                <w:sz w:val="18"/>
                <w:szCs w:val="18"/>
              </w:rPr>
            </w:pPr>
            <w:r>
              <w:rPr>
                <w:color w:val="000000"/>
                <w:kern w:val="0"/>
                <w:sz w:val="18"/>
                <w:szCs w:val="18"/>
                <w:lang w:bidi="ar"/>
              </w:rPr>
              <w:t>61.85</w:t>
            </w:r>
          </w:p>
        </w:tc>
        <w:tc>
          <w:tcPr>
            <w:tcW w:w="160" w:type="pct"/>
            <w:tcBorders>
              <w:tl2br w:val="nil"/>
              <w:tr2bl w:val="nil"/>
            </w:tcBorders>
            <w:noWrap/>
            <w:vAlign w:val="center"/>
          </w:tcPr>
          <w:p w14:paraId="44BF62FF">
            <w:pPr>
              <w:widowControl/>
              <w:jc w:val="center"/>
              <w:textAlignment w:val="center"/>
              <w:rPr>
                <w:color w:val="000000"/>
                <w:sz w:val="18"/>
                <w:szCs w:val="18"/>
              </w:rPr>
            </w:pPr>
            <w:r>
              <w:rPr>
                <w:color w:val="000000"/>
                <w:kern w:val="0"/>
                <w:sz w:val="18"/>
                <w:szCs w:val="18"/>
                <w:lang w:bidi="ar"/>
              </w:rPr>
              <w:t>61.84</w:t>
            </w:r>
          </w:p>
        </w:tc>
        <w:tc>
          <w:tcPr>
            <w:tcW w:w="160" w:type="pct"/>
            <w:tcBorders>
              <w:tl2br w:val="nil"/>
              <w:tr2bl w:val="nil"/>
            </w:tcBorders>
            <w:noWrap/>
            <w:vAlign w:val="center"/>
          </w:tcPr>
          <w:p w14:paraId="21190899">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3AC5D169">
            <w:pPr>
              <w:widowControl/>
              <w:jc w:val="center"/>
              <w:textAlignment w:val="center"/>
              <w:rPr>
                <w:color w:val="000000"/>
                <w:sz w:val="18"/>
                <w:szCs w:val="18"/>
              </w:rPr>
            </w:pPr>
            <w:r>
              <w:rPr>
                <w:color w:val="000000"/>
                <w:kern w:val="0"/>
                <w:sz w:val="18"/>
                <w:szCs w:val="18"/>
                <w:lang w:bidi="ar"/>
              </w:rPr>
              <w:t>61.80</w:t>
            </w:r>
          </w:p>
        </w:tc>
        <w:tc>
          <w:tcPr>
            <w:tcW w:w="188" w:type="pct"/>
            <w:tcBorders>
              <w:tl2br w:val="nil"/>
              <w:tr2bl w:val="nil"/>
            </w:tcBorders>
            <w:noWrap/>
            <w:vAlign w:val="center"/>
          </w:tcPr>
          <w:p w14:paraId="6330D407">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5C2425E5">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1C855BF">
            <w:pPr>
              <w:widowControl/>
              <w:jc w:val="center"/>
              <w:textAlignment w:val="center"/>
              <w:rPr>
                <w:color w:val="000000"/>
                <w:sz w:val="18"/>
                <w:szCs w:val="18"/>
              </w:rPr>
            </w:pPr>
            <w:r>
              <w:rPr>
                <w:color w:val="000000"/>
                <w:kern w:val="0"/>
                <w:sz w:val="18"/>
                <w:szCs w:val="18"/>
                <w:lang w:bidi="ar"/>
              </w:rPr>
              <w:t>40.85</w:t>
            </w:r>
          </w:p>
        </w:tc>
        <w:tc>
          <w:tcPr>
            <w:tcW w:w="160" w:type="pct"/>
            <w:tcBorders>
              <w:tl2br w:val="nil"/>
              <w:tr2bl w:val="nil"/>
            </w:tcBorders>
            <w:noWrap/>
            <w:vAlign w:val="center"/>
          </w:tcPr>
          <w:p w14:paraId="22A061A5">
            <w:pPr>
              <w:widowControl/>
              <w:jc w:val="center"/>
              <w:textAlignment w:val="center"/>
              <w:rPr>
                <w:color w:val="000000"/>
                <w:sz w:val="18"/>
                <w:szCs w:val="18"/>
              </w:rPr>
            </w:pPr>
            <w:r>
              <w:rPr>
                <w:color w:val="000000"/>
                <w:kern w:val="0"/>
                <w:sz w:val="18"/>
                <w:szCs w:val="18"/>
                <w:lang w:bidi="ar"/>
              </w:rPr>
              <w:t>40.84</w:t>
            </w:r>
          </w:p>
        </w:tc>
        <w:tc>
          <w:tcPr>
            <w:tcW w:w="160" w:type="pct"/>
            <w:tcBorders>
              <w:tl2br w:val="nil"/>
              <w:tr2bl w:val="nil"/>
            </w:tcBorders>
            <w:noWrap/>
            <w:vAlign w:val="center"/>
          </w:tcPr>
          <w:p w14:paraId="78DF3A14">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347AD460">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76254753">
            <w:pPr>
              <w:widowControl/>
              <w:jc w:val="center"/>
              <w:textAlignment w:val="center"/>
              <w:rPr>
                <w:color w:val="000000"/>
                <w:sz w:val="18"/>
                <w:szCs w:val="18"/>
              </w:rPr>
            </w:pPr>
            <w:r>
              <w:rPr>
                <w:color w:val="000000"/>
                <w:kern w:val="0"/>
                <w:sz w:val="18"/>
                <w:szCs w:val="18"/>
                <w:lang w:bidi="ar"/>
              </w:rPr>
              <w:t>1</w:t>
            </w:r>
          </w:p>
        </w:tc>
      </w:tr>
      <w:tr w14:paraId="445D24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13A7F67A">
            <w:pPr>
              <w:widowControl/>
              <w:jc w:val="center"/>
              <w:textAlignment w:val="center"/>
              <w:rPr>
                <w:color w:val="000000"/>
                <w:sz w:val="18"/>
                <w:szCs w:val="18"/>
              </w:rPr>
            </w:pPr>
            <w:r>
              <w:rPr>
                <w:color w:val="000000"/>
                <w:kern w:val="0"/>
                <w:sz w:val="18"/>
                <w:szCs w:val="18"/>
                <w:lang w:bidi="ar"/>
              </w:rPr>
              <w:t>18</w:t>
            </w:r>
          </w:p>
        </w:tc>
        <w:tc>
          <w:tcPr>
            <w:tcW w:w="231" w:type="pct"/>
            <w:vMerge w:val="continue"/>
            <w:tcBorders>
              <w:tl2br w:val="nil"/>
              <w:tr2bl w:val="nil"/>
            </w:tcBorders>
            <w:noWrap/>
            <w:vAlign w:val="center"/>
          </w:tcPr>
          <w:p w14:paraId="6851B3BD">
            <w:pPr>
              <w:widowControl/>
              <w:jc w:val="center"/>
              <w:rPr>
                <w:color w:val="000000"/>
                <w:sz w:val="18"/>
                <w:szCs w:val="18"/>
              </w:rPr>
            </w:pPr>
          </w:p>
        </w:tc>
        <w:tc>
          <w:tcPr>
            <w:tcW w:w="468" w:type="pct"/>
            <w:tcBorders>
              <w:tl2br w:val="nil"/>
              <w:tr2bl w:val="nil"/>
            </w:tcBorders>
            <w:noWrap/>
            <w:vAlign w:val="center"/>
          </w:tcPr>
          <w:p w14:paraId="390BE3CF">
            <w:pPr>
              <w:widowControl/>
              <w:jc w:val="center"/>
              <w:textAlignment w:val="center"/>
              <w:rPr>
                <w:color w:val="000000"/>
                <w:sz w:val="18"/>
                <w:szCs w:val="18"/>
              </w:rPr>
            </w:pPr>
            <w:r>
              <w:rPr>
                <w:rFonts w:hint="eastAsia"/>
                <w:color w:val="000000"/>
                <w:kern w:val="0"/>
                <w:sz w:val="18"/>
                <w:szCs w:val="18"/>
                <w:lang w:bidi="ar"/>
              </w:rPr>
              <w:t>球囊折叠机</w:t>
            </w:r>
          </w:p>
        </w:tc>
        <w:tc>
          <w:tcPr>
            <w:tcW w:w="412" w:type="pct"/>
            <w:tcBorders>
              <w:tl2br w:val="nil"/>
              <w:tr2bl w:val="nil"/>
            </w:tcBorders>
            <w:noWrap/>
            <w:vAlign w:val="center"/>
          </w:tcPr>
          <w:p w14:paraId="715EF00F">
            <w:pPr>
              <w:widowControl/>
              <w:jc w:val="center"/>
              <w:textAlignment w:val="center"/>
              <w:rPr>
                <w:color w:val="000000"/>
                <w:sz w:val="18"/>
                <w:szCs w:val="18"/>
              </w:rPr>
            </w:pPr>
            <w:r>
              <w:rPr>
                <w:color w:val="000000"/>
                <w:kern w:val="0"/>
                <w:sz w:val="18"/>
                <w:szCs w:val="18"/>
                <w:lang w:bidi="ar"/>
              </w:rPr>
              <w:t>CZBW-V3/V5</w:t>
            </w:r>
          </w:p>
        </w:tc>
        <w:tc>
          <w:tcPr>
            <w:tcW w:w="318" w:type="pct"/>
            <w:tcBorders>
              <w:tl2br w:val="nil"/>
              <w:tr2bl w:val="nil"/>
            </w:tcBorders>
            <w:noWrap/>
            <w:vAlign w:val="center"/>
          </w:tcPr>
          <w:p w14:paraId="28EC6574">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53C9B6E4">
            <w:pPr>
              <w:widowControl/>
              <w:jc w:val="center"/>
              <w:rPr>
                <w:color w:val="000000"/>
                <w:sz w:val="18"/>
                <w:szCs w:val="18"/>
              </w:rPr>
            </w:pPr>
          </w:p>
        </w:tc>
        <w:tc>
          <w:tcPr>
            <w:tcW w:w="181" w:type="pct"/>
            <w:tcBorders>
              <w:tl2br w:val="nil"/>
              <w:tr2bl w:val="nil"/>
            </w:tcBorders>
            <w:noWrap/>
            <w:vAlign w:val="center"/>
          </w:tcPr>
          <w:p w14:paraId="210B6F26">
            <w:pPr>
              <w:widowControl/>
              <w:jc w:val="center"/>
              <w:textAlignment w:val="center"/>
              <w:rPr>
                <w:color w:val="000000"/>
                <w:sz w:val="18"/>
                <w:szCs w:val="18"/>
              </w:rPr>
            </w:pPr>
            <w:r>
              <w:rPr>
                <w:color w:val="000000"/>
                <w:kern w:val="0"/>
                <w:sz w:val="18"/>
                <w:szCs w:val="18"/>
                <w:lang w:bidi="ar"/>
              </w:rPr>
              <w:t>-78.31</w:t>
            </w:r>
          </w:p>
        </w:tc>
        <w:tc>
          <w:tcPr>
            <w:tcW w:w="160" w:type="pct"/>
            <w:tcBorders>
              <w:tl2br w:val="nil"/>
              <w:tr2bl w:val="nil"/>
            </w:tcBorders>
            <w:noWrap/>
            <w:vAlign w:val="center"/>
          </w:tcPr>
          <w:p w14:paraId="0284D55D">
            <w:pPr>
              <w:widowControl/>
              <w:jc w:val="center"/>
              <w:textAlignment w:val="center"/>
              <w:rPr>
                <w:color w:val="000000"/>
                <w:sz w:val="18"/>
                <w:szCs w:val="18"/>
              </w:rPr>
            </w:pPr>
            <w:r>
              <w:rPr>
                <w:color w:val="000000"/>
                <w:kern w:val="0"/>
                <w:sz w:val="18"/>
                <w:szCs w:val="18"/>
                <w:lang w:bidi="ar"/>
              </w:rPr>
              <w:t>37.88</w:t>
            </w:r>
          </w:p>
        </w:tc>
        <w:tc>
          <w:tcPr>
            <w:tcW w:w="83" w:type="pct"/>
            <w:tcBorders>
              <w:tl2br w:val="nil"/>
              <w:tr2bl w:val="nil"/>
            </w:tcBorders>
            <w:noWrap/>
            <w:vAlign w:val="center"/>
          </w:tcPr>
          <w:p w14:paraId="3CD11328">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BA811CD">
            <w:pPr>
              <w:widowControl/>
              <w:jc w:val="center"/>
              <w:textAlignment w:val="center"/>
              <w:rPr>
                <w:color w:val="000000"/>
                <w:sz w:val="18"/>
                <w:szCs w:val="18"/>
              </w:rPr>
            </w:pPr>
            <w:r>
              <w:rPr>
                <w:color w:val="000000"/>
                <w:kern w:val="0"/>
                <w:sz w:val="18"/>
                <w:szCs w:val="18"/>
                <w:lang w:bidi="ar"/>
              </w:rPr>
              <w:t>17.15</w:t>
            </w:r>
          </w:p>
        </w:tc>
        <w:tc>
          <w:tcPr>
            <w:tcW w:w="160" w:type="pct"/>
            <w:tcBorders>
              <w:tl2br w:val="nil"/>
              <w:tr2bl w:val="nil"/>
            </w:tcBorders>
            <w:noWrap/>
            <w:vAlign w:val="center"/>
          </w:tcPr>
          <w:p w14:paraId="59ADFD93">
            <w:pPr>
              <w:widowControl/>
              <w:jc w:val="center"/>
              <w:textAlignment w:val="center"/>
              <w:rPr>
                <w:color w:val="000000"/>
                <w:sz w:val="18"/>
                <w:szCs w:val="18"/>
              </w:rPr>
            </w:pPr>
            <w:r>
              <w:rPr>
                <w:color w:val="000000"/>
                <w:kern w:val="0"/>
                <w:sz w:val="18"/>
                <w:szCs w:val="18"/>
                <w:lang w:bidi="ar"/>
              </w:rPr>
              <w:t>15.43</w:t>
            </w:r>
          </w:p>
        </w:tc>
        <w:tc>
          <w:tcPr>
            <w:tcW w:w="160" w:type="pct"/>
            <w:tcBorders>
              <w:tl2br w:val="nil"/>
              <w:tr2bl w:val="nil"/>
            </w:tcBorders>
            <w:noWrap/>
            <w:vAlign w:val="center"/>
          </w:tcPr>
          <w:p w14:paraId="02C0CDEE">
            <w:pPr>
              <w:widowControl/>
              <w:jc w:val="center"/>
              <w:textAlignment w:val="center"/>
              <w:rPr>
                <w:color w:val="000000"/>
                <w:sz w:val="18"/>
                <w:szCs w:val="18"/>
              </w:rPr>
            </w:pPr>
            <w:r>
              <w:rPr>
                <w:color w:val="000000"/>
                <w:kern w:val="0"/>
                <w:sz w:val="18"/>
                <w:szCs w:val="18"/>
                <w:lang w:bidi="ar"/>
              </w:rPr>
              <w:t>85.62</w:t>
            </w:r>
          </w:p>
        </w:tc>
        <w:tc>
          <w:tcPr>
            <w:tcW w:w="160" w:type="pct"/>
            <w:tcBorders>
              <w:tl2br w:val="nil"/>
              <w:tr2bl w:val="nil"/>
            </w:tcBorders>
            <w:noWrap/>
            <w:vAlign w:val="center"/>
          </w:tcPr>
          <w:p w14:paraId="50DC861E">
            <w:pPr>
              <w:widowControl/>
              <w:jc w:val="center"/>
              <w:textAlignment w:val="center"/>
              <w:rPr>
                <w:color w:val="000000"/>
                <w:sz w:val="18"/>
                <w:szCs w:val="18"/>
              </w:rPr>
            </w:pPr>
            <w:r>
              <w:rPr>
                <w:color w:val="000000"/>
                <w:kern w:val="0"/>
                <w:sz w:val="18"/>
                <w:szCs w:val="18"/>
                <w:lang w:bidi="ar"/>
              </w:rPr>
              <w:t>17.63</w:t>
            </w:r>
          </w:p>
        </w:tc>
        <w:tc>
          <w:tcPr>
            <w:tcW w:w="160" w:type="pct"/>
            <w:tcBorders>
              <w:tl2br w:val="nil"/>
              <w:tr2bl w:val="nil"/>
            </w:tcBorders>
            <w:noWrap/>
            <w:vAlign w:val="center"/>
          </w:tcPr>
          <w:p w14:paraId="4356EE09">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56661F81">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60076F52">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705E8F73">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16F3BB3D">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4846C2C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1FB7D8DF">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6E8B3331">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66CA39F4">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040A1584">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2FD5E184">
            <w:pPr>
              <w:widowControl/>
              <w:jc w:val="center"/>
              <w:textAlignment w:val="center"/>
              <w:rPr>
                <w:color w:val="000000"/>
                <w:sz w:val="18"/>
                <w:szCs w:val="18"/>
              </w:rPr>
            </w:pPr>
            <w:r>
              <w:rPr>
                <w:color w:val="000000"/>
                <w:kern w:val="0"/>
                <w:sz w:val="18"/>
                <w:szCs w:val="18"/>
                <w:lang w:bidi="ar"/>
              </w:rPr>
              <w:t>1</w:t>
            </w:r>
          </w:p>
        </w:tc>
      </w:tr>
      <w:tr w14:paraId="56FC17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3918D8A">
            <w:pPr>
              <w:widowControl/>
              <w:jc w:val="center"/>
              <w:textAlignment w:val="center"/>
              <w:rPr>
                <w:color w:val="000000"/>
                <w:sz w:val="18"/>
                <w:szCs w:val="18"/>
              </w:rPr>
            </w:pPr>
            <w:r>
              <w:rPr>
                <w:color w:val="000000"/>
                <w:kern w:val="0"/>
                <w:sz w:val="18"/>
                <w:szCs w:val="18"/>
                <w:lang w:bidi="ar"/>
              </w:rPr>
              <w:t>19</w:t>
            </w:r>
          </w:p>
        </w:tc>
        <w:tc>
          <w:tcPr>
            <w:tcW w:w="231" w:type="pct"/>
            <w:vMerge w:val="restart"/>
            <w:tcBorders>
              <w:tl2br w:val="nil"/>
              <w:tr2bl w:val="nil"/>
            </w:tcBorders>
            <w:noWrap/>
            <w:vAlign w:val="center"/>
          </w:tcPr>
          <w:p w14:paraId="03A996F5">
            <w:pPr>
              <w:widowControl/>
              <w:jc w:val="center"/>
              <w:textAlignment w:val="center"/>
              <w:rPr>
                <w:color w:val="000000"/>
                <w:sz w:val="18"/>
                <w:szCs w:val="18"/>
              </w:rPr>
            </w:pPr>
            <w:r>
              <w:rPr>
                <w:rFonts w:hint="eastAsia"/>
                <w:color w:val="000000"/>
                <w:kern w:val="0"/>
                <w:sz w:val="18"/>
                <w:szCs w:val="18"/>
                <w:lang w:bidi="ar"/>
              </w:rPr>
              <w:t>组装二</w:t>
            </w:r>
          </w:p>
        </w:tc>
        <w:tc>
          <w:tcPr>
            <w:tcW w:w="468" w:type="pct"/>
            <w:tcBorders>
              <w:tl2br w:val="nil"/>
              <w:tr2bl w:val="nil"/>
            </w:tcBorders>
            <w:noWrap/>
            <w:vAlign w:val="center"/>
          </w:tcPr>
          <w:p w14:paraId="595B7142">
            <w:pPr>
              <w:widowControl/>
              <w:jc w:val="center"/>
              <w:textAlignment w:val="center"/>
              <w:rPr>
                <w:color w:val="000000"/>
                <w:sz w:val="18"/>
                <w:szCs w:val="18"/>
              </w:rPr>
            </w:pPr>
            <w:r>
              <w:rPr>
                <w:rFonts w:hint="eastAsia"/>
                <w:color w:val="000000"/>
                <w:kern w:val="0"/>
                <w:sz w:val="18"/>
                <w:szCs w:val="18"/>
                <w:lang w:bidi="ar"/>
              </w:rPr>
              <w:t>气动压握机</w:t>
            </w:r>
          </w:p>
        </w:tc>
        <w:tc>
          <w:tcPr>
            <w:tcW w:w="412" w:type="pct"/>
            <w:tcBorders>
              <w:tl2br w:val="nil"/>
              <w:tr2bl w:val="nil"/>
            </w:tcBorders>
            <w:noWrap/>
            <w:vAlign w:val="center"/>
          </w:tcPr>
          <w:p w14:paraId="5831E5F8">
            <w:pPr>
              <w:widowControl/>
              <w:jc w:val="center"/>
              <w:textAlignment w:val="center"/>
              <w:rPr>
                <w:color w:val="000000"/>
                <w:sz w:val="18"/>
                <w:szCs w:val="18"/>
              </w:rPr>
            </w:pPr>
            <w:r>
              <w:rPr>
                <w:color w:val="000000"/>
                <w:kern w:val="0"/>
                <w:sz w:val="18"/>
                <w:szCs w:val="18"/>
                <w:lang w:bidi="ar"/>
              </w:rPr>
              <w:t>Model GPJ</w:t>
            </w:r>
          </w:p>
        </w:tc>
        <w:tc>
          <w:tcPr>
            <w:tcW w:w="318" w:type="pct"/>
            <w:tcBorders>
              <w:tl2br w:val="nil"/>
              <w:tr2bl w:val="nil"/>
            </w:tcBorders>
            <w:noWrap/>
            <w:vAlign w:val="center"/>
          </w:tcPr>
          <w:p w14:paraId="540529C8">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7A36E22B">
            <w:pPr>
              <w:widowControl/>
              <w:jc w:val="center"/>
              <w:rPr>
                <w:color w:val="000000"/>
                <w:sz w:val="18"/>
                <w:szCs w:val="18"/>
              </w:rPr>
            </w:pPr>
          </w:p>
        </w:tc>
        <w:tc>
          <w:tcPr>
            <w:tcW w:w="181" w:type="pct"/>
            <w:tcBorders>
              <w:tl2br w:val="nil"/>
              <w:tr2bl w:val="nil"/>
            </w:tcBorders>
            <w:noWrap/>
            <w:vAlign w:val="center"/>
          </w:tcPr>
          <w:p w14:paraId="754E6556">
            <w:pPr>
              <w:widowControl/>
              <w:jc w:val="center"/>
              <w:textAlignment w:val="center"/>
              <w:rPr>
                <w:color w:val="000000"/>
                <w:sz w:val="18"/>
                <w:szCs w:val="18"/>
              </w:rPr>
            </w:pPr>
            <w:r>
              <w:rPr>
                <w:color w:val="000000"/>
                <w:kern w:val="0"/>
                <w:sz w:val="18"/>
                <w:szCs w:val="18"/>
                <w:lang w:bidi="ar"/>
              </w:rPr>
              <w:t>-76.1</w:t>
            </w:r>
          </w:p>
        </w:tc>
        <w:tc>
          <w:tcPr>
            <w:tcW w:w="160" w:type="pct"/>
            <w:tcBorders>
              <w:tl2br w:val="nil"/>
              <w:tr2bl w:val="nil"/>
            </w:tcBorders>
            <w:noWrap/>
            <w:vAlign w:val="center"/>
          </w:tcPr>
          <w:p w14:paraId="2536BB9F">
            <w:pPr>
              <w:widowControl/>
              <w:jc w:val="center"/>
              <w:textAlignment w:val="center"/>
              <w:rPr>
                <w:color w:val="000000"/>
                <w:sz w:val="18"/>
                <w:szCs w:val="18"/>
              </w:rPr>
            </w:pPr>
            <w:r>
              <w:rPr>
                <w:color w:val="000000"/>
                <w:kern w:val="0"/>
                <w:sz w:val="18"/>
                <w:szCs w:val="18"/>
                <w:lang w:bidi="ar"/>
              </w:rPr>
              <w:t>37.33</w:t>
            </w:r>
          </w:p>
        </w:tc>
        <w:tc>
          <w:tcPr>
            <w:tcW w:w="83" w:type="pct"/>
            <w:tcBorders>
              <w:tl2br w:val="nil"/>
              <w:tr2bl w:val="nil"/>
            </w:tcBorders>
            <w:noWrap/>
            <w:vAlign w:val="center"/>
          </w:tcPr>
          <w:p w14:paraId="51885EA8">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B907D54">
            <w:pPr>
              <w:widowControl/>
              <w:jc w:val="center"/>
              <w:textAlignment w:val="center"/>
              <w:rPr>
                <w:color w:val="000000"/>
                <w:sz w:val="18"/>
                <w:szCs w:val="18"/>
              </w:rPr>
            </w:pPr>
            <w:r>
              <w:rPr>
                <w:color w:val="000000"/>
                <w:kern w:val="0"/>
                <w:sz w:val="18"/>
                <w:szCs w:val="18"/>
                <w:lang w:bidi="ar"/>
              </w:rPr>
              <w:t>19.43</w:t>
            </w:r>
          </w:p>
        </w:tc>
        <w:tc>
          <w:tcPr>
            <w:tcW w:w="160" w:type="pct"/>
            <w:tcBorders>
              <w:tl2br w:val="nil"/>
              <w:tr2bl w:val="nil"/>
            </w:tcBorders>
            <w:noWrap/>
            <w:vAlign w:val="center"/>
          </w:tcPr>
          <w:p w14:paraId="27BB0994">
            <w:pPr>
              <w:widowControl/>
              <w:jc w:val="center"/>
              <w:textAlignment w:val="center"/>
              <w:rPr>
                <w:color w:val="000000"/>
                <w:sz w:val="18"/>
                <w:szCs w:val="18"/>
              </w:rPr>
            </w:pPr>
            <w:r>
              <w:rPr>
                <w:color w:val="000000"/>
                <w:kern w:val="0"/>
                <w:sz w:val="18"/>
                <w:szCs w:val="18"/>
                <w:lang w:bidi="ar"/>
              </w:rPr>
              <w:t>15.49</w:t>
            </w:r>
          </w:p>
        </w:tc>
        <w:tc>
          <w:tcPr>
            <w:tcW w:w="160" w:type="pct"/>
            <w:tcBorders>
              <w:tl2br w:val="nil"/>
              <w:tr2bl w:val="nil"/>
            </w:tcBorders>
            <w:noWrap/>
            <w:vAlign w:val="center"/>
          </w:tcPr>
          <w:p w14:paraId="58907305">
            <w:pPr>
              <w:widowControl/>
              <w:jc w:val="center"/>
              <w:textAlignment w:val="center"/>
              <w:rPr>
                <w:color w:val="000000"/>
                <w:sz w:val="18"/>
                <w:szCs w:val="18"/>
              </w:rPr>
            </w:pPr>
            <w:r>
              <w:rPr>
                <w:color w:val="000000"/>
                <w:kern w:val="0"/>
                <w:sz w:val="18"/>
                <w:szCs w:val="18"/>
                <w:lang w:bidi="ar"/>
              </w:rPr>
              <w:t>83.35</w:t>
            </w:r>
          </w:p>
        </w:tc>
        <w:tc>
          <w:tcPr>
            <w:tcW w:w="160" w:type="pct"/>
            <w:tcBorders>
              <w:tl2br w:val="nil"/>
              <w:tr2bl w:val="nil"/>
            </w:tcBorders>
            <w:noWrap/>
            <w:vAlign w:val="center"/>
          </w:tcPr>
          <w:p w14:paraId="00630B67">
            <w:pPr>
              <w:widowControl/>
              <w:jc w:val="center"/>
              <w:textAlignment w:val="center"/>
              <w:rPr>
                <w:color w:val="000000"/>
                <w:sz w:val="18"/>
                <w:szCs w:val="18"/>
              </w:rPr>
            </w:pPr>
            <w:r>
              <w:rPr>
                <w:color w:val="000000"/>
                <w:kern w:val="0"/>
                <w:sz w:val="18"/>
                <w:szCs w:val="18"/>
                <w:lang w:bidi="ar"/>
              </w:rPr>
              <w:t>17.56</w:t>
            </w:r>
          </w:p>
        </w:tc>
        <w:tc>
          <w:tcPr>
            <w:tcW w:w="160" w:type="pct"/>
            <w:tcBorders>
              <w:tl2br w:val="nil"/>
              <w:tr2bl w:val="nil"/>
            </w:tcBorders>
            <w:noWrap/>
            <w:vAlign w:val="center"/>
          </w:tcPr>
          <w:p w14:paraId="180428CA">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205D6256">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787F76E9">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3767AE97">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0971D12D">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2845DD39">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4DF32D0">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00F9C64B">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5528DC77">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2B4725FF">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71DE811D">
            <w:pPr>
              <w:widowControl/>
              <w:jc w:val="center"/>
              <w:textAlignment w:val="center"/>
              <w:rPr>
                <w:color w:val="000000"/>
                <w:sz w:val="18"/>
                <w:szCs w:val="18"/>
              </w:rPr>
            </w:pPr>
            <w:r>
              <w:rPr>
                <w:color w:val="000000"/>
                <w:kern w:val="0"/>
                <w:sz w:val="18"/>
                <w:szCs w:val="18"/>
                <w:lang w:bidi="ar"/>
              </w:rPr>
              <w:t>1</w:t>
            </w:r>
          </w:p>
        </w:tc>
      </w:tr>
      <w:tr w14:paraId="2E0952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599BDFC">
            <w:pPr>
              <w:widowControl/>
              <w:jc w:val="center"/>
              <w:textAlignment w:val="center"/>
              <w:rPr>
                <w:color w:val="000000"/>
                <w:sz w:val="18"/>
                <w:szCs w:val="18"/>
              </w:rPr>
            </w:pPr>
            <w:r>
              <w:rPr>
                <w:color w:val="000000"/>
                <w:kern w:val="0"/>
                <w:sz w:val="18"/>
                <w:szCs w:val="18"/>
                <w:lang w:bidi="ar"/>
              </w:rPr>
              <w:t>20</w:t>
            </w:r>
          </w:p>
        </w:tc>
        <w:tc>
          <w:tcPr>
            <w:tcW w:w="231" w:type="pct"/>
            <w:vMerge w:val="continue"/>
            <w:tcBorders>
              <w:tl2br w:val="nil"/>
              <w:tr2bl w:val="nil"/>
            </w:tcBorders>
            <w:noWrap/>
            <w:vAlign w:val="center"/>
          </w:tcPr>
          <w:p w14:paraId="409944FC">
            <w:pPr>
              <w:widowControl/>
              <w:jc w:val="center"/>
              <w:rPr>
                <w:color w:val="000000"/>
                <w:sz w:val="18"/>
                <w:szCs w:val="18"/>
              </w:rPr>
            </w:pPr>
          </w:p>
        </w:tc>
        <w:tc>
          <w:tcPr>
            <w:tcW w:w="468" w:type="pct"/>
            <w:tcBorders>
              <w:tl2br w:val="nil"/>
              <w:tr2bl w:val="nil"/>
            </w:tcBorders>
            <w:noWrap/>
            <w:vAlign w:val="center"/>
          </w:tcPr>
          <w:p w14:paraId="791B6F73">
            <w:pPr>
              <w:widowControl/>
              <w:jc w:val="center"/>
              <w:textAlignment w:val="center"/>
              <w:rPr>
                <w:color w:val="000000"/>
                <w:sz w:val="18"/>
                <w:szCs w:val="18"/>
              </w:rPr>
            </w:pPr>
            <w:r>
              <w:rPr>
                <w:rFonts w:hint="eastAsia"/>
                <w:color w:val="000000"/>
                <w:kern w:val="0"/>
                <w:sz w:val="18"/>
                <w:szCs w:val="18"/>
                <w:lang w:bidi="ar"/>
              </w:rPr>
              <w:t>1#球囊成型机</w:t>
            </w:r>
          </w:p>
        </w:tc>
        <w:tc>
          <w:tcPr>
            <w:tcW w:w="412" w:type="pct"/>
            <w:tcBorders>
              <w:tl2br w:val="nil"/>
              <w:tr2bl w:val="nil"/>
            </w:tcBorders>
            <w:noWrap/>
            <w:vAlign w:val="center"/>
          </w:tcPr>
          <w:p w14:paraId="613856DF">
            <w:pPr>
              <w:widowControl/>
              <w:jc w:val="center"/>
              <w:textAlignment w:val="center"/>
              <w:rPr>
                <w:color w:val="000000"/>
                <w:sz w:val="18"/>
                <w:szCs w:val="18"/>
              </w:rPr>
            </w:pPr>
            <w:r>
              <w:rPr>
                <w:color w:val="000000"/>
                <w:kern w:val="0"/>
                <w:sz w:val="18"/>
                <w:szCs w:val="18"/>
                <w:lang w:bidi="ar"/>
              </w:rPr>
              <w:t>BFM-3300</w:t>
            </w:r>
          </w:p>
        </w:tc>
        <w:tc>
          <w:tcPr>
            <w:tcW w:w="318" w:type="pct"/>
            <w:tcBorders>
              <w:tl2br w:val="nil"/>
              <w:tr2bl w:val="nil"/>
            </w:tcBorders>
            <w:noWrap/>
            <w:vAlign w:val="center"/>
          </w:tcPr>
          <w:p w14:paraId="5D257D60">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4ACCE269">
            <w:pPr>
              <w:widowControl/>
              <w:jc w:val="center"/>
              <w:rPr>
                <w:color w:val="000000"/>
                <w:sz w:val="18"/>
                <w:szCs w:val="18"/>
              </w:rPr>
            </w:pPr>
          </w:p>
        </w:tc>
        <w:tc>
          <w:tcPr>
            <w:tcW w:w="181" w:type="pct"/>
            <w:tcBorders>
              <w:tl2br w:val="nil"/>
              <w:tr2bl w:val="nil"/>
            </w:tcBorders>
            <w:noWrap/>
            <w:vAlign w:val="center"/>
          </w:tcPr>
          <w:p w14:paraId="21859CF1">
            <w:pPr>
              <w:widowControl/>
              <w:jc w:val="center"/>
              <w:textAlignment w:val="center"/>
              <w:rPr>
                <w:color w:val="000000"/>
                <w:sz w:val="18"/>
                <w:szCs w:val="18"/>
              </w:rPr>
            </w:pPr>
            <w:r>
              <w:rPr>
                <w:color w:val="000000"/>
                <w:kern w:val="0"/>
                <w:sz w:val="18"/>
                <w:szCs w:val="18"/>
                <w:lang w:bidi="ar"/>
              </w:rPr>
              <w:t>-87.7</w:t>
            </w:r>
          </w:p>
        </w:tc>
        <w:tc>
          <w:tcPr>
            <w:tcW w:w="160" w:type="pct"/>
            <w:tcBorders>
              <w:tl2br w:val="nil"/>
              <w:tr2bl w:val="nil"/>
            </w:tcBorders>
            <w:noWrap/>
            <w:vAlign w:val="center"/>
          </w:tcPr>
          <w:p w14:paraId="219258A4">
            <w:pPr>
              <w:widowControl/>
              <w:jc w:val="center"/>
              <w:textAlignment w:val="center"/>
              <w:rPr>
                <w:color w:val="000000"/>
                <w:sz w:val="18"/>
                <w:szCs w:val="18"/>
              </w:rPr>
            </w:pPr>
            <w:r>
              <w:rPr>
                <w:color w:val="000000"/>
                <w:kern w:val="0"/>
                <w:sz w:val="18"/>
                <w:szCs w:val="18"/>
                <w:lang w:bidi="ar"/>
              </w:rPr>
              <w:t>40.34</w:t>
            </w:r>
          </w:p>
        </w:tc>
        <w:tc>
          <w:tcPr>
            <w:tcW w:w="83" w:type="pct"/>
            <w:tcBorders>
              <w:tl2br w:val="nil"/>
              <w:tr2bl w:val="nil"/>
            </w:tcBorders>
            <w:noWrap/>
            <w:vAlign w:val="center"/>
          </w:tcPr>
          <w:p w14:paraId="1BF14BBE">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6FF09713">
            <w:pPr>
              <w:widowControl/>
              <w:jc w:val="center"/>
              <w:textAlignment w:val="center"/>
              <w:rPr>
                <w:color w:val="000000"/>
                <w:sz w:val="18"/>
                <w:szCs w:val="18"/>
              </w:rPr>
            </w:pPr>
            <w:r>
              <w:rPr>
                <w:color w:val="000000"/>
                <w:kern w:val="0"/>
                <w:sz w:val="18"/>
                <w:szCs w:val="18"/>
                <w:lang w:bidi="ar"/>
              </w:rPr>
              <w:t>7.45</w:t>
            </w:r>
          </w:p>
        </w:tc>
        <w:tc>
          <w:tcPr>
            <w:tcW w:w="160" w:type="pct"/>
            <w:tcBorders>
              <w:tl2br w:val="nil"/>
              <w:tr2bl w:val="nil"/>
            </w:tcBorders>
            <w:noWrap/>
            <w:vAlign w:val="center"/>
          </w:tcPr>
          <w:p w14:paraId="6726F6B6">
            <w:pPr>
              <w:widowControl/>
              <w:jc w:val="center"/>
              <w:textAlignment w:val="center"/>
              <w:rPr>
                <w:color w:val="000000"/>
                <w:sz w:val="18"/>
                <w:szCs w:val="18"/>
              </w:rPr>
            </w:pPr>
            <w:r>
              <w:rPr>
                <w:color w:val="000000"/>
                <w:kern w:val="0"/>
                <w:sz w:val="18"/>
                <w:szCs w:val="18"/>
                <w:lang w:bidi="ar"/>
              </w:rPr>
              <w:t>15.27</w:t>
            </w:r>
          </w:p>
        </w:tc>
        <w:tc>
          <w:tcPr>
            <w:tcW w:w="160" w:type="pct"/>
            <w:tcBorders>
              <w:tl2br w:val="nil"/>
              <w:tr2bl w:val="nil"/>
            </w:tcBorders>
            <w:noWrap/>
            <w:vAlign w:val="center"/>
          </w:tcPr>
          <w:p w14:paraId="40C19E87">
            <w:pPr>
              <w:widowControl/>
              <w:jc w:val="center"/>
              <w:textAlignment w:val="center"/>
              <w:rPr>
                <w:color w:val="000000"/>
                <w:sz w:val="18"/>
                <w:szCs w:val="18"/>
              </w:rPr>
            </w:pPr>
            <w:r>
              <w:rPr>
                <w:color w:val="000000"/>
                <w:kern w:val="0"/>
                <w:sz w:val="18"/>
                <w:szCs w:val="18"/>
                <w:lang w:bidi="ar"/>
              </w:rPr>
              <w:t>95.33</w:t>
            </w:r>
          </w:p>
        </w:tc>
        <w:tc>
          <w:tcPr>
            <w:tcW w:w="160" w:type="pct"/>
            <w:tcBorders>
              <w:tl2br w:val="nil"/>
              <w:tr2bl w:val="nil"/>
            </w:tcBorders>
            <w:noWrap/>
            <w:vAlign w:val="center"/>
          </w:tcPr>
          <w:p w14:paraId="1F1F6F80">
            <w:pPr>
              <w:widowControl/>
              <w:jc w:val="center"/>
              <w:textAlignment w:val="center"/>
              <w:rPr>
                <w:color w:val="000000"/>
                <w:sz w:val="18"/>
                <w:szCs w:val="18"/>
              </w:rPr>
            </w:pPr>
            <w:r>
              <w:rPr>
                <w:color w:val="000000"/>
                <w:kern w:val="0"/>
                <w:sz w:val="18"/>
                <w:szCs w:val="18"/>
                <w:lang w:bidi="ar"/>
              </w:rPr>
              <w:t>17.78</w:t>
            </w:r>
          </w:p>
        </w:tc>
        <w:tc>
          <w:tcPr>
            <w:tcW w:w="160" w:type="pct"/>
            <w:tcBorders>
              <w:tl2br w:val="nil"/>
              <w:tr2bl w:val="nil"/>
            </w:tcBorders>
            <w:noWrap/>
            <w:vAlign w:val="center"/>
          </w:tcPr>
          <w:p w14:paraId="6AFC50E4">
            <w:pPr>
              <w:widowControl/>
              <w:jc w:val="center"/>
              <w:textAlignment w:val="center"/>
              <w:rPr>
                <w:color w:val="000000"/>
                <w:sz w:val="18"/>
                <w:szCs w:val="18"/>
              </w:rPr>
            </w:pPr>
            <w:r>
              <w:rPr>
                <w:color w:val="000000"/>
                <w:kern w:val="0"/>
                <w:sz w:val="18"/>
                <w:szCs w:val="18"/>
                <w:lang w:bidi="ar"/>
              </w:rPr>
              <w:t>61.83</w:t>
            </w:r>
          </w:p>
        </w:tc>
        <w:tc>
          <w:tcPr>
            <w:tcW w:w="160" w:type="pct"/>
            <w:tcBorders>
              <w:tl2br w:val="nil"/>
              <w:tr2bl w:val="nil"/>
            </w:tcBorders>
            <w:noWrap/>
            <w:vAlign w:val="center"/>
          </w:tcPr>
          <w:p w14:paraId="5EEC61AD">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6C85AE9B">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05CE6364">
            <w:pPr>
              <w:widowControl/>
              <w:jc w:val="center"/>
              <w:textAlignment w:val="center"/>
              <w:rPr>
                <w:color w:val="000000"/>
                <w:sz w:val="18"/>
                <w:szCs w:val="18"/>
              </w:rPr>
            </w:pPr>
            <w:r>
              <w:rPr>
                <w:color w:val="000000"/>
                <w:kern w:val="0"/>
                <w:sz w:val="18"/>
                <w:szCs w:val="18"/>
                <w:lang w:bidi="ar"/>
              </w:rPr>
              <w:t>61.80</w:t>
            </w:r>
          </w:p>
        </w:tc>
        <w:tc>
          <w:tcPr>
            <w:tcW w:w="188" w:type="pct"/>
            <w:tcBorders>
              <w:tl2br w:val="nil"/>
              <w:tr2bl w:val="nil"/>
            </w:tcBorders>
            <w:noWrap/>
            <w:vAlign w:val="center"/>
          </w:tcPr>
          <w:p w14:paraId="28A7DC8A">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078A739">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4BFFEC5D">
            <w:pPr>
              <w:widowControl/>
              <w:jc w:val="center"/>
              <w:textAlignment w:val="center"/>
              <w:rPr>
                <w:color w:val="000000"/>
                <w:sz w:val="18"/>
                <w:szCs w:val="18"/>
              </w:rPr>
            </w:pPr>
            <w:r>
              <w:rPr>
                <w:color w:val="000000"/>
                <w:kern w:val="0"/>
                <w:sz w:val="18"/>
                <w:szCs w:val="18"/>
                <w:lang w:bidi="ar"/>
              </w:rPr>
              <w:t>40.83</w:t>
            </w:r>
          </w:p>
        </w:tc>
        <w:tc>
          <w:tcPr>
            <w:tcW w:w="160" w:type="pct"/>
            <w:tcBorders>
              <w:tl2br w:val="nil"/>
              <w:tr2bl w:val="nil"/>
            </w:tcBorders>
            <w:noWrap/>
            <w:vAlign w:val="center"/>
          </w:tcPr>
          <w:p w14:paraId="58F212B3">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1AF76679">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3036BFB6">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4FD60D56">
            <w:pPr>
              <w:widowControl/>
              <w:jc w:val="center"/>
              <w:textAlignment w:val="center"/>
              <w:rPr>
                <w:color w:val="000000"/>
                <w:sz w:val="18"/>
                <w:szCs w:val="18"/>
              </w:rPr>
            </w:pPr>
            <w:r>
              <w:rPr>
                <w:color w:val="000000"/>
                <w:kern w:val="0"/>
                <w:sz w:val="18"/>
                <w:szCs w:val="18"/>
                <w:lang w:bidi="ar"/>
              </w:rPr>
              <w:t>1</w:t>
            </w:r>
          </w:p>
        </w:tc>
      </w:tr>
      <w:tr w14:paraId="7BB6D7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1CD6121">
            <w:pPr>
              <w:widowControl/>
              <w:jc w:val="center"/>
              <w:textAlignment w:val="center"/>
              <w:rPr>
                <w:color w:val="000000"/>
                <w:sz w:val="18"/>
                <w:szCs w:val="18"/>
              </w:rPr>
            </w:pPr>
            <w:r>
              <w:rPr>
                <w:color w:val="000000"/>
                <w:kern w:val="0"/>
                <w:sz w:val="18"/>
                <w:szCs w:val="18"/>
                <w:lang w:bidi="ar"/>
              </w:rPr>
              <w:t>21</w:t>
            </w:r>
          </w:p>
        </w:tc>
        <w:tc>
          <w:tcPr>
            <w:tcW w:w="231" w:type="pct"/>
            <w:vMerge w:val="continue"/>
            <w:tcBorders>
              <w:tl2br w:val="nil"/>
              <w:tr2bl w:val="nil"/>
            </w:tcBorders>
            <w:noWrap/>
            <w:vAlign w:val="center"/>
          </w:tcPr>
          <w:p w14:paraId="0E3E567D">
            <w:pPr>
              <w:widowControl/>
              <w:jc w:val="center"/>
              <w:rPr>
                <w:color w:val="000000"/>
                <w:sz w:val="18"/>
                <w:szCs w:val="18"/>
              </w:rPr>
            </w:pPr>
          </w:p>
        </w:tc>
        <w:tc>
          <w:tcPr>
            <w:tcW w:w="468" w:type="pct"/>
            <w:tcBorders>
              <w:tl2br w:val="nil"/>
              <w:tr2bl w:val="nil"/>
            </w:tcBorders>
            <w:noWrap/>
            <w:vAlign w:val="center"/>
          </w:tcPr>
          <w:p w14:paraId="2918BC61">
            <w:pPr>
              <w:widowControl/>
              <w:jc w:val="center"/>
              <w:textAlignment w:val="center"/>
              <w:rPr>
                <w:color w:val="000000"/>
                <w:sz w:val="18"/>
                <w:szCs w:val="18"/>
              </w:rPr>
            </w:pPr>
            <w:r>
              <w:rPr>
                <w:rFonts w:hint="eastAsia"/>
                <w:color w:val="000000"/>
                <w:kern w:val="0"/>
                <w:sz w:val="18"/>
                <w:szCs w:val="18"/>
                <w:lang w:bidi="ar"/>
              </w:rPr>
              <w:t>1#冷水机</w:t>
            </w:r>
          </w:p>
        </w:tc>
        <w:tc>
          <w:tcPr>
            <w:tcW w:w="412" w:type="pct"/>
            <w:tcBorders>
              <w:tl2br w:val="nil"/>
              <w:tr2bl w:val="nil"/>
            </w:tcBorders>
            <w:noWrap/>
            <w:vAlign w:val="center"/>
          </w:tcPr>
          <w:p w14:paraId="1E9B4713">
            <w:pPr>
              <w:widowControl/>
              <w:jc w:val="center"/>
              <w:textAlignment w:val="center"/>
              <w:rPr>
                <w:color w:val="000000"/>
                <w:sz w:val="18"/>
                <w:szCs w:val="18"/>
              </w:rPr>
            </w:pPr>
            <w:r>
              <w:rPr>
                <w:color w:val="000000"/>
                <w:kern w:val="0"/>
                <w:sz w:val="18"/>
                <w:szCs w:val="18"/>
                <w:lang w:bidi="ar"/>
              </w:rPr>
              <w:t>CZ-1000</w:t>
            </w:r>
          </w:p>
        </w:tc>
        <w:tc>
          <w:tcPr>
            <w:tcW w:w="318" w:type="pct"/>
            <w:tcBorders>
              <w:tl2br w:val="nil"/>
              <w:tr2bl w:val="nil"/>
            </w:tcBorders>
            <w:noWrap/>
            <w:vAlign w:val="center"/>
          </w:tcPr>
          <w:p w14:paraId="4FA78483">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10C041AA">
            <w:pPr>
              <w:widowControl/>
              <w:jc w:val="center"/>
              <w:rPr>
                <w:color w:val="000000"/>
                <w:sz w:val="18"/>
                <w:szCs w:val="18"/>
              </w:rPr>
            </w:pPr>
          </w:p>
        </w:tc>
        <w:tc>
          <w:tcPr>
            <w:tcW w:w="181" w:type="pct"/>
            <w:tcBorders>
              <w:tl2br w:val="nil"/>
              <w:tr2bl w:val="nil"/>
            </w:tcBorders>
            <w:noWrap/>
            <w:vAlign w:val="center"/>
          </w:tcPr>
          <w:p w14:paraId="748EA3FD">
            <w:pPr>
              <w:widowControl/>
              <w:jc w:val="center"/>
              <w:textAlignment w:val="center"/>
              <w:rPr>
                <w:color w:val="000000"/>
                <w:sz w:val="18"/>
                <w:szCs w:val="18"/>
              </w:rPr>
            </w:pPr>
            <w:r>
              <w:rPr>
                <w:color w:val="000000"/>
                <w:kern w:val="0"/>
                <w:sz w:val="18"/>
                <w:szCs w:val="18"/>
                <w:lang w:bidi="ar"/>
              </w:rPr>
              <w:t>-88.59</w:t>
            </w:r>
          </w:p>
        </w:tc>
        <w:tc>
          <w:tcPr>
            <w:tcW w:w="160" w:type="pct"/>
            <w:tcBorders>
              <w:tl2br w:val="nil"/>
              <w:tr2bl w:val="nil"/>
            </w:tcBorders>
            <w:noWrap/>
            <w:vAlign w:val="center"/>
          </w:tcPr>
          <w:p w14:paraId="71E51D38">
            <w:pPr>
              <w:widowControl/>
              <w:jc w:val="center"/>
              <w:textAlignment w:val="center"/>
              <w:rPr>
                <w:color w:val="000000"/>
                <w:sz w:val="18"/>
                <w:szCs w:val="18"/>
              </w:rPr>
            </w:pPr>
            <w:r>
              <w:rPr>
                <w:color w:val="000000"/>
                <w:kern w:val="0"/>
                <w:sz w:val="18"/>
                <w:szCs w:val="18"/>
                <w:lang w:bidi="ar"/>
              </w:rPr>
              <w:t>31.92</w:t>
            </w:r>
          </w:p>
        </w:tc>
        <w:tc>
          <w:tcPr>
            <w:tcW w:w="83" w:type="pct"/>
            <w:tcBorders>
              <w:tl2br w:val="nil"/>
              <w:tr2bl w:val="nil"/>
            </w:tcBorders>
            <w:noWrap/>
            <w:vAlign w:val="center"/>
          </w:tcPr>
          <w:p w14:paraId="2C7C97C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4EE5751">
            <w:pPr>
              <w:widowControl/>
              <w:jc w:val="center"/>
              <w:textAlignment w:val="center"/>
              <w:rPr>
                <w:color w:val="000000"/>
                <w:sz w:val="18"/>
                <w:szCs w:val="18"/>
              </w:rPr>
            </w:pPr>
            <w:r>
              <w:rPr>
                <w:color w:val="000000"/>
                <w:kern w:val="0"/>
                <w:sz w:val="18"/>
                <w:szCs w:val="18"/>
                <w:lang w:bidi="ar"/>
              </w:rPr>
              <w:t>8.86</w:t>
            </w:r>
          </w:p>
        </w:tc>
        <w:tc>
          <w:tcPr>
            <w:tcW w:w="160" w:type="pct"/>
            <w:tcBorders>
              <w:tl2br w:val="nil"/>
              <w:tr2bl w:val="nil"/>
            </w:tcBorders>
            <w:noWrap/>
            <w:vAlign w:val="center"/>
          </w:tcPr>
          <w:p w14:paraId="77C85555">
            <w:pPr>
              <w:widowControl/>
              <w:jc w:val="center"/>
              <w:textAlignment w:val="center"/>
              <w:rPr>
                <w:color w:val="000000"/>
                <w:sz w:val="18"/>
                <w:szCs w:val="18"/>
              </w:rPr>
            </w:pPr>
            <w:r>
              <w:rPr>
                <w:color w:val="000000"/>
                <w:kern w:val="0"/>
                <w:sz w:val="18"/>
                <w:szCs w:val="18"/>
                <w:lang w:bidi="ar"/>
              </w:rPr>
              <w:t>6.92</w:t>
            </w:r>
          </w:p>
        </w:tc>
        <w:tc>
          <w:tcPr>
            <w:tcW w:w="160" w:type="pct"/>
            <w:tcBorders>
              <w:tl2br w:val="nil"/>
              <w:tr2bl w:val="nil"/>
            </w:tcBorders>
            <w:noWrap/>
            <w:vAlign w:val="center"/>
          </w:tcPr>
          <w:p w14:paraId="06EC1B79">
            <w:pPr>
              <w:widowControl/>
              <w:jc w:val="center"/>
              <w:textAlignment w:val="center"/>
              <w:rPr>
                <w:color w:val="000000"/>
                <w:sz w:val="18"/>
                <w:szCs w:val="18"/>
              </w:rPr>
            </w:pPr>
            <w:r>
              <w:rPr>
                <w:color w:val="000000"/>
                <w:kern w:val="0"/>
                <w:sz w:val="18"/>
                <w:szCs w:val="18"/>
                <w:lang w:bidi="ar"/>
              </w:rPr>
              <w:t>93.92</w:t>
            </w:r>
          </w:p>
        </w:tc>
        <w:tc>
          <w:tcPr>
            <w:tcW w:w="160" w:type="pct"/>
            <w:tcBorders>
              <w:tl2br w:val="nil"/>
              <w:tr2bl w:val="nil"/>
            </w:tcBorders>
            <w:noWrap/>
            <w:vAlign w:val="center"/>
          </w:tcPr>
          <w:p w14:paraId="5888937D">
            <w:pPr>
              <w:widowControl/>
              <w:jc w:val="center"/>
              <w:textAlignment w:val="center"/>
              <w:rPr>
                <w:color w:val="000000"/>
                <w:sz w:val="18"/>
                <w:szCs w:val="18"/>
              </w:rPr>
            </w:pPr>
            <w:r>
              <w:rPr>
                <w:color w:val="000000"/>
                <w:kern w:val="0"/>
                <w:sz w:val="18"/>
                <w:szCs w:val="18"/>
                <w:lang w:bidi="ar"/>
              </w:rPr>
              <w:t>26.13</w:t>
            </w:r>
          </w:p>
        </w:tc>
        <w:tc>
          <w:tcPr>
            <w:tcW w:w="160" w:type="pct"/>
            <w:tcBorders>
              <w:tl2br w:val="nil"/>
              <w:tr2bl w:val="nil"/>
            </w:tcBorders>
            <w:noWrap/>
            <w:vAlign w:val="center"/>
          </w:tcPr>
          <w:p w14:paraId="7C32D3F9">
            <w:pPr>
              <w:widowControl/>
              <w:jc w:val="center"/>
              <w:textAlignment w:val="center"/>
              <w:rPr>
                <w:color w:val="000000"/>
                <w:sz w:val="18"/>
                <w:szCs w:val="18"/>
              </w:rPr>
            </w:pPr>
            <w:r>
              <w:rPr>
                <w:color w:val="000000"/>
                <w:kern w:val="0"/>
                <w:sz w:val="18"/>
                <w:szCs w:val="18"/>
                <w:lang w:bidi="ar"/>
              </w:rPr>
              <w:t>61.82</w:t>
            </w:r>
          </w:p>
        </w:tc>
        <w:tc>
          <w:tcPr>
            <w:tcW w:w="160" w:type="pct"/>
            <w:tcBorders>
              <w:tl2br w:val="nil"/>
              <w:tr2bl w:val="nil"/>
            </w:tcBorders>
            <w:noWrap/>
            <w:vAlign w:val="center"/>
          </w:tcPr>
          <w:p w14:paraId="071AB8B4">
            <w:pPr>
              <w:widowControl/>
              <w:jc w:val="center"/>
              <w:textAlignment w:val="center"/>
              <w:rPr>
                <w:color w:val="000000"/>
                <w:sz w:val="18"/>
                <w:szCs w:val="18"/>
              </w:rPr>
            </w:pPr>
            <w:r>
              <w:rPr>
                <w:color w:val="000000"/>
                <w:kern w:val="0"/>
                <w:sz w:val="18"/>
                <w:szCs w:val="18"/>
                <w:lang w:bidi="ar"/>
              </w:rPr>
              <w:t>61.84</w:t>
            </w:r>
          </w:p>
        </w:tc>
        <w:tc>
          <w:tcPr>
            <w:tcW w:w="160" w:type="pct"/>
            <w:tcBorders>
              <w:tl2br w:val="nil"/>
              <w:tr2bl w:val="nil"/>
            </w:tcBorders>
            <w:noWrap/>
            <w:vAlign w:val="center"/>
          </w:tcPr>
          <w:p w14:paraId="75D7D1F1">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65370FE5">
            <w:pPr>
              <w:widowControl/>
              <w:jc w:val="center"/>
              <w:textAlignment w:val="center"/>
              <w:rPr>
                <w:color w:val="000000"/>
                <w:sz w:val="18"/>
                <w:szCs w:val="18"/>
              </w:rPr>
            </w:pPr>
            <w:r>
              <w:rPr>
                <w:color w:val="000000"/>
                <w:kern w:val="0"/>
                <w:sz w:val="18"/>
                <w:szCs w:val="18"/>
                <w:lang w:bidi="ar"/>
              </w:rPr>
              <w:t>61.80</w:t>
            </w:r>
          </w:p>
        </w:tc>
        <w:tc>
          <w:tcPr>
            <w:tcW w:w="188" w:type="pct"/>
            <w:tcBorders>
              <w:tl2br w:val="nil"/>
              <w:tr2bl w:val="nil"/>
            </w:tcBorders>
            <w:noWrap/>
            <w:vAlign w:val="center"/>
          </w:tcPr>
          <w:p w14:paraId="411500FC">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6E3D792">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26FA516">
            <w:pPr>
              <w:widowControl/>
              <w:jc w:val="center"/>
              <w:textAlignment w:val="center"/>
              <w:rPr>
                <w:color w:val="000000"/>
                <w:sz w:val="18"/>
                <w:szCs w:val="18"/>
              </w:rPr>
            </w:pPr>
            <w:r>
              <w:rPr>
                <w:color w:val="000000"/>
                <w:kern w:val="0"/>
                <w:sz w:val="18"/>
                <w:szCs w:val="18"/>
                <w:lang w:bidi="ar"/>
              </w:rPr>
              <w:t>40.82</w:t>
            </w:r>
          </w:p>
        </w:tc>
        <w:tc>
          <w:tcPr>
            <w:tcW w:w="160" w:type="pct"/>
            <w:tcBorders>
              <w:tl2br w:val="nil"/>
              <w:tr2bl w:val="nil"/>
            </w:tcBorders>
            <w:noWrap/>
            <w:vAlign w:val="center"/>
          </w:tcPr>
          <w:p w14:paraId="111D1006">
            <w:pPr>
              <w:widowControl/>
              <w:jc w:val="center"/>
              <w:textAlignment w:val="center"/>
              <w:rPr>
                <w:color w:val="000000"/>
                <w:sz w:val="18"/>
                <w:szCs w:val="18"/>
              </w:rPr>
            </w:pPr>
            <w:r>
              <w:rPr>
                <w:color w:val="000000"/>
                <w:kern w:val="0"/>
                <w:sz w:val="18"/>
                <w:szCs w:val="18"/>
                <w:lang w:bidi="ar"/>
              </w:rPr>
              <w:t>40.84</w:t>
            </w:r>
          </w:p>
        </w:tc>
        <w:tc>
          <w:tcPr>
            <w:tcW w:w="160" w:type="pct"/>
            <w:tcBorders>
              <w:tl2br w:val="nil"/>
              <w:tr2bl w:val="nil"/>
            </w:tcBorders>
            <w:noWrap/>
            <w:vAlign w:val="center"/>
          </w:tcPr>
          <w:p w14:paraId="2FA1022B">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76DEB508">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07A61426">
            <w:pPr>
              <w:widowControl/>
              <w:jc w:val="center"/>
              <w:textAlignment w:val="center"/>
              <w:rPr>
                <w:color w:val="000000"/>
                <w:sz w:val="18"/>
                <w:szCs w:val="18"/>
              </w:rPr>
            </w:pPr>
            <w:r>
              <w:rPr>
                <w:color w:val="000000"/>
                <w:kern w:val="0"/>
                <w:sz w:val="18"/>
                <w:szCs w:val="18"/>
                <w:lang w:bidi="ar"/>
              </w:rPr>
              <w:t>1</w:t>
            </w:r>
          </w:p>
        </w:tc>
      </w:tr>
      <w:tr w14:paraId="67A3AC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57C47DA7">
            <w:pPr>
              <w:widowControl/>
              <w:jc w:val="center"/>
              <w:textAlignment w:val="center"/>
              <w:rPr>
                <w:color w:val="000000"/>
                <w:sz w:val="18"/>
                <w:szCs w:val="18"/>
              </w:rPr>
            </w:pPr>
            <w:r>
              <w:rPr>
                <w:color w:val="000000"/>
                <w:kern w:val="0"/>
                <w:sz w:val="18"/>
                <w:szCs w:val="18"/>
                <w:lang w:bidi="ar"/>
              </w:rPr>
              <w:t>22</w:t>
            </w:r>
          </w:p>
        </w:tc>
        <w:tc>
          <w:tcPr>
            <w:tcW w:w="231" w:type="pct"/>
            <w:vMerge w:val="continue"/>
            <w:tcBorders>
              <w:tl2br w:val="nil"/>
              <w:tr2bl w:val="nil"/>
            </w:tcBorders>
            <w:noWrap/>
            <w:vAlign w:val="center"/>
          </w:tcPr>
          <w:p w14:paraId="526DCBE3">
            <w:pPr>
              <w:widowControl/>
              <w:jc w:val="center"/>
              <w:rPr>
                <w:color w:val="000000"/>
                <w:sz w:val="18"/>
                <w:szCs w:val="18"/>
              </w:rPr>
            </w:pPr>
          </w:p>
        </w:tc>
        <w:tc>
          <w:tcPr>
            <w:tcW w:w="468" w:type="pct"/>
            <w:tcBorders>
              <w:tl2br w:val="nil"/>
              <w:tr2bl w:val="nil"/>
            </w:tcBorders>
            <w:noWrap/>
            <w:vAlign w:val="center"/>
          </w:tcPr>
          <w:p w14:paraId="698153DD">
            <w:pPr>
              <w:widowControl/>
              <w:jc w:val="center"/>
              <w:textAlignment w:val="center"/>
              <w:rPr>
                <w:color w:val="000000"/>
                <w:sz w:val="18"/>
                <w:szCs w:val="18"/>
              </w:rPr>
            </w:pPr>
            <w:r>
              <w:rPr>
                <w:rFonts w:hint="eastAsia"/>
                <w:color w:val="000000"/>
                <w:kern w:val="0"/>
                <w:sz w:val="18"/>
                <w:szCs w:val="18"/>
                <w:lang w:bidi="ar"/>
              </w:rPr>
              <w:t>1#激光焊接机</w:t>
            </w:r>
          </w:p>
        </w:tc>
        <w:tc>
          <w:tcPr>
            <w:tcW w:w="412" w:type="pct"/>
            <w:tcBorders>
              <w:tl2br w:val="nil"/>
              <w:tr2bl w:val="nil"/>
            </w:tcBorders>
            <w:noWrap/>
            <w:vAlign w:val="center"/>
          </w:tcPr>
          <w:p w14:paraId="6F12984E">
            <w:pPr>
              <w:widowControl/>
              <w:jc w:val="center"/>
              <w:textAlignment w:val="center"/>
              <w:rPr>
                <w:color w:val="000000"/>
                <w:sz w:val="18"/>
                <w:szCs w:val="18"/>
              </w:rPr>
            </w:pPr>
            <w:r>
              <w:rPr>
                <w:color w:val="000000"/>
                <w:kern w:val="0"/>
                <w:sz w:val="18"/>
                <w:szCs w:val="18"/>
                <w:lang w:bidi="ar"/>
              </w:rPr>
              <w:t>CZCL4100</w:t>
            </w:r>
          </w:p>
        </w:tc>
        <w:tc>
          <w:tcPr>
            <w:tcW w:w="318" w:type="pct"/>
            <w:tcBorders>
              <w:tl2br w:val="nil"/>
              <w:tr2bl w:val="nil"/>
            </w:tcBorders>
            <w:noWrap/>
            <w:vAlign w:val="center"/>
          </w:tcPr>
          <w:p w14:paraId="79623EAC">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49B9F0A8">
            <w:pPr>
              <w:widowControl/>
              <w:jc w:val="center"/>
              <w:rPr>
                <w:color w:val="000000"/>
                <w:sz w:val="18"/>
                <w:szCs w:val="18"/>
              </w:rPr>
            </w:pPr>
          </w:p>
        </w:tc>
        <w:tc>
          <w:tcPr>
            <w:tcW w:w="181" w:type="pct"/>
            <w:tcBorders>
              <w:tl2br w:val="nil"/>
              <w:tr2bl w:val="nil"/>
            </w:tcBorders>
            <w:noWrap/>
            <w:vAlign w:val="center"/>
          </w:tcPr>
          <w:p w14:paraId="55492EC5">
            <w:pPr>
              <w:widowControl/>
              <w:jc w:val="center"/>
              <w:textAlignment w:val="center"/>
              <w:rPr>
                <w:color w:val="000000"/>
                <w:sz w:val="18"/>
                <w:szCs w:val="18"/>
              </w:rPr>
            </w:pPr>
            <w:r>
              <w:rPr>
                <w:color w:val="000000"/>
                <w:kern w:val="0"/>
                <w:sz w:val="18"/>
                <w:szCs w:val="18"/>
                <w:lang w:bidi="ar"/>
              </w:rPr>
              <w:t>-85.81</w:t>
            </w:r>
          </w:p>
        </w:tc>
        <w:tc>
          <w:tcPr>
            <w:tcW w:w="160" w:type="pct"/>
            <w:tcBorders>
              <w:tl2br w:val="nil"/>
              <w:tr2bl w:val="nil"/>
            </w:tcBorders>
            <w:noWrap/>
            <w:vAlign w:val="center"/>
          </w:tcPr>
          <w:p w14:paraId="65D0DEF9">
            <w:pPr>
              <w:widowControl/>
              <w:jc w:val="center"/>
              <w:textAlignment w:val="center"/>
              <w:rPr>
                <w:color w:val="000000"/>
                <w:sz w:val="18"/>
                <w:szCs w:val="18"/>
              </w:rPr>
            </w:pPr>
            <w:r>
              <w:rPr>
                <w:color w:val="000000"/>
                <w:kern w:val="0"/>
                <w:sz w:val="18"/>
                <w:szCs w:val="18"/>
                <w:lang w:bidi="ar"/>
              </w:rPr>
              <w:t>31.23</w:t>
            </w:r>
          </w:p>
        </w:tc>
        <w:tc>
          <w:tcPr>
            <w:tcW w:w="83" w:type="pct"/>
            <w:tcBorders>
              <w:tl2br w:val="nil"/>
              <w:tr2bl w:val="nil"/>
            </w:tcBorders>
            <w:noWrap/>
            <w:vAlign w:val="center"/>
          </w:tcPr>
          <w:p w14:paraId="13402695">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EC7656D">
            <w:pPr>
              <w:widowControl/>
              <w:jc w:val="center"/>
              <w:textAlignment w:val="center"/>
              <w:rPr>
                <w:color w:val="000000"/>
                <w:sz w:val="18"/>
                <w:szCs w:val="18"/>
              </w:rPr>
            </w:pPr>
            <w:r>
              <w:rPr>
                <w:color w:val="000000"/>
                <w:kern w:val="0"/>
                <w:sz w:val="18"/>
                <w:szCs w:val="18"/>
                <w:lang w:bidi="ar"/>
              </w:rPr>
              <w:t>11.72</w:t>
            </w:r>
          </w:p>
        </w:tc>
        <w:tc>
          <w:tcPr>
            <w:tcW w:w="160" w:type="pct"/>
            <w:tcBorders>
              <w:tl2br w:val="nil"/>
              <w:tr2bl w:val="nil"/>
            </w:tcBorders>
            <w:noWrap/>
            <w:vAlign w:val="center"/>
          </w:tcPr>
          <w:p w14:paraId="0F43FC52">
            <w:pPr>
              <w:widowControl/>
              <w:jc w:val="center"/>
              <w:textAlignment w:val="center"/>
              <w:rPr>
                <w:color w:val="000000"/>
                <w:sz w:val="18"/>
                <w:szCs w:val="18"/>
              </w:rPr>
            </w:pPr>
            <w:r>
              <w:rPr>
                <w:color w:val="000000"/>
                <w:kern w:val="0"/>
                <w:sz w:val="18"/>
                <w:szCs w:val="18"/>
                <w:lang w:bidi="ar"/>
              </w:rPr>
              <w:t>7.00</w:t>
            </w:r>
          </w:p>
        </w:tc>
        <w:tc>
          <w:tcPr>
            <w:tcW w:w="160" w:type="pct"/>
            <w:tcBorders>
              <w:tl2br w:val="nil"/>
              <w:tr2bl w:val="nil"/>
            </w:tcBorders>
            <w:noWrap/>
            <w:vAlign w:val="center"/>
          </w:tcPr>
          <w:p w14:paraId="75DB627E">
            <w:pPr>
              <w:widowControl/>
              <w:jc w:val="center"/>
              <w:textAlignment w:val="center"/>
              <w:rPr>
                <w:color w:val="000000"/>
                <w:sz w:val="18"/>
                <w:szCs w:val="18"/>
              </w:rPr>
            </w:pPr>
            <w:r>
              <w:rPr>
                <w:color w:val="000000"/>
                <w:kern w:val="0"/>
                <w:sz w:val="18"/>
                <w:szCs w:val="18"/>
                <w:lang w:bidi="ar"/>
              </w:rPr>
              <w:t>91.06</w:t>
            </w:r>
          </w:p>
        </w:tc>
        <w:tc>
          <w:tcPr>
            <w:tcW w:w="160" w:type="pct"/>
            <w:tcBorders>
              <w:tl2br w:val="nil"/>
              <w:tr2bl w:val="nil"/>
            </w:tcBorders>
            <w:noWrap/>
            <w:vAlign w:val="center"/>
          </w:tcPr>
          <w:p w14:paraId="50E1E158">
            <w:pPr>
              <w:widowControl/>
              <w:jc w:val="center"/>
              <w:textAlignment w:val="center"/>
              <w:rPr>
                <w:color w:val="000000"/>
                <w:sz w:val="18"/>
                <w:szCs w:val="18"/>
              </w:rPr>
            </w:pPr>
            <w:r>
              <w:rPr>
                <w:color w:val="000000"/>
                <w:kern w:val="0"/>
                <w:sz w:val="18"/>
                <w:szCs w:val="18"/>
                <w:lang w:bidi="ar"/>
              </w:rPr>
              <w:t>26.05</w:t>
            </w:r>
          </w:p>
        </w:tc>
        <w:tc>
          <w:tcPr>
            <w:tcW w:w="160" w:type="pct"/>
            <w:tcBorders>
              <w:tl2br w:val="nil"/>
              <w:tr2bl w:val="nil"/>
            </w:tcBorders>
            <w:noWrap/>
            <w:vAlign w:val="center"/>
          </w:tcPr>
          <w:p w14:paraId="671BCE64">
            <w:pPr>
              <w:widowControl/>
              <w:jc w:val="center"/>
              <w:textAlignment w:val="center"/>
              <w:rPr>
                <w:color w:val="000000"/>
                <w:sz w:val="18"/>
                <w:szCs w:val="18"/>
              </w:rPr>
            </w:pPr>
            <w:r>
              <w:rPr>
                <w:color w:val="000000"/>
                <w:kern w:val="0"/>
                <w:sz w:val="18"/>
                <w:szCs w:val="18"/>
                <w:lang w:bidi="ar"/>
              </w:rPr>
              <w:t>56.81</w:t>
            </w:r>
          </w:p>
        </w:tc>
        <w:tc>
          <w:tcPr>
            <w:tcW w:w="160" w:type="pct"/>
            <w:tcBorders>
              <w:tl2br w:val="nil"/>
              <w:tr2bl w:val="nil"/>
            </w:tcBorders>
            <w:noWrap/>
            <w:vAlign w:val="center"/>
          </w:tcPr>
          <w:p w14:paraId="5C03877A">
            <w:pPr>
              <w:widowControl/>
              <w:jc w:val="center"/>
              <w:textAlignment w:val="center"/>
              <w:rPr>
                <w:color w:val="000000"/>
                <w:sz w:val="18"/>
                <w:szCs w:val="18"/>
              </w:rPr>
            </w:pPr>
            <w:r>
              <w:rPr>
                <w:color w:val="000000"/>
                <w:kern w:val="0"/>
                <w:sz w:val="18"/>
                <w:szCs w:val="18"/>
                <w:lang w:bidi="ar"/>
              </w:rPr>
              <w:t>56.84</w:t>
            </w:r>
          </w:p>
        </w:tc>
        <w:tc>
          <w:tcPr>
            <w:tcW w:w="160" w:type="pct"/>
            <w:tcBorders>
              <w:tl2br w:val="nil"/>
              <w:tr2bl w:val="nil"/>
            </w:tcBorders>
            <w:noWrap/>
            <w:vAlign w:val="center"/>
          </w:tcPr>
          <w:p w14:paraId="0992F150">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77091AC3">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1CE8B20B">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1ACBFC8">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A7CA890">
            <w:pPr>
              <w:widowControl/>
              <w:jc w:val="center"/>
              <w:textAlignment w:val="center"/>
              <w:rPr>
                <w:color w:val="000000"/>
                <w:sz w:val="18"/>
                <w:szCs w:val="18"/>
              </w:rPr>
            </w:pPr>
            <w:r>
              <w:rPr>
                <w:color w:val="000000"/>
                <w:kern w:val="0"/>
                <w:sz w:val="18"/>
                <w:szCs w:val="18"/>
                <w:lang w:bidi="ar"/>
              </w:rPr>
              <w:t>35.81</w:t>
            </w:r>
          </w:p>
        </w:tc>
        <w:tc>
          <w:tcPr>
            <w:tcW w:w="160" w:type="pct"/>
            <w:tcBorders>
              <w:tl2br w:val="nil"/>
              <w:tr2bl w:val="nil"/>
            </w:tcBorders>
            <w:noWrap/>
            <w:vAlign w:val="center"/>
          </w:tcPr>
          <w:p w14:paraId="64282DF6">
            <w:pPr>
              <w:widowControl/>
              <w:jc w:val="center"/>
              <w:textAlignment w:val="center"/>
              <w:rPr>
                <w:color w:val="000000"/>
                <w:sz w:val="18"/>
                <w:szCs w:val="18"/>
              </w:rPr>
            </w:pPr>
            <w:r>
              <w:rPr>
                <w:color w:val="000000"/>
                <w:kern w:val="0"/>
                <w:sz w:val="18"/>
                <w:szCs w:val="18"/>
                <w:lang w:bidi="ar"/>
              </w:rPr>
              <w:t>35.84</w:t>
            </w:r>
          </w:p>
        </w:tc>
        <w:tc>
          <w:tcPr>
            <w:tcW w:w="160" w:type="pct"/>
            <w:tcBorders>
              <w:tl2br w:val="nil"/>
              <w:tr2bl w:val="nil"/>
            </w:tcBorders>
            <w:noWrap/>
            <w:vAlign w:val="center"/>
          </w:tcPr>
          <w:p w14:paraId="1A2554D0">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150BD244">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7E885ED9">
            <w:pPr>
              <w:widowControl/>
              <w:jc w:val="center"/>
              <w:textAlignment w:val="center"/>
              <w:rPr>
                <w:color w:val="000000"/>
                <w:sz w:val="18"/>
                <w:szCs w:val="18"/>
              </w:rPr>
            </w:pPr>
            <w:r>
              <w:rPr>
                <w:color w:val="000000"/>
                <w:kern w:val="0"/>
                <w:sz w:val="18"/>
                <w:szCs w:val="18"/>
                <w:lang w:bidi="ar"/>
              </w:rPr>
              <w:t>1</w:t>
            </w:r>
          </w:p>
        </w:tc>
      </w:tr>
      <w:tr w14:paraId="740958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A3ED5A1">
            <w:pPr>
              <w:widowControl/>
              <w:jc w:val="center"/>
              <w:textAlignment w:val="center"/>
              <w:rPr>
                <w:color w:val="000000"/>
                <w:sz w:val="18"/>
                <w:szCs w:val="18"/>
              </w:rPr>
            </w:pPr>
            <w:r>
              <w:rPr>
                <w:color w:val="000000"/>
                <w:kern w:val="0"/>
                <w:sz w:val="18"/>
                <w:szCs w:val="18"/>
                <w:lang w:bidi="ar"/>
              </w:rPr>
              <w:t>23</w:t>
            </w:r>
          </w:p>
        </w:tc>
        <w:tc>
          <w:tcPr>
            <w:tcW w:w="231" w:type="pct"/>
            <w:vMerge w:val="continue"/>
            <w:tcBorders>
              <w:tl2br w:val="nil"/>
              <w:tr2bl w:val="nil"/>
            </w:tcBorders>
            <w:noWrap/>
            <w:vAlign w:val="center"/>
          </w:tcPr>
          <w:p w14:paraId="662CC81E">
            <w:pPr>
              <w:widowControl/>
              <w:jc w:val="center"/>
              <w:rPr>
                <w:color w:val="000000"/>
                <w:sz w:val="18"/>
                <w:szCs w:val="18"/>
              </w:rPr>
            </w:pPr>
          </w:p>
        </w:tc>
        <w:tc>
          <w:tcPr>
            <w:tcW w:w="468" w:type="pct"/>
            <w:tcBorders>
              <w:tl2br w:val="nil"/>
              <w:tr2bl w:val="nil"/>
            </w:tcBorders>
            <w:noWrap/>
            <w:vAlign w:val="center"/>
          </w:tcPr>
          <w:p w14:paraId="509D589A">
            <w:pPr>
              <w:widowControl/>
              <w:jc w:val="center"/>
              <w:textAlignment w:val="center"/>
              <w:rPr>
                <w:color w:val="000000"/>
                <w:sz w:val="18"/>
                <w:szCs w:val="18"/>
              </w:rPr>
            </w:pPr>
            <w:r>
              <w:rPr>
                <w:rFonts w:hint="eastAsia"/>
                <w:color w:val="000000"/>
                <w:kern w:val="0"/>
                <w:sz w:val="18"/>
                <w:szCs w:val="18"/>
                <w:lang w:bidi="ar"/>
              </w:rPr>
              <w:t>球囊折叠机</w:t>
            </w:r>
          </w:p>
        </w:tc>
        <w:tc>
          <w:tcPr>
            <w:tcW w:w="412" w:type="pct"/>
            <w:tcBorders>
              <w:tl2br w:val="nil"/>
              <w:tr2bl w:val="nil"/>
            </w:tcBorders>
            <w:noWrap/>
            <w:vAlign w:val="center"/>
          </w:tcPr>
          <w:p w14:paraId="59CBB858">
            <w:pPr>
              <w:widowControl/>
              <w:jc w:val="center"/>
              <w:textAlignment w:val="center"/>
              <w:rPr>
                <w:color w:val="000000"/>
                <w:sz w:val="18"/>
                <w:szCs w:val="18"/>
              </w:rPr>
            </w:pPr>
            <w:r>
              <w:rPr>
                <w:color w:val="000000"/>
                <w:kern w:val="0"/>
                <w:sz w:val="18"/>
                <w:szCs w:val="18"/>
                <w:lang w:bidi="ar"/>
              </w:rPr>
              <w:t>CZBW-V3/V5</w:t>
            </w:r>
          </w:p>
        </w:tc>
        <w:tc>
          <w:tcPr>
            <w:tcW w:w="318" w:type="pct"/>
            <w:tcBorders>
              <w:tl2br w:val="nil"/>
              <w:tr2bl w:val="nil"/>
            </w:tcBorders>
            <w:noWrap/>
            <w:vAlign w:val="center"/>
          </w:tcPr>
          <w:p w14:paraId="4B6E6AE7">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3BA4B1E0">
            <w:pPr>
              <w:widowControl/>
              <w:jc w:val="center"/>
              <w:rPr>
                <w:color w:val="000000"/>
                <w:sz w:val="18"/>
                <w:szCs w:val="18"/>
              </w:rPr>
            </w:pPr>
          </w:p>
        </w:tc>
        <w:tc>
          <w:tcPr>
            <w:tcW w:w="181" w:type="pct"/>
            <w:tcBorders>
              <w:tl2br w:val="nil"/>
              <w:tr2bl w:val="nil"/>
            </w:tcBorders>
            <w:noWrap/>
            <w:vAlign w:val="center"/>
          </w:tcPr>
          <w:p w14:paraId="7BAEF818">
            <w:pPr>
              <w:widowControl/>
              <w:jc w:val="center"/>
              <w:textAlignment w:val="center"/>
              <w:rPr>
                <w:color w:val="000000"/>
                <w:sz w:val="18"/>
                <w:szCs w:val="18"/>
              </w:rPr>
            </w:pPr>
            <w:r>
              <w:rPr>
                <w:color w:val="000000"/>
                <w:kern w:val="0"/>
                <w:sz w:val="18"/>
                <w:szCs w:val="18"/>
                <w:lang w:bidi="ar"/>
              </w:rPr>
              <w:t>-82.66</w:t>
            </w:r>
          </w:p>
        </w:tc>
        <w:tc>
          <w:tcPr>
            <w:tcW w:w="160" w:type="pct"/>
            <w:tcBorders>
              <w:tl2br w:val="nil"/>
              <w:tr2bl w:val="nil"/>
            </w:tcBorders>
            <w:noWrap/>
            <w:vAlign w:val="center"/>
          </w:tcPr>
          <w:p w14:paraId="667D08BC">
            <w:pPr>
              <w:widowControl/>
              <w:jc w:val="center"/>
              <w:textAlignment w:val="center"/>
              <w:rPr>
                <w:color w:val="000000"/>
                <w:sz w:val="18"/>
                <w:szCs w:val="18"/>
              </w:rPr>
            </w:pPr>
            <w:r>
              <w:rPr>
                <w:color w:val="000000"/>
                <w:kern w:val="0"/>
                <w:sz w:val="18"/>
                <w:szCs w:val="18"/>
                <w:lang w:bidi="ar"/>
              </w:rPr>
              <w:t>30.44</w:t>
            </w:r>
          </w:p>
        </w:tc>
        <w:tc>
          <w:tcPr>
            <w:tcW w:w="83" w:type="pct"/>
            <w:tcBorders>
              <w:tl2br w:val="nil"/>
              <w:tr2bl w:val="nil"/>
            </w:tcBorders>
            <w:noWrap/>
            <w:vAlign w:val="center"/>
          </w:tcPr>
          <w:p w14:paraId="636D7F0A">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1C60802">
            <w:pPr>
              <w:widowControl/>
              <w:jc w:val="center"/>
              <w:textAlignment w:val="center"/>
              <w:rPr>
                <w:color w:val="000000"/>
                <w:sz w:val="18"/>
                <w:szCs w:val="18"/>
              </w:rPr>
            </w:pPr>
            <w:r>
              <w:rPr>
                <w:color w:val="000000"/>
                <w:kern w:val="0"/>
                <w:sz w:val="18"/>
                <w:szCs w:val="18"/>
                <w:lang w:bidi="ar"/>
              </w:rPr>
              <w:t>17.83</w:t>
            </w:r>
          </w:p>
        </w:tc>
        <w:tc>
          <w:tcPr>
            <w:tcW w:w="160" w:type="pct"/>
            <w:tcBorders>
              <w:tl2br w:val="nil"/>
              <w:tr2bl w:val="nil"/>
            </w:tcBorders>
            <w:noWrap/>
            <w:vAlign w:val="center"/>
          </w:tcPr>
          <w:p w14:paraId="432732AC">
            <w:pPr>
              <w:widowControl/>
              <w:jc w:val="center"/>
              <w:textAlignment w:val="center"/>
              <w:rPr>
                <w:color w:val="000000"/>
                <w:sz w:val="18"/>
                <w:szCs w:val="18"/>
              </w:rPr>
            </w:pPr>
            <w:r>
              <w:rPr>
                <w:color w:val="000000"/>
                <w:kern w:val="0"/>
                <w:sz w:val="18"/>
                <w:szCs w:val="18"/>
                <w:lang w:bidi="ar"/>
              </w:rPr>
              <w:t>7.20</w:t>
            </w:r>
          </w:p>
        </w:tc>
        <w:tc>
          <w:tcPr>
            <w:tcW w:w="160" w:type="pct"/>
            <w:tcBorders>
              <w:tl2br w:val="nil"/>
              <w:tr2bl w:val="nil"/>
            </w:tcBorders>
            <w:noWrap/>
            <w:vAlign w:val="center"/>
          </w:tcPr>
          <w:p w14:paraId="654F2351">
            <w:pPr>
              <w:widowControl/>
              <w:jc w:val="center"/>
              <w:textAlignment w:val="center"/>
              <w:rPr>
                <w:color w:val="000000"/>
                <w:sz w:val="18"/>
                <w:szCs w:val="18"/>
              </w:rPr>
            </w:pPr>
            <w:r>
              <w:rPr>
                <w:color w:val="000000"/>
                <w:kern w:val="0"/>
                <w:sz w:val="18"/>
                <w:szCs w:val="18"/>
                <w:lang w:bidi="ar"/>
              </w:rPr>
              <w:t>84.96</w:t>
            </w:r>
          </w:p>
        </w:tc>
        <w:tc>
          <w:tcPr>
            <w:tcW w:w="160" w:type="pct"/>
            <w:tcBorders>
              <w:tl2br w:val="nil"/>
              <w:tr2bl w:val="nil"/>
            </w:tcBorders>
            <w:noWrap/>
            <w:vAlign w:val="center"/>
          </w:tcPr>
          <w:p w14:paraId="410F0886">
            <w:pPr>
              <w:widowControl/>
              <w:jc w:val="center"/>
              <w:textAlignment w:val="center"/>
              <w:rPr>
                <w:color w:val="000000"/>
                <w:sz w:val="18"/>
                <w:szCs w:val="18"/>
              </w:rPr>
            </w:pPr>
            <w:r>
              <w:rPr>
                <w:color w:val="000000"/>
                <w:kern w:val="0"/>
                <w:sz w:val="18"/>
                <w:szCs w:val="18"/>
                <w:lang w:bidi="ar"/>
              </w:rPr>
              <w:t>25.85</w:t>
            </w:r>
          </w:p>
        </w:tc>
        <w:tc>
          <w:tcPr>
            <w:tcW w:w="160" w:type="pct"/>
            <w:tcBorders>
              <w:tl2br w:val="nil"/>
              <w:tr2bl w:val="nil"/>
            </w:tcBorders>
            <w:noWrap/>
            <w:vAlign w:val="center"/>
          </w:tcPr>
          <w:p w14:paraId="524D2F4C">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6DC3367E">
            <w:pPr>
              <w:widowControl/>
              <w:jc w:val="center"/>
              <w:textAlignment w:val="center"/>
              <w:rPr>
                <w:color w:val="000000"/>
                <w:sz w:val="18"/>
                <w:szCs w:val="18"/>
              </w:rPr>
            </w:pPr>
            <w:r>
              <w:rPr>
                <w:color w:val="000000"/>
                <w:kern w:val="0"/>
                <w:sz w:val="18"/>
                <w:szCs w:val="18"/>
                <w:lang w:bidi="ar"/>
              </w:rPr>
              <w:t>56.84</w:t>
            </w:r>
          </w:p>
        </w:tc>
        <w:tc>
          <w:tcPr>
            <w:tcW w:w="160" w:type="pct"/>
            <w:tcBorders>
              <w:tl2br w:val="nil"/>
              <w:tr2bl w:val="nil"/>
            </w:tcBorders>
            <w:noWrap/>
            <w:vAlign w:val="center"/>
          </w:tcPr>
          <w:p w14:paraId="33D6E238">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613C72E4">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26661FD7">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E0A1A91">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552AEBD">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24425272">
            <w:pPr>
              <w:widowControl/>
              <w:jc w:val="center"/>
              <w:textAlignment w:val="center"/>
              <w:rPr>
                <w:color w:val="000000"/>
                <w:sz w:val="18"/>
                <w:szCs w:val="18"/>
              </w:rPr>
            </w:pPr>
            <w:r>
              <w:rPr>
                <w:color w:val="000000"/>
                <w:kern w:val="0"/>
                <w:sz w:val="18"/>
                <w:szCs w:val="18"/>
                <w:lang w:bidi="ar"/>
              </w:rPr>
              <w:t>35.84</w:t>
            </w:r>
          </w:p>
        </w:tc>
        <w:tc>
          <w:tcPr>
            <w:tcW w:w="160" w:type="pct"/>
            <w:tcBorders>
              <w:tl2br w:val="nil"/>
              <w:tr2bl w:val="nil"/>
            </w:tcBorders>
            <w:noWrap/>
            <w:vAlign w:val="center"/>
          </w:tcPr>
          <w:p w14:paraId="09C315F7">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24E83B1">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358AC840">
            <w:pPr>
              <w:widowControl/>
              <w:jc w:val="center"/>
              <w:textAlignment w:val="center"/>
              <w:rPr>
                <w:color w:val="000000"/>
                <w:sz w:val="18"/>
                <w:szCs w:val="18"/>
              </w:rPr>
            </w:pPr>
            <w:r>
              <w:rPr>
                <w:color w:val="000000"/>
                <w:kern w:val="0"/>
                <w:sz w:val="18"/>
                <w:szCs w:val="18"/>
                <w:lang w:bidi="ar"/>
              </w:rPr>
              <w:t>1</w:t>
            </w:r>
          </w:p>
        </w:tc>
      </w:tr>
      <w:tr w14:paraId="4E53DB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118" w:type="pct"/>
            <w:tcBorders>
              <w:tl2br w:val="nil"/>
              <w:tr2bl w:val="nil"/>
            </w:tcBorders>
            <w:noWrap/>
            <w:vAlign w:val="center"/>
          </w:tcPr>
          <w:p w14:paraId="27FB00DF">
            <w:pPr>
              <w:widowControl/>
              <w:jc w:val="center"/>
              <w:textAlignment w:val="center"/>
              <w:rPr>
                <w:color w:val="000000"/>
                <w:sz w:val="18"/>
                <w:szCs w:val="18"/>
              </w:rPr>
            </w:pPr>
            <w:r>
              <w:rPr>
                <w:color w:val="000000"/>
                <w:kern w:val="0"/>
                <w:sz w:val="18"/>
                <w:szCs w:val="18"/>
                <w:lang w:bidi="ar"/>
              </w:rPr>
              <w:t>24</w:t>
            </w:r>
          </w:p>
        </w:tc>
        <w:tc>
          <w:tcPr>
            <w:tcW w:w="231" w:type="pct"/>
            <w:vMerge w:val="continue"/>
            <w:tcBorders>
              <w:tl2br w:val="nil"/>
              <w:tr2bl w:val="nil"/>
            </w:tcBorders>
            <w:noWrap/>
            <w:vAlign w:val="center"/>
          </w:tcPr>
          <w:p w14:paraId="66ECFB89">
            <w:pPr>
              <w:widowControl/>
              <w:jc w:val="center"/>
              <w:rPr>
                <w:color w:val="000000"/>
                <w:sz w:val="18"/>
                <w:szCs w:val="18"/>
              </w:rPr>
            </w:pPr>
          </w:p>
        </w:tc>
        <w:tc>
          <w:tcPr>
            <w:tcW w:w="468" w:type="pct"/>
            <w:tcBorders>
              <w:tl2br w:val="nil"/>
              <w:tr2bl w:val="nil"/>
            </w:tcBorders>
            <w:noWrap/>
            <w:vAlign w:val="center"/>
          </w:tcPr>
          <w:p w14:paraId="06181FA8">
            <w:pPr>
              <w:widowControl/>
              <w:jc w:val="center"/>
              <w:textAlignment w:val="center"/>
              <w:rPr>
                <w:color w:val="000000"/>
                <w:sz w:val="18"/>
                <w:szCs w:val="18"/>
              </w:rPr>
            </w:pPr>
            <w:r>
              <w:rPr>
                <w:rFonts w:hint="eastAsia"/>
                <w:color w:val="000000"/>
                <w:kern w:val="0"/>
                <w:sz w:val="18"/>
                <w:szCs w:val="18"/>
                <w:lang w:bidi="ar"/>
              </w:rPr>
              <w:t>1#热风焊接机</w:t>
            </w:r>
          </w:p>
        </w:tc>
        <w:tc>
          <w:tcPr>
            <w:tcW w:w="412" w:type="pct"/>
            <w:tcBorders>
              <w:tl2br w:val="nil"/>
              <w:tr2bl w:val="nil"/>
            </w:tcBorders>
            <w:noWrap/>
            <w:vAlign w:val="center"/>
          </w:tcPr>
          <w:p w14:paraId="4DE9EC7B">
            <w:pPr>
              <w:widowControl/>
              <w:jc w:val="center"/>
              <w:textAlignment w:val="center"/>
              <w:rPr>
                <w:color w:val="000000"/>
                <w:sz w:val="18"/>
                <w:szCs w:val="18"/>
              </w:rPr>
            </w:pPr>
            <w:r>
              <w:rPr>
                <w:color w:val="000000"/>
                <w:kern w:val="0"/>
                <w:sz w:val="18"/>
                <w:szCs w:val="18"/>
                <w:lang w:bidi="ar"/>
              </w:rPr>
              <w:t>CZRF800</w:t>
            </w:r>
          </w:p>
        </w:tc>
        <w:tc>
          <w:tcPr>
            <w:tcW w:w="318" w:type="pct"/>
            <w:tcBorders>
              <w:tl2br w:val="nil"/>
              <w:tr2bl w:val="nil"/>
            </w:tcBorders>
            <w:noWrap/>
            <w:vAlign w:val="center"/>
          </w:tcPr>
          <w:p w14:paraId="2AF894B2">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70DCD95C">
            <w:pPr>
              <w:widowControl/>
              <w:jc w:val="center"/>
              <w:rPr>
                <w:color w:val="000000"/>
                <w:sz w:val="18"/>
                <w:szCs w:val="18"/>
              </w:rPr>
            </w:pPr>
          </w:p>
        </w:tc>
        <w:tc>
          <w:tcPr>
            <w:tcW w:w="181" w:type="pct"/>
            <w:tcBorders>
              <w:tl2br w:val="nil"/>
              <w:tr2bl w:val="nil"/>
            </w:tcBorders>
            <w:noWrap/>
            <w:vAlign w:val="center"/>
          </w:tcPr>
          <w:p w14:paraId="47911F6D">
            <w:pPr>
              <w:widowControl/>
              <w:jc w:val="center"/>
              <w:textAlignment w:val="center"/>
              <w:rPr>
                <w:color w:val="000000"/>
                <w:sz w:val="18"/>
                <w:szCs w:val="18"/>
              </w:rPr>
            </w:pPr>
            <w:r>
              <w:rPr>
                <w:color w:val="000000"/>
                <w:kern w:val="0"/>
                <w:sz w:val="18"/>
                <w:szCs w:val="18"/>
                <w:lang w:bidi="ar"/>
              </w:rPr>
              <w:t>-79.88</w:t>
            </w:r>
          </w:p>
        </w:tc>
        <w:tc>
          <w:tcPr>
            <w:tcW w:w="160" w:type="pct"/>
            <w:tcBorders>
              <w:tl2br w:val="nil"/>
              <w:tr2bl w:val="nil"/>
            </w:tcBorders>
            <w:noWrap/>
            <w:vAlign w:val="center"/>
          </w:tcPr>
          <w:p w14:paraId="38E43A2A">
            <w:pPr>
              <w:widowControl/>
              <w:jc w:val="center"/>
              <w:textAlignment w:val="center"/>
              <w:rPr>
                <w:color w:val="000000"/>
                <w:sz w:val="18"/>
                <w:szCs w:val="18"/>
              </w:rPr>
            </w:pPr>
            <w:r>
              <w:rPr>
                <w:color w:val="000000"/>
                <w:kern w:val="0"/>
                <w:sz w:val="18"/>
                <w:szCs w:val="18"/>
                <w:lang w:bidi="ar"/>
              </w:rPr>
              <w:t>29.78</w:t>
            </w:r>
          </w:p>
        </w:tc>
        <w:tc>
          <w:tcPr>
            <w:tcW w:w="83" w:type="pct"/>
            <w:tcBorders>
              <w:tl2br w:val="nil"/>
              <w:tr2bl w:val="nil"/>
            </w:tcBorders>
            <w:noWrap/>
            <w:vAlign w:val="center"/>
          </w:tcPr>
          <w:p w14:paraId="423E6A8C">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2961F036">
            <w:pPr>
              <w:widowControl/>
              <w:jc w:val="center"/>
              <w:textAlignment w:val="center"/>
              <w:rPr>
                <w:color w:val="000000"/>
                <w:sz w:val="18"/>
                <w:szCs w:val="18"/>
              </w:rPr>
            </w:pPr>
            <w:r>
              <w:rPr>
                <w:color w:val="000000"/>
                <w:kern w:val="0"/>
                <w:sz w:val="18"/>
                <w:szCs w:val="18"/>
                <w:lang w:bidi="ar"/>
              </w:rPr>
              <w:t>17.83</w:t>
            </w:r>
          </w:p>
        </w:tc>
        <w:tc>
          <w:tcPr>
            <w:tcW w:w="160" w:type="pct"/>
            <w:tcBorders>
              <w:tl2br w:val="nil"/>
              <w:tr2bl w:val="nil"/>
            </w:tcBorders>
            <w:noWrap/>
            <w:vAlign w:val="center"/>
          </w:tcPr>
          <w:p w14:paraId="5D2FDC5A">
            <w:pPr>
              <w:widowControl/>
              <w:jc w:val="center"/>
              <w:textAlignment w:val="center"/>
              <w:rPr>
                <w:color w:val="000000"/>
                <w:sz w:val="18"/>
                <w:szCs w:val="18"/>
              </w:rPr>
            </w:pPr>
            <w:r>
              <w:rPr>
                <w:color w:val="000000"/>
                <w:kern w:val="0"/>
                <w:sz w:val="18"/>
                <w:szCs w:val="18"/>
                <w:lang w:bidi="ar"/>
              </w:rPr>
              <w:t>7.20</w:t>
            </w:r>
          </w:p>
        </w:tc>
        <w:tc>
          <w:tcPr>
            <w:tcW w:w="160" w:type="pct"/>
            <w:tcBorders>
              <w:tl2br w:val="nil"/>
              <w:tr2bl w:val="nil"/>
            </w:tcBorders>
            <w:noWrap/>
            <w:vAlign w:val="center"/>
          </w:tcPr>
          <w:p w14:paraId="4CE28F13">
            <w:pPr>
              <w:widowControl/>
              <w:jc w:val="center"/>
              <w:textAlignment w:val="center"/>
              <w:rPr>
                <w:color w:val="000000"/>
                <w:sz w:val="18"/>
                <w:szCs w:val="18"/>
              </w:rPr>
            </w:pPr>
            <w:r>
              <w:rPr>
                <w:color w:val="000000"/>
                <w:kern w:val="0"/>
                <w:sz w:val="18"/>
                <w:szCs w:val="18"/>
                <w:lang w:bidi="ar"/>
              </w:rPr>
              <w:t>84.96</w:t>
            </w:r>
          </w:p>
        </w:tc>
        <w:tc>
          <w:tcPr>
            <w:tcW w:w="160" w:type="pct"/>
            <w:tcBorders>
              <w:tl2br w:val="nil"/>
              <w:tr2bl w:val="nil"/>
            </w:tcBorders>
            <w:noWrap/>
            <w:vAlign w:val="center"/>
          </w:tcPr>
          <w:p w14:paraId="7D4A80D9">
            <w:pPr>
              <w:widowControl/>
              <w:jc w:val="center"/>
              <w:textAlignment w:val="center"/>
              <w:rPr>
                <w:color w:val="000000"/>
                <w:sz w:val="18"/>
                <w:szCs w:val="18"/>
              </w:rPr>
            </w:pPr>
            <w:r>
              <w:rPr>
                <w:color w:val="000000"/>
                <w:kern w:val="0"/>
                <w:sz w:val="18"/>
                <w:szCs w:val="18"/>
                <w:lang w:bidi="ar"/>
              </w:rPr>
              <w:t>25.85</w:t>
            </w:r>
          </w:p>
        </w:tc>
        <w:tc>
          <w:tcPr>
            <w:tcW w:w="160" w:type="pct"/>
            <w:tcBorders>
              <w:tl2br w:val="nil"/>
              <w:tr2bl w:val="nil"/>
            </w:tcBorders>
            <w:noWrap/>
            <w:vAlign w:val="center"/>
          </w:tcPr>
          <w:p w14:paraId="53DAC97F">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75EF8A60">
            <w:pPr>
              <w:widowControl/>
              <w:jc w:val="center"/>
              <w:textAlignment w:val="center"/>
              <w:rPr>
                <w:color w:val="000000"/>
                <w:sz w:val="18"/>
                <w:szCs w:val="18"/>
              </w:rPr>
            </w:pPr>
            <w:r>
              <w:rPr>
                <w:color w:val="000000"/>
                <w:kern w:val="0"/>
                <w:sz w:val="18"/>
                <w:szCs w:val="18"/>
                <w:lang w:bidi="ar"/>
              </w:rPr>
              <w:t>56.84</w:t>
            </w:r>
          </w:p>
        </w:tc>
        <w:tc>
          <w:tcPr>
            <w:tcW w:w="160" w:type="pct"/>
            <w:tcBorders>
              <w:tl2br w:val="nil"/>
              <w:tr2bl w:val="nil"/>
            </w:tcBorders>
            <w:noWrap/>
            <w:vAlign w:val="center"/>
          </w:tcPr>
          <w:p w14:paraId="19D8971C">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0B48950F">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3D969049">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78446F0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41D3ED6">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1B53DEC3">
            <w:pPr>
              <w:widowControl/>
              <w:jc w:val="center"/>
              <w:textAlignment w:val="center"/>
              <w:rPr>
                <w:color w:val="000000"/>
                <w:sz w:val="18"/>
                <w:szCs w:val="18"/>
              </w:rPr>
            </w:pPr>
            <w:r>
              <w:rPr>
                <w:color w:val="000000"/>
                <w:kern w:val="0"/>
                <w:sz w:val="18"/>
                <w:szCs w:val="18"/>
                <w:lang w:bidi="ar"/>
              </w:rPr>
              <w:t>35.84</w:t>
            </w:r>
          </w:p>
        </w:tc>
        <w:tc>
          <w:tcPr>
            <w:tcW w:w="160" w:type="pct"/>
            <w:tcBorders>
              <w:tl2br w:val="nil"/>
              <w:tr2bl w:val="nil"/>
            </w:tcBorders>
            <w:noWrap/>
            <w:vAlign w:val="center"/>
          </w:tcPr>
          <w:p w14:paraId="2CA21236">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0512B07F">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465E4A1B">
            <w:pPr>
              <w:widowControl/>
              <w:jc w:val="center"/>
              <w:textAlignment w:val="center"/>
              <w:rPr>
                <w:color w:val="000000"/>
                <w:sz w:val="18"/>
                <w:szCs w:val="18"/>
              </w:rPr>
            </w:pPr>
            <w:r>
              <w:rPr>
                <w:color w:val="000000"/>
                <w:kern w:val="0"/>
                <w:sz w:val="18"/>
                <w:szCs w:val="18"/>
                <w:lang w:bidi="ar"/>
              </w:rPr>
              <w:t>1</w:t>
            </w:r>
          </w:p>
        </w:tc>
      </w:tr>
      <w:tr w14:paraId="5C6C51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1E033FD">
            <w:pPr>
              <w:widowControl/>
              <w:jc w:val="center"/>
              <w:textAlignment w:val="center"/>
              <w:rPr>
                <w:color w:val="000000"/>
                <w:sz w:val="18"/>
                <w:szCs w:val="18"/>
              </w:rPr>
            </w:pPr>
            <w:r>
              <w:rPr>
                <w:color w:val="000000"/>
                <w:kern w:val="0"/>
                <w:sz w:val="18"/>
                <w:szCs w:val="18"/>
                <w:lang w:bidi="ar"/>
              </w:rPr>
              <w:t>25</w:t>
            </w:r>
          </w:p>
        </w:tc>
        <w:tc>
          <w:tcPr>
            <w:tcW w:w="231" w:type="pct"/>
            <w:vMerge w:val="continue"/>
            <w:tcBorders>
              <w:tl2br w:val="nil"/>
              <w:tr2bl w:val="nil"/>
            </w:tcBorders>
            <w:noWrap/>
            <w:vAlign w:val="center"/>
          </w:tcPr>
          <w:p w14:paraId="088FD9E5">
            <w:pPr>
              <w:widowControl/>
              <w:jc w:val="center"/>
              <w:rPr>
                <w:color w:val="000000"/>
                <w:sz w:val="18"/>
                <w:szCs w:val="18"/>
              </w:rPr>
            </w:pPr>
          </w:p>
        </w:tc>
        <w:tc>
          <w:tcPr>
            <w:tcW w:w="468" w:type="pct"/>
            <w:tcBorders>
              <w:tl2br w:val="nil"/>
              <w:tr2bl w:val="nil"/>
            </w:tcBorders>
            <w:noWrap/>
            <w:vAlign w:val="center"/>
          </w:tcPr>
          <w:p w14:paraId="7446D0A7">
            <w:pPr>
              <w:widowControl/>
              <w:jc w:val="center"/>
              <w:textAlignment w:val="center"/>
              <w:rPr>
                <w:color w:val="000000"/>
                <w:sz w:val="18"/>
                <w:szCs w:val="18"/>
              </w:rPr>
            </w:pPr>
            <w:r>
              <w:rPr>
                <w:rFonts w:hint="eastAsia"/>
                <w:color w:val="000000"/>
                <w:kern w:val="0"/>
                <w:sz w:val="18"/>
                <w:szCs w:val="18"/>
                <w:lang w:bidi="ar"/>
              </w:rPr>
              <w:t>热定型炉</w:t>
            </w:r>
          </w:p>
        </w:tc>
        <w:tc>
          <w:tcPr>
            <w:tcW w:w="412" w:type="pct"/>
            <w:tcBorders>
              <w:tl2br w:val="nil"/>
              <w:tr2bl w:val="nil"/>
            </w:tcBorders>
            <w:noWrap/>
            <w:vAlign w:val="center"/>
          </w:tcPr>
          <w:p w14:paraId="40F041FA">
            <w:pPr>
              <w:widowControl/>
              <w:jc w:val="center"/>
              <w:textAlignment w:val="center"/>
              <w:rPr>
                <w:color w:val="000000"/>
                <w:sz w:val="18"/>
                <w:szCs w:val="18"/>
              </w:rPr>
            </w:pPr>
            <w:r>
              <w:rPr>
                <w:color w:val="000000"/>
                <w:kern w:val="0"/>
                <w:sz w:val="18"/>
                <w:szCs w:val="18"/>
                <w:lang w:bidi="ar"/>
              </w:rPr>
              <w:t>CZDX</w:t>
            </w:r>
          </w:p>
        </w:tc>
        <w:tc>
          <w:tcPr>
            <w:tcW w:w="318" w:type="pct"/>
            <w:tcBorders>
              <w:tl2br w:val="nil"/>
              <w:tr2bl w:val="nil"/>
            </w:tcBorders>
            <w:noWrap/>
            <w:vAlign w:val="center"/>
          </w:tcPr>
          <w:p w14:paraId="021AEFCF">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03491362">
            <w:pPr>
              <w:widowControl/>
              <w:jc w:val="center"/>
              <w:rPr>
                <w:color w:val="000000"/>
                <w:sz w:val="18"/>
                <w:szCs w:val="18"/>
              </w:rPr>
            </w:pPr>
          </w:p>
        </w:tc>
        <w:tc>
          <w:tcPr>
            <w:tcW w:w="181" w:type="pct"/>
            <w:tcBorders>
              <w:tl2br w:val="nil"/>
              <w:tr2bl w:val="nil"/>
            </w:tcBorders>
            <w:noWrap/>
            <w:vAlign w:val="center"/>
          </w:tcPr>
          <w:p w14:paraId="1B681387">
            <w:pPr>
              <w:widowControl/>
              <w:jc w:val="center"/>
              <w:textAlignment w:val="center"/>
              <w:rPr>
                <w:color w:val="000000"/>
                <w:sz w:val="18"/>
                <w:szCs w:val="18"/>
              </w:rPr>
            </w:pPr>
            <w:r>
              <w:rPr>
                <w:color w:val="000000"/>
                <w:kern w:val="0"/>
                <w:sz w:val="18"/>
                <w:szCs w:val="18"/>
                <w:lang w:bidi="ar"/>
              </w:rPr>
              <w:t>-76.98</w:t>
            </w:r>
          </w:p>
        </w:tc>
        <w:tc>
          <w:tcPr>
            <w:tcW w:w="160" w:type="pct"/>
            <w:tcBorders>
              <w:tl2br w:val="nil"/>
              <w:tr2bl w:val="nil"/>
            </w:tcBorders>
            <w:noWrap/>
            <w:vAlign w:val="center"/>
          </w:tcPr>
          <w:p w14:paraId="13497169">
            <w:pPr>
              <w:widowControl/>
              <w:jc w:val="center"/>
              <w:textAlignment w:val="center"/>
              <w:rPr>
                <w:color w:val="000000"/>
                <w:sz w:val="18"/>
                <w:szCs w:val="18"/>
              </w:rPr>
            </w:pPr>
            <w:r>
              <w:rPr>
                <w:color w:val="000000"/>
                <w:kern w:val="0"/>
                <w:sz w:val="18"/>
                <w:szCs w:val="18"/>
                <w:lang w:bidi="ar"/>
              </w:rPr>
              <w:t>28.97</w:t>
            </w:r>
          </w:p>
        </w:tc>
        <w:tc>
          <w:tcPr>
            <w:tcW w:w="83" w:type="pct"/>
            <w:tcBorders>
              <w:tl2br w:val="nil"/>
              <w:tr2bl w:val="nil"/>
            </w:tcBorders>
            <w:noWrap/>
            <w:vAlign w:val="center"/>
          </w:tcPr>
          <w:p w14:paraId="2810E0EA">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6318D6E">
            <w:pPr>
              <w:widowControl/>
              <w:jc w:val="center"/>
              <w:textAlignment w:val="center"/>
              <w:rPr>
                <w:color w:val="000000"/>
                <w:sz w:val="18"/>
                <w:szCs w:val="18"/>
              </w:rPr>
            </w:pPr>
            <w:r>
              <w:rPr>
                <w:color w:val="000000"/>
                <w:kern w:val="0"/>
                <w:sz w:val="18"/>
                <w:szCs w:val="18"/>
                <w:lang w:bidi="ar"/>
              </w:rPr>
              <w:t>20.84</w:t>
            </w:r>
          </w:p>
        </w:tc>
        <w:tc>
          <w:tcPr>
            <w:tcW w:w="160" w:type="pct"/>
            <w:tcBorders>
              <w:tl2br w:val="nil"/>
              <w:tr2bl w:val="nil"/>
            </w:tcBorders>
            <w:noWrap/>
            <w:vAlign w:val="center"/>
          </w:tcPr>
          <w:p w14:paraId="01F1158D">
            <w:pPr>
              <w:widowControl/>
              <w:jc w:val="center"/>
              <w:textAlignment w:val="center"/>
              <w:rPr>
                <w:color w:val="000000"/>
                <w:sz w:val="18"/>
                <w:szCs w:val="18"/>
              </w:rPr>
            </w:pPr>
            <w:r>
              <w:rPr>
                <w:color w:val="000000"/>
                <w:kern w:val="0"/>
                <w:sz w:val="18"/>
                <w:szCs w:val="18"/>
                <w:lang w:bidi="ar"/>
              </w:rPr>
              <w:t>7.20</w:t>
            </w:r>
          </w:p>
        </w:tc>
        <w:tc>
          <w:tcPr>
            <w:tcW w:w="160" w:type="pct"/>
            <w:tcBorders>
              <w:tl2br w:val="nil"/>
              <w:tr2bl w:val="nil"/>
            </w:tcBorders>
            <w:noWrap/>
            <w:vAlign w:val="center"/>
          </w:tcPr>
          <w:p w14:paraId="5F66C8D7">
            <w:pPr>
              <w:widowControl/>
              <w:jc w:val="center"/>
              <w:textAlignment w:val="center"/>
              <w:rPr>
                <w:color w:val="000000"/>
                <w:sz w:val="18"/>
                <w:szCs w:val="18"/>
              </w:rPr>
            </w:pPr>
            <w:r>
              <w:rPr>
                <w:color w:val="000000"/>
                <w:kern w:val="0"/>
                <w:sz w:val="18"/>
                <w:szCs w:val="18"/>
                <w:lang w:bidi="ar"/>
              </w:rPr>
              <w:t>81.95</w:t>
            </w:r>
          </w:p>
        </w:tc>
        <w:tc>
          <w:tcPr>
            <w:tcW w:w="160" w:type="pct"/>
            <w:tcBorders>
              <w:tl2br w:val="nil"/>
              <w:tr2bl w:val="nil"/>
            </w:tcBorders>
            <w:noWrap/>
            <w:vAlign w:val="center"/>
          </w:tcPr>
          <w:p w14:paraId="1738CF50">
            <w:pPr>
              <w:widowControl/>
              <w:jc w:val="center"/>
              <w:textAlignment w:val="center"/>
              <w:rPr>
                <w:color w:val="000000"/>
                <w:sz w:val="18"/>
                <w:szCs w:val="18"/>
              </w:rPr>
            </w:pPr>
            <w:r>
              <w:rPr>
                <w:color w:val="000000"/>
                <w:kern w:val="0"/>
                <w:sz w:val="18"/>
                <w:szCs w:val="18"/>
                <w:lang w:bidi="ar"/>
              </w:rPr>
              <w:t>25.85</w:t>
            </w:r>
          </w:p>
        </w:tc>
        <w:tc>
          <w:tcPr>
            <w:tcW w:w="160" w:type="pct"/>
            <w:tcBorders>
              <w:tl2br w:val="nil"/>
              <w:tr2bl w:val="nil"/>
            </w:tcBorders>
            <w:noWrap/>
            <w:vAlign w:val="center"/>
          </w:tcPr>
          <w:p w14:paraId="389D72FB">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43F5D7C9">
            <w:pPr>
              <w:widowControl/>
              <w:jc w:val="center"/>
              <w:textAlignment w:val="center"/>
              <w:rPr>
                <w:color w:val="000000"/>
                <w:sz w:val="18"/>
                <w:szCs w:val="18"/>
              </w:rPr>
            </w:pPr>
            <w:r>
              <w:rPr>
                <w:color w:val="000000"/>
                <w:kern w:val="0"/>
                <w:sz w:val="18"/>
                <w:szCs w:val="18"/>
                <w:lang w:bidi="ar"/>
              </w:rPr>
              <w:t>51.84</w:t>
            </w:r>
          </w:p>
        </w:tc>
        <w:tc>
          <w:tcPr>
            <w:tcW w:w="160" w:type="pct"/>
            <w:tcBorders>
              <w:tl2br w:val="nil"/>
              <w:tr2bl w:val="nil"/>
            </w:tcBorders>
            <w:noWrap/>
            <w:vAlign w:val="center"/>
          </w:tcPr>
          <w:p w14:paraId="68556B60">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5073A8E1">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02841606">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085F4E0">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35236E0">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6E976010">
            <w:pPr>
              <w:widowControl/>
              <w:jc w:val="center"/>
              <w:textAlignment w:val="center"/>
              <w:rPr>
                <w:color w:val="000000"/>
                <w:sz w:val="18"/>
                <w:szCs w:val="18"/>
              </w:rPr>
            </w:pPr>
            <w:r>
              <w:rPr>
                <w:color w:val="000000"/>
                <w:kern w:val="0"/>
                <w:sz w:val="18"/>
                <w:szCs w:val="18"/>
                <w:lang w:bidi="ar"/>
              </w:rPr>
              <w:t>30.84</w:t>
            </w:r>
          </w:p>
        </w:tc>
        <w:tc>
          <w:tcPr>
            <w:tcW w:w="160" w:type="pct"/>
            <w:tcBorders>
              <w:tl2br w:val="nil"/>
              <w:tr2bl w:val="nil"/>
            </w:tcBorders>
            <w:noWrap/>
            <w:vAlign w:val="center"/>
          </w:tcPr>
          <w:p w14:paraId="4B58A73D">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7A9A7768">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00380B32">
            <w:pPr>
              <w:widowControl/>
              <w:jc w:val="center"/>
              <w:textAlignment w:val="center"/>
              <w:rPr>
                <w:color w:val="000000"/>
                <w:sz w:val="18"/>
                <w:szCs w:val="18"/>
              </w:rPr>
            </w:pPr>
            <w:r>
              <w:rPr>
                <w:color w:val="000000"/>
                <w:kern w:val="0"/>
                <w:sz w:val="18"/>
                <w:szCs w:val="18"/>
                <w:lang w:bidi="ar"/>
              </w:rPr>
              <w:t>1</w:t>
            </w:r>
          </w:p>
        </w:tc>
      </w:tr>
      <w:tr w14:paraId="020E04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FFFED1F">
            <w:pPr>
              <w:widowControl/>
              <w:jc w:val="center"/>
              <w:textAlignment w:val="center"/>
              <w:rPr>
                <w:color w:val="000000"/>
                <w:sz w:val="18"/>
                <w:szCs w:val="18"/>
              </w:rPr>
            </w:pPr>
            <w:r>
              <w:rPr>
                <w:color w:val="000000"/>
                <w:kern w:val="0"/>
                <w:sz w:val="18"/>
                <w:szCs w:val="18"/>
                <w:lang w:bidi="ar"/>
              </w:rPr>
              <w:t>26</w:t>
            </w:r>
          </w:p>
        </w:tc>
        <w:tc>
          <w:tcPr>
            <w:tcW w:w="231" w:type="pct"/>
            <w:vMerge w:val="continue"/>
            <w:tcBorders>
              <w:tl2br w:val="nil"/>
              <w:tr2bl w:val="nil"/>
            </w:tcBorders>
            <w:noWrap/>
            <w:vAlign w:val="center"/>
          </w:tcPr>
          <w:p w14:paraId="40C32609">
            <w:pPr>
              <w:widowControl/>
              <w:jc w:val="center"/>
              <w:rPr>
                <w:color w:val="000000"/>
                <w:sz w:val="18"/>
                <w:szCs w:val="18"/>
              </w:rPr>
            </w:pPr>
          </w:p>
        </w:tc>
        <w:tc>
          <w:tcPr>
            <w:tcW w:w="468" w:type="pct"/>
            <w:tcBorders>
              <w:tl2br w:val="nil"/>
              <w:tr2bl w:val="nil"/>
            </w:tcBorders>
            <w:noWrap/>
            <w:vAlign w:val="center"/>
          </w:tcPr>
          <w:p w14:paraId="06B73F9F">
            <w:pPr>
              <w:widowControl/>
              <w:jc w:val="center"/>
              <w:textAlignment w:val="center"/>
              <w:rPr>
                <w:color w:val="000000"/>
                <w:sz w:val="18"/>
                <w:szCs w:val="18"/>
              </w:rPr>
            </w:pPr>
            <w:r>
              <w:rPr>
                <w:rFonts w:hint="eastAsia"/>
                <w:color w:val="000000"/>
                <w:kern w:val="0"/>
                <w:sz w:val="18"/>
                <w:szCs w:val="18"/>
                <w:lang w:bidi="ar"/>
              </w:rPr>
              <w:t>正压测试仪</w:t>
            </w:r>
          </w:p>
        </w:tc>
        <w:tc>
          <w:tcPr>
            <w:tcW w:w="412" w:type="pct"/>
            <w:tcBorders>
              <w:tl2br w:val="nil"/>
              <w:tr2bl w:val="nil"/>
            </w:tcBorders>
            <w:noWrap/>
            <w:vAlign w:val="center"/>
          </w:tcPr>
          <w:p w14:paraId="2CE014BA">
            <w:pPr>
              <w:widowControl/>
              <w:jc w:val="center"/>
              <w:textAlignment w:val="center"/>
              <w:rPr>
                <w:color w:val="000000"/>
                <w:sz w:val="18"/>
                <w:szCs w:val="18"/>
              </w:rPr>
            </w:pPr>
            <w:r>
              <w:rPr>
                <w:color w:val="000000"/>
                <w:kern w:val="0"/>
                <w:sz w:val="18"/>
                <w:szCs w:val="18"/>
                <w:lang w:bidi="ar"/>
              </w:rPr>
              <w:t>LC-APOB</w:t>
            </w:r>
          </w:p>
        </w:tc>
        <w:tc>
          <w:tcPr>
            <w:tcW w:w="318" w:type="pct"/>
            <w:tcBorders>
              <w:tl2br w:val="nil"/>
              <w:tr2bl w:val="nil"/>
            </w:tcBorders>
            <w:noWrap/>
            <w:vAlign w:val="center"/>
          </w:tcPr>
          <w:p w14:paraId="032B0E08">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4AF83EED">
            <w:pPr>
              <w:widowControl/>
              <w:jc w:val="center"/>
              <w:rPr>
                <w:color w:val="000000"/>
                <w:sz w:val="18"/>
                <w:szCs w:val="18"/>
              </w:rPr>
            </w:pPr>
          </w:p>
        </w:tc>
        <w:tc>
          <w:tcPr>
            <w:tcW w:w="181" w:type="pct"/>
            <w:tcBorders>
              <w:tl2br w:val="nil"/>
              <w:tr2bl w:val="nil"/>
            </w:tcBorders>
            <w:noWrap/>
            <w:vAlign w:val="center"/>
          </w:tcPr>
          <w:p w14:paraId="56C6C4FA">
            <w:pPr>
              <w:widowControl/>
              <w:jc w:val="center"/>
              <w:textAlignment w:val="center"/>
              <w:rPr>
                <w:color w:val="000000"/>
                <w:sz w:val="18"/>
                <w:szCs w:val="18"/>
              </w:rPr>
            </w:pPr>
            <w:r>
              <w:rPr>
                <w:color w:val="000000"/>
                <w:kern w:val="0"/>
                <w:sz w:val="18"/>
                <w:szCs w:val="18"/>
                <w:lang w:bidi="ar"/>
              </w:rPr>
              <w:t>-77.77</w:t>
            </w:r>
          </w:p>
        </w:tc>
        <w:tc>
          <w:tcPr>
            <w:tcW w:w="160" w:type="pct"/>
            <w:tcBorders>
              <w:tl2br w:val="nil"/>
              <w:tr2bl w:val="nil"/>
            </w:tcBorders>
            <w:noWrap/>
            <w:vAlign w:val="center"/>
          </w:tcPr>
          <w:p w14:paraId="235DEC1B">
            <w:pPr>
              <w:widowControl/>
              <w:jc w:val="center"/>
              <w:textAlignment w:val="center"/>
              <w:rPr>
                <w:color w:val="000000"/>
                <w:sz w:val="18"/>
                <w:szCs w:val="18"/>
              </w:rPr>
            </w:pPr>
            <w:r>
              <w:rPr>
                <w:color w:val="000000"/>
                <w:kern w:val="0"/>
                <w:sz w:val="18"/>
                <w:szCs w:val="18"/>
                <w:lang w:bidi="ar"/>
              </w:rPr>
              <w:t>25.74</w:t>
            </w:r>
          </w:p>
        </w:tc>
        <w:tc>
          <w:tcPr>
            <w:tcW w:w="83" w:type="pct"/>
            <w:tcBorders>
              <w:tl2br w:val="nil"/>
              <w:tr2bl w:val="nil"/>
            </w:tcBorders>
            <w:noWrap/>
            <w:vAlign w:val="center"/>
          </w:tcPr>
          <w:p w14:paraId="5788391E">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7730039B">
            <w:pPr>
              <w:widowControl/>
              <w:jc w:val="center"/>
              <w:textAlignment w:val="center"/>
              <w:rPr>
                <w:color w:val="000000"/>
                <w:sz w:val="18"/>
                <w:szCs w:val="18"/>
              </w:rPr>
            </w:pPr>
            <w:r>
              <w:rPr>
                <w:color w:val="000000"/>
                <w:kern w:val="0"/>
                <w:sz w:val="18"/>
                <w:szCs w:val="18"/>
                <w:lang w:bidi="ar"/>
              </w:rPr>
              <w:t>20.95</w:t>
            </w:r>
          </w:p>
        </w:tc>
        <w:tc>
          <w:tcPr>
            <w:tcW w:w="160" w:type="pct"/>
            <w:tcBorders>
              <w:tl2br w:val="nil"/>
              <w:tr2bl w:val="nil"/>
            </w:tcBorders>
            <w:noWrap/>
            <w:vAlign w:val="center"/>
          </w:tcPr>
          <w:p w14:paraId="0B61529F">
            <w:pPr>
              <w:widowControl/>
              <w:jc w:val="center"/>
              <w:textAlignment w:val="center"/>
              <w:rPr>
                <w:color w:val="000000"/>
                <w:sz w:val="18"/>
                <w:szCs w:val="18"/>
              </w:rPr>
            </w:pPr>
            <w:r>
              <w:rPr>
                <w:color w:val="000000"/>
                <w:kern w:val="0"/>
                <w:sz w:val="18"/>
                <w:szCs w:val="18"/>
                <w:lang w:bidi="ar"/>
              </w:rPr>
              <w:t>3.88</w:t>
            </w:r>
          </w:p>
        </w:tc>
        <w:tc>
          <w:tcPr>
            <w:tcW w:w="160" w:type="pct"/>
            <w:tcBorders>
              <w:tl2br w:val="nil"/>
              <w:tr2bl w:val="nil"/>
            </w:tcBorders>
            <w:noWrap/>
            <w:vAlign w:val="center"/>
          </w:tcPr>
          <w:p w14:paraId="69920A3F">
            <w:pPr>
              <w:widowControl/>
              <w:jc w:val="center"/>
              <w:textAlignment w:val="center"/>
              <w:rPr>
                <w:color w:val="000000"/>
                <w:sz w:val="18"/>
                <w:szCs w:val="18"/>
              </w:rPr>
            </w:pPr>
            <w:r>
              <w:rPr>
                <w:color w:val="000000"/>
                <w:kern w:val="0"/>
                <w:sz w:val="18"/>
                <w:szCs w:val="18"/>
                <w:lang w:bidi="ar"/>
              </w:rPr>
              <w:t>81.84</w:t>
            </w:r>
          </w:p>
        </w:tc>
        <w:tc>
          <w:tcPr>
            <w:tcW w:w="160" w:type="pct"/>
            <w:tcBorders>
              <w:tl2br w:val="nil"/>
              <w:tr2bl w:val="nil"/>
            </w:tcBorders>
            <w:noWrap/>
            <w:vAlign w:val="center"/>
          </w:tcPr>
          <w:p w14:paraId="4DCF522E">
            <w:pPr>
              <w:widowControl/>
              <w:jc w:val="center"/>
              <w:textAlignment w:val="center"/>
              <w:rPr>
                <w:color w:val="000000"/>
                <w:sz w:val="18"/>
                <w:szCs w:val="18"/>
              </w:rPr>
            </w:pPr>
            <w:r>
              <w:rPr>
                <w:color w:val="000000"/>
                <w:kern w:val="0"/>
                <w:sz w:val="18"/>
                <w:szCs w:val="18"/>
                <w:lang w:bidi="ar"/>
              </w:rPr>
              <w:t>29.18</w:t>
            </w:r>
          </w:p>
        </w:tc>
        <w:tc>
          <w:tcPr>
            <w:tcW w:w="160" w:type="pct"/>
            <w:tcBorders>
              <w:tl2br w:val="nil"/>
              <w:tr2bl w:val="nil"/>
            </w:tcBorders>
            <w:noWrap/>
            <w:vAlign w:val="center"/>
          </w:tcPr>
          <w:p w14:paraId="3565C665">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100A59AA">
            <w:pPr>
              <w:widowControl/>
              <w:jc w:val="center"/>
              <w:textAlignment w:val="center"/>
              <w:rPr>
                <w:color w:val="000000"/>
                <w:sz w:val="18"/>
                <w:szCs w:val="18"/>
              </w:rPr>
            </w:pPr>
            <w:r>
              <w:rPr>
                <w:color w:val="000000"/>
                <w:kern w:val="0"/>
                <w:sz w:val="18"/>
                <w:szCs w:val="18"/>
                <w:lang w:bidi="ar"/>
              </w:rPr>
              <w:t>51.94</w:t>
            </w:r>
          </w:p>
        </w:tc>
        <w:tc>
          <w:tcPr>
            <w:tcW w:w="160" w:type="pct"/>
            <w:tcBorders>
              <w:tl2br w:val="nil"/>
              <w:tr2bl w:val="nil"/>
            </w:tcBorders>
            <w:noWrap/>
            <w:vAlign w:val="center"/>
          </w:tcPr>
          <w:p w14:paraId="574DE3F9">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50929436">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740A3A1F">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397F3BC">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ECC3210">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41452F3E">
            <w:pPr>
              <w:widowControl/>
              <w:jc w:val="center"/>
              <w:textAlignment w:val="center"/>
              <w:rPr>
                <w:color w:val="000000"/>
                <w:sz w:val="18"/>
                <w:szCs w:val="18"/>
              </w:rPr>
            </w:pPr>
            <w:r>
              <w:rPr>
                <w:color w:val="000000"/>
                <w:kern w:val="0"/>
                <w:sz w:val="18"/>
                <w:szCs w:val="18"/>
                <w:lang w:bidi="ar"/>
              </w:rPr>
              <w:t>30.94</w:t>
            </w:r>
          </w:p>
        </w:tc>
        <w:tc>
          <w:tcPr>
            <w:tcW w:w="160" w:type="pct"/>
            <w:tcBorders>
              <w:tl2br w:val="nil"/>
              <w:tr2bl w:val="nil"/>
            </w:tcBorders>
            <w:noWrap/>
            <w:vAlign w:val="center"/>
          </w:tcPr>
          <w:p w14:paraId="7F82E2A1">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62862F89">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77361B2D">
            <w:pPr>
              <w:widowControl/>
              <w:jc w:val="center"/>
              <w:textAlignment w:val="center"/>
              <w:rPr>
                <w:color w:val="000000"/>
                <w:sz w:val="18"/>
                <w:szCs w:val="18"/>
              </w:rPr>
            </w:pPr>
            <w:r>
              <w:rPr>
                <w:color w:val="000000"/>
                <w:kern w:val="0"/>
                <w:sz w:val="18"/>
                <w:szCs w:val="18"/>
                <w:lang w:bidi="ar"/>
              </w:rPr>
              <w:t>1</w:t>
            </w:r>
          </w:p>
        </w:tc>
      </w:tr>
      <w:tr w14:paraId="5872D2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5AE511C6">
            <w:pPr>
              <w:widowControl/>
              <w:jc w:val="center"/>
              <w:textAlignment w:val="center"/>
              <w:rPr>
                <w:color w:val="000000"/>
                <w:sz w:val="18"/>
                <w:szCs w:val="18"/>
              </w:rPr>
            </w:pPr>
            <w:r>
              <w:rPr>
                <w:color w:val="000000"/>
                <w:kern w:val="0"/>
                <w:sz w:val="18"/>
                <w:szCs w:val="18"/>
                <w:lang w:bidi="ar"/>
              </w:rPr>
              <w:t>27</w:t>
            </w:r>
          </w:p>
        </w:tc>
        <w:tc>
          <w:tcPr>
            <w:tcW w:w="231" w:type="pct"/>
            <w:vMerge w:val="continue"/>
            <w:tcBorders>
              <w:tl2br w:val="nil"/>
              <w:tr2bl w:val="nil"/>
            </w:tcBorders>
            <w:noWrap/>
            <w:vAlign w:val="center"/>
          </w:tcPr>
          <w:p w14:paraId="3DE039D8">
            <w:pPr>
              <w:widowControl/>
              <w:jc w:val="center"/>
              <w:rPr>
                <w:color w:val="000000"/>
                <w:sz w:val="18"/>
                <w:szCs w:val="18"/>
              </w:rPr>
            </w:pPr>
          </w:p>
        </w:tc>
        <w:tc>
          <w:tcPr>
            <w:tcW w:w="468" w:type="pct"/>
            <w:tcBorders>
              <w:tl2br w:val="nil"/>
              <w:tr2bl w:val="nil"/>
            </w:tcBorders>
            <w:noWrap/>
            <w:vAlign w:val="center"/>
          </w:tcPr>
          <w:p w14:paraId="535BD861">
            <w:pPr>
              <w:widowControl/>
              <w:jc w:val="center"/>
              <w:textAlignment w:val="center"/>
              <w:rPr>
                <w:color w:val="000000"/>
                <w:sz w:val="18"/>
                <w:szCs w:val="18"/>
              </w:rPr>
            </w:pPr>
            <w:r>
              <w:rPr>
                <w:rFonts w:hint="eastAsia"/>
                <w:color w:val="000000"/>
                <w:kern w:val="0"/>
                <w:sz w:val="18"/>
                <w:szCs w:val="18"/>
                <w:lang w:bidi="ar"/>
              </w:rPr>
              <w:t>负压测试仪</w:t>
            </w:r>
          </w:p>
        </w:tc>
        <w:tc>
          <w:tcPr>
            <w:tcW w:w="412" w:type="pct"/>
            <w:tcBorders>
              <w:tl2br w:val="nil"/>
              <w:tr2bl w:val="nil"/>
            </w:tcBorders>
            <w:noWrap/>
            <w:vAlign w:val="center"/>
          </w:tcPr>
          <w:p w14:paraId="02CEA186">
            <w:pPr>
              <w:widowControl/>
              <w:jc w:val="center"/>
              <w:textAlignment w:val="center"/>
              <w:rPr>
                <w:color w:val="000000"/>
                <w:sz w:val="18"/>
                <w:szCs w:val="18"/>
              </w:rPr>
            </w:pPr>
            <w:r>
              <w:rPr>
                <w:color w:val="000000"/>
                <w:kern w:val="0"/>
                <w:sz w:val="18"/>
                <w:szCs w:val="18"/>
                <w:lang w:bidi="ar"/>
              </w:rPr>
              <w:t>Raptor</w:t>
            </w:r>
          </w:p>
        </w:tc>
        <w:tc>
          <w:tcPr>
            <w:tcW w:w="318" w:type="pct"/>
            <w:tcBorders>
              <w:tl2br w:val="nil"/>
              <w:tr2bl w:val="nil"/>
            </w:tcBorders>
            <w:noWrap/>
            <w:vAlign w:val="center"/>
          </w:tcPr>
          <w:p w14:paraId="32957980">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02B461C5">
            <w:pPr>
              <w:widowControl/>
              <w:jc w:val="center"/>
              <w:rPr>
                <w:color w:val="000000"/>
                <w:sz w:val="18"/>
                <w:szCs w:val="18"/>
              </w:rPr>
            </w:pPr>
          </w:p>
        </w:tc>
        <w:tc>
          <w:tcPr>
            <w:tcW w:w="181" w:type="pct"/>
            <w:tcBorders>
              <w:tl2br w:val="nil"/>
              <w:tr2bl w:val="nil"/>
            </w:tcBorders>
            <w:noWrap/>
            <w:vAlign w:val="center"/>
          </w:tcPr>
          <w:p w14:paraId="5111DE24">
            <w:pPr>
              <w:widowControl/>
              <w:jc w:val="center"/>
              <w:textAlignment w:val="center"/>
              <w:rPr>
                <w:color w:val="000000"/>
                <w:sz w:val="18"/>
                <w:szCs w:val="18"/>
              </w:rPr>
            </w:pPr>
            <w:r>
              <w:rPr>
                <w:color w:val="000000"/>
                <w:kern w:val="0"/>
                <w:sz w:val="18"/>
                <w:szCs w:val="18"/>
                <w:lang w:bidi="ar"/>
              </w:rPr>
              <w:t>-79.14</w:t>
            </w:r>
          </w:p>
        </w:tc>
        <w:tc>
          <w:tcPr>
            <w:tcW w:w="160" w:type="pct"/>
            <w:tcBorders>
              <w:tl2br w:val="nil"/>
              <w:tr2bl w:val="nil"/>
            </w:tcBorders>
            <w:noWrap/>
            <w:vAlign w:val="center"/>
          </w:tcPr>
          <w:p w14:paraId="1BBFD1B6">
            <w:pPr>
              <w:widowControl/>
              <w:jc w:val="center"/>
              <w:textAlignment w:val="center"/>
              <w:rPr>
                <w:color w:val="000000"/>
                <w:sz w:val="18"/>
                <w:szCs w:val="18"/>
              </w:rPr>
            </w:pPr>
            <w:r>
              <w:rPr>
                <w:color w:val="000000"/>
                <w:kern w:val="0"/>
                <w:sz w:val="18"/>
                <w:szCs w:val="18"/>
                <w:lang w:bidi="ar"/>
              </w:rPr>
              <w:t>26.03</w:t>
            </w:r>
          </w:p>
        </w:tc>
        <w:tc>
          <w:tcPr>
            <w:tcW w:w="83" w:type="pct"/>
            <w:tcBorders>
              <w:tl2br w:val="nil"/>
              <w:tr2bl w:val="nil"/>
            </w:tcBorders>
            <w:noWrap/>
            <w:vAlign w:val="center"/>
          </w:tcPr>
          <w:p w14:paraId="4EC9A656">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A59CE2A">
            <w:pPr>
              <w:widowControl/>
              <w:jc w:val="center"/>
              <w:textAlignment w:val="center"/>
              <w:rPr>
                <w:color w:val="000000"/>
                <w:sz w:val="18"/>
                <w:szCs w:val="18"/>
              </w:rPr>
            </w:pPr>
            <w:r>
              <w:rPr>
                <w:color w:val="000000"/>
                <w:kern w:val="0"/>
                <w:sz w:val="18"/>
                <w:szCs w:val="18"/>
                <w:lang w:bidi="ar"/>
              </w:rPr>
              <w:t>19.55</w:t>
            </w:r>
          </w:p>
        </w:tc>
        <w:tc>
          <w:tcPr>
            <w:tcW w:w="160" w:type="pct"/>
            <w:tcBorders>
              <w:tl2br w:val="nil"/>
              <w:tr2bl w:val="nil"/>
            </w:tcBorders>
            <w:noWrap/>
            <w:vAlign w:val="center"/>
          </w:tcPr>
          <w:p w14:paraId="233B5A3C">
            <w:pPr>
              <w:widowControl/>
              <w:jc w:val="center"/>
              <w:textAlignment w:val="center"/>
              <w:rPr>
                <w:color w:val="000000"/>
                <w:sz w:val="18"/>
                <w:szCs w:val="18"/>
              </w:rPr>
            </w:pPr>
            <w:r>
              <w:rPr>
                <w:color w:val="000000"/>
                <w:kern w:val="0"/>
                <w:sz w:val="18"/>
                <w:szCs w:val="18"/>
                <w:lang w:bidi="ar"/>
              </w:rPr>
              <w:t>3.79</w:t>
            </w:r>
          </w:p>
        </w:tc>
        <w:tc>
          <w:tcPr>
            <w:tcW w:w="160" w:type="pct"/>
            <w:tcBorders>
              <w:tl2br w:val="nil"/>
              <w:tr2bl w:val="nil"/>
            </w:tcBorders>
            <w:noWrap/>
            <w:vAlign w:val="center"/>
          </w:tcPr>
          <w:p w14:paraId="652FB212">
            <w:pPr>
              <w:widowControl/>
              <w:jc w:val="center"/>
              <w:textAlignment w:val="center"/>
              <w:rPr>
                <w:color w:val="000000"/>
                <w:sz w:val="18"/>
                <w:szCs w:val="18"/>
              </w:rPr>
            </w:pPr>
            <w:r>
              <w:rPr>
                <w:color w:val="000000"/>
                <w:kern w:val="0"/>
                <w:sz w:val="18"/>
                <w:szCs w:val="18"/>
                <w:lang w:bidi="ar"/>
              </w:rPr>
              <w:t>83.24</w:t>
            </w:r>
          </w:p>
        </w:tc>
        <w:tc>
          <w:tcPr>
            <w:tcW w:w="160" w:type="pct"/>
            <w:tcBorders>
              <w:tl2br w:val="nil"/>
              <w:tr2bl w:val="nil"/>
            </w:tcBorders>
            <w:noWrap/>
            <w:vAlign w:val="center"/>
          </w:tcPr>
          <w:p w14:paraId="6752C319">
            <w:pPr>
              <w:widowControl/>
              <w:jc w:val="center"/>
              <w:textAlignment w:val="center"/>
              <w:rPr>
                <w:color w:val="000000"/>
                <w:sz w:val="18"/>
                <w:szCs w:val="18"/>
              </w:rPr>
            </w:pPr>
            <w:r>
              <w:rPr>
                <w:color w:val="000000"/>
                <w:kern w:val="0"/>
                <w:sz w:val="18"/>
                <w:szCs w:val="18"/>
                <w:lang w:bidi="ar"/>
              </w:rPr>
              <w:t>29.27</w:t>
            </w:r>
          </w:p>
        </w:tc>
        <w:tc>
          <w:tcPr>
            <w:tcW w:w="160" w:type="pct"/>
            <w:tcBorders>
              <w:tl2br w:val="nil"/>
              <w:tr2bl w:val="nil"/>
            </w:tcBorders>
            <w:noWrap/>
            <w:vAlign w:val="center"/>
          </w:tcPr>
          <w:p w14:paraId="2883541B">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111B7C3A">
            <w:pPr>
              <w:widowControl/>
              <w:jc w:val="center"/>
              <w:textAlignment w:val="center"/>
              <w:rPr>
                <w:color w:val="000000"/>
                <w:sz w:val="18"/>
                <w:szCs w:val="18"/>
              </w:rPr>
            </w:pPr>
            <w:r>
              <w:rPr>
                <w:color w:val="000000"/>
                <w:kern w:val="0"/>
                <w:sz w:val="18"/>
                <w:szCs w:val="18"/>
                <w:lang w:bidi="ar"/>
              </w:rPr>
              <w:t>51.95</w:t>
            </w:r>
          </w:p>
        </w:tc>
        <w:tc>
          <w:tcPr>
            <w:tcW w:w="160" w:type="pct"/>
            <w:tcBorders>
              <w:tl2br w:val="nil"/>
              <w:tr2bl w:val="nil"/>
            </w:tcBorders>
            <w:noWrap/>
            <w:vAlign w:val="center"/>
          </w:tcPr>
          <w:p w14:paraId="354457DD">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0CD10176">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5B3C9565">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978A301">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A4709B2">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7A714AF7">
            <w:pPr>
              <w:widowControl/>
              <w:jc w:val="center"/>
              <w:textAlignment w:val="center"/>
              <w:rPr>
                <w:color w:val="000000"/>
                <w:sz w:val="18"/>
                <w:szCs w:val="18"/>
              </w:rPr>
            </w:pPr>
            <w:r>
              <w:rPr>
                <w:color w:val="000000"/>
                <w:kern w:val="0"/>
                <w:sz w:val="18"/>
                <w:szCs w:val="18"/>
                <w:lang w:bidi="ar"/>
              </w:rPr>
              <w:t>30.95</w:t>
            </w:r>
          </w:p>
        </w:tc>
        <w:tc>
          <w:tcPr>
            <w:tcW w:w="160" w:type="pct"/>
            <w:tcBorders>
              <w:tl2br w:val="nil"/>
              <w:tr2bl w:val="nil"/>
            </w:tcBorders>
            <w:noWrap/>
            <w:vAlign w:val="center"/>
          </w:tcPr>
          <w:p w14:paraId="32C35CAD">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5DEC67FA">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55A0D27A">
            <w:pPr>
              <w:widowControl/>
              <w:jc w:val="center"/>
              <w:textAlignment w:val="center"/>
              <w:rPr>
                <w:color w:val="000000"/>
                <w:sz w:val="18"/>
                <w:szCs w:val="18"/>
              </w:rPr>
            </w:pPr>
            <w:r>
              <w:rPr>
                <w:color w:val="000000"/>
                <w:kern w:val="0"/>
                <w:sz w:val="18"/>
                <w:szCs w:val="18"/>
                <w:lang w:bidi="ar"/>
              </w:rPr>
              <w:t>1</w:t>
            </w:r>
          </w:p>
        </w:tc>
      </w:tr>
      <w:tr w14:paraId="18AF45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BA4F5E8">
            <w:pPr>
              <w:widowControl/>
              <w:jc w:val="center"/>
              <w:textAlignment w:val="center"/>
              <w:rPr>
                <w:color w:val="000000"/>
                <w:sz w:val="18"/>
                <w:szCs w:val="18"/>
              </w:rPr>
            </w:pPr>
            <w:r>
              <w:rPr>
                <w:color w:val="000000"/>
                <w:kern w:val="0"/>
                <w:sz w:val="18"/>
                <w:szCs w:val="18"/>
                <w:lang w:bidi="ar"/>
              </w:rPr>
              <w:t>28</w:t>
            </w:r>
          </w:p>
        </w:tc>
        <w:tc>
          <w:tcPr>
            <w:tcW w:w="231" w:type="pct"/>
            <w:vMerge w:val="continue"/>
            <w:tcBorders>
              <w:tl2br w:val="nil"/>
              <w:tr2bl w:val="nil"/>
            </w:tcBorders>
            <w:noWrap/>
            <w:vAlign w:val="center"/>
          </w:tcPr>
          <w:p w14:paraId="171639F4">
            <w:pPr>
              <w:widowControl/>
              <w:jc w:val="center"/>
              <w:rPr>
                <w:color w:val="000000"/>
                <w:sz w:val="18"/>
                <w:szCs w:val="18"/>
              </w:rPr>
            </w:pPr>
          </w:p>
        </w:tc>
        <w:tc>
          <w:tcPr>
            <w:tcW w:w="468" w:type="pct"/>
            <w:tcBorders>
              <w:tl2br w:val="nil"/>
              <w:tr2bl w:val="nil"/>
            </w:tcBorders>
            <w:noWrap/>
            <w:vAlign w:val="center"/>
          </w:tcPr>
          <w:p w14:paraId="2B24838E">
            <w:pPr>
              <w:widowControl/>
              <w:jc w:val="center"/>
              <w:textAlignment w:val="center"/>
              <w:rPr>
                <w:color w:val="000000"/>
                <w:sz w:val="18"/>
                <w:szCs w:val="18"/>
              </w:rPr>
            </w:pPr>
            <w:r>
              <w:rPr>
                <w:rFonts w:hint="eastAsia"/>
                <w:color w:val="000000"/>
                <w:kern w:val="0"/>
                <w:sz w:val="18"/>
                <w:szCs w:val="18"/>
                <w:lang w:bidi="ar"/>
              </w:rPr>
              <w:t>爆破压测试仪</w:t>
            </w:r>
          </w:p>
        </w:tc>
        <w:tc>
          <w:tcPr>
            <w:tcW w:w="412" w:type="pct"/>
            <w:tcBorders>
              <w:tl2br w:val="nil"/>
              <w:tr2bl w:val="nil"/>
            </w:tcBorders>
            <w:noWrap/>
            <w:vAlign w:val="center"/>
          </w:tcPr>
          <w:p w14:paraId="12B40963">
            <w:pPr>
              <w:widowControl/>
              <w:jc w:val="center"/>
              <w:textAlignment w:val="center"/>
              <w:rPr>
                <w:color w:val="000000"/>
                <w:sz w:val="18"/>
                <w:szCs w:val="18"/>
              </w:rPr>
            </w:pPr>
            <w:r>
              <w:rPr>
                <w:color w:val="000000"/>
                <w:kern w:val="0"/>
                <w:sz w:val="18"/>
                <w:szCs w:val="18"/>
                <w:lang w:bidi="ar"/>
              </w:rPr>
              <w:t>PT1000</w:t>
            </w:r>
          </w:p>
        </w:tc>
        <w:tc>
          <w:tcPr>
            <w:tcW w:w="318" w:type="pct"/>
            <w:tcBorders>
              <w:tl2br w:val="nil"/>
              <w:tr2bl w:val="nil"/>
            </w:tcBorders>
            <w:noWrap/>
            <w:vAlign w:val="center"/>
          </w:tcPr>
          <w:p w14:paraId="176A683F">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6D683097">
            <w:pPr>
              <w:widowControl/>
              <w:jc w:val="center"/>
              <w:rPr>
                <w:color w:val="000000"/>
                <w:sz w:val="18"/>
                <w:szCs w:val="18"/>
              </w:rPr>
            </w:pPr>
          </w:p>
        </w:tc>
        <w:tc>
          <w:tcPr>
            <w:tcW w:w="181" w:type="pct"/>
            <w:tcBorders>
              <w:tl2br w:val="nil"/>
              <w:tr2bl w:val="nil"/>
            </w:tcBorders>
            <w:noWrap/>
            <w:vAlign w:val="center"/>
          </w:tcPr>
          <w:p w14:paraId="1FC2F142">
            <w:pPr>
              <w:widowControl/>
              <w:jc w:val="center"/>
              <w:textAlignment w:val="center"/>
              <w:rPr>
                <w:color w:val="000000"/>
                <w:sz w:val="18"/>
                <w:szCs w:val="18"/>
              </w:rPr>
            </w:pPr>
            <w:r>
              <w:rPr>
                <w:color w:val="000000"/>
                <w:kern w:val="0"/>
                <w:sz w:val="18"/>
                <w:szCs w:val="18"/>
                <w:lang w:bidi="ar"/>
              </w:rPr>
              <w:t>-81.28</w:t>
            </w:r>
          </w:p>
        </w:tc>
        <w:tc>
          <w:tcPr>
            <w:tcW w:w="160" w:type="pct"/>
            <w:tcBorders>
              <w:tl2br w:val="nil"/>
              <w:tr2bl w:val="nil"/>
            </w:tcBorders>
            <w:noWrap/>
            <w:vAlign w:val="center"/>
          </w:tcPr>
          <w:p w14:paraId="2A928983">
            <w:pPr>
              <w:widowControl/>
              <w:jc w:val="center"/>
              <w:textAlignment w:val="center"/>
              <w:rPr>
                <w:color w:val="000000"/>
                <w:sz w:val="18"/>
                <w:szCs w:val="18"/>
              </w:rPr>
            </w:pPr>
            <w:r>
              <w:rPr>
                <w:color w:val="000000"/>
                <w:kern w:val="0"/>
                <w:sz w:val="18"/>
                <w:szCs w:val="18"/>
                <w:lang w:bidi="ar"/>
              </w:rPr>
              <w:t>26.69</w:t>
            </w:r>
          </w:p>
        </w:tc>
        <w:tc>
          <w:tcPr>
            <w:tcW w:w="83" w:type="pct"/>
            <w:tcBorders>
              <w:tl2br w:val="nil"/>
              <w:tr2bl w:val="nil"/>
            </w:tcBorders>
            <w:noWrap/>
            <w:vAlign w:val="center"/>
          </w:tcPr>
          <w:p w14:paraId="162F63C0">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5F7F6E1">
            <w:pPr>
              <w:widowControl/>
              <w:jc w:val="center"/>
              <w:textAlignment w:val="center"/>
              <w:rPr>
                <w:color w:val="000000"/>
                <w:sz w:val="18"/>
                <w:szCs w:val="18"/>
              </w:rPr>
            </w:pPr>
            <w:r>
              <w:rPr>
                <w:color w:val="000000"/>
                <w:kern w:val="0"/>
                <w:sz w:val="18"/>
                <w:szCs w:val="18"/>
                <w:lang w:bidi="ar"/>
              </w:rPr>
              <w:t>17.31</w:t>
            </w:r>
          </w:p>
        </w:tc>
        <w:tc>
          <w:tcPr>
            <w:tcW w:w="160" w:type="pct"/>
            <w:tcBorders>
              <w:tl2br w:val="nil"/>
              <w:tr2bl w:val="nil"/>
            </w:tcBorders>
            <w:noWrap/>
            <w:vAlign w:val="center"/>
          </w:tcPr>
          <w:p w14:paraId="7F52089B">
            <w:pPr>
              <w:widowControl/>
              <w:jc w:val="center"/>
              <w:textAlignment w:val="center"/>
              <w:rPr>
                <w:color w:val="000000"/>
                <w:sz w:val="18"/>
                <w:szCs w:val="18"/>
              </w:rPr>
            </w:pPr>
            <w:r>
              <w:rPr>
                <w:color w:val="000000"/>
                <w:kern w:val="0"/>
                <w:sz w:val="18"/>
                <w:szCs w:val="18"/>
                <w:lang w:bidi="ar"/>
              </w:rPr>
              <w:t>3.85</w:t>
            </w:r>
          </w:p>
        </w:tc>
        <w:tc>
          <w:tcPr>
            <w:tcW w:w="160" w:type="pct"/>
            <w:tcBorders>
              <w:tl2br w:val="nil"/>
              <w:tr2bl w:val="nil"/>
            </w:tcBorders>
            <w:noWrap/>
            <w:vAlign w:val="center"/>
          </w:tcPr>
          <w:p w14:paraId="075FCF86">
            <w:pPr>
              <w:widowControl/>
              <w:jc w:val="center"/>
              <w:textAlignment w:val="center"/>
              <w:rPr>
                <w:color w:val="000000"/>
                <w:sz w:val="18"/>
                <w:szCs w:val="18"/>
              </w:rPr>
            </w:pPr>
            <w:r>
              <w:rPr>
                <w:color w:val="000000"/>
                <w:kern w:val="0"/>
                <w:sz w:val="18"/>
                <w:szCs w:val="18"/>
                <w:lang w:bidi="ar"/>
              </w:rPr>
              <w:t>85.48</w:t>
            </w:r>
          </w:p>
        </w:tc>
        <w:tc>
          <w:tcPr>
            <w:tcW w:w="160" w:type="pct"/>
            <w:tcBorders>
              <w:tl2br w:val="nil"/>
              <w:tr2bl w:val="nil"/>
            </w:tcBorders>
            <w:noWrap/>
            <w:vAlign w:val="center"/>
          </w:tcPr>
          <w:p w14:paraId="3DF1B9ED">
            <w:pPr>
              <w:widowControl/>
              <w:jc w:val="center"/>
              <w:textAlignment w:val="center"/>
              <w:rPr>
                <w:color w:val="000000"/>
                <w:sz w:val="18"/>
                <w:szCs w:val="18"/>
              </w:rPr>
            </w:pPr>
            <w:r>
              <w:rPr>
                <w:color w:val="000000"/>
                <w:kern w:val="0"/>
                <w:sz w:val="18"/>
                <w:szCs w:val="18"/>
                <w:lang w:bidi="ar"/>
              </w:rPr>
              <w:t>29.21</w:t>
            </w:r>
          </w:p>
        </w:tc>
        <w:tc>
          <w:tcPr>
            <w:tcW w:w="160" w:type="pct"/>
            <w:tcBorders>
              <w:tl2br w:val="nil"/>
              <w:tr2bl w:val="nil"/>
            </w:tcBorders>
            <w:noWrap/>
            <w:vAlign w:val="center"/>
          </w:tcPr>
          <w:p w14:paraId="494C6D6B">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2E196A6F">
            <w:pPr>
              <w:widowControl/>
              <w:jc w:val="center"/>
              <w:textAlignment w:val="center"/>
              <w:rPr>
                <w:color w:val="000000"/>
                <w:sz w:val="18"/>
                <w:szCs w:val="18"/>
              </w:rPr>
            </w:pPr>
            <w:r>
              <w:rPr>
                <w:color w:val="000000"/>
                <w:kern w:val="0"/>
                <w:sz w:val="18"/>
                <w:szCs w:val="18"/>
                <w:lang w:bidi="ar"/>
              </w:rPr>
              <w:t>51.95</w:t>
            </w:r>
          </w:p>
        </w:tc>
        <w:tc>
          <w:tcPr>
            <w:tcW w:w="160" w:type="pct"/>
            <w:tcBorders>
              <w:tl2br w:val="nil"/>
              <w:tr2bl w:val="nil"/>
            </w:tcBorders>
            <w:noWrap/>
            <w:vAlign w:val="center"/>
          </w:tcPr>
          <w:p w14:paraId="7F516D66">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0D73E16A">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2ABC0055">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BA25573">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35CF43B8">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55C35086">
            <w:pPr>
              <w:widowControl/>
              <w:jc w:val="center"/>
              <w:textAlignment w:val="center"/>
              <w:rPr>
                <w:color w:val="000000"/>
                <w:sz w:val="18"/>
                <w:szCs w:val="18"/>
              </w:rPr>
            </w:pPr>
            <w:r>
              <w:rPr>
                <w:color w:val="000000"/>
                <w:kern w:val="0"/>
                <w:sz w:val="18"/>
                <w:szCs w:val="18"/>
                <w:lang w:bidi="ar"/>
              </w:rPr>
              <w:t>30.95</w:t>
            </w:r>
          </w:p>
        </w:tc>
        <w:tc>
          <w:tcPr>
            <w:tcW w:w="160" w:type="pct"/>
            <w:tcBorders>
              <w:tl2br w:val="nil"/>
              <w:tr2bl w:val="nil"/>
            </w:tcBorders>
            <w:noWrap/>
            <w:vAlign w:val="center"/>
          </w:tcPr>
          <w:p w14:paraId="351433B5">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6791D6ED">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1EEDD52A">
            <w:pPr>
              <w:widowControl/>
              <w:jc w:val="center"/>
              <w:textAlignment w:val="center"/>
              <w:rPr>
                <w:color w:val="000000"/>
                <w:sz w:val="18"/>
                <w:szCs w:val="18"/>
              </w:rPr>
            </w:pPr>
            <w:r>
              <w:rPr>
                <w:color w:val="000000"/>
                <w:kern w:val="0"/>
                <w:sz w:val="18"/>
                <w:szCs w:val="18"/>
                <w:lang w:bidi="ar"/>
              </w:rPr>
              <w:t>1</w:t>
            </w:r>
          </w:p>
        </w:tc>
      </w:tr>
      <w:tr w14:paraId="724261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0E14F575">
            <w:pPr>
              <w:widowControl/>
              <w:jc w:val="center"/>
              <w:textAlignment w:val="center"/>
              <w:rPr>
                <w:color w:val="000000"/>
                <w:sz w:val="18"/>
                <w:szCs w:val="18"/>
              </w:rPr>
            </w:pPr>
            <w:r>
              <w:rPr>
                <w:color w:val="000000"/>
                <w:kern w:val="0"/>
                <w:sz w:val="18"/>
                <w:szCs w:val="18"/>
                <w:lang w:bidi="ar"/>
              </w:rPr>
              <w:t>29</w:t>
            </w:r>
          </w:p>
        </w:tc>
        <w:tc>
          <w:tcPr>
            <w:tcW w:w="231" w:type="pct"/>
            <w:vMerge w:val="continue"/>
            <w:tcBorders>
              <w:tl2br w:val="nil"/>
              <w:tr2bl w:val="nil"/>
            </w:tcBorders>
            <w:noWrap/>
            <w:vAlign w:val="center"/>
          </w:tcPr>
          <w:p w14:paraId="4804AD03">
            <w:pPr>
              <w:widowControl/>
              <w:jc w:val="center"/>
              <w:rPr>
                <w:color w:val="000000"/>
                <w:sz w:val="18"/>
                <w:szCs w:val="18"/>
              </w:rPr>
            </w:pPr>
          </w:p>
        </w:tc>
        <w:tc>
          <w:tcPr>
            <w:tcW w:w="468" w:type="pct"/>
            <w:tcBorders>
              <w:tl2br w:val="nil"/>
              <w:tr2bl w:val="nil"/>
            </w:tcBorders>
            <w:noWrap/>
            <w:vAlign w:val="center"/>
          </w:tcPr>
          <w:p w14:paraId="3FFA0660">
            <w:pPr>
              <w:widowControl/>
              <w:jc w:val="center"/>
              <w:textAlignment w:val="center"/>
              <w:rPr>
                <w:color w:val="000000"/>
                <w:sz w:val="18"/>
                <w:szCs w:val="18"/>
              </w:rPr>
            </w:pPr>
            <w:r>
              <w:rPr>
                <w:rFonts w:hint="eastAsia"/>
                <w:color w:val="000000"/>
                <w:kern w:val="0"/>
                <w:sz w:val="18"/>
                <w:szCs w:val="18"/>
                <w:lang w:bidi="ar"/>
              </w:rPr>
              <w:t>冷水机</w:t>
            </w:r>
          </w:p>
        </w:tc>
        <w:tc>
          <w:tcPr>
            <w:tcW w:w="412" w:type="pct"/>
            <w:tcBorders>
              <w:tl2br w:val="nil"/>
              <w:tr2bl w:val="nil"/>
            </w:tcBorders>
            <w:noWrap/>
            <w:vAlign w:val="center"/>
          </w:tcPr>
          <w:p w14:paraId="702B8733">
            <w:pPr>
              <w:widowControl/>
              <w:jc w:val="center"/>
              <w:textAlignment w:val="center"/>
              <w:rPr>
                <w:color w:val="000000"/>
                <w:sz w:val="18"/>
                <w:szCs w:val="18"/>
              </w:rPr>
            </w:pPr>
            <w:r>
              <w:rPr>
                <w:color w:val="000000"/>
                <w:kern w:val="0"/>
                <w:sz w:val="18"/>
                <w:szCs w:val="18"/>
                <w:lang w:bidi="ar"/>
              </w:rPr>
              <w:t>CWUL-05AH</w:t>
            </w:r>
          </w:p>
        </w:tc>
        <w:tc>
          <w:tcPr>
            <w:tcW w:w="318" w:type="pct"/>
            <w:tcBorders>
              <w:tl2br w:val="nil"/>
              <w:tr2bl w:val="nil"/>
            </w:tcBorders>
            <w:noWrap/>
            <w:vAlign w:val="center"/>
          </w:tcPr>
          <w:p w14:paraId="1EE15804">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7A791F60">
            <w:pPr>
              <w:widowControl/>
              <w:jc w:val="center"/>
              <w:rPr>
                <w:color w:val="000000"/>
                <w:sz w:val="18"/>
                <w:szCs w:val="18"/>
              </w:rPr>
            </w:pPr>
          </w:p>
        </w:tc>
        <w:tc>
          <w:tcPr>
            <w:tcW w:w="181" w:type="pct"/>
            <w:tcBorders>
              <w:tl2br w:val="nil"/>
              <w:tr2bl w:val="nil"/>
            </w:tcBorders>
            <w:noWrap/>
            <w:vAlign w:val="center"/>
          </w:tcPr>
          <w:p w14:paraId="0F39CE22">
            <w:pPr>
              <w:widowControl/>
              <w:jc w:val="center"/>
              <w:textAlignment w:val="center"/>
              <w:rPr>
                <w:color w:val="000000"/>
                <w:sz w:val="18"/>
                <w:szCs w:val="18"/>
              </w:rPr>
            </w:pPr>
            <w:r>
              <w:rPr>
                <w:color w:val="000000"/>
                <w:kern w:val="0"/>
                <w:sz w:val="18"/>
                <w:szCs w:val="18"/>
                <w:lang w:bidi="ar"/>
              </w:rPr>
              <w:t>-83.89</w:t>
            </w:r>
          </w:p>
        </w:tc>
        <w:tc>
          <w:tcPr>
            <w:tcW w:w="160" w:type="pct"/>
            <w:tcBorders>
              <w:tl2br w:val="nil"/>
              <w:tr2bl w:val="nil"/>
            </w:tcBorders>
            <w:noWrap/>
            <w:vAlign w:val="center"/>
          </w:tcPr>
          <w:p w14:paraId="4177F56C">
            <w:pPr>
              <w:widowControl/>
              <w:jc w:val="center"/>
              <w:textAlignment w:val="center"/>
              <w:rPr>
                <w:color w:val="000000"/>
                <w:sz w:val="18"/>
                <w:szCs w:val="18"/>
              </w:rPr>
            </w:pPr>
            <w:r>
              <w:rPr>
                <w:color w:val="000000"/>
                <w:kern w:val="0"/>
                <w:sz w:val="18"/>
                <w:szCs w:val="18"/>
                <w:lang w:bidi="ar"/>
              </w:rPr>
              <w:t>27.31</w:t>
            </w:r>
          </w:p>
        </w:tc>
        <w:tc>
          <w:tcPr>
            <w:tcW w:w="83" w:type="pct"/>
            <w:tcBorders>
              <w:tl2br w:val="nil"/>
              <w:tr2bl w:val="nil"/>
            </w:tcBorders>
            <w:noWrap/>
            <w:vAlign w:val="center"/>
          </w:tcPr>
          <w:p w14:paraId="5ED400E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46F29022">
            <w:pPr>
              <w:widowControl/>
              <w:jc w:val="center"/>
              <w:textAlignment w:val="center"/>
              <w:rPr>
                <w:color w:val="000000"/>
                <w:sz w:val="18"/>
                <w:szCs w:val="18"/>
              </w:rPr>
            </w:pPr>
            <w:r>
              <w:rPr>
                <w:color w:val="000000"/>
                <w:kern w:val="0"/>
                <w:sz w:val="18"/>
                <w:szCs w:val="18"/>
                <w:lang w:bidi="ar"/>
              </w:rPr>
              <w:t>14.63</w:t>
            </w:r>
          </w:p>
        </w:tc>
        <w:tc>
          <w:tcPr>
            <w:tcW w:w="160" w:type="pct"/>
            <w:tcBorders>
              <w:tl2br w:val="nil"/>
              <w:tr2bl w:val="nil"/>
            </w:tcBorders>
            <w:noWrap/>
            <w:vAlign w:val="center"/>
          </w:tcPr>
          <w:p w14:paraId="2839DDDF">
            <w:pPr>
              <w:widowControl/>
              <w:jc w:val="center"/>
              <w:textAlignment w:val="center"/>
              <w:rPr>
                <w:color w:val="000000"/>
                <w:sz w:val="18"/>
                <w:szCs w:val="18"/>
              </w:rPr>
            </w:pPr>
            <w:r>
              <w:rPr>
                <w:color w:val="000000"/>
                <w:kern w:val="0"/>
                <w:sz w:val="18"/>
                <w:szCs w:val="18"/>
                <w:lang w:bidi="ar"/>
              </w:rPr>
              <w:t>3.74</w:t>
            </w:r>
          </w:p>
        </w:tc>
        <w:tc>
          <w:tcPr>
            <w:tcW w:w="160" w:type="pct"/>
            <w:tcBorders>
              <w:tl2br w:val="nil"/>
              <w:tr2bl w:val="nil"/>
            </w:tcBorders>
            <w:noWrap/>
            <w:vAlign w:val="center"/>
          </w:tcPr>
          <w:p w14:paraId="406119C0">
            <w:pPr>
              <w:widowControl/>
              <w:jc w:val="center"/>
              <w:textAlignment w:val="center"/>
              <w:rPr>
                <w:color w:val="000000"/>
                <w:sz w:val="18"/>
                <w:szCs w:val="18"/>
              </w:rPr>
            </w:pPr>
            <w:r>
              <w:rPr>
                <w:color w:val="000000"/>
                <w:kern w:val="0"/>
                <w:sz w:val="18"/>
                <w:szCs w:val="18"/>
                <w:lang w:bidi="ar"/>
              </w:rPr>
              <w:t>88.16</w:t>
            </w:r>
          </w:p>
        </w:tc>
        <w:tc>
          <w:tcPr>
            <w:tcW w:w="160" w:type="pct"/>
            <w:tcBorders>
              <w:tl2br w:val="nil"/>
              <w:tr2bl w:val="nil"/>
            </w:tcBorders>
            <w:noWrap/>
            <w:vAlign w:val="center"/>
          </w:tcPr>
          <w:p w14:paraId="2EC594B6">
            <w:pPr>
              <w:widowControl/>
              <w:jc w:val="center"/>
              <w:textAlignment w:val="center"/>
              <w:rPr>
                <w:color w:val="000000"/>
                <w:sz w:val="18"/>
                <w:szCs w:val="18"/>
              </w:rPr>
            </w:pPr>
            <w:r>
              <w:rPr>
                <w:color w:val="000000"/>
                <w:kern w:val="0"/>
                <w:sz w:val="18"/>
                <w:szCs w:val="18"/>
                <w:lang w:bidi="ar"/>
              </w:rPr>
              <w:t>29.31</w:t>
            </w:r>
          </w:p>
        </w:tc>
        <w:tc>
          <w:tcPr>
            <w:tcW w:w="160" w:type="pct"/>
            <w:tcBorders>
              <w:tl2br w:val="nil"/>
              <w:tr2bl w:val="nil"/>
            </w:tcBorders>
            <w:noWrap/>
            <w:vAlign w:val="center"/>
          </w:tcPr>
          <w:p w14:paraId="5A3F3BBE">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4E6938DD">
            <w:pPr>
              <w:widowControl/>
              <w:jc w:val="center"/>
              <w:textAlignment w:val="center"/>
              <w:rPr>
                <w:color w:val="000000"/>
                <w:sz w:val="18"/>
                <w:szCs w:val="18"/>
              </w:rPr>
            </w:pPr>
            <w:r>
              <w:rPr>
                <w:color w:val="000000"/>
                <w:kern w:val="0"/>
                <w:sz w:val="18"/>
                <w:szCs w:val="18"/>
                <w:lang w:bidi="ar"/>
              </w:rPr>
              <w:t>61.95</w:t>
            </w:r>
          </w:p>
        </w:tc>
        <w:tc>
          <w:tcPr>
            <w:tcW w:w="160" w:type="pct"/>
            <w:tcBorders>
              <w:tl2br w:val="nil"/>
              <w:tr2bl w:val="nil"/>
            </w:tcBorders>
            <w:noWrap/>
            <w:vAlign w:val="center"/>
          </w:tcPr>
          <w:p w14:paraId="35C683AB">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75E7A7AC">
            <w:pPr>
              <w:widowControl/>
              <w:jc w:val="center"/>
              <w:textAlignment w:val="center"/>
              <w:rPr>
                <w:color w:val="000000"/>
                <w:sz w:val="18"/>
                <w:szCs w:val="18"/>
              </w:rPr>
            </w:pPr>
            <w:r>
              <w:rPr>
                <w:color w:val="000000"/>
                <w:kern w:val="0"/>
                <w:sz w:val="18"/>
                <w:szCs w:val="18"/>
                <w:lang w:bidi="ar"/>
              </w:rPr>
              <w:t>61.80</w:t>
            </w:r>
          </w:p>
        </w:tc>
        <w:tc>
          <w:tcPr>
            <w:tcW w:w="188" w:type="pct"/>
            <w:tcBorders>
              <w:tl2br w:val="nil"/>
              <w:tr2bl w:val="nil"/>
            </w:tcBorders>
            <w:noWrap/>
            <w:vAlign w:val="center"/>
          </w:tcPr>
          <w:p w14:paraId="6F023FC9">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13D7BED">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B9132AE">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0BBB9BD3">
            <w:pPr>
              <w:widowControl/>
              <w:jc w:val="center"/>
              <w:textAlignment w:val="center"/>
              <w:rPr>
                <w:color w:val="000000"/>
                <w:sz w:val="18"/>
                <w:szCs w:val="18"/>
              </w:rPr>
            </w:pPr>
            <w:r>
              <w:rPr>
                <w:color w:val="000000"/>
                <w:kern w:val="0"/>
                <w:sz w:val="18"/>
                <w:szCs w:val="18"/>
                <w:lang w:bidi="ar"/>
              </w:rPr>
              <w:t>40.95</w:t>
            </w:r>
          </w:p>
        </w:tc>
        <w:tc>
          <w:tcPr>
            <w:tcW w:w="160" w:type="pct"/>
            <w:tcBorders>
              <w:tl2br w:val="nil"/>
              <w:tr2bl w:val="nil"/>
            </w:tcBorders>
            <w:noWrap/>
            <w:vAlign w:val="center"/>
          </w:tcPr>
          <w:p w14:paraId="4CDF21D5">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39816039">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65A9716E">
            <w:pPr>
              <w:widowControl/>
              <w:jc w:val="center"/>
              <w:textAlignment w:val="center"/>
              <w:rPr>
                <w:color w:val="000000"/>
                <w:sz w:val="18"/>
                <w:szCs w:val="18"/>
              </w:rPr>
            </w:pPr>
            <w:r>
              <w:rPr>
                <w:color w:val="000000"/>
                <w:kern w:val="0"/>
                <w:sz w:val="18"/>
                <w:szCs w:val="18"/>
                <w:lang w:bidi="ar"/>
              </w:rPr>
              <w:t>1</w:t>
            </w:r>
          </w:p>
        </w:tc>
      </w:tr>
      <w:tr w14:paraId="6E5D1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2CD84ED5">
            <w:pPr>
              <w:widowControl/>
              <w:jc w:val="center"/>
              <w:textAlignment w:val="center"/>
              <w:rPr>
                <w:color w:val="000000"/>
                <w:sz w:val="18"/>
                <w:szCs w:val="18"/>
              </w:rPr>
            </w:pPr>
            <w:r>
              <w:rPr>
                <w:color w:val="000000"/>
                <w:kern w:val="0"/>
                <w:sz w:val="18"/>
                <w:szCs w:val="18"/>
                <w:lang w:bidi="ar"/>
              </w:rPr>
              <w:t>30</w:t>
            </w:r>
          </w:p>
        </w:tc>
        <w:tc>
          <w:tcPr>
            <w:tcW w:w="231" w:type="pct"/>
            <w:vMerge w:val="continue"/>
            <w:tcBorders>
              <w:tl2br w:val="nil"/>
              <w:tr2bl w:val="nil"/>
            </w:tcBorders>
            <w:noWrap/>
            <w:vAlign w:val="center"/>
          </w:tcPr>
          <w:p w14:paraId="27049431">
            <w:pPr>
              <w:widowControl/>
              <w:jc w:val="center"/>
              <w:rPr>
                <w:color w:val="000000"/>
                <w:sz w:val="18"/>
                <w:szCs w:val="18"/>
              </w:rPr>
            </w:pPr>
          </w:p>
        </w:tc>
        <w:tc>
          <w:tcPr>
            <w:tcW w:w="468" w:type="pct"/>
            <w:tcBorders>
              <w:tl2br w:val="nil"/>
              <w:tr2bl w:val="nil"/>
            </w:tcBorders>
            <w:noWrap/>
            <w:vAlign w:val="center"/>
          </w:tcPr>
          <w:p w14:paraId="66005DEC">
            <w:pPr>
              <w:widowControl/>
              <w:jc w:val="center"/>
              <w:textAlignment w:val="center"/>
              <w:rPr>
                <w:color w:val="000000"/>
                <w:sz w:val="18"/>
                <w:szCs w:val="18"/>
              </w:rPr>
            </w:pPr>
            <w:r>
              <w:rPr>
                <w:rFonts w:hint="eastAsia"/>
                <w:color w:val="000000"/>
                <w:kern w:val="0"/>
                <w:sz w:val="18"/>
                <w:szCs w:val="18"/>
                <w:lang w:bidi="ar"/>
              </w:rPr>
              <w:t>1#点胶机</w:t>
            </w:r>
          </w:p>
        </w:tc>
        <w:tc>
          <w:tcPr>
            <w:tcW w:w="412" w:type="pct"/>
            <w:tcBorders>
              <w:tl2br w:val="nil"/>
              <w:tr2bl w:val="nil"/>
            </w:tcBorders>
            <w:noWrap/>
            <w:vAlign w:val="center"/>
          </w:tcPr>
          <w:p w14:paraId="23A50F5B">
            <w:pPr>
              <w:widowControl/>
              <w:jc w:val="center"/>
              <w:textAlignment w:val="center"/>
              <w:rPr>
                <w:color w:val="000000"/>
                <w:sz w:val="18"/>
                <w:szCs w:val="18"/>
              </w:rPr>
            </w:pPr>
            <w:r>
              <w:rPr>
                <w:color w:val="000000"/>
                <w:kern w:val="0"/>
                <w:sz w:val="18"/>
                <w:szCs w:val="18"/>
                <w:lang w:bidi="ar"/>
              </w:rPr>
              <w:t>RA02076</w:t>
            </w:r>
          </w:p>
        </w:tc>
        <w:tc>
          <w:tcPr>
            <w:tcW w:w="318" w:type="pct"/>
            <w:tcBorders>
              <w:tl2br w:val="nil"/>
              <w:tr2bl w:val="nil"/>
            </w:tcBorders>
            <w:noWrap/>
            <w:vAlign w:val="center"/>
          </w:tcPr>
          <w:p w14:paraId="08DCE187">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66E51033">
            <w:pPr>
              <w:widowControl/>
              <w:jc w:val="center"/>
              <w:rPr>
                <w:color w:val="000000"/>
                <w:sz w:val="18"/>
                <w:szCs w:val="18"/>
              </w:rPr>
            </w:pPr>
          </w:p>
        </w:tc>
        <w:tc>
          <w:tcPr>
            <w:tcW w:w="181" w:type="pct"/>
            <w:tcBorders>
              <w:tl2br w:val="nil"/>
              <w:tr2bl w:val="nil"/>
            </w:tcBorders>
            <w:noWrap/>
            <w:vAlign w:val="center"/>
          </w:tcPr>
          <w:p w14:paraId="7A4C9A61">
            <w:pPr>
              <w:widowControl/>
              <w:jc w:val="center"/>
              <w:textAlignment w:val="center"/>
              <w:rPr>
                <w:color w:val="000000"/>
                <w:sz w:val="18"/>
                <w:szCs w:val="18"/>
              </w:rPr>
            </w:pPr>
            <w:r>
              <w:rPr>
                <w:color w:val="000000"/>
                <w:kern w:val="0"/>
                <w:sz w:val="18"/>
                <w:szCs w:val="18"/>
                <w:lang w:bidi="ar"/>
              </w:rPr>
              <w:t>-86.57</w:t>
            </w:r>
          </w:p>
        </w:tc>
        <w:tc>
          <w:tcPr>
            <w:tcW w:w="160" w:type="pct"/>
            <w:tcBorders>
              <w:tl2br w:val="nil"/>
              <w:tr2bl w:val="nil"/>
            </w:tcBorders>
            <w:noWrap/>
            <w:vAlign w:val="center"/>
          </w:tcPr>
          <w:p w14:paraId="148A8688">
            <w:pPr>
              <w:widowControl/>
              <w:jc w:val="center"/>
              <w:textAlignment w:val="center"/>
              <w:rPr>
                <w:color w:val="000000"/>
                <w:sz w:val="18"/>
                <w:szCs w:val="18"/>
              </w:rPr>
            </w:pPr>
            <w:r>
              <w:rPr>
                <w:color w:val="000000"/>
                <w:kern w:val="0"/>
                <w:sz w:val="18"/>
                <w:szCs w:val="18"/>
                <w:lang w:bidi="ar"/>
              </w:rPr>
              <w:t>28.07</w:t>
            </w:r>
          </w:p>
        </w:tc>
        <w:tc>
          <w:tcPr>
            <w:tcW w:w="83" w:type="pct"/>
            <w:tcBorders>
              <w:tl2br w:val="nil"/>
              <w:tr2bl w:val="nil"/>
            </w:tcBorders>
            <w:noWrap/>
            <w:vAlign w:val="center"/>
          </w:tcPr>
          <w:p w14:paraId="23BEA4AB">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52C1F9F6">
            <w:pPr>
              <w:widowControl/>
              <w:jc w:val="center"/>
              <w:textAlignment w:val="center"/>
              <w:rPr>
                <w:color w:val="000000"/>
                <w:sz w:val="18"/>
                <w:szCs w:val="18"/>
              </w:rPr>
            </w:pPr>
            <w:r>
              <w:rPr>
                <w:color w:val="000000"/>
                <w:kern w:val="0"/>
                <w:sz w:val="18"/>
                <w:szCs w:val="18"/>
                <w:lang w:bidi="ar"/>
              </w:rPr>
              <w:t>11.84</w:t>
            </w:r>
          </w:p>
        </w:tc>
        <w:tc>
          <w:tcPr>
            <w:tcW w:w="160" w:type="pct"/>
            <w:tcBorders>
              <w:tl2br w:val="nil"/>
              <w:tr2bl w:val="nil"/>
            </w:tcBorders>
            <w:noWrap/>
            <w:vAlign w:val="center"/>
          </w:tcPr>
          <w:p w14:paraId="1796FF5F">
            <w:pPr>
              <w:widowControl/>
              <w:jc w:val="center"/>
              <w:textAlignment w:val="center"/>
              <w:rPr>
                <w:color w:val="000000"/>
                <w:sz w:val="18"/>
                <w:szCs w:val="18"/>
              </w:rPr>
            </w:pPr>
            <w:r>
              <w:rPr>
                <w:color w:val="000000"/>
                <w:kern w:val="0"/>
                <w:sz w:val="18"/>
                <w:szCs w:val="18"/>
                <w:lang w:bidi="ar"/>
              </w:rPr>
              <w:t>3.76</w:t>
            </w:r>
          </w:p>
        </w:tc>
        <w:tc>
          <w:tcPr>
            <w:tcW w:w="160" w:type="pct"/>
            <w:tcBorders>
              <w:tl2br w:val="nil"/>
              <w:tr2bl w:val="nil"/>
            </w:tcBorders>
            <w:noWrap/>
            <w:vAlign w:val="center"/>
          </w:tcPr>
          <w:p w14:paraId="6C74F2E8">
            <w:pPr>
              <w:widowControl/>
              <w:jc w:val="center"/>
              <w:textAlignment w:val="center"/>
              <w:rPr>
                <w:color w:val="000000"/>
                <w:sz w:val="18"/>
                <w:szCs w:val="18"/>
              </w:rPr>
            </w:pPr>
            <w:r>
              <w:rPr>
                <w:color w:val="000000"/>
                <w:kern w:val="0"/>
                <w:sz w:val="18"/>
                <w:szCs w:val="18"/>
                <w:lang w:bidi="ar"/>
              </w:rPr>
              <w:t>90.94</w:t>
            </w:r>
          </w:p>
        </w:tc>
        <w:tc>
          <w:tcPr>
            <w:tcW w:w="160" w:type="pct"/>
            <w:tcBorders>
              <w:tl2br w:val="nil"/>
              <w:tr2bl w:val="nil"/>
            </w:tcBorders>
            <w:noWrap/>
            <w:vAlign w:val="center"/>
          </w:tcPr>
          <w:p w14:paraId="0A99652A">
            <w:pPr>
              <w:widowControl/>
              <w:jc w:val="center"/>
              <w:textAlignment w:val="center"/>
              <w:rPr>
                <w:color w:val="000000"/>
                <w:sz w:val="18"/>
                <w:szCs w:val="18"/>
              </w:rPr>
            </w:pPr>
            <w:r>
              <w:rPr>
                <w:color w:val="000000"/>
                <w:kern w:val="0"/>
                <w:sz w:val="18"/>
                <w:szCs w:val="18"/>
                <w:lang w:bidi="ar"/>
              </w:rPr>
              <w:t>29.30</w:t>
            </w:r>
          </w:p>
        </w:tc>
        <w:tc>
          <w:tcPr>
            <w:tcW w:w="160" w:type="pct"/>
            <w:tcBorders>
              <w:tl2br w:val="nil"/>
              <w:tr2bl w:val="nil"/>
            </w:tcBorders>
            <w:noWrap/>
            <w:vAlign w:val="center"/>
          </w:tcPr>
          <w:p w14:paraId="409E71A7">
            <w:pPr>
              <w:widowControl/>
              <w:jc w:val="center"/>
              <w:textAlignment w:val="center"/>
              <w:rPr>
                <w:color w:val="000000"/>
                <w:sz w:val="18"/>
                <w:szCs w:val="18"/>
              </w:rPr>
            </w:pPr>
            <w:r>
              <w:rPr>
                <w:color w:val="000000"/>
                <w:kern w:val="0"/>
                <w:sz w:val="18"/>
                <w:szCs w:val="18"/>
                <w:lang w:bidi="ar"/>
              </w:rPr>
              <w:t>51.81</w:t>
            </w:r>
          </w:p>
        </w:tc>
        <w:tc>
          <w:tcPr>
            <w:tcW w:w="160" w:type="pct"/>
            <w:tcBorders>
              <w:tl2br w:val="nil"/>
              <w:tr2bl w:val="nil"/>
            </w:tcBorders>
            <w:noWrap/>
            <w:vAlign w:val="center"/>
          </w:tcPr>
          <w:p w14:paraId="36C77EF6">
            <w:pPr>
              <w:widowControl/>
              <w:jc w:val="center"/>
              <w:textAlignment w:val="center"/>
              <w:rPr>
                <w:color w:val="000000"/>
                <w:sz w:val="18"/>
                <w:szCs w:val="18"/>
              </w:rPr>
            </w:pPr>
            <w:r>
              <w:rPr>
                <w:color w:val="000000"/>
                <w:kern w:val="0"/>
                <w:sz w:val="18"/>
                <w:szCs w:val="18"/>
                <w:lang w:bidi="ar"/>
              </w:rPr>
              <w:t>51.95</w:t>
            </w:r>
          </w:p>
        </w:tc>
        <w:tc>
          <w:tcPr>
            <w:tcW w:w="160" w:type="pct"/>
            <w:tcBorders>
              <w:tl2br w:val="nil"/>
              <w:tr2bl w:val="nil"/>
            </w:tcBorders>
            <w:noWrap/>
            <w:vAlign w:val="center"/>
          </w:tcPr>
          <w:p w14:paraId="1CEF8274">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4765B3A3">
            <w:pPr>
              <w:widowControl/>
              <w:jc w:val="center"/>
              <w:textAlignment w:val="center"/>
              <w:rPr>
                <w:color w:val="000000"/>
                <w:sz w:val="18"/>
                <w:szCs w:val="18"/>
              </w:rPr>
            </w:pPr>
            <w:r>
              <w:rPr>
                <w:color w:val="000000"/>
                <w:kern w:val="0"/>
                <w:sz w:val="18"/>
                <w:szCs w:val="18"/>
                <w:lang w:bidi="ar"/>
              </w:rPr>
              <w:t>51.80</w:t>
            </w:r>
          </w:p>
        </w:tc>
        <w:tc>
          <w:tcPr>
            <w:tcW w:w="188" w:type="pct"/>
            <w:tcBorders>
              <w:tl2br w:val="nil"/>
              <w:tr2bl w:val="nil"/>
            </w:tcBorders>
            <w:noWrap/>
            <w:vAlign w:val="center"/>
          </w:tcPr>
          <w:p w14:paraId="72A9E867">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578B2F02">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59252E38">
            <w:pPr>
              <w:widowControl/>
              <w:jc w:val="center"/>
              <w:textAlignment w:val="center"/>
              <w:rPr>
                <w:color w:val="000000"/>
                <w:sz w:val="18"/>
                <w:szCs w:val="18"/>
              </w:rPr>
            </w:pPr>
            <w:r>
              <w:rPr>
                <w:color w:val="000000"/>
                <w:kern w:val="0"/>
                <w:sz w:val="18"/>
                <w:szCs w:val="18"/>
                <w:lang w:bidi="ar"/>
              </w:rPr>
              <w:t>30.81</w:t>
            </w:r>
          </w:p>
        </w:tc>
        <w:tc>
          <w:tcPr>
            <w:tcW w:w="160" w:type="pct"/>
            <w:tcBorders>
              <w:tl2br w:val="nil"/>
              <w:tr2bl w:val="nil"/>
            </w:tcBorders>
            <w:noWrap/>
            <w:vAlign w:val="center"/>
          </w:tcPr>
          <w:p w14:paraId="15FB9EBF">
            <w:pPr>
              <w:widowControl/>
              <w:jc w:val="center"/>
              <w:textAlignment w:val="center"/>
              <w:rPr>
                <w:color w:val="000000"/>
                <w:sz w:val="18"/>
                <w:szCs w:val="18"/>
              </w:rPr>
            </w:pPr>
            <w:r>
              <w:rPr>
                <w:color w:val="000000"/>
                <w:kern w:val="0"/>
                <w:sz w:val="18"/>
                <w:szCs w:val="18"/>
                <w:lang w:bidi="ar"/>
              </w:rPr>
              <w:t>30.95</w:t>
            </w:r>
          </w:p>
        </w:tc>
        <w:tc>
          <w:tcPr>
            <w:tcW w:w="160" w:type="pct"/>
            <w:tcBorders>
              <w:tl2br w:val="nil"/>
              <w:tr2bl w:val="nil"/>
            </w:tcBorders>
            <w:noWrap/>
            <w:vAlign w:val="center"/>
          </w:tcPr>
          <w:p w14:paraId="5EEA2719">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397A353F">
            <w:pPr>
              <w:widowControl/>
              <w:jc w:val="center"/>
              <w:textAlignment w:val="center"/>
              <w:rPr>
                <w:color w:val="000000"/>
                <w:sz w:val="18"/>
                <w:szCs w:val="18"/>
              </w:rPr>
            </w:pPr>
            <w:r>
              <w:rPr>
                <w:color w:val="000000"/>
                <w:kern w:val="0"/>
                <w:sz w:val="18"/>
                <w:szCs w:val="18"/>
                <w:lang w:bidi="ar"/>
              </w:rPr>
              <w:t>30.80</w:t>
            </w:r>
          </w:p>
        </w:tc>
        <w:tc>
          <w:tcPr>
            <w:tcW w:w="248" w:type="pct"/>
            <w:tcBorders>
              <w:tl2br w:val="nil"/>
              <w:tr2bl w:val="nil"/>
            </w:tcBorders>
            <w:noWrap/>
            <w:vAlign w:val="center"/>
          </w:tcPr>
          <w:p w14:paraId="5CF227FA">
            <w:pPr>
              <w:widowControl/>
              <w:jc w:val="center"/>
              <w:textAlignment w:val="center"/>
              <w:rPr>
                <w:color w:val="000000"/>
                <w:sz w:val="18"/>
                <w:szCs w:val="18"/>
              </w:rPr>
            </w:pPr>
            <w:r>
              <w:rPr>
                <w:color w:val="000000"/>
                <w:kern w:val="0"/>
                <w:sz w:val="18"/>
                <w:szCs w:val="18"/>
                <w:lang w:bidi="ar"/>
              </w:rPr>
              <w:t>1</w:t>
            </w:r>
          </w:p>
        </w:tc>
      </w:tr>
      <w:tr w14:paraId="4A333D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068C2E31">
            <w:pPr>
              <w:widowControl/>
              <w:jc w:val="center"/>
              <w:textAlignment w:val="center"/>
              <w:rPr>
                <w:color w:val="000000"/>
                <w:sz w:val="18"/>
                <w:szCs w:val="18"/>
              </w:rPr>
            </w:pPr>
            <w:r>
              <w:rPr>
                <w:color w:val="000000"/>
                <w:kern w:val="0"/>
                <w:sz w:val="18"/>
                <w:szCs w:val="18"/>
                <w:lang w:bidi="ar"/>
              </w:rPr>
              <w:t>31</w:t>
            </w:r>
          </w:p>
        </w:tc>
        <w:tc>
          <w:tcPr>
            <w:tcW w:w="231" w:type="pct"/>
            <w:vMerge w:val="continue"/>
            <w:tcBorders>
              <w:tl2br w:val="nil"/>
              <w:tr2bl w:val="nil"/>
            </w:tcBorders>
            <w:noWrap/>
            <w:vAlign w:val="center"/>
          </w:tcPr>
          <w:p w14:paraId="0FD430F5">
            <w:pPr>
              <w:widowControl/>
              <w:jc w:val="center"/>
              <w:rPr>
                <w:color w:val="000000"/>
                <w:sz w:val="18"/>
                <w:szCs w:val="18"/>
              </w:rPr>
            </w:pPr>
          </w:p>
        </w:tc>
        <w:tc>
          <w:tcPr>
            <w:tcW w:w="468" w:type="pct"/>
            <w:tcBorders>
              <w:tl2br w:val="nil"/>
              <w:tr2bl w:val="nil"/>
            </w:tcBorders>
            <w:noWrap/>
            <w:vAlign w:val="center"/>
          </w:tcPr>
          <w:p w14:paraId="31DF0F42">
            <w:pPr>
              <w:widowControl/>
              <w:jc w:val="center"/>
              <w:textAlignment w:val="center"/>
              <w:rPr>
                <w:color w:val="000000"/>
                <w:sz w:val="18"/>
                <w:szCs w:val="18"/>
              </w:rPr>
            </w:pPr>
            <w:r>
              <w:rPr>
                <w:rFonts w:hint="eastAsia"/>
                <w:color w:val="000000"/>
                <w:kern w:val="0"/>
                <w:sz w:val="18"/>
                <w:szCs w:val="18"/>
                <w:lang w:bidi="ar"/>
              </w:rPr>
              <w:t>1#UV固化机</w:t>
            </w:r>
          </w:p>
        </w:tc>
        <w:tc>
          <w:tcPr>
            <w:tcW w:w="412" w:type="pct"/>
            <w:tcBorders>
              <w:tl2br w:val="nil"/>
              <w:tr2bl w:val="nil"/>
            </w:tcBorders>
            <w:noWrap/>
            <w:vAlign w:val="center"/>
          </w:tcPr>
          <w:p w14:paraId="26AC8202">
            <w:pPr>
              <w:widowControl/>
              <w:jc w:val="center"/>
              <w:textAlignment w:val="center"/>
              <w:rPr>
                <w:color w:val="000000"/>
                <w:sz w:val="18"/>
                <w:szCs w:val="18"/>
              </w:rPr>
            </w:pPr>
            <w:r>
              <w:rPr>
                <w:color w:val="000000"/>
                <w:kern w:val="0"/>
                <w:sz w:val="18"/>
                <w:szCs w:val="18"/>
                <w:lang w:bidi="ar"/>
              </w:rPr>
              <w:t>DX-1000</w:t>
            </w:r>
          </w:p>
        </w:tc>
        <w:tc>
          <w:tcPr>
            <w:tcW w:w="318" w:type="pct"/>
            <w:tcBorders>
              <w:tl2br w:val="nil"/>
              <w:tr2bl w:val="nil"/>
            </w:tcBorders>
            <w:noWrap/>
            <w:vAlign w:val="center"/>
          </w:tcPr>
          <w:p w14:paraId="679CA4A5">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59861C95">
            <w:pPr>
              <w:widowControl/>
              <w:jc w:val="center"/>
              <w:rPr>
                <w:color w:val="000000"/>
                <w:sz w:val="18"/>
                <w:szCs w:val="18"/>
              </w:rPr>
            </w:pPr>
          </w:p>
        </w:tc>
        <w:tc>
          <w:tcPr>
            <w:tcW w:w="181" w:type="pct"/>
            <w:tcBorders>
              <w:tl2br w:val="nil"/>
              <w:tr2bl w:val="nil"/>
            </w:tcBorders>
            <w:noWrap/>
            <w:vAlign w:val="center"/>
          </w:tcPr>
          <w:p w14:paraId="030CB1A3">
            <w:pPr>
              <w:widowControl/>
              <w:jc w:val="center"/>
              <w:textAlignment w:val="center"/>
              <w:rPr>
                <w:color w:val="000000"/>
                <w:sz w:val="18"/>
                <w:szCs w:val="18"/>
              </w:rPr>
            </w:pPr>
            <w:r>
              <w:rPr>
                <w:color w:val="000000"/>
                <w:kern w:val="0"/>
                <w:sz w:val="18"/>
                <w:szCs w:val="18"/>
                <w:lang w:bidi="ar"/>
              </w:rPr>
              <w:t>-88.88</w:t>
            </w:r>
          </w:p>
        </w:tc>
        <w:tc>
          <w:tcPr>
            <w:tcW w:w="160" w:type="pct"/>
            <w:tcBorders>
              <w:tl2br w:val="nil"/>
              <w:tr2bl w:val="nil"/>
            </w:tcBorders>
            <w:noWrap/>
            <w:vAlign w:val="center"/>
          </w:tcPr>
          <w:p w14:paraId="71B9F21C">
            <w:pPr>
              <w:widowControl/>
              <w:jc w:val="center"/>
              <w:textAlignment w:val="center"/>
              <w:rPr>
                <w:color w:val="000000"/>
                <w:sz w:val="18"/>
                <w:szCs w:val="18"/>
              </w:rPr>
            </w:pPr>
            <w:r>
              <w:rPr>
                <w:color w:val="000000"/>
                <w:kern w:val="0"/>
                <w:sz w:val="18"/>
                <w:szCs w:val="18"/>
                <w:lang w:bidi="ar"/>
              </w:rPr>
              <w:t>28.64</w:t>
            </w:r>
          </w:p>
        </w:tc>
        <w:tc>
          <w:tcPr>
            <w:tcW w:w="83" w:type="pct"/>
            <w:tcBorders>
              <w:tl2br w:val="nil"/>
              <w:tr2bl w:val="nil"/>
            </w:tcBorders>
            <w:noWrap/>
            <w:vAlign w:val="center"/>
          </w:tcPr>
          <w:p w14:paraId="72DE3242">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1CBC295">
            <w:pPr>
              <w:widowControl/>
              <w:jc w:val="center"/>
              <w:textAlignment w:val="center"/>
              <w:rPr>
                <w:color w:val="000000"/>
                <w:sz w:val="18"/>
                <w:szCs w:val="18"/>
              </w:rPr>
            </w:pPr>
            <w:r>
              <w:rPr>
                <w:color w:val="000000"/>
                <w:kern w:val="0"/>
                <w:sz w:val="18"/>
                <w:szCs w:val="18"/>
                <w:lang w:bidi="ar"/>
              </w:rPr>
              <w:t>9.47</w:t>
            </w:r>
          </w:p>
        </w:tc>
        <w:tc>
          <w:tcPr>
            <w:tcW w:w="160" w:type="pct"/>
            <w:tcBorders>
              <w:tl2br w:val="nil"/>
              <w:tr2bl w:val="nil"/>
            </w:tcBorders>
            <w:noWrap/>
            <w:vAlign w:val="center"/>
          </w:tcPr>
          <w:p w14:paraId="47D6EF89">
            <w:pPr>
              <w:widowControl/>
              <w:jc w:val="center"/>
              <w:textAlignment w:val="center"/>
              <w:rPr>
                <w:color w:val="000000"/>
                <w:sz w:val="18"/>
                <w:szCs w:val="18"/>
              </w:rPr>
            </w:pPr>
            <w:r>
              <w:rPr>
                <w:color w:val="000000"/>
                <w:kern w:val="0"/>
                <w:sz w:val="18"/>
                <w:szCs w:val="18"/>
                <w:lang w:bidi="ar"/>
              </w:rPr>
              <w:t>3.68</w:t>
            </w:r>
          </w:p>
        </w:tc>
        <w:tc>
          <w:tcPr>
            <w:tcW w:w="160" w:type="pct"/>
            <w:tcBorders>
              <w:tl2br w:val="nil"/>
              <w:tr2bl w:val="nil"/>
            </w:tcBorders>
            <w:noWrap/>
            <w:vAlign w:val="center"/>
          </w:tcPr>
          <w:p w14:paraId="4548AC30">
            <w:pPr>
              <w:widowControl/>
              <w:jc w:val="center"/>
              <w:textAlignment w:val="center"/>
              <w:rPr>
                <w:color w:val="000000"/>
                <w:sz w:val="18"/>
                <w:szCs w:val="18"/>
              </w:rPr>
            </w:pPr>
            <w:r>
              <w:rPr>
                <w:color w:val="000000"/>
                <w:kern w:val="0"/>
                <w:sz w:val="18"/>
                <w:szCs w:val="18"/>
                <w:lang w:bidi="ar"/>
              </w:rPr>
              <w:t>93.32</w:t>
            </w:r>
          </w:p>
        </w:tc>
        <w:tc>
          <w:tcPr>
            <w:tcW w:w="160" w:type="pct"/>
            <w:tcBorders>
              <w:tl2br w:val="nil"/>
              <w:tr2bl w:val="nil"/>
            </w:tcBorders>
            <w:noWrap/>
            <w:vAlign w:val="center"/>
          </w:tcPr>
          <w:p w14:paraId="005FF3FF">
            <w:pPr>
              <w:widowControl/>
              <w:jc w:val="center"/>
              <w:textAlignment w:val="center"/>
              <w:rPr>
                <w:color w:val="000000"/>
                <w:sz w:val="18"/>
                <w:szCs w:val="18"/>
              </w:rPr>
            </w:pPr>
            <w:r>
              <w:rPr>
                <w:color w:val="000000"/>
                <w:kern w:val="0"/>
                <w:sz w:val="18"/>
                <w:szCs w:val="18"/>
                <w:lang w:bidi="ar"/>
              </w:rPr>
              <w:t>29.37</w:t>
            </w:r>
          </w:p>
        </w:tc>
        <w:tc>
          <w:tcPr>
            <w:tcW w:w="160" w:type="pct"/>
            <w:tcBorders>
              <w:tl2br w:val="nil"/>
              <w:tr2bl w:val="nil"/>
            </w:tcBorders>
            <w:noWrap/>
            <w:vAlign w:val="center"/>
          </w:tcPr>
          <w:p w14:paraId="1BEAE38D">
            <w:pPr>
              <w:widowControl/>
              <w:jc w:val="center"/>
              <w:textAlignment w:val="center"/>
              <w:rPr>
                <w:color w:val="000000"/>
                <w:sz w:val="18"/>
                <w:szCs w:val="18"/>
              </w:rPr>
            </w:pPr>
            <w:r>
              <w:rPr>
                <w:color w:val="000000"/>
                <w:kern w:val="0"/>
                <w:sz w:val="18"/>
                <w:szCs w:val="18"/>
                <w:lang w:bidi="ar"/>
              </w:rPr>
              <w:t>56.82</w:t>
            </w:r>
          </w:p>
        </w:tc>
        <w:tc>
          <w:tcPr>
            <w:tcW w:w="160" w:type="pct"/>
            <w:tcBorders>
              <w:tl2br w:val="nil"/>
              <w:tr2bl w:val="nil"/>
            </w:tcBorders>
            <w:noWrap/>
            <w:vAlign w:val="center"/>
          </w:tcPr>
          <w:p w14:paraId="27C95939">
            <w:pPr>
              <w:widowControl/>
              <w:jc w:val="center"/>
              <w:textAlignment w:val="center"/>
              <w:rPr>
                <w:color w:val="000000"/>
                <w:sz w:val="18"/>
                <w:szCs w:val="18"/>
              </w:rPr>
            </w:pPr>
            <w:r>
              <w:rPr>
                <w:color w:val="000000"/>
                <w:kern w:val="0"/>
                <w:sz w:val="18"/>
                <w:szCs w:val="18"/>
                <w:lang w:bidi="ar"/>
              </w:rPr>
              <w:t>56.96</w:t>
            </w:r>
          </w:p>
        </w:tc>
        <w:tc>
          <w:tcPr>
            <w:tcW w:w="160" w:type="pct"/>
            <w:tcBorders>
              <w:tl2br w:val="nil"/>
              <w:tr2bl w:val="nil"/>
            </w:tcBorders>
            <w:noWrap/>
            <w:vAlign w:val="center"/>
          </w:tcPr>
          <w:p w14:paraId="16325F22">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44D04C5B">
            <w:pPr>
              <w:widowControl/>
              <w:jc w:val="center"/>
              <w:textAlignment w:val="center"/>
              <w:rPr>
                <w:color w:val="000000"/>
                <w:sz w:val="18"/>
                <w:szCs w:val="18"/>
              </w:rPr>
            </w:pPr>
            <w:r>
              <w:rPr>
                <w:color w:val="000000"/>
                <w:kern w:val="0"/>
                <w:sz w:val="18"/>
                <w:szCs w:val="18"/>
                <w:lang w:bidi="ar"/>
              </w:rPr>
              <w:t>56.80</w:t>
            </w:r>
          </w:p>
        </w:tc>
        <w:tc>
          <w:tcPr>
            <w:tcW w:w="188" w:type="pct"/>
            <w:tcBorders>
              <w:tl2br w:val="nil"/>
              <w:tr2bl w:val="nil"/>
            </w:tcBorders>
            <w:noWrap/>
            <w:vAlign w:val="center"/>
          </w:tcPr>
          <w:p w14:paraId="0D7BB321">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050D5A7">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5EEE6F9D">
            <w:pPr>
              <w:widowControl/>
              <w:jc w:val="center"/>
              <w:textAlignment w:val="center"/>
              <w:rPr>
                <w:color w:val="000000"/>
                <w:sz w:val="18"/>
                <w:szCs w:val="18"/>
              </w:rPr>
            </w:pPr>
            <w:r>
              <w:rPr>
                <w:color w:val="000000"/>
                <w:kern w:val="0"/>
                <w:sz w:val="18"/>
                <w:szCs w:val="18"/>
                <w:lang w:bidi="ar"/>
              </w:rPr>
              <w:t>35.82</w:t>
            </w:r>
          </w:p>
        </w:tc>
        <w:tc>
          <w:tcPr>
            <w:tcW w:w="160" w:type="pct"/>
            <w:tcBorders>
              <w:tl2br w:val="nil"/>
              <w:tr2bl w:val="nil"/>
            </w:tcBorders>
            <w:noWrap/>
            <w:vAlign w:val="center"/>
          </w:tcPr>
          <w:p w14:paraId="370E75F4">
            <w:pPr>
              <w:widowControl/>
              <w:jc w:val="center"/>
              <w:textAlignment w:val="center"/>
              <w:rPr>
                <w:color w:val="000000"/>
                <w:sz w:val="18"/>
                <w:szCs w:val="18"/>
              </w:rPr>
            </w:pPr>
            <w:r>
              <w:rPr>
                <w:color w:val="000000"/>
                <w:kern w:val="0"/>
                <w:sz w:val="18"/>
                <w:szCs w:val="18"/>
                <w:lang w:bidi="ar"/>
              </w:rPr>
              <w:t>35.96</w:t>
            </w:r>
          </w:p>
        </w:tc>
        <w:tc>
          <w:tcPr>
            <w:tcW w:w="160" w:type="pct"/>
            <w:tcBorders>
              <w:tl2br w:val="nil"/>
              <w:tr2bl w:val="nil"/>
            </w:tcBorders>
            <w:noWrap/>
            <w:vAlign w:val="center"/>
          </w:tcPr>
          <w:p w14:paraId="746457DF">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42B4BB59">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41F82679">
            <w:pPr>
              <w:widowControl/>
              <w:jc w:val="center"/>
              <w:textAlignment w:val="center"/>
              <w:rPr>
                <w:color w:val="000000"/>
                <w:sz w:val="18"/>
                <w:szCs w:val="18"/>
              </w:rPr>
            </w:pPr>
            <w:r>
              <w:rPr>
                <w:color w:val="000000"/>
                <w:kern w:val="0"/>
                <w:sz w:val="18"/>
                <w:szCs w:val="18"/>
                <w:lang w:bidi="ar"/>
              </w:rPr>
              <w:t>1</w:t>
            </w:r>
          </w:p>
        </w:tc>
      </w:tr>
      <w:tr w14:paraId="25CE4B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E280C06">
            <w:pPr>
              <w:widowControl/>
              <w:jc w:val="center"/>
              <w:textAlignment w:val="center"/>
              <w:rPr>
                <w:color w:val="000000"/>
                <w:sz w:val="18"/>
                <w:szCs w:val="18"/>
              </w:rPr>
            </w:pPr>
            <w:r>
              <w:rPr>
                <w:color w:val="000000"/>
                <w:kern w:val="0"/>
                <w:sz w:val="18"/>
                <w:szCs w:val="18"/>
                <w:lang w:bidi="ar"/>
              </w:rPr>
              <w:t>32</w:t>
            </w:r>
          </w:p>
        </w:tc>
        <w:tc>
          <w:tcPr>
            <w:tcW w:w="231" w:type="pct"/>
            <w:vMerge w:val="restart"/>
            <w:tcBorders>
              <w:tl2br w:val="nil"/>
              <w:tr2bl w:val="nil"/>
            </w:tcBorders>
            <w:noWrap/>
            <w:vAlign w:val="center"/>
          </w:tcPr>
          <w:p w14:paraId="137E91AD">
            <w:pPr>
              <w:widowControl/>
              <w:jc w:val="center"/>
              <w:textAlignment w:val="center"/>
              <w:rPr>
                <w:color w:val="000000"/>
                <w:sz w:val="18"/>
                <w:szCs w:val="18"/>
              </w:rPr>
            </w:pPr>
            <w:r>
              <w:rPr>
                <w:rFonts w:hint="eastAsia"/>
                <w:color w:val="000000"/>
                <w:kern w:val="0"/>
                <w:sz w:val="18"/>
                <w:szCs w:val="18"/>
                <w:lang w:bidi="ar"/>
              </w:rPr>
              <w:t>配置</w:t>
            </w:r>
          </w:p>
        </w:tc>
        <w:tc>
          <w:tcPr>
            <w:tcW w:w="468" w:type="pct"/>
            <w:tcBorders>
              <w:tl2br w:val="nil"/>
              <w:tr2bl w:val="nil"/>
            </w:tcBorders>
            <w:noWrap/>
            <w:vAlign w:val="center"/>
          </w:tcPr>
          <w:p w14:paraId="7414E32B">
            <w:pPr>
              <w:widowControl/>
              <w:jc w:val="center"/>
              <w:textAlignment w:val="center"/>
              <w:rPr>
                <w:color w:val="000000"/>
                <w:sz w:val="18"/>
                <w:szCs w:val="18"/>
              </w:rPr>
            </w:pPr>
            <w:r>
              <w:rPr>
                <w:rFonts w:hint="eastAsia"/>
                <w:color w:val="000000"/>
                <w:kern w:val="0"/>
                <w:sz w:val="18"/>
                <w:szCs w:val="18"/>
                <w:lang w:bidi="ar"/>
              </w:rPr>
              <w:t>搅拌机</w:t>
            </w:r>
          </w:p>
        </w:tc>
        <w:tc>
          <w:tcPr>
            <w:tcW w:w="412" w:type="pct"/>
            <w:tcBorders>
              <w:tl2br w:val="nil"/>
              <w:tr2bl w:val="nil"/>
            </w:tcBorders>
            <w:noWrap/>
            <w:vAlign w:val="center"/>
          </w:tcPr>
          <w:p w14:paraId="37C0BC95">
            <w:pPr>
              <w:widowControl/>
              <w:jc w:val="center"/>
              <w:textAlignment w:val="center"/>
              <w:rPr>
                <w:color w:val="000000"/>
                <w:sz w:val="18"/>
                <w:szCs w:val="18"/>
              </w:rPr>
            </w:pPr>
            <w:r>
              <w:rPr>
                <w:color w:val="000000"/>
                <w:kern w:val="0"/>
                <w:sz w:val="18"/>
                <w:szCs w:val="18"/>
                <w:lang w:bidi="ar"/>
              </w:rPr>
              <w:t>VM0181</w:t>
            </w:r>
          </w:p>
        </w:tc>
        <w:tc>
          <w:tcPr>
            <w:tcW w:w="318" w:type="pct"/>
            <w:tcBorders>
              <w:tl2br w:val="nil"/>
              <w:tr2bl w:val="nil"/>
            </w:tcBorders>
            <w:noWrap/>
            <w:vAlign w:val="center"/>
          </w:tcPr>
          <w:p w14:paraId="7D6C81C4">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447C7A5F">
            <w:pPr>
              <w:widowControl/>
              <w:jc w:val="center"/>
              <w:rPr>
                <w:color w:val="000000"/>
                <w:sz w:val="18"/>
                <w:szCs w:val="18"/>
              </w:rPr>
            </w:pPr>
          </w:p>
        </w:tc>
        <w:tc>
          <w:tcPr>
            <w:tcW w:w="181" w:type="pct"/>
            <w:tcBorders>
              <w:tl2br w:val="nil"/>
              <w:tr2bl w:val="nil"/>
            </w:tcBorders>
            <w:noWrap/>
            <w:vAlign w:val="center"/>
          </w:tcPr>
          <w:p w14:paraId="568673FA">
            <w:pPr>
              <w:widowControl/>
              <w:jc w:val="center"/>
              <w:textAlignment w:val="center"/>
              <w:rPr>
                <w:color w:val="000000"/>
                <w:sz w:val="18"/>
                <w:szCs w:val="18"/>
              </w:rPr>
            </w:pPr>
            <w:r>
              <w:rPr>
                <w:color w:val="000000"/>
                <w:kern w:val="0"/>
                <w:sz w:val="18"/>
                <w:szCs w:val="18"/>
                <w:lang w:bidi="ar"/>
              </w:rPr>
              <w:t>-65</w:t>
            </w:r>
          </w:p>
        </w:tc>
        <w:tc>
          <w:tcPr>
            <w:tcW w:w="160" w:type="pct"/>
            <w:tcBorders>
              <w:tl2br w:val="nil"/>
              <w:tr2bl w:val="nil"/>
            </w:tcBorders>
            <w:noWrap/>
            <w:vAlign w:val="center"/>
          </w:tcPr>
          <w:p w14:paraId="39D7DA51">
            <w:pPr>
              <w:widowControl/>
              <w:jc w:val="center"/>
              <w:textAlignment w:val="center"/>
              <w:rPr>
                <w:color w:val="000000"/>
                <w:sz w:val="18"/>
                <w:szCs w:val="18"/>
              </w:rPr>
            </w:pPr>
            <w:r>
              <w:rPr>
                <w:color w:val="000000"/>
                <w:kern w:val="0"/>
                <w:sz w:val="18"/>
                <w:szCs w:val="18"/>
                <w:lang w:bidi="ar"/>
              </w:rPr>
              <w:t>44.5</w:t>
            </w:r>
          </w:p>
        </w:tc>
        <w:tc>
          <w:tcPr>
            <w:tcW w:w="83" w:type="pct"/>
            <w:tcBorders>
              <w:tl2br w:val="nil"/>
              <w:tr2bl w:val="nil"/>
            </w:tcBorders>
            <w:noWrap/>
            <w:vAlign w:val="center"/>
          </w:tcPr>
          <w:p w14:paraId="3B420EE1">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18EC405C">
            <w:pPr>
              <w:widowControl/>
              <w:jc w:val="center"/>
              <w:textAlignment w:val="center"/>
              <w:rPr>
                <w:color w:val="000000"/>
                <w:sz w:val="18"/>
                <w:szCs w:val="18"/>
              </w:rPr>
            </w:pPr>
            <w:r>
              <w:rPr>
                <w:color w:val="000000"/>
                <w:kern w:val="0"/>
                <w:sz w:val="18"/>
                <w:szCs w:val="18"/>
                <w:lang w:bidi="ar"/>
              </w:rPr>
              <w:t>28.19</w:t>
            </w:r>
          </w:p>
        </w:tc>
        <w:tc>
          <w:tcPr>
            <w:tcW w:w="160" w:type="pct"/>
            <w:tcBorders>
              <w:tl2br w:val="nil"/>
              <w:tr2bl w:val="nil"/>
            </w:tcBorders>
            <w:noWrap/>
            <w:vAlign w:val="center"/>
          </w:tcPr>
          <w:p w14:paraId="77478AA6">
            <w:pPr>
              <w:widowControl/>
              <w:jc w:val="center"/>
              <w:textAlignment w:val="center"/>
              <w:rPr>
                <w:color w:val="000000"/>
                <w:sz w:val="18"/>
                <w:szCs w:val="18"/>
              </w:rPr>
            </w:pPr>
            <w:r>
              <w:rPr>
                <w:color w:val="000000"/>
                <w:kern w:val="0"/>
                <w:sz w:val="18"/>
                <w:szCs w:val="18"/>
                <w:lang w:bidi="ar"/>
              </w:rPr>
              <w:t>25.38</w:t>
            </w:r>
          </w:p>
        </w:tc>
        <w:tc>
          <w:tcPr>
            <w:tcW w:w="160" w:type="pct"/>
            <w:tcBorders>
              <w:tl2br w:val="nil"/>
              <w:tr2bl w:val="nil"/>
            </w:tcBorders>
            <w:noWrap/>
            <w:vAlign w:val="center"/>
          </w:tcPr>
          <w:p w14:paraId="4CD581C9">
            <w:pPr>
              <w:widowControl/>
              <w:jc w:val="center"/>
              <w:textAlignment w:val="center"/>
              <w:rPr>
                <w:color w:val="000000"/>
                <w:sz w:val="18"/>
                <w:szCs w:val="18"/>
              </w:rPr>
            </w:pPr>
            <w:r>
              <w:rPr>
                <w:color w:val="000000"/>
                <w:kern w:val="0"/>
                <w:sz w:val="18"/>
                <w:szCs w:val="18"/>
                <w:lang w:bidi="ar"/>
              </w:rPr>
              <w:t>74.58</w:t>
            </w:r>
          </w:p>
        </w:tc>
        <w:tc>
          <w:tcPr>
            <w:tcW w:w="160" w:type="pct"/>
            <w:tcBorders>
              <w:tl2br w:val="nil"/>
              <w:tr2bl w:val="nil"/>
            </w:tcBorders>
            <w:noWrap/>
            <w:vAlign w:val="center"/>
          </w:tcPr>
          <w:p w14:paraId="553B37AC">
            <w:pPr>
              <w:widowControl/>
              <w:jc w:val="center"/>
              <w:textAlignment w:val="center"/>
              <w:rPr>
                <w:color w:val="000000"/>
                <w:sz w:val="18"/>
                <w:szCs w:val="18"/>
              </w:rPr>
            </w:pPr>
            <w:r>
              <w:rPr>
                <w:color w:val="000000"/>
                <w:kern w:val="0"/>
                <w:sz w:val="18"/>
                <w:szCs w:val="18"/>
                <w:lang w:bidi="ar"/>
              </w:rPr>
              <w:t>7.67</w:t>
            </w:r>
          </w:p>
        </w:tc>
        <w:tc>
          <w:tcPr>
            <w:tcW w:w="160" w:type="pct"/>
            <w:tcBorders>
              <w:tl2br w:val="nil"/>
              <w:tr2bl w:val="nil"/>
            </w:tcBorders>
            <w:noWrap/>
            <w:vAlign w:val="center"/>
          </w:tcPr>
          <w:p w14:paraId="3C34ED8E">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7B81CA88">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1ACBD9A0">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79659F30">
            <w:pPr>
              <w:widowControl/>
              <w:jc w:val="center"/>
              <w:textAlignment w:val="center"/>
              <w:rPr>
                <w:color w:val="000000"/>
                <w:sz w:val="18"/>
                <w:szCs w:val="18"/>
              </w:rPr>
            </w:pPr>
            <w:r>
              <w:rPr>
                <w:color w:val="000000"/>
                <w:kern w:val="0"/>
                <w:sz w:val="18"/>
                <w:szCs w:val="18"/>
                <w:lang w:bidi="ar"/>
              </w:rPr>
              <w:t>61.83</w:t>
            </w:r>
          </w:p>
        </w:tc>
        <w:tc>
          <w:tcPr>
            <w:tcW w:w="188" w:type="pct"/>
            <w:tcBorders>
              <w:tl2br w:val="nil"/>
              <w:tr2bl w:val="nil"/>
            </w:tcBorders>
            <w:noWrap/>
            <w:vAlign w:val="center"/>
          </w:tcPr>
          <w:p w14:paraId="2C7A29A7">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238D62BE">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021C1D8">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53CAA83A">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0A8E9313">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2F7FCFC4">
            <w:pPr>
              <w:widowControl/>
              <w:jc w:val="center"/>
              <w:textAlignment w:val="center"/>
              <w:rPr>
                <w:color w:val="000000"/>
                <w:sz w:val="18"/>
                <w:szCs w:val="18"/>
              </w:rPr>
            </w:pPr>
            <w:r>
              <w:rPr>
                <w:color w:val="000000"/>
                <w:kern w:val="0"/>
                <w:sz w:val="18"/>
                <w:szCs w:val="18"/>
                <w:lang w:bidi="ar"/>
              </w:rPr>
              <w:t>40.83</w:t>
            </w:r>
          </w:p>
        </w:tc>
        <w:tc>
          <w:tcPr>
            <w:tcW w:w="248" w:type="pct"/>
            <w:tcBorders>
              <w:tl2br w:val="nil"/>
              <w:tr2bl w:val="nil"/>
            </w:tcBorders>
            <w:noWrap/>
            <w:vAlign w:val="center"/>
          </w:tcPr>
          <w:p w14:paraId="1919F0F7">
            <w:pPr>
              <w:widowControl/>
              <w:jc w:val="center"/>
              <w:textAlignment w:val="center"/>
              <w:rPr>
                <w:color w:val="000000"/>
                <w:sz w:val="18"/>
                <w:szCs w:val="18"/>
              </w:rPr>
            </w:pPr>
            <w:r>
              <w:rPr>
                <w:color w:val="000000"/>
                <w:kern w:val="0"/>
                <w:sz w:val="18"/>
                <w:szCs w:val="18"/>
                <w:lang w:bidi="ar"/>
              </w:rPr>
              <w:t>1</w:t>
            </w:r>
          </w:p>
        </w:tc>
      </w:tr>
      <w:tr w14:paraId="3E1F1C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21C30D16">
            <w:pPr>
              <w:widowControl/>
              <w:jc w:val="center"/>
              <w:textAlignment w:val="center"/>
              <w:rPr>
                <w:color w:val="000000"/>
                <w:sz w:val="18"/>
                <w:szCs w:val="18"/>
              </w:rPr>
            </w:pPr>
            <w:r>
              <w:rPr>
                <w:color w:val="000000"/>
                <w:kern w:val="0"/>
                <w:sz w:val="18"/>
                <w:szCs w:val="18"/>
                <w:lang w:bidi="ar"/>
              </w:rPr>
              <w:t>33</w:t>
            </w:r>
          </w:p>
        </w:tc>
        <w:tc>
          <w:tcPr>
            <w:tcW w:w="231" w:type="pct"/>
            <w:vMerge w:val="continue"/>
            <w:tcBorders>
              <w:tl2br w:val="nil"/>
              <w:tr2bl w:val="nil"/>
            </w:tcBorders>
            <w:noWrap/>
            <w:vAlign w:val="center"/>
          </w:tcPr>
          <w:p w14:paraId="64A8B8E9">
            <w:pPr>
              <w:widowControl/>
              <w:jc w:val="center"/>
              <w:rPr>
                <w:color w:val="000000"/>
                <w:sz w:val="18"/>
                <w:szCs w:val="18"/>
              </w:rPr>
            </w:pPr>
          </w:p>
        </w:tc>
        <w:tc>
          <w:tcPr>
            <w:tcW w:w="468" w:type="pct"/>
            <w:tcBorders>
              <w:tl2br w:val="nil"/>
              <w:tr2bl w:val="nil"/>
            </w:tcBorders>
            <w:noWrap/>
            <w:vAlign w:val="center"/>
          </w:tcPr>
          <w:p w14:paraId="0071BF2E">
            <w:pPr>
              <w:widowControl/>
              <w:jc w:val="center"/>
              <w:textAlignment w:val="center"/>
              <w:rPr>
                <w:color w:val="000000"/>
                <w:sz w:val="18"/>
                <w:szCs w:val="18"/>
              </w:rPr>
            </w:pPr>
            <w:r>
              <w:rPr>
                <w:rFonts w:hint="eastAsia"/>
                <w:color w:val="000000"/>
                <w:kern w:val="0"/>
                <w:sz w:val="18"/>
                <w:szCs w:val="18"/>
                <w:lang w:bidi="ar"/>
              </w:rPr>
              <w:t>高速台式离心机</w:t>
            </w:r>
          </w:p>
        </w:tc>
        <w:tc>
          <w:tcPr>
            <w:tcW w:w="412" w:type="pct"/>
            <w:tcBorders>
              <w:tl2br w:val="nil"/>
              <w:tr2bl w:val="nil"/>
            </w:tcBorders>
            <w:noWrap/>
            <w:vAlign w:val="center"/>
          </w:tcPr>
          <w:p w14:paraId="3ADDA462">
            <w:pPr>
              <w:widowControl/>
              <w:jc w:val="center"/>
              <w:textAlignment w:val="center"/>
              <w:rPr>
                <w:color w:val="000000"/>
                <w:sz w:val="18"/>
                <w:szCs w:val="18"/>
              </w:rPr>
            </w:pPr>
            <w:r>
              <w:rPr>
                <w:color w:val="000000"/>
                <w:kern w:val="0"/>
                <w:sz w:val="18"/>
                <w:szCs w:val="18"/>
                <w:lang w:bidi="ar"/>
              </w:rPr>
              <w:t>H1850</w:t>
            </w:r>
          </w:p>
        </w:tc>
        <w:tc>
          <w:tcPr>
            <w:tcW w:w="318" w:type="pct"/>
            <w:tcBorders>
              <w:tl2br w:val="nil"/>
              <w:tr2bl w:val="nil"/>
            </w:tcBorders>
            <w:noWrap/>
            <w:vAlign w:val="center"/>
          </w:tcPr>
          <w:p w14:paraId="2989FD0B">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4924C320">
            <w:pPr>
              <w:widowControl/>
              <w:jc w:val="center"/>
              <w:rPr>
                <w:color w:val="000000"/>
                <w:sz w:val="18"/>
                <w:szCs w:val="18"/>
              </w:rPr>
            </w:pPr>
          </w:p>
        </w:tc>
        <w:tc>
          <w:tcPr>
            <w:tcW w:w="181" w:type="pct"/>
            <w:tcBorders>
              <w:tl2br w:val="nil"/>
              <w:tr2bl w:val="nil"/>
            </w:tcBorders>
            <w:noWrap/>
            <w:vAlign w:val="center"/>
          </w:tcPr>
          <w:p w14:paraId="56BDD226">
            <w:pPr>
              <w:widowControl/>
              <w:jc w:val="center"/>
              <w:textAlignment w:val="center"/>
              <w:rPr>
                <w:color w:val="000000"/>
                <w:sz w:val="18"/>
                <w:szCs w:val="18"/>
              </w:rPr>
            </w:pPr>
            <w:r>
              <w:rPr>
                <w:color w:val="000000"/>
                <w:kern w:val="0"/>
                <w:sz w:val="18"/>
                <w:szCs w:val="18"/>
                <w:lang w:bidi="ar"/>
              </w:rPr>
              <w:t>-64.79</w:t>
            </w:r>
          </w:p>
        </w:tc>
        <w:tc>
          <w:tcPr>
            <w:tcW w:w="160" w:type="pct"/>
            <w:tcBorders>
              <w:tl2br w:val="nil"/>
              <w:tr2bl w:val="nil"/>
            </w:tcBorders>
            <w:noWrap/>
            <w:vAlign w:val="center"/>
          </w:tcPr>
          <w:p w14:paraId="143CB835">
            <w:pPr>
              <w:widowControl/>
              <w:jc w:val="center"/>
              <w:textAlignment w:val="center"/>
              <w:rPr>
                <w:color w:val="000000"/>
                <w:sz w:val="18"/>
                <w:szCs w:val="18"/>
              </w:rPr>
            </w:pPr>
            <w:r>
              <w:rPr>
                <w:color w:val="000000"/>
                <w:kern w:val="0"/>
                <w:sz w:val="18"/>
                <w:szCs w:val="18"/>
                <w:lang w:bidi="ar"/>
              </w:rPr>
              <w:t>45.14</w:t>
            </w:r>
          </w:p>
        </w:tc>
        <w:tc>
          <w:tcPr>
            <w:tcW w:w="83" w:type="pct"/>
            <w:tcBorders>
              <w:tl2br w:val="nil"/>
              <w:tr2bl w:val="nil"/>
            </w:tcBorders>
            <w:noWrap/>
            <w:vAlign w:val="center"/>
          </w:tcPr>
          <w:p w14:paraId="056F1DDE">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2D7CBF1C">
            <w:pPr>
              <w:widowControl/>
              <w:jc w:val="center"/>
              <w:textAlignment w:val="center"/>
              <w:rPr>
                <w:color w:val="000000"/>
                <w:sz w:val="18"/>
                <w:szCs w:val="18"/>
              </w:rPr>
            </w:pPr>
            <w:r>
              <w:rPr>
                <w:color w:val="000000"/>
                <w:kern w:val="0"/>
                <w:sz w:val="18"/>
                <w:szCs w:val="18"/>
                <w:lang w:bidi="ar"/>
              </w:rPr>
              <w:t>28.22</w:t>
            </w:r>
          </w:p>
        </w:tc>
        <w:tc>
          <w:tcPr>
            <w:tcW w:w="160" w:type="pct"/>
            <w:tcBorders>
              <w:tl2br w:val="nil"/>
              <w:tr2bl w:val="nil"/>
            </w:tcBorders>
            <w:noWrap/>
            <w:vAlign w:val="center"/>
          </w:tcPr>
          <w:p w14:paraId="76FF65AC">
            <w:pPr>
              <w:widowControl/>
              <w:jc w:val="center"/>
              <w:textAlignment w:val="center"/>
              <w:rPr>
                <w:color w:val="000000"/>
                <w:sz w:val="18"/>
                <w:szCs w:val="18"/>
              </w:rPr>
            </w:pPr>
            <w:r>
              <w:rPr>
                <w:color w:val="000000"/>
                <w:kern w:val="0"/>
                <w:sz w:val="18"/>
                <w:szCs w:val="18"/>
                <w:lang w:bidi="ar"/>
              </w:rPr>
              <w:t>26.05</w:t>
            </w:r>
          </w:p>
        </w:tc>
        <w:tc>
          <w:tcPr>
            <w:tcW w:w="160" w:type="pct"/>
            <w:tcBorders>
              <w:tl2br w:val="nil"/>
              <w:tr2bl w:val="nil"/>
            </w:tcBorders>
            <w:noWrap/>
            <w:vAlign w:val="center"/>
          </w:tcPr>
          <w:p w14:paraId="00ABE175">
            <w:pPr>
              <w:widowControl/>
              <w:jc w:val="center"/>
              <w:textAlignment w:val="center"/>
              <w:rPr>
                <w:color w:val="000000"/>
                <w:sz w:val="18"/>
                <w:szCs w:val="18"/>
              </w:rPr>
            </w:pPr>
            <w:r>
              <w:rPr>
                <w:color w:val="000000"/>
                <w:kern w:val="0"/>
                <w:sz w:val="18"/>
                <w:szCs w:val="18"/>
                <w:lang w:bidi="ar"/>
              </w:rPr>
              <w:t>74.55</w:t>
            </w:r>
          </w:p>
        </w:tc>
        <w:tc>
          <w:tcPr>
            <w:tcW w:w="160" w:type="pct"/>
            <w:tcBorders>
              <w:tl2br w:val="nil"/>
              <w:tr2bl w:val="nil"/>
            </w:tcBorders>
            <w:noWrap/>
            <w:vAlign w:val="center"/>
          </w:tcPr>
          <w:p w14:paraId="4987F69B">
            <w:pPr>
              <w:widowControl/>
              <w:jc w:val="center"/>
              <w:textAlignment w:val="center"/>
              <w:rPr>
                <w:color w:val="000000"/>
                <w:sz w:val="18"/>
                <w:szCs w:val="18"/>
              </w:rPr>
            </w:pPr>
            <w:r>
              <w:rPr>
                <w:color w:val="000000"/>
                <w:kern w:val="0"/>
                <w:sz w:val="18"/>
                <w:szCs w:val="18"/>
                <w:lang w:bidi="ar"/>
              </w:rPr>
              <w:t>7.00</w:t>
            </w:r>
          </w:p>
        </w:tc>
        <w:tc>
          <w:tcPr>
            <w:tcW w:w="160" w:type="pct"/>
            <w:tcBorders>
              <w:tl2br w:val="nil"/>
              <w:tr2bl w:val="nil"/>
            </w:tcBorders>
            <w:noWrap/>
            <w:vAlign w:val="center"/>
          </w:tcPr>
          <w:p w14:paraId="56C82AB4">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6BE0F724">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7C8A2F60">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0B6FF1DF">
            <w:pPr>
              <w:widowControl/>
              <w:jc w:val="center"/>
              <w:textAlignment w:val="center"/>
              <w:rPr>
                <w:color w:val="000000"/>
                <w:sz w:val="18"/>
                <w:szCs w:val="18"/>
              </w:rPr>
            </w:pPr>
            <w:r>
              <w:rPr>
                <w:color w:val="000000"/>
                <w:kern w:val="0"/>
                <w:sz w:val="18"/>
                <w:szCs w:val="18"/>
                <w:lang w:bidi="ar"/>
              </w:rPr>
              <w:t>61.84</w:t>
            </w:r>
          </w:p>
        </w:tc>
        <w:tc>
          <w:tcPr>
            <w:tcW w:w="188" w:type="pct"/>
            <w:tcBorders>
              <w:tl2br w:val="nil"/>
              <w:tr2bl w:val="nil"/>
            </w:tcBorders>
            <w:noWrap/>
            <w:vAlign w:val="center"/>
          </w:tcPr>
          <w:p w14:paraId="1179DFC5">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41078BCB">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F31CE53">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7BD433A3">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763784D0">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0C6904CE">
            <w:pPr>
              <w:widowControl/>
              <w:jc w:val="center"/>
              <w:textAlignment w:val="center"/>
              <w:rPr>
                <w:color w:val="000000"/>
                <w:sz w:val="18"/>
                <w:szCs w:val="18"/>
              </w:rPr>
            </w:pPr>
            <w:r>
              <w:rPr>
                <w:color w:val="000000"/>
                <w:kern w:val="0"/>
                <w:sz w:val="18"/>
                <w:szCs w:val="18"/>
                <w:lang w:bidi="ar"/>
              </w:rPr>
              <w:t>40.84</w:t>
            </w:r>
          </w:p>
        </w:tc>
        <w:tc>
          <w:tcPr>
            <w:tcW w:w="248" w:type="pct"/>
            <w:tcBorders>
              <w:tl2br w:val="nil"/>
              <w:tr2bl w:val="nil"/>
            </w:tcBorders>
            <w:noWrap/>
            <w:vAlign w:val="center"/>
          </w:tcPr>
          <w:p w14:paraId="06779C0B">
            <w:pPr>
              <w:widowControl/>
              <w:jc w:val="center"/>
              <w:textAlignment w:val="center"/>
              <w:rPr>
                <w:color w:val="000000"/>
                <w:sz w:val="18"/>
                <w:szCs w:val="18"/>
              </w:rPr>
            </w:pPr>
            <w:r>
              <w:rPr>
                <w:color w:val="000000"/>
                <w:kern w:val="0"/>
                <w:sz w:val="18"/>
                <w:szCs w:val="18"/>
                <w:lang w:bidi="ar"/>
              </w:rPr>
              <w:t>1</w:t>
            </w:r>
          </w:p>
        </w:tc>
      </w:tr>
      <w:tr w14:paraId="4B1570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55A007DB">
            <w:pPr>
              <w:widowControl/>
              <w:jc w:val="center"/>
              <w:textAlignment w:val="center"/>
              <w:rPr>
                <w:color w:val="000000"/>
                <w:sz w:val="18"/>
                <w:szCs w:val="18"/>
              </w:rPr>
            </w:pPr>
            <w:r>
              <w:rPr>
                <w:color w:val="000000"/>
                <w:kern w:val="0"/>
                <w:sz w:val="18"/>
                <w:szCs w:val="18"/>
                <w:lang w:bidi="ar"/>
              </w:rPr>
              <w:t>34</w:t>
            </w:r>
          </w:p>
        </w:tc>
        <w:tc>
          <w:tcPr>
            <w:tcW w:w="231" w:type="pct"/>
            <w:vMerge w:val="continue"/>
            <w:tcBorders>
              <w:tl2br w:val="nil"/>
              <w:tr2bl w:val="nil"/>
            </w:tcBorders>
            <w:noWrap/>
            <w:vAlign w:val="center"/>
          </w:tcPr>
          <w:p w14:paraId="7C5C8DAC">
            <w:pPr>
              <w:widowControl/>
              <w:jc w:val="center"/>
              <w:rPr>
                <w:color w:val="000000"/>
                <w:sz w:val="18"/>
                <w:szCs w:val="18"/>
              </w:rPr>
            </w:pPr>
          </w:p>
        </w:tc>
        <w:tc>
          <w:tcPr>
            <w:tcW w:w="468" w:type="pct"/>
            <w:tcBorders>
              <w:tl2br w:val="nil"/>
              <w:tr2bl w:val="nil"/>
            </w:tcBorders>
            <w:noWrap/>
            <w:vAlign w:val="center"/>
          </w:tcPr>
          <w:p w14:paraId="15A9620A">
            <w:pPr>
              <w:widowControl/>
              <w:jc w:val="center"/>
              <w:textAlignment w:val="center"/>
              <w:rPr>
                <w:color w:val="000000"/>
                <w:sz w:val="18"/>
                <w:szCs w:val="18"/>
              </w:rPr>
            </w:pPr>
            <w:r>
              <w:rPr>
                <w:rFonts w:hint="eastAsia"/>
                <w:color w:val="000000"/>
                <w:kern w:val="0"/>
                <w:sz w:val="18"/>
                <w:szCs w:val="18"/>
                <w:lang w:bidi="ar"/>
              </w:rPr>
              <w:t>1#超声波清洗机</w:t>
            </w:r>
          </w:p>
        </w:tc>
        <w:tc>
          <w:tcPr>
            <w:tcW w:w="412" w:type="pct"/>
            <w:tcBorders>
              <w:tl2br w:val="nil"/>
              <w:tr2bl w:val="nil"/>
            </w:tcBorders>
            <w:noWrap/>
            <w:vAlign w:val="center"/>
          </w:tcPr>
          <w:p w14:paraId="5BD5915D">
            <w:pPr>
              <w:widowControl/>
              <w:jc w:val="center"/>
              <w:textAlignment w:val="center"/>
              <w:rPr>
                <w:color w:val="000000"/>
                <w:sz w:val="18"/>
                <w:szCs w:val="18"/>
              </w:rPr>
            </w:pPr>
            <w:r>
              <w:rPr>
                <w:color w:val="000000"/>
                <w:kern w:val="0"/>
                <w:sz w:val="18"/>
                <w:szCs w:val="18"/>
                <w:lang w:bidi="ar"/>
              </w:rPr>
              <w:t>FRQ-1010DHT</w:t>
            </w:r>
          </w:p>
        </w:tc>
        <w:tc>
          <w:tcPr>
            <w:tcW w:w="318" w:type="pct"/>
            <w:tcBorders>
              <w:tl2br w:val="nil"/>
              <w:tr2bl w:val="nil"/>
            </w:tcBorders>
            <w:noWrap/>
            <w:vAlign w:val="center"/>
          </w:tcPr>
          <w:p w14:paraId="46095CE8">
            <w:pPr>
              <w:widowControl/>
              <w:jc w:val="center"/>
              <w:textAlignment w:val="center"/>
              <w:rPr>
                <w:color w:val="000000"/>
                <w:sz w:val="18"/>
                <w:szCs w:val="18"/>
              </w:rPr>
            </w:pPr>
            <w:r>
              <w:rPr>
                <w:color w:val="000000"/>
                <w:kern w:val="0"/>
                <w:sz w:val="18"/>
                <w:szCs w:val="18"/>
                <w:lang w:bidi="ar"/>
              </w:rPr>
              <w:t>60</w:t>
            </w:r>
          </w:p>
        </w:tc>
        <w:tc>
          <w:tcPr>
            <w:tcW w:w="314" w:type="pct"/>
            <w:vMerge w:val="continue"/>
            <w:tcBorders>
              <w:tl2br w:val="nil"/>
              <w:tr2bl w:val="nil"/>
            </w:tcBorders>
            <w:vAlign w:val="center"/>
          </w:tcPr>
          <w:p w14:paraId="1BB36508">
            <w:pPr>
              <w:widowControl/>
              <w:jc w:val="center"/>
              <w:rPr>
                <w:color w:val="000000"/>
                <w:sz w:val="18"/>
                <w:szCs w:val="18"/>
              </w:rPr>
            </w:pPr>
          </w:p>
        </w:tc>
        <w:tc>
          <w:tcPr>
            <w:tcW w:w="181" w:type="pct"/>
            <w:tcBorders>
              <w:tl2br w:val="nil"/>
              <w:tr2bl w:val="nil"/>
            </w:tcBorders>
            <w:noWrap/>
            <w:vAlign w:val="center"/>
          </w:tcPr>
          <w:p w14:paraId="34D40B7E">
            <w:pPr>
              <w:widowControl/>
              <w:jc w:val="center"/>
              <w:textAlignment w:val="center"/>
              <w:rPr>
                <w:color w:val="000000"/>
                <w:sz w:val="18"/>
                <w:szCs w:val="18"/>
              </w:rPr>
            </w:pPr>
            <w:r>
              <w:rPr>
                <w:color w:val="000000"/>
                <w:kern w:val="0"/>
                <w:sz w:val="18"/>
                <w:szCs w:val="18"/>
                <w:lang w:bidi="ar"/>
              </w:rPr>
              <w:t>-66.75</w:t>
            </w:r>
          </w:p>
        </w:tc>
        <w:tc>
          <w:tcPr>
            <w:tcW w:w="160" w:type="pct"/>
            <w:tcBorders>
              <w:tl2br w:val="nil"/>
              <w:tr2bl w:val="nil"/>
            </w:tcBorders>
            <w:noWrap/>
            <w:vAlign w:val="center"/>
          </w:tcPr>
          <w:p w14:paraId="5F9EEFB7">
            <w:pPr>
              <w:widowControl/>
              <w:jc w:val="center"/>
              <w:textAlignment w:val="center"/>
              <w:rPr>
                <w:color w:val="000000"/>
                <w:sz w:val="18"/>
                <w:szCs w:val="18"/>
              </w:rPr>
            </w:pPr>
            <w:r>
              <w:rPr>
                <w:color w:val="000000"/>
                <w:kern w:val="0"/>
                <w:sz w:val="18"/>
                <w:szCs w:val="18"/>
                <w:lang w:bidi="ar"/>
              </w:rPr>
              <w:t>44.94</w:t>
            </w:r>
          </w:p>
        </w:tc>
        <w:tc>
          <w:tcPr>
            <w:tcW w:w="83" w:type="pct"/>
            <w:tcBorders>
              <w:tl2br w:val="nil"/>
              <w:tr2bl w:val="nil"/>
            </w:tcBorders>
            <w:noWrap/>
            <w:vAlign w:val="center"/>
          </w:tcPr>
          <w:p w14:paraId="36EC82B4">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75A1EF4">
            <w:pPr>
              <w:widowControl/>
              <w:jc w:val="center"/>
              <w:textAlignment w:val="center"/>
              <w:rPr>
                <w:color w:val="000000"/>
                <w:sz w:val="18"/>
                <w:szCs w:val="18"/>
              </w:rPr>
            </w:pPr>
            <w:r>
              <w:rPr>
                <w:color w:val="000000"/>
                <w:kern w:val="0"/>
                <w:sz w:val="18"/>
                <w:szCs w:val="18"/>
                <w:lang w:bidi="ar"/>
              </w:rPr>
              <w:t>26.38</w:t>
            </w:r>
          </w:p>
        </w:tc>
        <w:tc>
          <w:tcPr>
            <w:tcW w:w="160" w:type="pct"/>
            <w:tcBorders>
              <w:tl2br w:val="nil"/>
              <w:tr2bl w:val="nil"/>
            </w:tcBorders>
            <w:noWrap/>
            <w:vAlign w:val="center"/>
          </w:tcPr>
          <w:p w14:paraId="02D41CAC">
            <w:pPr>
              <w:widowControl/>
              <w:jc w:val="center"/>
              <w:textAlignment w:val="center"/>
              <w:rPr>
                <w:color w:val="000000"/>
                <w:sz w:val="18"/>
                <w:szCs w:val="18"/>
              </w:rPr>
            </w:pPr>
            <w:r>
              <w:rPr>
                <w:color w:val="000000"/>
                <w:kern w:val="0"/>
                <w:sz w:val="18"/>
                <w:szCs w:val="18"/>
                <w:lang w:bidi="ar"/>
              </w:rPr>
              <w:t>25.33</w:t>
            </w:r>
          </w:p>
        </w:tc>
        <w:tc>
          <w:tcPr>
            <w:tcW w:w="160" w:type="pct"/>
            <w:tcBorders>
              <w:tl2br w:val="nil"/>
              <w:tr2bl w:val="nil"/>
            </w:tcBorders>
            <w:noWrap/>
            <w:vAlign w:val="center"/>
          </w:tcPr>
          <w:p w14:paraId="790D5B8E">
            <w:pPr>
              <w:widowControl/>
              <w:jc w:val="center"/>
              <w:textAlignment w:val="center"/>
              <w:rPr>
                <w:color w:val="000000"/>
                <w:sz w:val="18"/>
                <w:szCs w:val="18"/>
              </w:rPr>
            </w:pPr>
            <w:r>
              <w:rPr>
                <w:color w:val="000000"/>
                <w:kern w:val="0"/>
                <w:sz w:val="18"/>
                <w:szCs w:val="18"/>
                <w:lang w:bidi="ar"/>
              </w:rPr>
              <w:t>76.39</w:t>
            </w:r>
          </w:p>
        </w:tc>
        <w:tc>
          <w:tcPr>
            <w:tcW w:w="160" w:type="pct"/>
            <w:tcBorders>
              <w:tl2br w:val="nil"/>
              <w:tr2bl w:val="nil"/>
            </w:tcBorders>
            <w:noWrap/>
            <w:vAlign w:val="center"/>
          </w:tcPr>
          <w:p w14:paraId="1CEC8BE4">
            <w:pPr>
              <w:widowControl/>
              <w:jc w:val="center"/>
              <w:textAlignment w:val="center"/>
              <w:rPr>
                <w:color w:val="000000"/>
                <w:sz w:val="18"/>
                <w:szCs w:val="18"/>
              </w:rPr>
            </w:pPr>
            <w:r>
              <w:rPr>
                <w:color w:val="000000"/>
                <w:kern w:val="0"/>
                <w:sz w:val="18"/>
                <w:szCs w:val="18"/>
                <w:lang w:bidi="ar"/>
              </w:rPr>
              <w:t>7.72</w:t>
            </w:r>
          </w:p>
        </w:tc>
        <w:tc>
          <w:tcPr>
            <w:tcW w:w="160" w:type="pct"/>
            <w:tcBorders>
              <w:tl2br w:val="nil"/>
              <w:tr2bl w:val="nil"/>
            </w:tcBorders>
            <w:noWrap/>
            <w:vAlign w:val="center"/>
          </w:tcPr>
          <w:p w14:paraId="53DE5A66">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676282AC">
            <w:pPr>
              <w:widowControl/>
              <w:jc w:val="center"/>
              <w:textAlignment w:val="center"/>
              <w:rPr>
                <w:color w:val="000000"/>
                <w:sz w:val="18"/>
                <w:szCs w:val="18"/>
              </w:rPr>
            </w:pPr>
            <w:r>
              <w:rPr>
                <w:color w:val="000000"/>
                <w:kern w:val="0"/>
                <w:sz w:val="18"/>
                <w:szCs w:val="18"/>
                <w:lang w:bidi="ar"/>
              </w:rPr>
              <w:t>51.80</w:t>
            </w:r>
          </w:p>
        </w:tc>
        <w:tc>
          <w:tcPr>
            <w:tcW w:w="160" w:type="pct"/>
            <w:tcBorders>
              <w:tl2br w:val="nil"/>
              <w:tr2bl w:val="nil"/>
            </w:tcBorders>
            <w:noWrap/>
            <w:vAlign w:val="center"/>
          </w:tcPr>
          <w:p w14:paraId="4467A9EC">
            <w:pPr>
              <w:widowControl/>
              <w:jc w:val="center"/>
              <w:textAlignment w:val="center"/>
              <w:rPr>
                <w:color w:val="000000"/>
                <w:sz w:val="18"/>
                <w:szCs w:val="18"/>
              </w:rPr>
            </w:pPr>
            <w:r>
              <w:rPr>
                <w:color w:val="000000"/>
                <w:kern w:val="0"/>
                <w:sz w:val="18"/>
                <w:szCs w:val="18"/>
                <w:lang w:bidi="ar"/>
              </w:rPr>
              <w:t>51.79</w:t>
            </w:r>
          </w:p>
        </w:tc>
        <w:tc>
          <w:tcPr>
            <w:tcW w:w="160" w:type="pct"/>
            <w:tcBorders>
              <w:tl2br w:val="nil"/>
              <w:tr2bl w:val="nil"/>
            </w:tcBorders>
            <w:noWrap/>
            <w:vAlign w:val="center"/>
          </w:tcPr>
          <w:p w14:paraId="7DB372AE">
            <w:pPr>
              <w:widowControl/>
              <w:jc w:val="center"/>
              <w:textAlignment w:val="center"/>
              <w:rPr>
                <w:color w:val="000000"/>
                <w:sz w:val="18"/>
                <w:szCs w:val="18"/>
              </w:rPr>
            </w:pPr>
            <w:r>
              <w:rPr>
                <w:color w:val="000000"/>
                <w:kern w:val="0"/>
                <w:sz w:val="18"/>
                <w:szCs w:val="18"/>
                <w:lang w:bidi="ar"/>
              </w:rPr>
              <w:t>51.83</w:t>
            </w:r>
          </w:p>
        </w:tc>
        <w:tc>
          <w:tcPr>
            <w:tcW w:w="188" w:type="pct"/>
            <w:tcBorders>
              <w:tl2br w:val="nil"/>
              <w:tr2bl w:val="nil"/>
            </w:tcBorders>
            <w:noWrap/>
            <w:vAlign w:val="center"/>
          </w:tcPr>
          <w:p w14:paraId="7942B704">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068956F">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88A32B0">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79548041">
            <w:pPr>
              <w:widowControl/>
              <w:jc w:val="center"/>
              <w:textAlignment w:val="center"/>
              <w:rPr>
                <w:color w:val="000000"/>
                <w:sz w:val="18"/>
                <w:szCs w:val="18"/>
              </w:rPr>
            </w:pPr>
            <w:r>
              <w:rPr>
                <w:color w:val="000000"/>
                <w:kern w:val="0"/>
                <w:sz w:val="18"/>
                <w:szCs w:val="18"/>
                <w:lang w:bidi="ar"/>
              </w:rPr>
              <w:t>30.80</w:t>
            </w:r>
          </w:p>
        </w:tc>
        <w:tc>
          <w:tcPr>
            <w:tcW w:w="160" w:type="pct"/>
            <w:tcBorders>
              <w:tl2br w:val="nil"/>
              <w:tr2bl w:val="nil"/>
            </w:tcBorders>
            <w:noWrap/>
            <w:vAlign w:val="center"/>
          </w:tcPr>
          <w:p w14:paraId="416EE91E">
            <w:pPr>
              <w:widowControl/>
              <w:jc w:val="center"/>
              <w:textAlignment w:val="center"/>
              <w:rPr>
                <w:color w:val="000000"/>
                <w:sz w:val="18"/>
                <w:szCs w:val="18"/>
              </w:rPr>
            </w:pPr>
            <w:r>
              <w:rPr>
                <w:color w:val="000000"/>
                <w:kern w:val="0"/>
                <w:sz w:val="18"/>
                <w:szCs w:val="18"/>
                <w:lang w:bidi="ar"/>
              </w:rPr>
              <w:t>30.79</w:t>
            </w:r>
          </w:p>
        </w:tc>
        <w:tc>
          <w:tcPr>
            <w:tcW w:w="160" w:type="pct"/>
            <w:tcBorders>
              <w:tl2br w:val="nil"/>
              <w:tr2bl w:val="nil"/>
            </w:tcBorders>
            <w:noWrap/>
            <w:vAlign w:val="center"/>
          </w:tcPr>
          <w:p w14:paraId="40EC4FA3">
            <w:pPr>
              <w:widowControl/>
              <w:jc w:val="center"/>
              <w:textAlignment w:val="center"/>
              <w:rPr>
                <w:color w:val="000000"/>
                <w:sz w:val="18"/>
                <w:szCs w:val="18"/>
              </w:rPr>
            </w:pPr>
            <w:r>
              <w:rPr>
                <w:color w:val="000000"/>
                <w:kern w:val="0"/>
                <w:sz w:val="18"/>
                <w:szCs w:val="18"/>
                <w:lang w:bidi="ar"/>
              </w:rPr>
              <w:t>30.83</w:t>
            </w:r>
          </w:p>
        </w:tc>
        <w:tc>
          <w:tcPr>
            <w:tcW w:w="248" w:type="pct"/>
            <w:tcBorders>
              <w:tl2br w:val="nil"/>
              <w:tr2bl w:val="nil"/>
            </w:tcBorders>
            <w:noWrap/>
            <w:vAlign w:val="center"/>
          </w:tcPr>
          <w:p w14:paraId="31F52E72">
            <w:pPr>
              <w:widowControl/>
              <w:jc w:val="center"/>
              <w:textAlignment w:val="center"/>
              <w:rPr>
                <w:color w:val="000000"/>
                <w:sz w:val="18"/>
                <w:szCs w:val="18"/>
              </w:rPr>
            </w:pPr>
            <w:r>
              <w:rPr>
                <w:color w:val="000000"/>
                <w:kern w:val="0"/>
                <w:sz w:val="18"/>
                <w:szCs w:val="18"/>
                <w:lang w:bidi="ar"/>
              </w:rPr>
              <w:t>1</w:t>
            </w:r>
          </w:p>
        </w:tc>
      </w:tr>
      <w:tr w14:paraId="5A9595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3B644A94">
            <w:pPr>
              <w:widowControl/>
              <w:jc w:val="center"/>
              <w:textAlignment w:val="center"/>
              <w:rPr>
                <w:color w:val="000000"/>
                <w:sz w:val="18"/>
                <w:szCs w:val="18"/>
              </w:rPr>
            </w:pPr>
            <w:r>
              <w:rPr>
                <w:color w:val="000000"/>
                <w:kern w:val="0"/>
                <w:sz w:val="18"/>
                <w:szCs w:val="18"/>
                <w:lang w:bidi="ar"/>
              </w:rPr>
              <w:t>35</w:t>
            </w:r>
          </w:p>
        </w:tc>
        <w:tc>
          <w:tcPr>
            <w:tcW w:w="231" w:type="pct"/>
            <w:vMerge w:val="restart"/>
            <w:tcBorders>
              <w:tl2br w:val="nil"/>
              <w:tr2bl w:val="nil"/>
            </w:tcBorders>
            <w:noWrap/>
            <w:vAlign w:val="center"/>
          </w:tcPr>
          <w:p w14:paraId="61A4B0FD">
            <w:pPr>
              <w:widowControl/>
              <w:jc w:val="center"/>
              <w:textAlignment w:val="center"/>
              <w:rPr>
                <w:color w:val="000000"/>
                <w:sz w:val="18"/>
                <w:szCs w:val="18"/>
              </w:rPr>
            </w:pPr>
            <w:r>
              <w:rPr>
                <w:rFonts w:hint="eastAsia"/>
                <w:color w:val="000000"/>
                <w:kern w:val="0"/>
                <w:sz w:val="18"/>
                <w:szCs w:val="18"/>
                <w:lang w:bidi="ar"/>
              </w:rPr>
              <w:t>冻干</w:t>
            </w:r>
          </w:p>
        </w:tc>
        <w:tc>
          <w:tcPr>
            <w:tcW w:w="468" w:type="pct"/>
            <w:tcBorders>
              <w:tl2br w:val="nil"/>
              <w:tr2bl w:val="nil"/>
            </w:tcBorders>
            <w:noWrap/>
            <w:vAlign w:val="center"/>
          </w:tcPr>
          <w:p w14:paraId="215E6BA8">
            <w:pPr>
              <w:widowControl/>
              <w:jc w:val="center"/>
              <w:textAlignment w:val="center"/>
              <w:rPr>
                <w:color w:val="000000"/>
                <w:sz w:val="18"/>
                <w:szCs w:val="18"/>
              </w:rPr>
            </w:pPr>
            <w:r>
              <w:rPr>
                <w:rFonts w:hint="eastAsia"/>
                <w:color w:val="000000"/>
                <w:kern w:val="0"/>
                <w:sz w:val="18"/>
                <w:szCs w:val="18"/>
                <w:lang w:bidi="ar"/>
              </w:rPr>
              <w:t>冷冻干燥机</w:t>
            </w:r>
          </w:p>
        </w:tc>
        <w:tc>
          <w:tcPr>
            <w:tcW w:w="412" w:type="pct"/>
            <w:tcBorders>
              <w:tl2br w:val="nil"/>
              <w:tr2bl w:val="nil"/>
            </w:tcBorders>
            <w:noWrap/>
            <w:vAlign w:val="center"/>
          </w:tcPr>
          <w:p w14:paraId="07C2C86F">
            <w:pPr>
              <w:widowControl/>
              <w:jc w:val="center"/>
              <w:textAlignment w:val="center"/>
              <w:rPr>
                <w:color w:val="000000"/>
                <w:sz w:val="18"/>
                <w:szCs w:val="18"/>
              </w:rPr>
            </w:pPr>
            <w:r>
              <w:rPr>
                <w:color w:val="000000"/>
                <w:kern w:val="0"/>
                <w:sz w:val="18"/>
                <w:szCs w:val="18"/>
                <w:lang w:bidi="ar"/>
              </w:rPr>
              <w:t>SCIENTZ-50F/A</w:t>
            </w:r>
          </w:p>
        </w:tc>
        <w:tc>
          <w:tcPr>
            <w:tcW w:w="318" w:type="pct"/>
            <w:tcBorders>
              <w:tl2br w:val="nil"/>
              <w:tr2bl w:val="nil"/>
            </w:tcBorders>
            <w:noWrap/>
            <w:vAlign w:val="center"/>
          </w:tcPr>
          <w:p w14:paraId="02DE2D39">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734FF021">
            <w:pPr>
              <w:widowControl/>
              <w:jc w:val="center"/>
              <w:rPr>
                <w:color w:val="000000"/>
                <w:sz w:val="18"/>
                <w:szCs w:val="18"/>
              </w:rPr>
            </w:pPr>
          </w:p>
        </w:tc>
        <w:tc>
          <w:tcPr>
            <w:tcW w:w="181" w:type="pct"/>
            <w:tcBorders>
              <w:tl2br w:val="nil"/>
              <w:tr2bl w:val="nil"/>
            </w:tcBorders>
            <w:noWrap/>
            <w:vAlign w:val="center"/>
          </w:tcPr>
          <w:p w14:paraId="42D9764E">
            <w:pPr>
              <w:widowControl/>
              <w:jc w:val="center"/>
              <w:textAlignment w:val="center"/>
              <w:rPr>
                <w:color w:val="000000"/>
                <w:sz w:val="18"/>
                <w:szCs w:val="18"/>
              </w:rPr>
            </w:pPr>
            <w:r>
              <w:rPr>
                <w:color w:val="000000"/>
                <w:kern w:val="0"/>
                <w:sz w:val="18"/>
                <w:szCs w:val="18"/>
                <w:lang w:bidi="ar"/>
              </w:rPr>
              <w:t>-66.98</w:t>
            </w:r>
          </w:p>
        </w:tc>
        <w:tc>
          <w:tcPr>
            <w:tcW w:w="160" w:type="pct"/>
            <w:tcBorders>
              <w:tl2br w:val="nil"/>
              <w:tr2bl w:val="nil"/>
            </w:tcBorders>
            <w:noWrap/>
            <w:vAlign w:val="center"/>
          </w:tcPr>
          <w:p w14:paraId="630FA7E2">
            <w:pPr>
              <w:widowControl/>
              <w:jc w:val="center"/>
              <w:textAlignment w:val="center"/>
              <w:rPr>
                <w:color w:val="000000"/>
                <w:sz w:val="18"/>
                <w:szCs w:val="18"/>
              </w:rPr>
            </w:pPr>
            <w:r>
              <w:rPr>
                <w:color w:val="000000"/>
                <w:kern w:val="0"/>
                <w:sz w:val="18"/>
                <w:szCs w:val="18"/>
                <w:lang w:bidi="ar"/>
              </w:rPr>
              <w:t>43.8</w:t>
            </w:r>
          </w:p>
        </w:tc>
        <w:tc>
          <w:tcPr>
            <w:tcW w:w="83" w:type="pct"/>
            <w:tcBorders>
              <w:tl2br w:val="nil"/>
              <w:tr2bl w:val="nil"/>
            </w:tcBorders>
            <w:noWrap/>
            <w:vAlign w:val="center"/>
          </w:tcPr>
          <w:p w14:paraId="4B4F6026">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20060452">
            <w:pPr>
              <w:widowControl/>
              <w:jc w:val="center"/>
              <w:textAlignment w:val="center"/>
              <w:rPr>
                <w:color w:val="000000"/>
                <w:sz w:val="18"/>
                <w:szCs w:val="18"/>
              </w:rPr>
            </w:pPr>
            <w:r>
              <w:rPr>
                <w:color w:val="000000"/>
                <w:kern w:val="0"/>
                <w:sz w:val="18"/>
                <w:szCs w:val="18"/>
                <w:lang w:bidi="ar"/>
              </w:rPr>
              <w:t>26.47</w:t>
            </w:r>
          </w:p>
        </w:tc>
        <w:tc>
          <w:tcPr>
            <w:tcW w:w="160" w:type="pct"/>
            <w:tcBorders>
              <w:tl2br w:val="nil"/>
              <w:tr2bl w:val="nil"/>
            </w:tcBorders>
            <w:noWrap/>
            <w:vAlign w:val="center"/>
          </w:tcPr>
          <w:p w14:paraId="5E7000D9">
            <w:pPr>
              <w:widowControl/>
              <w:jc w:val="center"/>
              <w:textAlignment w:val="center"/>
              <w:rPr>
                <w:color w:val="000000"/>
                <w:sz w:val="18"/>
                <w:szCs w:val="18"/>
              </w:rPr>
            </w:pPr>
            <w:r>
              <w:rPr>
                <w:color w:val="000000"/>
                <w:kern w:val="0"/>
                <w:sz w:val="18"/>
                <w:szCs w:val="18"/>
                <w:lang w:bidi="ar"/>
              </w:rPr>
              <w:t>24.17</w:t>
            </w:r>
          </w:p>
        </w:tc>
        <w:tc>
          <w:tcPr>
            <w:tcW w:w="160" w:type="pct"/>
            <w:tcBorders>
              <w:tl2br w:val="nil"/>
              <w:tr2bl w:val="nil"/>
            </w:tcBorders>
            <w:noWrap/>
            <w:vAlign w:val="center"/>
          </w:tcPr>
          <w:p w14:paraId="33E8C6E2">
            <w:pPr>
              <w:widowControl/>
              <w:jc w:val="center"/>
              <w:textAlignment w:val="center"/>
              <w:rPr>
                <w:color w:val="000000"/>
                <w:sz w:val="18"/>
                <w:szCs w:val="18"/>
              </w:rPr>
            </w:pPr>
            <w:r>
              <w:rPr>
                <w:color w:val="000000"/>
                <w:kern w:val="0"/>
                <w:sz w:val="18"/>
                <w:szCs w:val="18"/>
                <w:lang w:bidi="ar"/>
              </w:rPr>
              <w:t>76.30</w:t>
            </w:r>
          </w:p>
        </w:tc>
        <w:tc>
          <w:tcPr>
            <w:tcW w:w="160" w:type="pct"/>
            <w:tcBorders>
              <w:tl2br w:val="nil"/>
              <w:tr2bl w:val="nil"/>
            </w:tcBorders>
            <w:noWrap/>
            <w:vAlign w:val="center"/>
          </w:tcPr>
          <w:p w14:paraId="528BCD4A">
            <w:pPr>
              <w:widowControl/>
              <w:jc w:val="center"/>
              <w:textAlignment w:val="center"/>
              <w:rPr>
                <w:color w:val="000000"/>
                <w:sz w:val="18"/>
                <w:szCs w:val="18"/>
              </w:rPr>
            </w:pPr>
            <w:r>
              <w:rPr>
                <w:color w:val="000000"/>
                <w:kern w:val="0"/>
                <w:sz w:val="18"/>
                <w:szCs w:val="18"/>
                <w:lang w:bidi="ar"/>
              </w:rPr>
              <w:t>8.88</w:t>
            </w:r>
          </w:p>
        </w:tc>
        <w:tc>
          <w:tcPr>
            <w:tcW w:w="160" w:type="pct"/>
            <w:tcBorders>
              <w:tl2br w:val="nil"/>
              <w:tr2bl w:val="nil"/>
            </w:tcBorders>
            <w:noWrap/>
            <w:vAlign w:val="center"/>
          </w:tcPr>
          <w:p w14:paraId="27A19C1E">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5E89DF29">
            <w:pPr>
              <w:widowControl/>
              <w:jc w:val="center"/>
              <w:textAlignment w:val="center"/>
              <w:rPr>
                <w:color w:val="000000"/>
                <w:sz w:val="18"/>
                <w:szCs w:val="18"/>
              </w:rPr>
            </w:pPr>
            <w:r>
              <w:rPr>
                <w:color w:val="000000"/>
                <w:kern w:val="0"/>
                <w:sz w:val="18"/>
                <w:szCs w:val="18"/>
                <w:lang w:bidi="ar"/>
              </w:rPr>
              <w:t>61.80</w:t>
            </w:r>
          </w:p>
        </w:tc>
        <w:tc>
          <w:tcPr>
            <w:tcW w:w="160" w:type="pct"/>
            <w:tcBorders>
              <w:tl2br w:val="nil"/>
              <w:tr2bl w:val="nil"/>
            </w:tcBorders>
            <w:noWrap/>
            <w:vAlign w:val="center"/>
          </w:tcPr>
          <w:p w14:paraId="6738F431">
            <w:pPr>
              <w:widowControl/>
              <w:jc w:val="center"/>
              <w:textAlignment w:val="center"/>
              <w:rPr>
                <w:color w:val="000000"/>
                <w:sz w:val="18"/>
                <w:szCs w:val="18"/>
              </w:rPr>
            </w:pPr>
            <w:r>
              <w:rPr>
                <w:color w:val="000000"/>
                <w:kern w:val="0"/>
                <w:sz w:val="18"/>
                <w:szCs w:val="18"/>
                <w:lang w:bidi="ar"/>
              </w:rPr>
              <w:t>61.79</w:t>
            </w:r>
          </w:p>
        </w:tc>
        <w:tc>
          <w:tcPr>
            <w:tcW w:w="160" w:type="pct"/>
            <w:tcBorders>
              <w:tl2br w:val="nil"/>
              <w:tr2bl w:val="nil"/>
            </w:tcBorders>
            <w:noWrap/>
            <w:vAlign w:val="center"/>
          </w:tcPr>
          <w:p w14:paraId="25E9FE42">
            <w:pPr>
              <w:widowControl/>
              <w:jc w:val="center"/>
              <w:textAlignment w:val="center"/>
              <w:rPr>
                <w:color w:val="000000"/>
                <w:sz w:val="18"/>
                <w:szCs w:val="18"/>
              </w:rPr>
            </w:pPr>
            <w:r>
              <w:rPr>
                <w:color w:val="000000"/>
                <w:kern w:val="0"/>
                <w:sz w:val="18"/>
                <w:szCs w:val="18"/>
                <w:lang w:bidi="ar"/>
              </w:rPr>
              <w:t>61.82</w:t>
            </w:r>
          </w:p>
        </w:tc>
        <w:tc>
          <w:tcPr>
            <w:tcW w:w="188" w:type="pct"/>
            <w:tcBorders>
              <w:tl2br w:val="nil"/>
              <w:tr2bl w:val="nil"/>
            </w:tcBorders>
            <w:noWrap/>
            <w:vAlign w:val="center"/>
          </w:tcPr>
          <w:p w14:paraId="2B5544D4">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C2AD8AC">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4CF319BC">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4220EED2">
            <w:pPr>
              <w:widowControl/>
              <w:jc w:val="center"/>
              <w:textAlignment w:val="center"/>
              <w:rPr>
                <w:color w:val="000000"/>
                <w:sz w:val="18"/>
                <w:szCs w:val="18"/>
              </w:rPr>
            </w:pPr>
            <w:r>
              <w:rPr>
                <w:color w:val="000000"/>
                <w:kern w:val="0"/>
                <w:sz w:val="18"/>
                <w:szCs w:val="18"/>
                <w:lang w:bidi="ar"/>
              </w:rPr>
              <w:t>40.80</w:t>
            </w:r>
          </w:p>
        </w:tc>
        <w:tc>
          <w:tcPr>
            <w:tcW w:w="160" w:type="pct"/>
            <w:tcBorders>
              <w:tl2br w:val="nil"/>
              <w:tr2bl w:val="nil"/>
            </w:tcBorders>
            <w:noWrap/>
            <w:vAlign w:val="center"/>
          </w:tcPr>
          <w:p w14:paraId="78FCC507">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11F6FDCE">
            <w:pPr>
              <w:widowControl/>
              <w:jc w:val="center"/>
              <w:textAlignment w:val="center"/>
              <w:rPr>
                <w:color w:val="000000"/>
                <w:sz w:val="18"/>
                <w:szCs w:val="18"/>
              </w:rPr>
            </w:pPr>
            <w:r>
              <w:rPr>
                <w:color w:val="000000"/>
                <w:kern w:val="0"/>
                <w:sz w:val="18"/>
                <w:szCs w:val="18"/>
                <w:lang w:bidi="ar"/>
              </w:rPr>
              <w:t>40.82</w:t>
            </w:r>
          </w:p>
        </w:tc>
        <w:tc>
          <w:tcPr>
            <w:tcW w:w="248" w:type="pct"/>
            <w:tcBorders>
              <w:tl2br w:val="nil"/>
              <w:tr2bl w:val="nil"/>
            </w:tcBorders>
            <w:noWrap/>
            <w:vAlign w:val="center"/>
          </w:tcPr>
          <w:p w14:paraId="0FD995A1">
            <w:pPr>
              <w:widowControl/>
              <w:jc w:val="center"/>
              <w:textAlignment w:val="center"/>
              <w:rPr>
                <w:color w:val="000000"/>
                <w:sz w:val="18"/>
                <w:szCs w:val="18"/>
              </w:rPr>
            </w:pPr>
            <w:r>
              <w:rPr>
                <w:color w:val="000000"/>
                <w:kern w:val="0"/>
                <w:sz w:val="18"/>
                <w:szCs w:val="18"/>
                <w:lang w:bidi="ar"/>
              </w:rPr>
              <w:t>1</w:t>
            </w:r>
          </w:p>
        </w:tc>
      </w:tr>
      <w:tr w14:paraId="7BE45C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7B5A494F">
            <w:pPr>
              <w:widowControl/>
              <w:jc w:val="center"/>
              <w:textAlignment w:val="center"/>
              <w:rPr>
                <w:color w:val="000000"/>
                <w:sz w:val="18"/>
                <w:szCs w:val="18"/>
              </w:rPr>
            </w:pPr>
            <w:r>
              <w:rPr>
                <w:color w:val="000000"/>
                <w:kern w:val="0"/>
                <w:sz w:val="18"/>
                <w:szCs w:val="18"/>
                <w:lang w:bidi="ar"/>
              </w:rPr>
              <w:t>36</w:t>
            </w:r>
          </w:p>
        </w:tc>
        <w:tc>
          <w:tcPr>
            <w:tcW w:w="231" w:type="pct"/>
            <w:vMerge w:val="continue"/>
            <w:tcBorders>
              <w:tl2br w:val="nil"/>
              <w:tr2bl w:val="nil"/>
            </w:tcBorders>
            <w:noWrap/>
            <w:vAlign w:val="center"/>
          </w:tcPr>
          <w:p w14:paraId="2E633255">
            <w:pPr>
              <w:widowControl/>
              <w:jc w:val="center"/>
              <w:rPr>
                <w:color w:val="000000"/>
                <w:sz w:val="18"/>
                <w:szCs w:val="18"/>
              </w:rPr>
            </w:pPr>
          </w:p>
        </w:tc>
        <w:tc>
          <w:tcPr>
            <w:tcW w:w="468" w:type="pct"/>
            <w:tcBorders>
              <w:tl2br w:val="nil"/>
              <w:tr2bl w:val="nil"/>
            </w:tcBorders>
            <w:noWrap/>
            <w:vAlign w:val="center"/>
          </w:tcPr>
          <w:p w14:paraId="0C08D859">
            <w:pPr>
              <w:widowControl/>
              <w:jc w:val="center"/>
              <w:textAlignment w:val="center"/>
              <w:rPr>
                <w:color w:val="000000"/>
                <w:sz w:val="18"/>
                <w:szCs w:val="18"/>
              </w:rPr>
            </w:pPr>
            <w:r>
              <w:rPr>
                <w:rFonts w:hint="eastAsia"/>
                <w:color w:val="000000"/>
                <w:kern w:val="0"/>
                <w:sz w:val="18"/>
                <w:szCs w:val="18"/>
                <w:lang w:bidi="ar"/>
              </w:rPr>
              <w:t>真空干燥箱</w:t>
            </w:r>
          </w:p>
        </w:tc>
        <w:tc>
          <w:tcPr>
            <w:tcW w:w="412" w:type="pct"/>
            <w:tcBorders>
              <w:tl2br w:val="nil"/>
              <w:tr2bl w:val="nil"/>
            </w:tcBorders>
            <w:noWrap/>
            <w:vAlign w:val="center"/>
          </w:tcPr>
          <w:p w14:paraId="7C2D02EA">
            <w:pPr>
              <w:widowControl/>
              <w:jc w:val="center"/>
              <w:textAlignment w:val="center"/>
              <w:rPr>
                <w:color w:val="000000"/>
                <w:sz w:val="18"/>
                <w:szCs w:val="18"/>
              </w:rPr>
            </w:pPr>
            <w:r>
              <w:rPr>
                <w:color w:val="000000"/>
                <w:kern w:val="0"/>
                <w:sz w:val="18"/>
                <w:szCs w:val="18"/>
                <w:lang w:bidi="ar"/>
              </w:rPr>
              <w:t>DZF-6210D</w:t>
            </w:r>
          </w:p>
        </w:tc>
        <w:tc>
          <w:tcPr>
            <w:tcW w:w="318" w:type="pct"/>
            <w:tcBorders>
              <w:tl2br w:val="nil"/>
              <w:tr2bl w:val="nil"/>
            </w:tcBorders>
            <w:noWrap/>
            <w:vAlign w:val="center"/>
          </w:tcPr>
          <w:p w14:paraId="48DDD3B6">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63D0F6DE">
            <w:pPr>
              <w:widowControl/>
              <w:jc w:val="center"/>
              <w:rPr>
                <w:color w:val="000000"/>
                <w:sz w:val="18"/>
                <w:szCs w:val="18"/>
              </w:rPr>
            </w:pPr>
          </w:p>
        </w:tc>
        <w:tc>
          <w:tcPr>
            <w:tcW w:w="181" w:type="pct"/>
            <w:tcBorders>
              <w:tl2br w:val="nil"/>
              <w:tr2bl w:val="nil"/>
            </w:tcBorders>
            <w:noWrap/>
            <w:vAlign w:val="center"/>
          </w:tcPr>
          <w:p w14:paraId="4BE548A8">
            <w:pPr>
              <w:widowControl/>
              <w:jc w:val="center"/>
              <w:textAlignment w:val="center"/>
              <w:rPr>
                <w:color w:val="000000"/>
                <w:sz w:val="18"/>
                <w:szCs w:val="18"/>
              </w:rPr>
            </w:pPr>
            <w:r>
              <w:rPr>
                <w:color w:val="000000"/>
                <w:kern w:val="0"/>
                <w:sz w:val="18"/>
                <w:szCs w:val="18"/>
                <w:lang w:bidi="ar"/>
              </w:rPr>
              <w:t>-65.13</w:t>
            </w:r>
          </w:p>
        </w:tc>
        <w:tc>
          <w:tcPr>
            <w:tcW w:w="160" w:type="pct"/>
            <w:tcBorders>
              <w:tl2br w:val="nil"/>
              <w:tr2bl w:val="nil"/>
            </w:tcBorders>
            <w:noWrap/>
            <w:vAlign w:val="center"/>
          </w:tcPr>
          <w:p w14:paraId="701B9235">
            <w:pPr>
              <w:widowControl/>
              <w:jc w:val="center"/>
              <w:textAlignment w:val="center"/>
              <w:rPr>
                <w:color w:val="000000"/>
                <w:sz w:val="18"/>
                <w:szCs w:val="18"/>
              </w:rPr>
            </w:pPr>
            <w:r>
              <w:rPr>
                <w:color w:val="000000"/>
                <w:kern w:val="0"/>
                <w:sz w:val="18"/>
                <w:szCs w:val="18"/>
                <w:lang w:bidi="ar"/>
              </w:rPr>
              <w:t>43.35</w:t>
            </w:r>
          </w:p>
        </w:tc>
        <w:tc>
          <w:tcPr>
            <w:tcW w:w="83" w:type="pct"/>
            <w:tcBorders>
              <w:tl2br w:val="nil"/>
              <w:tr2bl w:val="nil"/>
            </w:tcBorders>
            <w:noWrap/>
            <w:vAlign w:val="center"/>
          </w:tcPr>
          <w:p w14:paraId="65E34219">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70603BC3">
            <w:pPr>
              <w:widowControl/>
              <w:jc w:val="center"/>
              <w:textAlignment w:val="center"/>
              <w:rPr>
                <w:color w:val="000000"/>
                <w:sz w:val="18"/>
                <w:szCs w:val="18"/>
              </w:rPr>
            </w:pPr>
            <w:r>
              <w:rPr>
                <w:color w:val="000000"/>
                <w:kern w:val="0"/>
                <w:sz w:val="18"/>
                <w:szCs w:val="18"/>
                <w:lang w:bidi="ar"/>
              </w:rPr>
              <w:t>28.37</w:t>
            </w:r>
          </w:p>
        </w:tc>
        <w:tc>
          <w:tcPr>
            <w:tcW w:w="160" w:type="pct"/>
            <w:tcBorders>
              <w:tl2br w:val="nil"/>
              <w:tr2bl w:val="nil"/>
            </w:tcBorders>
            <w:noWrap/>
            <w:vAlign w:val="center"/>
          </w:tcPr>
          <w:p w14:paraId="59BF8E42">
            <w:pPr>
              <w:widowControl/>
              <w:jc w:val="center"/>
              <w:textAlignment w:val="center"/>
              <w:rPr>
                <w:color w:val="000000"/>
                <w:sz w:val="18"/>
                <w:szCs w:val="18"/>
              </w:rPr>
            </w:pPr>
            <w:r>
              <w:rPr>
                <w:color w:val="000000"/>
                <w:kern w:val="0"/>
                <w:sz w:val="18"/>
                <w:szCs w:val="18"/>
                <w:lang w:bidi="ar"/>
              </w:rPr>
              <w:t>24.24</w:t>
            </w:r>
          </w:p>
        </w:tc>
        <w:tc>
          <w:tcPr>
            <w:tcW w:w="160" w:type="pct"/>
            <w:tcBorders>
              <w:tl2br w:val="nil"/>
              <w:tr2bl w:val="nil"/>
            </w:tcBorders>
            <w:noWrap/>
            <w:vAlign w:val="center"/>
          </w:tcPr>
          <w:p w14:paraId="2DFE6399">
            <w:pPr>
              <w:widowControl/>
              <w:jc w:val="center"/>
              <w:textAlignment w:val="center"/>
              <w:rPr>
                <w:color w:val="000000"/>
                <w:sz w:val="18"/>
                <w:szCs w:val="18"/>
              </w:rPr>
            </w:pPr>
            <w:r>
              <w:rPr>
                <w:color w:val="000000"/>
                <w:kern w:val="0"/>
                <w:sz w:val="18"/>
                <w:szCs w:val="18"/>
                <w:lang w:bidi="ar"/>
              </w:rPr>
              <w:t>74.40</w:t>
            </w:r>
          </w:p>
        </w:tc>
        <w:tc>
          <w:tcPr>
            <w:tcW w:w="160" w:type="pct"/>
            <w:tcBorders>
              <w:tl2br w:val="nil"/>
              <w:tr2bl w:val="nil"/>
            </w:tcBorders>
            <w:noWrap/>
            <w:vAlign w:val="center"/>
          </w:tcPr>
          <w:p w14:paraId="5306721A">
            <w:pPr>
              <w:widowControl/>
              <w:jc w:val="center"/>
              <w:textAlignment w:val="center"/>
              <w:rPr>
                <w:color w:val="000000"/>
                <w:sz w:val="18"/>
                <w:szCs w:val="18"/>
              </w:rPr>
            </w:pPr>
            <w:r>
              <w:rPr>
                <w:color w:val="000000"/>
                <w:kern w:val="0"/>
                <w:sz w:val="18"/>
                <w:szCs w:val="18"/>
                <w:lang w:bidi="ar"/>
              </w:rPr>
              <w:t>8.82</w:t>
            </w:r>
          </w:p>
        </w:tc>
        <w:tc>
          <w:tcPr>
            <w:tcW w:w="160" w:type="pct"/>
            <w:tcBorders>
              <w:tl2br w:val="nil"/>
              <w:tr2bl w:val="nil"/>
            </w:tcBorders>
            <w:noWrap/>
            <w:vAlign w:val="center"/>
          </w:tcPr>
          <w:p w14:paraId="766D41A2">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1472083B">
            <w:pPr>
              <w:widowControl/>
              <w:jc w:val="center"/>
              <w:textAlignment w:val="center"/>
              <w:rPr>
                <w:color w:val="000000"/>
                <w:sz w:val="18"/>
                <w:szCs w:val="18"/>
              </w:rPr>
            </w:pPr>
            <w:r>
              <w:rPr>
                <w:color w:val="000000"/>
                <w:kern w:val="0"/>
                <w:sz w:val="18"/>
                <w:szCs w:val="18"/>
                <w:lang w:bidi="ar"/>
              </w:rPr>
              <w:t>56.80</w:t>
            </w:r>
          </w:p>
        </w:tc>
        <w:tc>
          <w:tcPr>
            <w:tcW w:w="160" w:type="pct"/>
            <w:tcBorders>
              <w:tl2br w:val="nil"/>
              <w:tr2bl w:val="nil"/>
            </w:tcBorders>
            <w:noWrap/>
            <w:vAlign w:val="center"/>
          </w:tcPr>
          <w:p w14:paraId="5B9A24C2">
            <w:pPr>
              <w:widowControl/>
              <w:jc w:val="center"/>
              <w:textAlignment w:val="center"/>
              <w:rPr>
                <w:color w:val="000000"/>
                <w:sz w:val="18"/>
                <w:szCs w:val="18"/>
              </w:rPr>
            </w:pPr>
            <w:r>
              <w:rPr>
                <w:color w:val="000000"/>
                <w:kern w:val="0"/>
                <w:sz w:val="18"/>
                <w:szCs w:val="18"/>
                <w:lang w:bidi="ar"/>
              </w:rPr>
              <w:t>56.79</w:t>
            </w:r>
          </w:p>
        </w:tc>
        <w:tc>
          <w:tcPr>
            <w:tcW w:w="160" w:type="pct"/>
            <w:tcBorders>
              <w:tl2br w:val="nil"/>
              <w:tr2bl w:val="nil"/>
            </w:tcBorders>
            <w:noWrap/>
            <w:vAlign w:val="center"/>
          </w:tcPr>
          <w:p w14:paraId="1FF8D662">
            <w:pPr>
              <w:widowControl/>
              <w:jc w:val="center"/>
              <w:textAlignment w:val="center"/>
              <w:rPr>
                <w:color w:val="000000"/>
                <w:sz w:val="18"/>
                <w:szCs w:val="18"/>
              </w:rPr>
            </w:pPr>
            <w:r>
              <w:rPr>
                <w:color w:val="000000"/>
                <w:kern w:val="0"/>
                <w:sz w:val="18"/>
                <w:szCs w:val="18"/>
                <w:lang w:bidi="ar"/>
              </w:rPr>
              <w:t>56.82</w:t>
            </w:r>
          </w:p>
        </w:tc>
        <w:tc>
          <w:tcPr>
            <w:tcW w:w="188" w:type="pct"/>
            <w:tcBorders>
              <w:tl2br w:val="nil"/>
              <w:tr2bl w:val="nil"/>
            </w:tcBorders>
            <w:noWrap/>
            <w:vAlign w:val="center"/>
          </w:tcPr>
          <w:p w14:paraId="4F9F4D00">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964E811">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07B28DFB">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17D4B4D0">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30530526">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1575E145">
            <w:pPr>
              <w:widowControl/>
              <w:jc w:val="center"/>
              <w:textAlignment w:val="center"/>
              <w:rPr>
                <w:color w:val="000000"/>
                <w:sz w:val="18"/>
                <w:szCs w:val="18"/>
              </w:rPr>
            </w:pPr>
            <w:r>
              <w:rPr>
                <w:color w:val="000000"/>
                <w:kern w:val="0"/>
                <w:sz w:val="18"/>
                <w:szCs w:val="18"/>
                <w:lang w:bidi="ar"/>
              </w:rPr>
              <w:t>35.82</w:t>
            </w:r>
          </w:p>
        </w:tc>
        <w:tc>
          <w:tcPr>
            <w:tcW w:w="248" w:type="pct"/>
            <w:tcBorders>
              <w:tl2br w:val="nil"/>
              <w:tr2bl w:val="nil"/>
            </w:tcBorders>
            <w:noWrap/>
            <w:vAlign w:val="center"/>
          </w:tcPr>
          <w:p w14:paraId="64B2BF10">
            <w:pPr>
              <w:widowControl/>
              <w:jc w:val="center"/>
              <w:textAlignment w:val="center"/>
              <w:rPr>
                <w:color w:val="000000"/>
                <w:sz w:val="18"/>
                <w:szCs w:val="18"/>
              </w:rPr>
            </w:pPr>
            <w:r>
              <w:rPr>
                <w:color w:val="000000"/>
                <w:kern w:val="0"/>
                <w:sz w:val="18"/>
                <w:szCs w:val="18"/>
                <w:lang w:bidi="ar"/>
              </w:rPr>
              <w:t>1</w:t>
            </w:r>
          </w:p>
        </w:tc>
      </w:tr>
      <w:tr w14:paraId="2A155E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8909A0B">
            <w:pPr>
              <w:widowControl/>
              <w:jc w:val="center"/>
              <w:textAlignment w:val="center"/>
              <w:rPr>
                <w:color w:val="000000"/>
                <w:sz w:val="18"/>
                <w:szCs w:val="18"/>
              </w:rPr>
            </w:pPr>
            <w:r>
              <w:rPr>
                <w:color w:val="000000"/>
                <w:kern w:val="0"/>
                <w:sz w:val="18"/>
                <w:szCs w:val="18"/>
                <w:lang w:bidi="ar"/>
              </w:rPr>
              <w:t>37</w:t>
            </w:r>
          </w:p>
        </w:tc>
        <w:tc>
          <w:tcPr>
            <w:tcW w:w="231" w:type="pct"/>
            <w:vMerge w:val="restart"/>
            <w:tcBorders>
              <w:tl2br w:val="nil"/>
              <w:tr2bl w:val="nil"/>
            </w:tcBorders>
            <w:vAlign w:val="center"/>
          </w:tcPr>
          <w:p w14:paraId="21392434">
            <w:pPr>
              <w:widowControl/>
              <w:jc w:val="center"/>
              <w:textAlignment w:val="center"/>
              <w:rPr>
                <w:color w:val="000000"/>
                <w:sz w:val="18"/>
                <w:szCs w:val="18"/>
              </w:rPr>
            </w:pPr>
            <w:r>
              <w:rPr>
                <w:rFonts w:hint="eastAsia"/>
                <w:color w:val="000000"/>
                <w:kern w:val="0"/>
                <w:sz w:val="18"/>
                <w:szCs w:val="18"/>
                <w:lang w:bidi="ar"/>
              </w:rPr>
              <w:t>检测实验室</w:t>
            </w:r>
          </w:p>
        </w:tc>
        <w:tc>
          <w:tcPr>
            <w:tcW w:w="468" w:type="pct"/>
            <w:tcBorders>
              <w:tl2br w:val="nil"/>
              <w:tr2bl w:val="nil"/>
            </w:tcBorders>
            <w:noWrap/>
            <w:vAlign w:val="center"/>
          </w:tcPr>
          <w:p w14:paraId="608A0E96">
            <w:pPr>
              <w:widowControl/>
              <w:jc w:val="center"/>
              <w:textAlignment w:val="center"/>
              <w:rPr>
                <w:color w:val="000000"/>
                <w:sz w:val="18"/>
                <w:szCs w:val="18"/>
              </w:rPr>
            </w:pPr>
            <w:r>
              <w:rPr>
                <w:rFonts w:hint="eastAsia"/>
                <w:color w:val="000000"/>
                <w:kern w:val="0"/>
                <w:sz w:val="18"/>
                <w:szCs w:val="18"/>
                <w:lang w:bidi="ar"/>
              </w:rPr>
              <w:t>封闭式可调电炉-1</w:t>
            </w:r>
          </w:p>
        </w:tc>
        <w:tc>
          <w:tcPr>
            <w:tcW w:w="412" w:type="pct"/>
            <w:tcBorders>
              <w:tl2br w:val="nil"/>
              <w:tr2bl w:val="nil"/>
            </w:tcBorders>
            <w:noWrap/>
            <w:vAlign w:val="center"/>
          </w:tcPr>
          <w:p w14:paraId="1625609F">
            <w:pPr>
              <w:widowControl/>
              <w:jc w:val="center"/>
              <w:textAlignment w:val="center"/>
              <w:rPr>
                <w:color w:val="000000"/>
                <w:sz w:val="18"/>
                <w:szCs w:val="18"/>
              </w:rPr>
            </w:pPr>
            <w:r>
              <w:rPr>
                <w:color w:val="000000"/>
                <w:kern w:val="0"/>
                <w:sz w:val="18"/>
                <w:szCs w:val="18"/>
                <w:lang w:bidi="ar"/>
              </w:rPr>
              <w:t>DDF-1KW</w:t>
            </w:r>
          </w:p>
        </w:tc>
        <w:tc>
          <w:tcPr>
            <w:tcW w:w="318" w:type="pct"/>
            <w:tcBorders>
              <w:tl2br w:val="nil"/>
              <w:tr2bl w:val="nil"/>
            </w:tcBorders>
            <w:noWrap/>
            <w:vAlign w:val="center"/>
          </w:tcPr>
          <w:p w14:paraId="63D9F5A0">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2938AAAE">
            <w:pPr>
              <w:widowControl/>
              <w:jc w:val="center"/>
              <w:rPr>
                <w:color w:val="000000"/>
                <w:sz w:val="18"/>
                <w:szCs w:val="18"/>
              </w:rPr>
            </w:pPr>
          </w:p>
        </w:tc>
        <w:tc>
          <w:tcPr>
            <w:tcW w:w="181" w:type="pct"/>
            <w:tcBorders>
              <w:tl2br w:val="nil"/>
              <w:tr2bl w:val="nil"/>
            </w:tcBorders>
            <w:noWrap/>
            <w:vAlign w:val="center"/>
          </w:tcPr>
          <w:p w14:paraId="633DC15E">
            <w:pPr>
              <w:widowControl/>
              <w:jc w:val="center"/>
              <w:textAlignment w:val="center"/>
              <w:rPr>
                <w:color w:val="000000"/>
                <w:sz w:val="18"/>
                <w:szCs w:val="18"/>
              </w:rPr>
            </w:pPr>
            <w:r>
              <w:rPr>
                <w:color w:val="000000"/>
                <w:kern w:val="0"/>
                <w:sz w:val="18"/>
                <w:szCs w:val="18"/>
                <w:lang w:bidi="ar"/>
              </w:rPr>
              <w:t>-53.65</w:t>
            </w:r>
          </w:p>
        </w:tc>
        <w:tc>
          <w:tcPr>
            <w:tcW w:w="160" w:type="pct"/>
            <w:tcBorders>
              <w:tl2br w:val="nil"/>
              <w:tr2bl w:val="nil"/>
            </w:tcBorders>
            <w:noWrap/>
            <w:vAlign w:val="center"/>
          </w:tcPr>
          <w:p w14:paraId="194515A9">
            <w:pPr>
              <w:widowControl/>
              <w:jc w:val="center"/>
              <w:textAlignment w:val="center"/>
              <w:rPr>
                <w:color w:val="000000"/>
                <w:sz w:val="18"/>
                <w:szCs w:val="18"/>
              </w:rPr>
            </w:pPr>
            <w:r>
              <w:rPr>
                <w:color w:val="000000"/>
                <w:kern w:val="0"/>
                <w:sz w:val="18"/>
                <w:szCs w:val="18"/>
                <w:lang w:bidi="ar"/>
              </w:rPr>
              <w:t>24.03</w:t>
            </w:r>
          </w:p>
        </w:tc>
        <w:tc>
          <w:tcPr>
            <w:tcW w:w="83" w:type="pct"/>
            <w:tcBorders>
              <w:tl2br w:val="nil"/>
              <w:tr2bl w:val="nil"/>
            </w:tcBorders>
            <w:noWrap/>
            <w:vAlign w:val="center"/>
          </w:tcPr>
          <w:p w14:paraId="516A9127">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DD4A242">
            <w:pPr>
              <w:widowControl/>
              <w:jc w:val="center"/>
              <w:textAlignment w:val="center"/>
              <w:rPr>
                <w:color w:val="000000"/>
                <w:sz w:val="18"/>
                <w:szCs w:val="18"/>
              </w:rPr>
            </w:pPr>
            <w:r>
              <w:rPr>
                <w:color w:val="000000"/>
                <w:kern w:val="0"/>
                <w:sz w:val="18"/>
                <w:szCs w:val="18"/>
                <w:lang w:bidi="ar"/>
              </w:rPr>
              <w:t>44.63</w:t>
            </w:r>
          </w:p>
        </w:tc>
        <w:tc>
          <w:tcPr>
            <w:tcW w:w="160" w:type="pct"/>
            <w:tcBorders>
              <w:tl2br w:val="nil"/>
              <w:tr2bl w:val="nil"/>
            </w:tcBorders>
            <w:noWrap/>
            <w:vAlign w:val="center"/>
          </w:tcPr>
          <w:p w14:paraId="10D25E18">
            <w:pPr>
              <w:widowControl/>
              <w:jc w:val="center"/>
              <w:textAlignment w:val="center"/>
              <w:rPr>
                <w:color w:val="000000"/>
                <w:sz w:val="18"/>
                <w:szCs w:val="18"/>
              </w:rPr>
            </w:pPr>
            <w:r>
              <w:rPr>
                <w:color w:val="000000"/>
                <w:kern w:val="0"/>
                <w:sz w:val="18"/>
                <w:szCs w:val="18"/>
                <w:lang w:bidi="ar"/>
              </w:rPr>
              <w:t>8.72</w:t>
            </w:r>
          </w:p>
        </w:tc>
        <w:tc>
          <w:tcPr>
            <w:tcW w:w="160" w:type="pct"/>
            <w:tcBorders>
              <w:tl2br w:val="nil"/>
              <w:tr2bl w:val="nil"/>
            </w:tcBorders>
            <w:noWrap/>
            <w:vAlign w:val="center"/>
          </w:tcPr>
          <w:p w14:paraId="1A7FAFDC">
            <w:pPr>
              <w:widowControl/>
              <w:jc w:val="center"/>
              <w:textAlignment w:val="center"/>
              <w:rPr>
                <w:color w:val="000000"/>
                <w:sz w:val="18"/>
                <w:szCs w:val="18"/>
              </w:rPr>
            </w:pPr>
            <w:r>
              <w:rPr>
                <w:color w:val="000000"/>
                <w:kern w:val="0"/>
                <w:sz w:val="18"/>
                <w:szCs w:val="18"/>
                <w:lang w:bidi="ar"/>
              </w:rPr>
              <w:t>58.15</w:t>
            </w:r>
          </w:p>
        </w:tc>
        <w:tc>
          <w:tcPr>
            <w:tcW w:w="160" w:type="pct"/>
            <w:tcBorders>
              <w:tl2br w:val="nil"/>
              <w:tr2bl w:val="nil"/>
            </w:tcBorders>
            <w:noWrap/>
            <w:vAlign w:val="center"/>
          </w:tcPr>
          <w:p w14:paraId="4D21ADE0">
            <w:pPr>
              <w:widowControl/>
              <w:jc w:val="center"/>
              <w:textAlignment w:val="center"/>
              <w:rPr>
                <w:color w:val="000000"/>
                <w:sz w:val="18"/>
                <w:szCs w:val="18"/>
              </w:rPr>
            </w:pPr>
            <w:r>
              <w:rPr>
                <w:color w:val="000000"/>
                <w:kern w:val="0"/>
                <w:sz w:val="18"/>
                <w:szCs w:val="18"/>
                <w:lang w:bidi="ar"/>
              </w:rPr>
              <w:t>24.34</w:t>
            </w:r>
          </w:p>
        </w:tc>
        <w:tc>
          <w:tcPr>
            <w:tcW w:w="661" w:type="dxa"/>
            <w:tcBorders>
              <w:tl2br w:val="nil"/>
              <w:tr2bl w:val="nil"/>
            </w:tcBorders>
            <w:noWrap/>
            <w:vAlign w:val="bottom"/>
          </w:tcPr>
          <w:p w14:paraId="670AC486">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56.79</w:t>
            </w:r>
          </w:p>
        </w:tc>
        <w:tc>
          <w:tcPr>
            <w:tcW w:w="661" w:type="dxa"/>
            <w:tcBorders>
              <w:tl2br w:val="nil"/>
              <w:tr2bl w:val="nil"/>
            </w:tcBorders>
            <w:noWrap/>
            <w:vAlign w:val="bottom"/>
          </w:tcPr>
          <w:p w14:paraId="27DDE065">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56.82</w:t>
            </w:r>
          </w:p>
        </w:tc>
        <w:tc>
          <w:tcPr>
            <w:tcW w:w="661" w:type="dxa"/>
            <w:tcBorders>
              <w:tl2br w:val="nil"/>
              <w:tr2bl w:val="nil"/>
            </w:tcBorders>
            <w:noWrap/>
            <w:vAlign w:val="bottom"/>
          </w:tcPr>
          <w:p w14:paraId="106BEBDC">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665" w:type="dxa"/>
            <w:tcBorders>
              <w:tl2br w:val="nil"/>
              <w:tr2bl w:val="nil"/>
            </w:tcBorders>
            <w:noWrap/>
            <w:vAlign w:val="bottom"/>
          </w:tcPr>
          <w:p w14:paraId="7856814C">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188" w:type="pct"/>
            <w:tcBorders>
              <w:tl2br w:val="nil"/>
              <w:tr2bl w:val="nil"/>
            </w:tcBorders>
            <w:noWrap/>
            <w:vAlign w:val="center"/>
          </w:tcPr>
          <w:p w14:paraId="5ACB0A34">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6594412C">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4F04D975">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28BAA19B">
            <w:pPr>
              <w:widowControl/>
              <w:jc w:val="center"/>
              <w:textAlignment w:val="center"/>
              <w:rPr>
                <w:color w:val="000000"/>
                <w:sz w:val="18"/>
                <w:szCs w:val="18"/>
              </w:rPr>
            </w:pPr>
            <w:r>
              <w:rPr>
                <w:color w:val="000000"/>
                <w:kern w:val="0"/>
                <w:sz w:val="18"/>
                <w:szCs w:val="18"/>
                <w:lang w:bidi="ar"/>
              </w:rPr>
              <w:t>35.82</w:t>
            </w:r>
          </w:p>
        </w:tc>
        <w:tc>
          <w:tcPr>
            <w:tcW w:w="160" w:type="pct"/>
            <w:tcBorders>
              <w:tl2br w:val="nil"/>
              <w:tr2bl w:val="nil"/>
            </w:tcBorders>
            <w:noWrap/>
            <w:vAlign w:val="center"/>
          </w:tcPr>
          <w:p w14:paraId="07E1CA6F">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19973C4E">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52A0C07A">
            <w:pPr>
              <w:widowControl/>
              <w:jc w:val="center"/>
              <w:textAlignment w:val="center"/>
              <w:rPr>
                <w:color w:val="000000"/>
                <w:sz w:val="18"/>
                <w:szCs w:val="18"/>
              </w:rPr>
            </w:pPr>
            <w:r>
              <w:rPr>
                <w:color w:val="000000"/>
                <w:kern w:val="0"/>
                <w:sz w:val="18"/>
                <w:szCs w:val="18"/>
                <w:lang w:bidi="ar"/>
              </w:rPr>
              <w:t>1</w:t>
            </w:r>
          </w:p>
        </w:tc>
      </w:tr>
      <w:tr w14:paraId="273FF0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6CBFDCC0">
            <w:pPr>
              <w:widowControl/>
              <w:jc w:val="center"/>
              <w:textAlignment w:val="center"/>
              <w:rPr>
                <w:color w:val="000000"/>
                <w:sz w:val="18"/>
                <w:szCs w:val="18"/>
              </w:rPr>
            </w:pPr>
            <w:r>
              <w:rPr>
                <w:color w:val="000000"/>
                <w:kern w:val="0"/>
                <w:sz w:val="18"/>
                <w:szCs w:val="18"/>
                <w:lang w:bidi="ar"/>
              </w:rPr>
              <w:t>38</w:t>
            </w:r>
          </w:p>
        </w:tc>
        <w:tc>
          <w:tcPr>
            <w:tcW w:w="231" w:type="pct"/>
            <w:vMerge w:val="continue"/>
            <w:tcBorders>
              <w:tl2br w:val="nil"/>
              <w:tr2bl w:val="nil"/>
            </w:tcBorders>
            <w:vAlign w:val="center"/>
          </w:tcPr>
          <w:p w14:paraId="6E8FE50A">
            <w:pPr>
              <w:widowControl/>
              <w:jc w:val="center"/>
              <w:rPr>
                <w:color w:val="000000"/>
                <w:sz w:val="18"/>
                <w:szCs w:val="18"/>
              </w:rPr>
            </w:pPr>
          </w:p>
        </w:tc>
        <w:tc>
          <w:tcPr>
            <w:tcW w:w="468" w:type="pct"/>
            <w:tcBorders>
              <w:tl2br w:val="nil"/>
              <w:tr2bl w:val="nil"/>
            </w:tcBorders>
            <w:noWrap/>
            <w:vAlign w:val="center"/>
          </w:tcPr>
          <w:p w14:paraId="427EE97D">
            <w:pPr>
              <w:widowControl/>
              <w:jc w:val="center"/>
              <w:textAlignment w:val="center"/>
              <w:rPr>
                <w:color w:val="000000"/>
                <w:sz w:val="18"/>
                <w:szCs w:val="18"/>
              </w:rPr>
            </w:pPr>
            <w:r>
              <w:rPr>
                <w:rFonts w:hint="eastAsia"/>
                <w:color w:val="000000"/>
                <w:kern w:val="0"/>
                <w:sz w:val="18"/>
                <w:szCs w:val="18"/>
                <w:lang w:bidi="ar"/>
              </w:rPr>
              <w:t>封闭式可调电炉-2</w:t>
            </w:r>
          </w:p>
        </w:tc>
        <w:tc>
          <w:tcPr>
            <w:tcW w:w="412" w:type="pct"/>
            <w:tcBorders>
              <w:tl2br w:val="nil"/>
              <w:tr2bl w:val="nil"/>
            </w:tcBorders>
            <w:noWrap/>
            <w:vAlign w:val="center"/>
          </w:tcPr>
          <w:p w14:paraId="2A57B8C4">
            <w:pPr>
              <w:widowControl/>
              <w:jc w:val="center"/>
              <w:textAlignment w:val="center"/>
              <w:rPr>
                <w:color w:val="000000"/>
                <w:sz w:val="18"/>
                <w:szCs w:val="18"/>
              </w:rPr>
            </w:pPr>
            <w:r>
              <w:rPr>
                <w:color w:val="000000"/>
                <w:kern w:val="0"/>
                <w:sz w:val="18"/>
                <w:szCs w:val="18"/>
                <w:lang w:bidi="ar"/>
              </w:rPr>
              <w:t>DDF-1KW</w:t>
            </w:r>
          </w:p>
        </w:tc>
        <w:tc>
          <w:tcPr>
            <w:tcW w:w="318" w:type="pct"/>
            <w:tcBorders>
              <w:tl2br w:val="nil"/>
              <w:tr2bl w:val="nil"/>
            </w:tcBorders>
            <w:noWrap/>
            <w:vAlign w:val="center"/>
          </w:tcPr>
          <w:p w14:paraId="4C2358A3">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27AA60A3">
            <w:pPr>
              <w:widowControl/>
              <w:jc w:val="center"/>
              <w:rPr>
                <w:color w:val="000000"/>
                <w:sz w:val="18"/>
                <w:szCs w:val="18"/>
              </w:rPr>
            </w:pPr>
          </w:p>
        </w:tc>
        <w:tc>
          <w:tcPr>
            <w:tcW w:w="181" w:type="pct"/>
            <w:tcBorders>
              <w:tl2br w:val="nil"/>
              <w:tr2bl w:val="nil"/>
            </w:tcBorders>
            <w:noWrap/>
            <w:vAlign w:val="center"/>
          </w:tcPr>
          <w:p w14:paraId="311EFF57">
            <w:pPr>
              <w:widowControl/>
              <w:jc w:val="center"/>
              <w:textAlignment w:val="center"/>
              <w:rPr>
                <w:color w:val="000000"/>
                <w:sz w:val="18"/>
                <w:szCs w:val="18"/>
              </w:rPr>
            </w:pPr>
            <w:r>
              <w:rPr>
                <w:color w:val="000000"/>
                <w:kern w:val="0"/>
                <w:sz w:val="18"/>
                <w:szCs w:val="18"/>
                <w:lang w:bidi="ar"/>
              </w:rPr>
              <w:t>-54.33</w:t>
            </w:r>
          </w:p>
        </w:tc>
        <w:tc>
          <w:tcPr>
            <w:tcW w:w="160" w:type="pct"/>
            <w:tcBorders>
              <w:tl2br w:val="nil"/>
              <w:tr2bl w:val="nil"/>
            </w:tcBorders>
            <w:noWrap/>
            <w:vAlign w:val="center"/>
          </w:tcPr>
          <w:p w14:paraId="6D78E56D">
            <w:pPr>
              <w:widowControl/>
              <w:jc w:val="center"/>
              <w:textAlignment w:val="center"/>
              <w:rPr>
                <w:color w:val="000000"/>
                <w:sz w:val="18"/>
                <w:szCs w:val="18"/>
              </w:rPr>
            </w:pPr>
            <w:r>
              <w:rPr>
                <w:color w:val="000000"/>
                <w:kern w:val="0"/>
                <w:sz w:val="18"/>
                <w:szCs w:val="18"/>
                <w:lang w:bidi="ar"/>
              </w:rPr>
              <w:t>21.19</w:t>
            </w:r>
          </w:p>
        </w:tc>
        <w:tc>
          <w:tcPr>
            <w:tcW w:w="83" w:type="pct"/>
            <w:tcBorders>
              <w:tl2br w:val="nil"/>
              <w:tr2bl w:val="nil"/>
            </w:tcBorders>
            <w:noWrap/>
            <w:vAlign w:val="center"/>
          </w:tcPr>
          <w:p w14:paraId="7B78EC0D">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314CF5BA">
            <w:pPr>
              <w:widowControl/>
              <w:jc w:val="center"/>
              <w:textAlignment w:val="center"/>
              <w:rPr>
                <w:color w:val="000000"/>
                <w:sz w:val="18"/>
                <w:szCs w:val="18"/>
              </w:rPr>
            </w:pPr>
            <w:r>
              <w:rPr>
                <w:color w:val="000000"/>
                <w:kern w:val="0"/>
                <w:sz w:val="18"/>
                <w:szCs w:val="18"/>
                <w:lang w:bidi="ar"/>
              </w:rPr>
              <w:t>44.75</w:t>
            </w:r>
          </w:p>
        </w:tc>
        <w:tc>
          <w:tcPr>
            <w:tcW w:w="160" w:type="pct"/>
            <w:tcBorders>
              <w:tl2br w:val="nil"/>
              <w:tr2bl w:val="nil"/>
            </w:tcBorders>
            <w:noWrap/>
            <w:vAlign w:val="center"/>
          </w:tcPr>
          <w:p w14:paraId="083AF4BA">
            <w:pPr>
              <w:widowControl/>
              <w:jc w:val="center"/>
              <w:textAlignment w:val="center"/>
              <w:rPr>
                <w:color w:val="000000"/>
                <w:sz w:val="18"/>
                <w:szCs w:val="18"/>
              </w:rPr>
            </w:pPr>
            <w:r>
              <w:rPr>
                <w:color w:val="000000"/>
                <w:kern w:val="0"/>
                <w:sz w:val="18"/>
                <w:szCs w:val="18"/>
                <w:lang w:bidi="ar"/>
              </w:rPr>
              <w:t>5.80</w:t>
            </w:r>
          </w:p>
        </w:tc>
        <w:tc>
          <w:tcPr>
            <w:tcW w:w="160" w:type="pct"/>
            <w:tcBorders>
              <w:tl2br w:val="nil"/>
              <w:tr2bl w:val="nil"/>
            </w:tcBorders>
            <w:noWrap/>
            <w:vAlign w:val="center"/>
          </w:tcPr>
          <w:p w14:paraId="6CEE03C0">
            <w:pPr>
              <w:widowControl/>
              <w:jc w:val="center"/>
              <w:textAlignment w:val="center"/>
              <w:rPr>
                <w:color w:val="000000"/>
                <w:sz w:val="18"/>
                <w:szCs w:val="18"/>
              </w:rPr>
            </w:pPr>
            <w:r>
              <w:rPr>
                <w:color w:val="000000"/>
                <w:kern w:val="0"/>
                <w:sz w:val="18"/>
                <w:szCs w:val="18"/>
                <w:lang w:bidi="ar"/>
              </w:rPr>
              <w:t>58.04</w:t>
            </w:r>
          </w:p>
        </w:tc>
        <w:tc>
          <w:tcPr>
            <w:tcW w:w="160" w:type="pct"/>
            <w:tcBorders>
              <w:tl2br w:val="nil"/>
              <w:tr2bl w:val="nil"/>
            </w:tcBorders>
            <w:noWrap/>
            <w:vAlign w:val="center"/>
          </w:tcPr>
          <w:p w14:paraId="7A313E12">
            <w:pPr>
              <w:widowControl/>
              <w:jc w:val="center"/>
              <w:textAlignment w:val="center"/>
              <w:rPr>
                <w:color w:val="000000"/>
                <w:sz w:val="18"/>
                <w:szCs w:val="18"/>
              </w:rPr>
            </w:pPr>
            <w:r>
              <w:rPr>
                <w:color w:val="000000"/>
                <w:kern w:val="0"/>
                <w:sz w:val="18"/>
                <w:szCs w:val="18"/>
                <w:lang w:bidi="ar"/>
              </w:rPr>
              <w:t>27.25</w:t>
            </w:r>
          </w:p>
        </w:tc>
        <w:tc>
          <w:tcPr>
            <w:tcW w:w="661" w:type="dxa"/>
            <w:tcBorders>
              <w:tl2br w:val="nil"/>
              <w:tr2bl w:val="nil"/>
            </w:tcBorders>
            <w:noWrap/>
            <w:vAlign w:val="bottom"/>
          </w:tcPr>
          <w:p w14:paraId="7C78BE2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56.79</w:t>
            </w:r>
          </w:p>
        </w:tc>
        <w:tc>
          <w:tcPr>
            <w:tcW w:w="661" w:type="dxa"/>
            <w:tcBorders>
              <w:tl2br w:val="nil"/>
              <w:tr2bl w:val="nil"/>
            </w:tcBorders>
            <w:noWrap/>
            <w:vAlign w:val="bottom"/>
          </w:tcPr>
          <w:p w14:paraId="2A7BCC62">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56.83</w:t>
            </w:r>
          </w:p>
        </w:tc>
        <w:tc>
          <w:tcPr>
            <w:tcW w:w="661" w:type="dxa"/>
            <w:tcBorders>
              <w:tl2br w:val="nil"/>
              <w:tr2bl w:val="nil"/>
            </w:tcBorders>
            <w:noWrap/>
            <w:vAlign w:val="bottom"/>
          </w:tcPr>
          <w:p w14:paraId="6D1FA4F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665" w:type="dxa"/>
            <w:tcBorders>
              <w:tl2br w:val="nil"/>
              <w:tr2bl w:val="nil"/>
            </w:tcBorders>
            <w:noWrap/>
            <w:vAlign w:val="bottom"/>
          </w:tcPr>
          <w:p w14:paraId="17214A80">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188" w:type="pct"/>
            <w:tcBorders>
              <w:tl2br w:val="nil"/>
              <w:tr2bl w:val="nil"/>
            </w:tcBorders>
            <w:noWrap/>
            <w:vAlign w:val="center"/>
          </w:tcPr>
          <w:p w14:paraId="5EF47DF2">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4FB79685">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14747FDC">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0FE5ED32">
            <w:pPr>
              <w:widowControl/>
              <w:jc w:val="center"/>
              <w:textAlignment w:val="center"/>
              <w:rPr>
                <w:color w:val="000000"/>
                <w:sz w:val="18"/>
                <w:szCs w:val="18"/>
              </w:rPr>
            </w:pPr>
            <w:r>
              <w:rPr>
                <w:color w:val="000000"/>
                <w:kern w:val="0"/>
                <w:sz w:val="18"/>
                <w:szCs w:val="18"/>
                <w:lang w:bidi="ar"/>
              </w:rPr>
              <w:t>35.86</w:t>
            </w:r>
          </w:p>
        </w:tc>
        <w:tc>
          <w:tcPr>
            <w:tcW w:w="160" w:type="pct"/>
            <w:tcBorders>
              <w:tl2br w:val="nil"/>
              <w:tr2bl w:val="nil"/>
            </w:tcBorders>
            <w:noWrap/>
            <w:vAlign w:val="center"/>
          </w:tcPr>
          <w:p w14:paraId="6953FFD1">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6C43CC1">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4617FFE6">
            <w:pPr>
              <w:widowControl/>
              <w:jc w:val="center"/>
              <w:textAlignment w:val="center"/>
              <w:rPr>
                <w:color w:val="000000"/>
                <w:sz w:val="18"/>
                <w:szCs w:val="18"/>
              </w:rPr>
            </w:pPr>
            <w:r>
              <w:rPr>
                <w:color w:val="000000"/>
                <w:kern w:val="0"/>
                <w:sz w:val="18"/>
                <w:szCs w:val="18"/>
                <w:lang w:bidi="ar"/>
              </w:rPr>
              <w:t>1</w:t>
            </w:r>
          </w:p>
        </w:tc>
      </w:tr>
      <w:tr w14:paraId="331871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12FFBB52">
            <w:pPr>
              <w:widowControl/>
              <w:jc w:val="center"/>
              <w:textAlignment w:val="center"/>
              <w:rPr>
                <w:color w:val="000000"/>
                <w:sz w:val="18"/>
                <w:szCs w:val="18"/>
              </w:rPr>
            </w:pPr>
            <w:r>
              <w:rPr>
                <w:color w:val="000000"/>
                <w:kern w:val="0"/>
                <w:sz w:val="18"/>
                <w:szCs w:val="18"/>
                <w:lang w:bidi="ar"/>
              </w:rPr>
              <w:t>39</w:t>
            </w:r>
          </w:p>
        </w:tc>
        <w:tc>
          <w:tcPr>
            <w:tcW w:w="231" w:type="pct"/>
            <w:vMerge w:val="continue"/>
            <w:tcBorders>
              <w:tl2br w:val="nil"/>
              <w:tr2bl w:val="nil"/>
            </w:tcBorders>
            <w:vAlign w:val="center"/>
          </w:tcPr>
          <w:p w14:paraId="0C8807DB">
            <w:pPr>
              <w:widowControl/>
              <w:jc w:val="center"/>
              <w:rPr>
                <w:color w:val="000000"/>
                <w:sz w:val="18"/>
                <w:szCs w:val="18"/>
              </w:rPr>
            </w:pPr>
          </w:p>
        </w:tc>
        <w:tc>
          <w:tcPr>
            <w:tcW w:w="468" w:type="pct"/>
            <w:tcBorders>
              <w:tl2br w:val="nil"/>
              <w:tr2bl w:val="nil"/>
            </w:tcBorders>
            <w:noWrap/>
            <w:vAlign w:val="center"/>
          </w:tcPr>
          <w:p w14:paraId="0A320E2A">
            <w:pPr>
              <w:widowControl/>
              <w:jc w:val="center"/>
              <w:textAlignment w:val="center"/>
              <w:rPr>
                <w:color w:val="000000"/>
                <w:sz w:val="18"/>
                <w:szCs w:val="18"/>
              </w:rPr>
            </w:pPr>
            <w:r>
              <w:rPr>
                <w:rFonts w:hint="eastAsia"/>
                <w:color w:val="000000"/>
                <w:kern w:val="0"/>
                <w:sz w:val="18"/>
                <w:szCs w:val="18"/>
                <w:lang w:bidi="ar"/>
              </w:rPr>
              <w:t>立式压力蒸汽灭菌器</w:t>
            </w:r>
          </w:p>
        </w:tc>
        <w:tc>
          <w:tcPr>
            <w:tcW w:w="412" w:type="pct"/>
            <w:tcBorders>
              <w:tl2br w:val="nil"/>
              <w:tr2bl w:val="nil"/>
            </w:tcBorders>
            <w:noWrap/>
            <w:vAlign w:val="center"/>
          </w:tcPr>
          <w:p w14:paraId="5FE99C3A">
            <w:pPr>
              <w:widowControl/>
              <w:jc w:val="center"/>
              <w:textAlignment w:val="center"/>
              <w:rPr>
                <w:color w:val="000000"/>
                <w:sz w:val="18"/>
                <w:szCs w:val="18"/>
              </w:rPr>
            </w:pPr>
            <w:r>
              <w:rPr>
                <w:color w:val="000000"/>
                <w:kern w:val="0"/>
                <w:sz w:val="18"/>
                <w:szCs w:val="18"/>
                <w:lang w:bidi="ar"/>
              </w:rPr>
              <w:t>LDZM-60L-Ⅰ</w:t>
            </w:r>
          </w:p>
        </w:tc>
        <w:tc>
          <w:tcPr>
            <w:tcW w:w="318" w:type="pct"/>
            <w:tcBorders>
              <w:tl2br w:val="nil"/>
              <w:tr2bl w:val="nil"/>
            </w:tcBorders>
            <w:noWrap/>
            <w:vAlign w:val="center"/>
          </w:tcPr>
          <w:p w14:paraId="6D9405D1">
            <w:pPr>
              <w:widowControl/>
              <w:jc w:val="center"/>
              <w:textAlignment w:val="center"/>
              <w:rPr>
                <w:color w:val="000000"/>
                <w:sz w:val="18"/>
                <w:szCs w:val="18"/>
              </w:rPr>
            </w:pPr>
            <w:r>
              <w:rPr>
                <w:color w:val="000000"/>
                <w:kern w:val="0"/>
                <w:sz w:val="18"/>
                <w:szCs w:val="18"/>
                <w:lang w:bidi="ar"/>
              </w:rPr>
              <w:t>70</w:t>
            </w:r>
          </w:p>
        </w:tc>
        <w:tc>
          <w:tcPr>
            <w:tcW w:w="314" w:type="pct"/>
            <w:vMerge w:val="continue"/>
            <w:tcBorders>
              <w:tl2br w:val="nil"/>
              <w:tr2bl w:val="nil"/>
            </w:tcBorders>
            <w:vAlign w:val="center"/>
          </w:tcPr>
          <w:p w14:paraId="190F12CF">
            <w:pPr>
              <w:widowControl/>
              <w:jc w:val="center"/>
              <w:rPr>
                <w:color w:val="000000"/>
                <w:sz w:val="18"/>
                <w:szCs w:val="18"/>
              </w:rPr>
            </w:pPr>
          </w:p>
        </w:tc>
        <w:tc>
          <w:tcPr>
            <w:tcW w:w="181" w:type="pct"/>
            <w:tcBorders>
              <w:tl2br w:val="nil"/>
              <w:tr2bl w:val="nil"/>
            </w:tcBorders>
            <w:noWrap/>
            <w:vAlign w:val="center"/>
          </w:tcPr>
          <w:p w14:paraId="6E8CF514">
            <w:pPr>
              <w:widowControl/>
              <w:jc w:val="center"/>
              <w:textAlignment w:val="center"/>
              <w:rPr>
                <w:color w:val="000000"/>
                <w:sz w:val="18"/>
                <w:szCs w:val="18"/>
              </w:rPr>
            </w:pPr>
            <w:r>
              <w:rPr>
                <w:color w:val="000000"/>
                <w:kern w:val="0"/>
                <w:sz w:val="18"/>
                <w:szCs w:val="18"/>
                <w:lang w:bidi="ar"/>
              </w:rPr>
              <w:t>-54.98</w:t>
            </w:r>
          </w:p>
        </w:tc>
        <w:tc>
          <w:tcPr>
            <w:tcW w:w="160" w:type="pct"/>
            <w:tcBorders>
              <w:tl2br w:val="nil"/>
              <w:tr2bl w:val="nil"/>
            </w:tcBorders>
            <w:noWrap/>
            <w:vAlign w:val="center"/>
          </w:tcPr>
          <w:p w14:paraId="486049EB">
            <w:pPr>
              <w:widowControl/>
              <w:jc w:val="center"/>
              <w:textAlignment w:val="center"/>
              <w:rPr>
                <w:color w:val="000000"/>
                <w:sz w:val="18"/>
                <w:szCs w:val="18"/>
              </w:rPr>
            </w:pPr>
            <w:r>
              <w:rPr>
                <w:color w:val="000000"/>
                <w:kern w:val="0"/>
                <w:sz w:val="18"/>
                <w:szCs w:val="18"/>
                <w:lang w:bidi="ar"/>
              </w:rPr>
              <w:t>18.7</w:t>
            </w:r>
          </w:p>
        </w:tc>
        <w:tc>
          <w:tcPr>
            <w:tcW w:w="83" w:type="pct"/>
            <w:tcBorders>
              <w:tl2br w:val="nil"/>
              <w:tr2bl w:val="nil"/>
            </w:tcBorders>
            <w:noWrap/>
            <w:vAlign w:val="center"/>
          </w:tcPr>
          <w:p w14:paraId="2E6044E7">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5FB0DDBE">
            <w:pPr>
              <w:widowControl/>
              <w:jc w:val="center"/>
              <w:textAlignment w:val="center"/>
              <w:rPr>
                <w:color w:val="000000"/>
                <w:sz w:val="18"/>
                <w:szCs w:val="18"/>
              </w:rPr>
            </w:pPr>
            <w:r>
              <w:rPr>
                <w:color w:val="000000"/>
                <w:kern w:val="0"/>
                <w:sz w:val="18"/>
                <w:szCs w:val="18"/>
                <w:lang w:bidi="ar"/>
              </w:rPr>
              <w:t>44.79</w:t>
            </w:r>
          </w:p>
        </w:tc>
        <w:tc>
          <w:tcPr>
            <w:tcW w:w="160" w:type="pct"/>
            <w:tcBorders>
              <w:tl2br w:val="nil"/>
              <w:tr2bl w:val="nil"/>
            </w:tcBorders>
            <w:noWrap/>
            <w:vAlign w:val="center"/>
          </w:tcPr>
          <w:p w14:paraId="5A8F1B22">
            <w:pPr>
              <w:widowControl/>
              <w:jc w:val="center"/>
              <w:textAlignment w:val="center"/>
              <w:rPr>
                <w:color w:val="000000"/>
                <w:sz w:val="18"/>
                <w:szCs w:val="18"/>
              </w:rPr>
            </w:pPr>
            <w:r>
              <w:rPr>
                <w:color w:val="000000"/>
                <w:kern w:val="0"/>
                <w:sz w:val="18"/>
                <w:szCs w:val="18"/>
                <w:lang w:bidi="ar"/>
              </w:rPr>
              <w:t>3.23</w:t>
            </w:r>
          </w:p>
        </w:tc>
        <w:tc>
          <w:tcPr>
            <w:tcW w:w="160" w:type="pct"/>
            <w:tcBorders>
              <w:tl2br w:val="nil"/>
              <w:tr2bl w:val="nil"/>
            </w:tcBorders>
            <w:noWrap/>
            <w:vAlign w:val="center"/>
          </w:tcPr>
          <w:p w14:paraId="26C6C7E9">
            <w:pPr>
              <w:widowControl/>
              <w:jc w:val="center"/>
              <w:textAlignment w:val="center"/>
              <w:rPr>
                <w:color w:val="000000"/>
                <w:sz w:val="18"/>
                <w:szCs w:val="18"/>
              </w:rPr>
            </w:pPr>
            <w:r>
              <w:rPr>
                <w:color w:val="000000"/>
                <w:kern w:val="0"/>
                <w:sz w:val="18"/>
                <w:szCs w:val="18"/>
                <w:lang w:bidi="ar"/>
              </w:rPr>
              <w:t>58.00</w:t>
            </w:r>
          </w:p>
        </w:tc>
        <w:tc>
          <w:tcPr>
            <w:tcW w:w="160" w:type="pct"/>
            <w:tcBorders>
              <w:tl2br w:val="nil"/>
              <w:tr2bl w:val="nil"/>
            </w:tcBorders>
            <w:noWrap/>
            <w:vAlign w:val="center"/>
          </w:tcPr>
          <w:p w14:paraId="5A4DE12D">
            <w:pPr>
              <w:widowControl/>
              <w:jc w:val="center"/>
              <w:textAlignment w:val="center"/>
              <w:rPr>
                <w:color w:val="000000"/>
                <w:sz w:val="18"/>
                <w:szCs w:val="18"/>
              </w:rPr>
            </w:pPr>
            <w:r>
              <w:rPr>
                <w:color w:val="000000"/>
                <w:kern w:val="0"/>
                <w:sz w:val="18"/>
                <w:szCs w:val="18"/>
                <w:lang w:bidi="ar"/>
              </w:rPr>
              <w:t>29.83</w:t>
            </w:r>
          </w:p>
        </w:tc>
        <w:tc>
          <w:tcPr>
            <w:tcW w:w="661" w:type="dxa"/>
            <w:tcBorders>
              <w:tl2br w:val="nil"/>
              <w:tr2bl w:val="nil"/>
            </w:tcBorders>
            <w:noWrap/>
            <w:vAlign w:val="bottom"/>
          </w:tcPr>
          <w:p w14:paraId="26F4128B">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61.79</w:t>
            </w:r>
          </w:p>
        </w:tc>
        <w:tc>
          <w:tcPr>
            <w:tcW w:w="661" w:type="dxa"/>
            <w:tcBorders>
              <w:tl2br w:val="nil"/>
              <w:tr2bl w:val="nil"/>
            </w:tcBorders>
            <w:noWrap/>
            <w:vAlign w:val="bottom"/>
          </w:tcPr>
          <w:p w14:paraId="78E581F9">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61.86</w:t>
            </w:r>
          </w:p>
        </w:tc>
        <w:tc>
          <w:tcPr>
            <w:tcW w:w="661" w:type="dxa"/>
            <w:tcBorders>
              <w:tl2br w:val="nil"/>
              <w:tr2bl w:val="nil"/>
            </w:tcBorders>
            <w:noWrap/>
            <w:vAlign w:val="bottom"/>
          </w:tcPr>
          <w:p w14:paraId="3D376B91">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61.79</w:t>
            </w:r>
          </w:p>
        </w:tc>
        <w:tc>
          <w:tcPr>
            <w:tcW w:w="665" w:type="dxa"/>
            <w:tcBorders>
              <w:tl2br w:val="nil"/>
              <w:tr2bl w:val="nil"/>
            </w:tcBorders>
            <w:noWrap/>
            <w:vAlign w:val="bottom"/>
          </w:tcPr>
          <w:p w14:paraId="6EA011E1">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61.80</w:t>
            </w:r>
          </w:p>
        </w:tc>
        <w:tc>
          <w:tcPr>
            <w:tcW w:w="188" w:type="pct"/>
            <w:tcBorders>
              <w:tl2br w:val="nil"/>
              <w:tr2bl w:val="nil"/>
            </w:tcBorders>
            <w:noWrap/>
            <w:vAlign w:val="center"/>
          </w:tcPr>
          <w:p w14:paraId="3C69630D">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9499760">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E653AA1">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7F875A4E">
            <w:pPr>
              <w:widowControl/>
              <w:jc w:val="center"/>
              <w:textAlignment w:val="center"/>
              <w:rPr>
                <w:color w:val="000000"/>
                <w:sz w:val="18"/>
                <w:szCs w:val="18"/>
              </w:rPr>
            </w:pPr>
            <w:r>
              <w:rPr>
                <w:color w:val="000000"/>
                <w:kern w:val="0"/>
                <w:sz w:val="18"/>
                <w:szCs w:val="18"/>
                <w:lang w:bidi="ar"/>
              </w:rPr>
              <w:t>36.01</w:t>
            </w:r>
          </w:p>
        </w:tc>
        <w:tc>
          <w:tcPr>
            <w:tcW w:w="160" w:type="pct"/>
            <w:tcBorders>
              <w:tl2br w:val="nil"/>
              <w:tr2bl w:val="nil"/>
            </w:tcBorders>
            <w:noWrap/>
            <w:vAlign w:val="center"/>
          </w:tcPr>
          <w:p w14:paraId="2988C022">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440944F">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02644BFE">
            <w:pPr>
              <w:widowControl/>
              <w:jc w:val="center"/>
              <w:textAlignment w:val="center"/>
              <w:rPr>
                <w:color w:val="000000"/>
                <w:sz w:val="18"/>
                <w:szCs w:val="18"/>
              </w:rPr>
            </w:pPr>
            <w:r>
              <w:rPr>
                <w:color w:val="000000"/>
                <w:kern w:val="0"/>
                <w:sz w:val="18"/>
                <w:szCs w:val="18"/>
                <w:lang w:bidi="ar"/>
              </w:rPr>
              <w:t>1</w:t>
            </w:r>
          </w:p>
        </w:tc>
      </w:tr>
      <w:tr w14:paraId="04CBB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228356EA">
            <w:pPr>
              <w:widowControl/>
              <w:jc w:val="center"/>
              <w:textAlignment w:val="center"/>
              <w:rPr>
                <w:color w:val="000000"/>
                <w:sz w:val="18"/>
                <w:szCs w:val="18"/>
              </w:rPr>
            </w:pPr>
            <w:r>
              <w:rPr>
                <w:color w:val="000000"/>
                <w:kern w:val="0"/>
                <w:sz w:val="18"/>
                <w:szCs w:val="18"/>
                <w:lang w:bidi="ar"/>
              </w:rPr>
              <w:t>40</w:t>
            </w:r>
          </w:p>
        </w:tc>
        <w:tc>
          <w:tcPr>
            <w:tcW w:w="231" w:type="pct"/>
            <w:vMerge w:val="restart"/>
            <w:tcBorders>
              <w:tl2br w:val="nil"/>
              <w:tr2bl w:val="nil"/>
            </w:tcBorders>
            <w:noWrap/>
            <w:vAlign w:val="center"/>
          </w:tcPr>
          <w:p w14:paraId="752B2166">
            <w:pPr>
              <w:widowControl/>
              <w:jc w:val="center"/>
              <w:textAlignment w:val="center"/>
              <w:rPr>
                <w:color w:val="000000"/>
                <w:sz w:val="18"/>
                <w:szCs w:val="18"/>
              </w:rPr>
            </w:pPr>
            <w:r>
              <w:rPr>
                <w:rFonts w:hint="eastAsia"/>
                <w:color w:val="000000"/>
                <w:kern w:val="0"/>
                <w:sz w:val="18"/>
                <w:szCs w:val="18"/>
                <w:lang w:bidi="ar"/>
              </w:rPr>
              <w:t>机房</w:t>
            </w:r>
          </w:p>
        </w:tc>
        <w:tc>
          <w:tcPr>
            <w:tcW w:w="468" w:type="pct"/>
            <w:tcBorders>
              <w:tl2br w:val="nil"/>
              <w:tr2bl w:val="nil"/>
            </w:tcBorders>
            <w:noWrap/>
            <w:vAlign w:val="center"/>
          </w:tcPr>
          <w:p w14:paraId="0B02F0BC">
            <w:pPr>
              <w:widowControl/>
              <w:jc w:val="center"/>
              <w:textAlignment w:val="center"/>
              <w:rPr>
                <w:color w:val="000000"/>
                <w:sz w:val="18"/>
                <w:szCs w:val="18"/>
              </w:rPr>
            </w:pPr>
            <w:r>
              <w:rPr>
                <w:rFonts w:hint="eastAsia"/>
                <w:color w:val="000000"/>
                <w:kern w:val="0"/>
                <w:sz w:val="18"/>
                <w:szCs w:val="18"/>
                <w:lang w:bidi="ar"/>
              </w:rPr>
              <w:t>压缩空气系统</w:t>
            </w:r>
          </w:p>
        </w:tc>
        <w:tc>
          <w:tcPr>
            <w:tcW w:w="412" w:type="pct"/>
            <w:tcBorders>
              <w:tl2br w:val="nil"/>
              <w:tr2bl w:val="nil"/>
            </w:tcBorders>
            <w:noWrap/>
            <w:vAlign w:val="center"/>
          </w:tcPr>
          <w:p w14:paraId="46D79DF4">
            <w:pPr>
              <w:widowControl/>
              <w:jc w:val="center"/>
              <w:textAlignment w:val="center"/>
              <w:rPr>
                <w:color w:val="000000"/>
                <w:sz w:val="18"/>
                <w:szCs w:val="18"/>
              </w:rPr>
            </w:pPr>
            <w:r>
              <w:rPr>
                <w:color w:val="000000"/>
                <w:kern w:val="0"/>
                <w:sz w:val="18"/>
                <w:szCs w:val="18"/>
                <w:lang w:bidi="ar"/>
              </w:rPr>
              <w:t>DH07VSD-8A</w:t>
            </w:r>
          </w:p>
        </w:tc>
        <w:tc>
          <w:tcPr>
            <w:tcW w:w="318" w:type="pct"/>
            <w:tcBorders>
              <w:tl2br w:val="nil"/>
              <w:tr2bl w:val="nil"/>
            </w:tcBorders>
            <w:noWrap/>
            <w:vAlign w:val="center"/>
          </w:tcPr>
          <w:p w14:paraId="2F85E1FF">
            <w:pPr>
              <w:widowControl/>
              <w:jc w:val="center"/>
              <w:textAlignment w:val="center"/>
              <w:rPr>
                <w:color w:val="000000"/>
                <w:sz w:val="18"/>
                <w:szCs w:val="18"/>
              </w:rPr>
            </w:pPr>
            <w:r>
              <w:rPr>
                <w:color w:val="000000"/>
                <w:kern w:val="0"/>
                <w:sz w:val="18"/>
                <w:szCs w:val="18"/>
                <w:lang w:bidi="ar"/>
              </w:rPr>
              <w:t>80</w:t>
            </w:r>
          </w:p>
        </w:tc>
        <w:tc>
          <w:tcPr>
            <w:tcW w:w="314" w:type="pct"/>
            <w:vMerge w:val="continue"/>
            <w:tcBorders>
              <w:tl2br w:val="nil"/>
              <w:tr2bl w:val="nil"/>
            </w:tcBorders>
            <w:vAlign w:val="center"/>
          </w:tcPr>
          <w:p w14:paraId="2C204F36">
            <w:pPr>
              <w:widowControl/>
              <w:jc w:val="center"/>
              <w:rPr>
                <w:color w:val="000000"/>
                <w:sz w:val="18"/>
                <w:szCs w:val="18"/>
              </w:rPr>
            </w:pPr>
          </w:p>
        </w:tc>
        <w:tc>
          <w:tcPr>
            <w:tcW w:w="181" w:type="pct"/>
            <w:tcBorders>
              <w:tl2br w:val="nil"/>
              <w:tr2bl w:val="nil"/>
            </w:tcBorders>
            <w:noWrap/>
            <w:vAlign w:val="center"/>
          </w:tcPr>
          <w:p w14:paraId="5E010583">
            <w:pPr>
              <w:widowControl/>
              <w:jc w:val="center"/>
              <w:textAlignment w:val="center"/>
              <w:rPr>
                <w:color w:val="000000"/>
                <w:sz w:val="18"/>
                <w:szCs w:val="18"/>
              </w:rPr>
            </w:pPr>
            <w:r>
              <w:rPr>
                <w:color w:val="000000"/>
                <w:kern w:val="0"/>
                <w:sz w:val="18"/>
                <w:szCs w:val="18"/>
                <w:lang w:bidi="ar"/>
              </w:rPr>
              <w:t>-38.58</w:t>
            </w:r>
          </w:p>
        </w:tc>
        <w:tc>
          <w:tcPr>
            <w:tcW w:w="160" w:type="pct"/>
            <w:tcBorders>
              <w:tl2br w:val="nil"/>
              <w:tr2bl w:val="nil"/>
            </w:tcBorders>
            <w:noWrap/>
            <w:vAlign w:val="center"/>
          </w:tcPr>
          <w:p w14:paraId="3886FBCE">
            <w:pPr>
              <w:widowControl/>
              <w:jc w:val="center"/>
              <w:textAlignment w:val="center"/>
              <w:rPr>
                <w:color w:val="000000"/>
                <w:sz w:val="18"/>
                <w:szCs w:val="18"/>
              </w:rPr>
            </w:pPr>
            <w:r>
              <w:rPr>
                <w:color w:val="000000"/>
                <w:kern w:val="0"/>
                <w:sz w:val="18"/>
                <w:szCs w:val="18"/>
                <w:lang w:bidi="ar"/>
              </w:rPr>
              <w:t>21.46</w:t>
            </w:r>
          </w:p>
        </w:tc>
        <w:tc>
          <w:tcPr>
            <w:tcW w:w="83" w:type="pct"/>
            <w:tcBorders>
              <w:tl2br w:val="nil"/>
              <w:tr2bl w:val="nil"/>
            </w:tcBorders>
            <w:noWrap/>
            <w:vAlign w:val="center"/>
          </w:tcPr>
          <w:p w14:paraId="16DDF968">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7C8E45FA">
            <w:pPr>
              <w:widowControl/>
              <w:jc w:val="center"/>
              <w:textAlignment w:val="center"/>
              <w:rPr>
                <w:color w:val="000000"/>
                <w:sz w:val="18"/>
                <w:szCs w:val="18"/>
              </w:rPr>
            </w:pPr>
            <w:r>
              <w:rPr>
                <w:color w:val="000000"/>
                <w:kern w:val="0"/>
                <w:sz w:val="18"/>
                <w:szCs w:val="18"/>
                <w:lang w:bidi="ar"/>
              </w:rPr>
              <w:t>59.84</w:t>
            </w:r>
          </w:p>
        </w:tc>
        <w:tc>
          <w:tcPr>
            <w:tcW w:w="160" w:type="pct"/>
            <w:tcBorders>
              <w:tl2br w:val="nil"/>
              <w:tr2bl w:val="nil"/>
            </w:tcBorders>
            <w:noWrap/>
            <w:vAlign w:val="center"/>
          </w:tcPr>
          <w:p w14:paraId="17F80485">
            <w:pPr>
              <w:widowControl/>
              <w:jc w:val="center"/>
              <w:textAlignment w:val="center"/>
              <w:rPr>
                <w:color w:val="000000"/>
                <w:sz w:val="18"/>
                <w:szCs w:val="18"/>
              </w:rPr>
            </w:pPr>
            <w:r>
              <w:rPr>
                <w:color w:val="000000"/>
                <w:kern w:val="0"/>
                <w:sz w:val="18"/>
                <w:szCs w:val="18"/>
                <w:lang w:bidi="ar"/>
              </w:rPr>
              <w:t>10.30</w:t>
            </w:r>
          </w:p>
        </w:tc>
        <w:tc>
          <w:tcPr>
            <w:tcW w:w="160" w:type="pct"/>
            <w:tcBorders>
              <w:tl2br w:val="nil"/>
              <w:tr2bl w:val="nil"/>
            </w:tcBorders>
            <w:noWrap/>
            <w:vAlign w:val="center"/>
          </w:tcPr>
          <w:p w14:paraId="0D873B3B">
            <w:pPr>
              <w:widowControl/>
              <w:jc w:val="center"/>
              <w:textAlignment w:val="center"/>
              <w:rPr>
                <w:color w:val="000000"/>
                <w:sz w:val="18"/>
                <w:szCs w:val="18"/>
              </w:rPr>
            </w:pPr>
            <w:r>
              <w:rPr>
                <w:color w:val="000000"/>
                <w:kern w:val="0"/>
                <w:sz w:val="18"/>
                <w:szCs w:val="18"/>
                <w:lang w:bidi="ar"/>
              </w:rPr>
              <w:t>42.94</w:t>
            </w:r>
          </w:p>
        </w:tc>
        <w:tc>
          <w:tcPr>
            <w:tcW w:w="160" w:type="pct"/>
            <w:tcBorders>
              <w:tl2br w:val="nil"/>
              <w:tr2bl w:val="nil"/>
            </w:tcBorders>
            <w:noWrap/>
            <w:vAlign w:val="center"/>
          </w:tcPr>
          <w:p w14:paraId="2EB816A8">
            <w:pPr>
              <w:widowControl/>
              <w:jc w:val="center"/>
              <w:textAlignment w:val="center"/>
              <w:rPr>
                <w:color w:val="000000"/>
                <w:sz w:val="18"/>
                <w:szCs w:val="18"/>
              </w:rPr>
            </w:pPr>
            <w:r>
              <w:rPr>
                <w:color w:val="000000"/>
                <w:kern w:val="0"/>
                <w:sz w:val="18"/>
                <w:szCs w:val="18"/>
                <w:lang w:bidi="ar"/>
              </w:rPr>
              <w:t>22.76</w:t>
            </w:r>
          </w:p>
        </w:tc>
        <w:tc>
          <w:tcPr>
            <w:tcW w:w="661" w:type="dxa"/>
            <w:tcBorders>
              <w:tl2br w:val="nil"/>
              <w:tr2bl w:val="nil"/>
            </w:tcBorders>
            <w:noWrap/>
            <w:vAlign w:val="bottom"/>
          </w:tcPr>
          <w:p w14:paraId="6FA946DF">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66.80</w:t>
            </w:r>
          </w:p>
        </w:tc>
        <w:tc>
          <w:tcPr>
            <w:tcW w:w="661" w:type="dxa"/>
            <w:tcBorders>
              <w:tl2br w:val="nil"/>
              <w:tr2bl w:val="nil"/>
            </w:tcBorders>
            <w:noWrap/>
            <w:vAlign w:val="bottom"/>
          </w:tcPr>
          <w:p w14:paraId="516ECF62">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66.88</w:t>
            </w:r>
          </w:p>
        </w:tc>
        <w:tc>
          <w:tcPr>
            <w:tcW w:w="661" w:type="dxa"/>
            <w:tcBorders>
              <w:tl2br w:val="nil"/>
              <w:tr2bl w:val="nil"/>
            </w:tcBorders>
            <w:noWrap/>
            <w:vAlign w:val="bottom"/>
          </w:tcPr>
          <w:p w14:paraId="63FBC90D">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66.79</w:t>
            </w:r>
          </w:p>
        </w:tc>
        <w:tc>
          <w:tcPr>
            <w:tcW w:w="665" w:type="dxa"/>
            <w:tcBorders>
              <w:tl2br w:val="nil"/>
              <w:tr2bl w:val="nil"/>
            </w:tcBorders>
            <w:noWrap/>
            <w:vAlign w:val="bottom"/>
          </w:tcPr>
          <w:p w14:paraId="6BE1C2B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66.80</w:t>
            </w:r>
          </w:p>
        </w:tc>
        <w:tc>
          <w:tcPr>
            <w:tcW w:w="188" w:type="pct"/>
            <w:tcBorders>
              <w:tl2br w:val="nil"/>
              <w:tr2bl w:val="nil"/>
            </w:tcBorders>
            <w:noWrap/>
            <w:vAlign w:val="center"/>
          </w:tcPr>
          <w:p w14:paraId="05ABDBE4">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5C4D9A26">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2C8806AE">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2CC1899">
            <w:pPr>
              <w:widowControl/>
              <w:jc w:val="center"/>
              <w:textAlignment w:val="center"/>
              <w:rPr>
                <w:color w:val="000000"/>
                <w:sz w:val="18"/>
                <w:szCs w:val="18"/>
              </w:rPr>
            </w:pPr>
            <w:r>
              <w:rPr>
                <w:color w:val="000000"/>
                <w:kern w:val="0"/>
                <w:sz w:val="18"/>
                <w:szCs w:val="18"/>
                <w:lang w:bidi="ar"/>
              </w:rPr>
              <w:t>35.82</w:t>
            </w:r>
          </w:p>
        </w:tc>
        <w:tc>
          <w:tcPr>
            <w:tcW w:w="160" w:type="pct"/>
            <w:tcBorders>
              <w:tl2br w:val="nil"/>
              <w:tr2bl w:val="nil"/>
            </w:tcBorders>
            <w:noWrap/>
            <w:vAlign w:val="center"/>
          </w:tcPr>
          <w:p w14:paraId="00064560">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3FA8ACFA">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4D6D5C96">
            <w:pPr>
              <w:widowControl/>
              <w:jc w:val="center"/>
              <w:textAlignment w:val="center"/>
              <w:rPr>
                <w:color w:val="000000"/>
                <w:sz w:val="18"/>
                <w:szCs w:val="18"/>
              </w:rPr>
            </w:pPr>
            <w:r>
              <w:rPr>
                <w:color w:val="000000"/>
                <w:kern w:val="0"/>
                <w:sz w:val="18"/>
                <w:szCs w:val="18"/>
                <w:lang w:bidi="ar"/>
              </w:rPr>
              <w:t>1</w:t>
            </w:r>
          </w:p>
        </w:tc>
      </w:tr>
      <w:tr w14:paraId="34ECE1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118" w:type="pct"/>
            <w:tcBorders>
              <w:tl2br w:val="nil"/>
              <w:tr2bl w:val="nil"/>
            </w:tcBorders>
            <w:noWrap/>
            <w:vAlign w:val="center"/>
          </w:tcPr>
          <w:p w14:paraId="32C4C30B">
            <w:pPr>
              <w:widowControl/>
              <w:jc w:val="center"/>
              <w:textAlignment w:val="center"/>
              <w:rPr>
                <w:color w:val="000000"/>
                <w:sz w:val="18"/>
                <w:szCs w:val="18"/>
              </w:rPr>
            </w:pPr>
            <w:r>
              <w:rPr>
                <w:color w:val="000000"/>
                <w:kern w:val="0"/>
                <w:sz w:val="18"/>
                <w:szCs w:val="18"/>
                <w:lang w:bidi="ar"/>
              </w:rPr>
              <w:t>41</w:t>
            </w:r>
          </w:p>
        </w:tc>
        <w:tc>
          <w:tcPr>
            <w:tcW w:w="231" w:type="pct"/>
            <w:vMerge w:val="continue"/>
            <w:tcBorders>
              <w:tl2br w:val="nil"/>
              <w:tr2bl w:val="nil"/>
            </w:tcBorders>
            <w:noWrap/>
            <w:vAlign w:val="center"/>
          </w:tcPr>
          <w:p w14:paraId="203A0789">
            <w:pPr>
              <w:widowControl/>
              <w:jc w:val="center"/>
              <w:rPr>
                <w:color w:val="000000"/>
                <w:sz w:val="18"/>
                <w:szCs w:val="18"/>
              </w:rPr>
            </w:pPr>
          </w:p>
        </w:tc>
        <w:tc>
          <w:tcPr>
            <w:tcW w:w="468" w:type="pct"/>
            <w:tcBorders>
              <w:tl2br w:val="nil"/>
              <w:tr2bl w:val="nil"/>
            </w:tcBorders>
            <w:noWrap/>
            <w:vAlign w:val="center"/>
          </w:tcPr>
          <w:p w14:paraId="36738724">
            <w:pPr>
              <w:widowControl/>
              <w:jc w:val="center"/>
              <w:textAlignment w:val="center"/>
              <w:rPr>
                <w:color w:val="000000"/>
                <w:sz w:val="18"/>
                <w:szCs w:val="18"/>
              </w:rPr>
            </w:pPr>
            <w:r>
              <w:rPr>
                <w:rFonts w:hint="eastAsia"/>
                <w:color w:val="000000"/>
                <w:kern w:val="0"/>
                <w:sz w:val="18"/>
                <w:szCs w:val="18"/>
                <w:lang w:bidi="ar"/>
              </w:rPr>
              <w:t>无油隔膜真空泵</w:t>
            </w:r>
          </w:p>
        </w:tc>
        <w:tc>
          <w:tcPr>
            <w:tcW w:w="412" w:type="pct"/>
            <w:tcBorders>
              <w:tl2br w:val="nil"/>
              <w:tr2bl w:val="nil"/>
            </w:tcBorders>
            <w:noWrap/>
            <w:vAlign w:val="center"/>
          </w:tcPr>
          <w:p w14:paraId="71A1BEC7">
            <w:pPr>
              <w:widowControl/>
              <w:jc w:val="center"/>
              <w:textAlignment w:val="center"/>
              <w:rPr>
                <w:color w:val="000000"/>
                <w:sz w:val="18"/>
                <w:szCs w:val="18"/>
              </w:rPr>
            </w:pPr>
            <w:r>
              <w:rPr>
                <w:color w:val="000000"/>
                <w:kern w:val="0"/>
                <w:sz w:val="18"/>
                <w:szCs w:val="18"/>
                <w:lang w:bidi="ar"/>
              </w:rPr>
              <w:t>HP-01PB</w:t>
            </w:r>
          </w:p>
        </w:tc>
        <w:tc>
          <w:tcPr>
            <w:tcW w:w="318" w:type="pct"/>
            <w:tcBorders>
              <w:tl2br w:val="nil"/>
              <w:tr2bl w:val="nil"/>
            </w:tcBorders>
            <w:noWrap/>
            <w:vAlign w:val="center"/>
          </w:tcPr>
          <w:p w14:paraId="3C448173">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3AF717C5">
            <w:pPr>
              <w:widowControl/>
              <w:jc w:val="center"/>
              <w:rPr>
                <w:color w:val="000000"/>
                <w:sz w:val="18"/>
                <w:szCs w:val="18"/>
              </w:rPr>
            </w:pPr>
          </w:p>
        </w:tc>
        <w:tc>
          <w:tcPr>
            <w:tcW w:w="181" w:type="pct"/>
            <w:tcBorders>
              <w:tl2br w:val="nil"/>
              <w:tr2bl w:val="nil"/>
            </w:tcBorders>
            <w:noWrap/>
            <w:vAlign w:val="center"/>
          </w:tcPr>
          <w:p w14:paraId="33EB1D4F">
            <w:pPr>
              <w:widowControl/>
              <w:jc w:val="center"/>
              <w:textAlignment w:val="center"/>
              <w:rPr>
                <w:color w:val="000000"/>
                <w:sz w:val="18"/>
                <w:szCs w:val="18"/>
              </w:rPr>
            </w:pPr>
            <w:r>
              <w:rPr>
                <w:color w:val="000000"/>
                <w:kern w:val="0"/>
                <w:sz w:val="18"/>
                <w:szCs w:val="18"/>
                <w:lang w:bidi="ar"/>
              </w:rPr>
              <w:t>-39.28</w:t>
            </w:r>
          </w:p>
        </w:tc>
        <w:tc>
          <w:tcPr>
            <w:tcW w:w="160" w:type="pct"/>
            <w:tcBorders>
              <w:tl2br w:val="nil"/>
              <w:tr2bl w:val="nil"/>
            </w:tcBorders>
            <w:noWrap/>
            <w:vAlign w:val="center"/>
          </w:tcPr>
          <w:p w14:paraId="03A75526">
            <w:pPr>
              <w:widowControl/>
              <w:jc w:val="center"/>
              <w:textAlignment w:val="center"/>
              <w:rPr>
                <w:color w:val="000000"/>
                <w:sz w:val="18"/>
                <w:szCs w:val="18"/>
              </w:rPr>
            </w:pPr>
            <w:r>
              <w:rPr>
                <w:color w:val="000000"/>
                <w:kern w:val="0"/>
                <w:sz w:val="18"/>
                <w:szCs w:val="18"/>
                <w:lang w:bidi="ar"/>
              </w:rPr>
              <w:t>18.75</w:t>
            </w:r>
          </w:p>
        </w:tc>
        <w:tc>
          <w:tcPr>
            <w:tcW w:w="83" w:type="pct"/>
            <w:tcBorders>
              <w:tl2br w:val="nil"/>
              <w:tr2bl w:val="nil"/>
            </w:tcBorders>
            <w:noWrap/>
            <w:vAlign w:val="center"/>
          </w:tcPr>
          <w:p w14:paraId="48488F0A">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07091A85">
            <w:pPr>
              <w:widowControl/>
              <w:jc w:val="center"/>
              <w:textAlignment w:val="center"/>
              <w:rPr>
                <w:color w:val="000000"/>
                <w:sz w:val="18"/>
                <w:szCs w:val="18"/>
              </w:rPr>
            </w:pPr>
            <w:r>
              <w:rPr>
                <w:color w:val="000000"/>
                <w:kern w:val="0"/>
                <w:sz w:val="18"/>
                <w:szCs w:val="18"/>
                <w:lang w:bidi="ar"/>
              </w:rPr>
              <w:t>59.90</w:t>
            </w:r>
          </w:p>
        </w:tc>
        <w:tc>
          <w:tcPr>
            <w:tcW w:w="160" w:type="pct"/>
            <w:tcBorders>
              <w:tl2br w:val="nil"/>
              <w:tr2bl w:val="nil"/>
            </w:tcBorders>
            <w:noWrap/>
            <w:vAlign w:val="center"/>
          </w:tcPr>
          <w:p w14:paraId="57115E93">
            <w:pPr>
              <w:widowControl/>
              <w:jc w:val="center"/>
              <w:textAlignment w:val="center"/>
              <w:rPr>
                <w:color w:val="000000"/>
                <w:sz w:val="18"/>
                <w:szCs w:val="18"/>
              </w:rPr>
            </w:pPr>
            <w:r>
              <w:rPr>
                <w:color w:val="000000"/>
                <w:kern w:val="0"/>
                <w:sz w:val="18"/>
                <w:szCs w:val="18"/>
                <w:lang w:bidi="ar"/>
              </w:rPr>
              <w:t>7.50</w:t>
            </w:r>
          </w:p>
        </w:tc>
        <w:tc>
          <w:tcPr>
            <w:tcW w:w="160" w:type="pct"/>
            <w:tcBorders>
              <w:tl2br w:val="nil"/>
              <w:tr2bl w:val="nil"/>
            </w:tcBorders>
            <w:noWrap/>
            <w:vAlign w:val="center"/>
          </w:tcPr>
          <w:p w14:paraId="5F58FC09">
            <w:pPr>
              <w:widowControl/>
              <w:jc w:val="center"/>
              <w:textAlignment w:val="center"/>
              <w:rPr>
                <w:color w:val="000000"/>
                <w:sz w:val="18"/>
                <w:szCs w:val="18"/>
              </w:rPr>
            </w:pPr>
            <w:r>
              <w:rPr>
                <w:color w:val="000000"/>
                <w:kern w:val="0"/>
                <w:sz w:val="18"/>
                <w:szCs w:val="18"/>
                <w:lang w:bidi="ar"/>
              </w:rPr>
              <w:t>42.89</w:t>
            </w:r>
          </w:p>
        </w:tc>
        <w:tc>
          <w:tcPr>
            <w:tcW w:w="160" w:type="pct"/>
            <w:tcBorders>
              <w:tl2br w:val="nil"/>
              <w:tr2bl w:val="nil"/>
            </w:tcBorders>
            <w:noWrap/>
            <w:vAlign w:val="center"/>
          </w:tcPr>
          <w:p w14:paraId="639E8026">
            <w:pPr>
              <w:widowControl/>
              <w:jc w:val="center"/>
              <w:textAlignment w:val="center"/>
              <w:rPr>
                <w:color w:val="000000"/>
                <w:sz w:val="18"/>
                <w:szCs w:val="18"/>
              </w:rPr>
            </w:pPr>
            <w:r>
              <w:rPr>
                <w:color w:val="000000"/>
                <w:kern w:val="0"/>
                <w:sz w:val="18"/>
                <w:szCs w:val="18"/>
                <w:lang w:bidi="ar"/>
              </w:rPr>
              <w:t>25.56</w:t>
            </w:r>
          </w:p>
        </w:tc>
        <w:tc>
          <w:tcPr>
            <w:tcW w:w="661" w:type="dxa"/>
            <w:tcBorders>
              <w:tl2br w:val="nil"/>
              <w:tr2bl w:val="nil"/>
            </w:tcBorders>
            <w:noWrap/>
            <w:vAlign w:val="bottom"/>
          </w:tcPr>
          <w:p w14:paraId="476B3C6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661" w:type="dxa"/>
            <w:tcBorders>
              <w:tl2br w:val="nil"/>
              <w:tr2bl w:val="nil"/>
            </w:tcBorders>
            <w:noWrap/>
            <w:vAlign w:val="bottom"/>
          </w:tcPr>
          <w:p w14:paraId="1C1E18D5">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56.82</w:t>
            </w:r>
          </w:p>
        </w:tc>
        <w:tc>
          <w:tcPr>
            <w:tcW w:w="661" w:type="dxa"/>
            <w:tcBorders>
              <w:tl2br w:val="nil"/>
              <w:tr2bl w:val="nil"/>
            </w:tcBorders>
            <w:noWrap/>
            <w:vAlign w:val="bottom"/>
          </w:tcPr>
          <w:p w14:paraId="02A16C4C">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56.79</w:t>
            </w:r>
          </w:p>
        </w:tc>
        <w:tc>
          <w:tcPr>
            <w:tcW w:w="665" w:type="dxa"/>
            <w:tcBorders>
              <w:tl2br w:val="nil"/>
              <w:tr2bl w:val="nil"/>
            </w:tcBorders>
            <w:noWrap/>
            <w:vAlign w:val="bottom"/>
          </w:tcPr>
          <w:p w14:paraId="26AA8DA7">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188" w:type="pct"/>
            <w:tcBorders>
              <w:tl2br w:val="nil"/>
              <w:tr2bl w:val="nil"/>
            </w:tcBorders>
            <w:noWrap/>
            <w:vAlign w:val="center"/>
          </w:tcPr>
          <w:p w14:paraId="38997EAA">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1CAD59DC">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5FCCD25F">
            <w:pPr>
              <w:widowControl/>
              <w:jc w:val="center"/>
              <w:textAlignment w:val="center"/>
              <w:rPr>
                <w:color w:val="000000"/>
                <w:sz w:val="18"/>
                <w:szCs w:val="18"/>
              </w:rPr>
            </w:pPr>
            <w:r>
              <w:rPr>
                <w:color w:val="000000"/>
                <w:kern w:val="0"/>
                <w:sz w:val="18"/>
                <w:szCs w:val="18"/>
                <w:lang w:bidi="ar"/>
              </w:rPr>
              <w:t>35.79</w:t>
            </w:r>
          </w:p>
        </w:tc>
        <w:tc>
          <w:tcPr>
            <w:tcW w:w="160" w:type="pct"/>
            <w:tcBorders>
              <w:tl2br w:val="nil"/>
              <w:tr2bl w:val="nil"/>
            </w:tcBorders>
            <w:noWrap/>
            <w:vAlign w:val="center"/>
          </w:tcPr>
          <w:p w14:paraId="59ACE8B5">
            <w:pPr>
              <w:widowControl/>
              <w:jc w:val="center"/>
              <w:textAlignment w:val="center"/>
              <w:rPr>
                <w:color w:val="000000"/>
                <w:sz w:val="18"/>
                <w:szCs w:val="18"/>
              </w:rPr>
            </w:pPr>
            <w:r>
              <w:rPr>
                <w:color w:val="000000"/>
                <w:kern w:val="0"/>
                <w:sz w:val="18"/>
                <w:szCs w:val="18"/>
                <w:lang w:bidi="ar"/>
              </w:rPr>
              <w:t>35.83</w:t>
            </w:r>
          </w:p>
        </w:tc>
        <w:tc>
          <w:tcPr>
            <w:tcW w:w="160" w:type="pct"/>
            <w:tcBorders>
              <w:tl2br w:val="nil"/>
              <w:tr2bl w:val="nil"/>
            </w:tcBorders>
            <w:noWrap/>
            <w:vAlign w:val="center"/>
          </w:tcPr>
          <w:p w14:paraId="69A06DF5">
            <w:pPr>
              <w:widowControl/>
              <w:jc w:val="center"/>
              <w:textAlignment w:val="center"/>
              <w:rPr>
                <w:color w:val="000000"/>
                <w:sz w:val="18"/>
                <w:szCs w:val="18"/>
              </w:rPr>
            </w:pPr>
            <w:r>
              <w:rPr>
                <w:color w:val="000000"/>
                <w:kern w:val="0"/>
                <w:sz w:val="18"/>
                <w:szCs w:val="18"/>
                <w:lang w:bidi="ar"/>
              </w:rPr>
              <w:t>35.80</w:t>
            </w:r>
          </w:p>
        </w:tc>
        <w:tc>
          <w:tcPr>
            <w:tcW w:w="160" w:type="pct"/>
            <w:tcBorders>
              <w:tl2br w:val="nil"/>
              <w:tr2bl w:val="nil"/>
            </w:tcBorders>
            <w:noWrap/>
            <w:vAlign w:val="center"/>
          </w:tcPr>
          <w:p w14:paraId="5B205300">
            <w:pPr>
              <w:widowControl/>
              <w:jc w:val="center"/>
              <w:textAlignment w:val="center"/>
              <w:rPr>
                <w:color w:val="000000"/>
                <w:sz w:val="18"/>
                <w:szCs w:val="18"/>
              </w:rPr>
            </w:pPr>
            <w:r>
              <w:rPr>
                <w:color w:val="000000"/>
                <w:kern w:val="0"/>
                <w:sz w:val="18"/>
                <w:szCs w:val="18"/>
                <w:lang w:bidi="ar"/>
              </w:rPr>
              <w:t>35.80</w:t>
            </w:r>
          </w:p>
        </w:tc>
        <w:tc>
          <w:tcPr>
            <w:tcW w:w="248" w:type="pct"/>
            <w:tcBorders>
              <w:tl2br w:val="nil"/>
              <w:tr2bl w:val="nil"/>
            </w:tcBorders>
            <w:noWrap/>
            <w:vAlign w:val="center"/>
          </w:tcPr>
          <w:p w14:paraId="5E239D6D">
            <w:pPr>
              <w:widowControl/>
              <w:jc w:val="center"/>
              <w:textAlignment w:val="center"/>
              <w:rPr>
                <w:color w:val="000000"/>
                <w:sz w:val="18"/>
                <w:szCs w:val="18"/>
              </w:rPr>
            </w:pPr>
            <w:r>
              <w:rPr>
                <w:color w:val="000000"/>
                <w:kern w:val="0"/>
                <w:sz w:val="18"/>
                <w:szCs w:val="18"/>
                <w:lang w:bidi="ar"/>
              </w:rPr>
              <w:t>1</w:t>
            </w:r>
          </w:p>
        </w:tc>
      </w:tr>
      <w:tr w14:paraId="7AB0D1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43B0C06C">
            <w:pPr>
              <w:widowControl/>
              <w:jc w:val="center"/>
              <w:textAlignment w:val="center"/>
              <w:rPr>
                <w:color w:val="000000"/>
                <w:sz w:val="18"/>
                <w:szCs w:val="18"/>
              </w:rPr>
            </w:pPr>
            <w:r>
              <w:rPr>
                <w:color w:val="000000"/>
                <w:kern w:val="0"/>
                <w:sz w:val="18"/>
                <w:szCs w:val="18"/>
                <w:lang w:bidi="ar"/>
              </w:rPr>
              <w:t>42</w:t>
            </w:r>
          </w:p>
        </w:tc>
        <w:tc>
          <w:tcPr>
            <w:tcW w:w="231" w:type="pct"/>
            <w:vMerge w:val="continue"/>
            <w:tcBorders>
              <w:tl2br w:val="nil"/>
              <w:tr2bl w:val="nil"/>
            </w:tcBorders>
            <w:noWrap/>
            <w:vAlign w:val="center"/>
          </w:tcPr>
          <w:p w14:paraId="0F5DEB0C">
            <w:pPr>
              <w:widowControl/>
              <w:jc w:val="center"/>
              <w:rPr>
                <w:color w:val="000000"/>
                <w:sz w:val="18"/>
                <w:szCs w:val="18"/>
              </w:rPr>
            </w:pPr>
          </w:p>
        </w:tc>
        <w:tc>
          <w:tcPr>
            <w:tcW w:w="468" w:type="pct"/>
            <w:tcBorders>
              <w:tl2br w:val="nil"/>
              <w:tr2bl w:val="nil"/>
            </w:tcBorders>
            <w:noWrap/>
            <w:vAlign w:val="center"/>
          </w:tcPr>
          <w:p w14:paraId="465FF638">
            <w:pPr>
              <w:widowControl/>
              <w:jc w:val="center"/>
              <w:textAlignment w:val="center"/>
              <w:rPr>
                <w:color w:val="000000"/>
                <w:sz w:val="18"/>
                <w:szCs w:val="18"/>
              </w:rPr>
            </w:pPr>
            <w:r>
              <w:rPr>
                <w:rFonts w:hint="eastAsia"/>
                <w:color w:val="000000"/>
                <w:kern w:val="0"/>
                <w:sz w:val="18"/>
                <w:szCs w:val="18"/>
                <w:lang w:bidi="ar"/>
              </w:rPr>
              <w:t>隔膜真空泵-1</w:t>
            </w:r>
          </w:p>
        </w:tc>
        <w:tc>
          <w:tcPr>
            <w:tcW w:w="412" w:type="pct"/>
            <w:tcBorders>
              <w:tl2br w:val="nil"/>
              <w:tr2bl w:val="nil"/>
            </w:tcBorders>
            <w:noWrap/>
            <w:vAlign w:val="center"/>
          </w:tcPr>
          <w:p w14:paraId="47BA0376">
            <w:pPr>
              <w:widowControl/>
              <w:jc w:val="center"/>
              <w:textAlignment w:val="center"/>
              <w:rPr>
                <w:color w:val="000000"/>
                <w:sz w:val="18"/>
                <w:szCs w:val="18"/>
              </w:rPr>
            </w:pPr>
            <w:r>
              <w:rPr>
                <w:color w:val="000000"/>
                <w:kern w:val="0"/>
                <w:sz w:val="18"/>
                <w:szCs w:val="18"/>
                <w:lang w:bidi="ar"/>
              </w:rPr>
              <w:t>GM-0.33A</w:t>
            </w:r>
          </w:p>
        </w:tc>
        <w:tc>
          <w:tcPr>
            <w:tcW w:w="318" w:type="pct"/>
            <w:tcBorders>
              <w:tl2br w:val="nil"/>
              <w:tr2bl w:val="nil"/>
            </w:tcBorders>
            <w:noWrap/>
            <w:vAlign w:val="center"/>
          </w:tcPr>
          <w:p w14:paraId="3C357566">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1B3EF852">
            <w:pPr>
              <w:widowControl/>
              <w:jc w:val="center"/>
              <w:rPr>
                <w:color w:val="000000"/>
                <w:sz w:val="18"/>
                <w:szCs w:val="18"/>
              </w:rPr>
            </w:pPr>
          </w:p>
        </w:tc>
        <w:tc>
          <w:tcPr>
            <w:tcW w:w="181" w:type="pct"/>
            <w:tcBorders>
              <w:tl2br w:val="nil"/>
              <w:tr2bl w:val="nil"/>
            </w:tcBorders>
            <w:noWrap/>
            <w:vAlign w:val="center"/>
          </w:tcPr>
          <w:p w14:paraId="3389E7C5">
            <w:pPr>
              <w:widowControl/>
              <w:jc w:val="center"/>
              <w:textAlignment w:val="center"/>
              <w:rPr>
                <w:color w:val="000000"/>
                <w:sz w:val="18"/>
                <w:szCs w:val="18"/>
              </w:rPr>
            </w:pPr>
            <w:r>
              <w:rPr>
                <w:color w:val="000000"/>
                <w:kern w:val="0"/>
                <w:sz w:val="18"/>
                <w:szCs w:val="18"/>
                <w:lang w:bidi="ar"/>
              </w:rPr>
              <w:t>-51.86</w:t>
            </w:r>
          </w:p>
        </w:tc>
        <w:tc>
          <w:tcPr>
            <w:tcW w:w="160" w:type="pct"/>
            <w:tcBorders>
              <w:tl2br w:val="nil"/>
              <w:tr2bl w:val="nil"/>
            </w:tcBorders>
            <w:noWrap/>
            <w:vAlign w:val="center"/>
          </w:tcPr>
          <w:p w14:paraId="554333C7">
            <w:pPr>
              <w:widowControl/>
              <w:jc w:val="center"/>
              <w:textAlignment w:val="center"/>
              <w:rPr>
                <w:color w:val="000000"/>
                <w:sz w:val="18"/>
                <w:szCs w:val="18"/>
              </w:rPr>
            </w:pPr>
            <w:r>
              <w:rPr>
                <w:color w:val="000000"/>
                <w:kern w:val="0"/>
                <w:sz w:val="18"/>
                <w:szCs w:val="18"/>
                <w:lang w:bidi="ar"/>
              </w:rPr>
              <w:t>20.58</w:t>
            </w:r>
          </w:p>
        </w:tc>
        <w:tc>
          <w:tcPr>
            <w:tcW w:w="83" w:type="pct"/>
            <w:tcBorders>
              <w:tl2br w:val="nil"/>
              <w:tr2bl w:val="nil"/>
            </w:tcBorders>
            <w:noWrap/>
            <w:vAlign w:val="center"/>
          </w:tcPr>
          <w:p w14:paraId="1A72A046">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40E78F65">
            <w:pPr>
              <w:widowControl/>
              <w:jc w:val="center"/>
              <w:textAlignment w:val="center"/>
              <w:rPr>
                <w:color w:val="000000"/>
                <w:sz w:val="18"/>
                <w:szCs w:val="18"/>
              </w:rPr>
            </w:pPr>
            <w:r>
              <w:rPr>
                <w:color w:val="000000"/>
                <w:kern w:val="0"/>
                <w:sz w:val="18"/>
                <w:szCs w:val="18"/>
                <w:lang w:bidi="ar"/>
              </w:rPr>
              <w:t>47.29</w:t>
            </w:r>
          </w:p>
        </w:tc>
        <w:tc>
          <w:tcPr>
            <w:tcW w:w="160" w:type="pct"/>
            <w:tcBorders>
              <w:tl2br w:val="nil"/>
              <w:tr2bl w:val="nil"/>
            </w:tcBorders>
            <w:noWrap/>
            <w:vAlign w:val="center"/>
          </w:tcPr>
          <w:p w14:paraId="29F66B03">
            <w:pPr>
              <w:widowControl/>
              <w:jc w:val="center"/>
              <w:textAlignment w:val="center"/>
              <w:rPr>
                <w:color w:val="000000"/>
                <w:sz w:val="18"/>
                <w:szCs w:val="18"/>
              </w:rPr>
            </w:pPr>
            <w:r>
              <w:rPr>
                <w:color w:val="000000"/>
                <w:kern w:val="0"/>
                <w:sz w:val="18"/>
                <w:szCs w:val="18"/>
                <w:lang w:bidi="ar"/>
              </w:rPr>
              <w:t>5.88</w:t>
            </w:r>
          </w:p>
        </w:tc>
        <w:tc>
          <w:tcPr>
            <w:tcW w:w="160" w:type="pct"/>
            <w:tcBorders>
              <w:tl2br w:val="nil"/>
              <w:tr2bl w:val="nil"/>
            </w:tcBorders>
            <w:noWrap/>
            <w:vAlign w:val="center"/>
          </w:tcPr>
          <w:p w14:paraId="3017091B">
            <w:pPr>
              <w:widowControl/>
              <w:jc w:val="center"/>
              <w:textAlignment w:val="center"/>
              <w:rPr>
                <w:color w:val="000000"/>
                <w:sz w:val="18"/>
                <w:szCs w:val="18"/>
              </w:rPr>
            </w:pPr>
            <w:r>
              <w:rPr>
                <w:color w:val="000000"/>
                <w:kern w:val="0"/>
                <w:sz w:val="18"/>
                <w:szCs w:val="18"/>
                <w:lang w:bidi="ar"/>
              </w:rPr>
              <w:t>55.50</w:t>
            </w:r>
          </w:p>
        </w:tc>
        <w:tc>
          <w:tcPr>
            <w:tcW w:w="160" w:type="pct"/>
            <w:tcBorders>
              <w:tl2br w:val="nil"/>
              <w:tr2bl w:val="nil"/>
            </w:tcBorders>
            <w:noWrap/>
            <w:vAlign w:val="center"/>
          </w:tcPr>
          <w:p w14:paraId="3C1A5F9E">
            <w:pPr>
              <w:widowControl/>
              <w:jc w:val="center"/>
              <w:textAlignment w:val="center"/>
              <w:rPr>
                <w:color w:val="000000"/>
                <w:sz w:val="18"/>
                <w:szCs w:val="18"/>
              </w:rPr>
            </w:pPr>
            <w:r>
              <w:rPr>
                <w:color w:val="000000"/>
                <w:kern w:val="0"/>
                <w:sz w:val="18"/>
                <w:szCs w:val="18"/>
                <w:lang w:bidi="ar"/>
              </w:rPr>
              <w:t>27.18</w:t>
            </w:r>
          </w:p>
        </w:tc>
        <w:tc>
          <w:tcPr>
            <w:tcW w:w="661" w:type="dxa"/>
            <w:tcBorders>
              <w:tl2br w:val="nil"/>
              <w:tr2bl w:val="nil"/>
            </w:tcBorders>
            <w:noWrap/>
            <w:vAlign w:val="bottom"/>
          </w:tcPr>
          <w:p w14:paraId="00230AB8">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661" w:type="dxa"/>
            <w:tcBorders>
              <w:tl2br w:val="nil"/>
              <w:tr2bl w:val="nil"/>
            </w:tcBorders>
            <w:noWrap/>
            <w:vAlign w:val="bottom"/>
          </w:tcPr>
          <w:p w14:paraId="50A613AD">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56.86</w:t>
            </w:r>
          </w:p>
        </w:tc>
        <w:tc>
          <w:tcPr>
            <w:tcW w:w="661" w:type="dxa"/>
            <w:tcBorders>
              <w:tl2br w:val="nil"/>
              <w:tr2bl w:val="nil"/>
            </w:tcBorders>
            <w:noWrap/>
            <w:vAlign w:val="bottom"/>
          </w:tcPr>
          <w:p w14:paraId="1FBA6E6F">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56.79</w:t>
            </w:r>
          </w:p>
        </w:tc>
        <w:tc>
          <w:tcPr>
            <w:tcW w:w="665" w:type="dxa"/>
            <w:tcBorders>
              <w:tl2br w:val="nil"/>
              <w:tr2bl w:val="nil"/>
            </w:tcBorders>
            <w:noWrap/>
            <w:vAlign w:val="bottom"/>
          </w:tcPr>
          <w:p w14:paraId="367EA5DD">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188" w:type="pct"/>
            <w:tcBorders>
              <w:tl2br w:val="nil"/>
              <w:tr2bl w:val="nil"/>
            </w:tcBorders>
            <w:noWrap/>
            <w:vAlign w:val="center"/>
          </w:tcPr>
          <w:p w14:paraId="18B5D4A8">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0D016CC7">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6FDC7504">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1C8C2DFD">
            <w:pPr>
              <w:widowControl/>
              <w:jc w:val="center"/>
              <w:textAlignment w:val="center"/>
              <w:rPr>
                <w:color w:val="000000"/>
                <w:sz w:val="18"/>
                <w:szCs w:val="18"/>
              </w:rPr>
            </w:pPr>
            <w:r>
              <w:rPr>
                <w:color w:val="000000"/>
                <w:kern w:val="0"/>
                <w:sz w:val="18"/>
                <w:szCs w:val="18"/>
                <w:lang w:bidi="ar"/>
              </w:rPr>
              <w:t>40.86</w:t>
            </w:r>
          </w:p>
        </w:tc>
        <w:tc>
          <w:tcPr>
            <w:tcW w:w="160" w:type="pct"/>
            <w:tcBorders>
              <w:tl2br w:val="nil"/>
              <w:tr2bl w:val="nil"/>
            </w:tcBorders>
            <w:noWrap/>
            <w:vAlign w:val="center"/>
          </w:tcPr>
          <w:p w14:paraId="1862E475">
            <w:pPr>
              <w:widowControl/>
              <w:jc w:val="center"/>
              <w:textAlignment w:val="center"/>
              <w:rPr>
                <w:color w:val="000000"/>
                <w:sz w:val="18"/>
                <w:szCs w:val="18"/>
              </w:rPr>
            </w:pPr>
            <w:r>
              <w:rPr>
                <w:color w:val="000000"/>
                <w:kern w:val="0"/>
                <w:sz w:val="18"/>
                <w:szCs w:val="18"/>
                <w:lang w:bidi="ar"/>
              </w:rPr>
              <w:t>40.79</w:t>
            </w:r>
          </w:p>
        </w:tc>
        <w:tc>
          <w:tcPr>
            <w:tcW w:w="160" w:type="pct"/>
            <w:tcBorders>
              <w:tl2br w:val="nil"/>
              <w:tr2bl w:val="nil"/>
            </w:tcBorders>
            <w:noWrap/>
            <w:vAlign w:val="center"/>
          </w:tcPr>
          <w:p w14:paraId="25C83B52">
            <w:pPr>
              <w:widowControl/>
              <w:jc w:val="center"/>
              <w:textAlignment w:val="center"/>
              <w:rPr>
                <w:color w:val="000000"/>
                <w:sz w:val="18"/>
                <w:szCs w:val="18"/>
              </w:rPr>
            </w:pPr>
            <w:r>
              <w:rPr>
                <w:color w:val="000000"/>
                <w:kern w:val="0"/>
                <w:sz w:val="18"/>
                <w:szCs w:val="18"/>
                <w:lang w:bidi="ar"/>
              </w:rPr>
              <w:t>40.80</w:t>
            </w:r>
          </w:p>
        </w:tc>
        <w:tc>
          <w:tcPr>
            <w:tcW w:w="248" w:type="pct"/>
            <w:tcBorders>
              <w:tl2br w:val="nil"/>
              <w:tr2bl w:val="nil"/>
            </w:tcBorders>
            <w:noWrap/>
            <w:vAlign w:val="center"/>
          </w:tcPr>
          <w:p w14:paraId="12833046">
            <w:pPr>
              <w:widowControl/>
              <w:jc w:val="center"/>
              <w:textAlignment w:val="center"/>
              <w:rPr>
                <w:color w:val="000000"/>
                <w:sz w:val="18"/>
                <w:szCs w:val="18"/>
              </w:rPr>
            </w:pPr>
            <w:r>
              <w:rPr>
                <w:color w:val="000000"/>
                <w:kern w:val="0"/>
                <w:sz w:val="18"/>
                <w:szCs w:val="18"/>
                <w:lang w:bidi="ar"/>
              </w:rPr>
              <w:t>1</w:t>
            </w:r>
          </w:p>
        </w:tc>
      </w:tr>
      <w:tr w14:paraId="4BC99B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8" w:type="pct"/>
            <w:tcBorders>
              <w:tl2br w:val="nil"/>
              <w:tr2bl w:val="nil"/>
            </w:tcBorders>
            <w:noWrap/>
            <w:vAlign w:val="center"/>
          </w:tcPr>
          <w:p w14:paraId="74C7892F">
            <w:pPr>
              <w:widowControl/>
              <w:jc w:val="center"/>
              <w:textAlignment w:val="center"/>
              <w:rPr>
                <w:color w:val="000000"/>
                <w:sz w:val="18"/>
                <w:szCs w:val="18"/>
              </w:rPr>
            </w:pPr>
            <w:r>
              <w:rPr>
                <w:color w:val="000000"/>
                <w:kern w:val="0"/>
                <w:sz w:val="18"/>
                <w:szCs w:val="18"/>
                <w:lang w:bidi="ar"/>
              </w:rPr>
              <w:t>43</w:t>
            </w:r>
          </w:p>
        </w:tc>
        <w:tc>
          <w:tcPr>
            <w:tcW w:w="231" w:type="pct"/>
            <w:vMerge w:val="continue"/>
            <w:tcBorders>
              <w:tl2br w:val="nil"/>
              <w:tr2bl w:val="nil"/>
            </w:tcBorders>
            <w:noWrap/>
            <w:vAlign w:val="center"/>
          </w:tcPr>
          <w:p w14:paraId="23C03077">
            <w:pPr>
              <w:widowControl/>
              <w:jc w:val="center"/>
              <w:rPr>
                <w:color w:val="000000"/>
                <w:sz w:val="18"/>
                <w:szCs w:val="18"/>
              </w:rPr>
            </w:pPr>
          </w:p>
        </w:tc>
        <w:tc>
          <w:tcPr>
            <w:tcW w:w="468" w:type="pct"/>
            <w:tcBorders>
              <w:tl2br w:val="nil"/>
              <w:tr2bl w:val="nil"/>
            </w:tcBorders>
            <w:noWrap/>
            <w:vAlign w:val="center"/>
          </w:tcPr>
          <w:p w14:paraId="4934F3A7">
            <w:pPr>
              <w:widowControl/>
              <w:jc w:val="center"/>
              <w:textAlignment w:val="center"/>
              <w:rPr>
                <w:color w:val="000000"/>
                <w:sz w:val="18"/>
                <w:szCs w:val="18"/>
              </w:rPr>
            </w:pPr>
            <w:r>
              <w:rPr>
                <w:rFonts w:hint="eastAsia"/>
                <w:color w:val="000000"/>
                <w:kern w:val="0"/>
                <w:sz w:val="18"/>
                <w:szCs w:val="18"/>
                <w:lang w:bidi="ar"/>
              </w:rPr>
              <w:t>隔膜真空泵-2</w:t>
            </w:r>
          </w:p>
        </w:tc>
        <w:tc>
          <w:tcPr>
            <w:tcW w:w="412" w:type="pct"/>
            <w:tcBorders>
              <w:tl2br w:val="nil"/>
              <w:tr2bl w:val="nil"/>
            </w:tcBorders>
            <w:noWrap/>
            <w:vAlign w:val="center"/>
          </w:tcPr>
          <w:p w14:paraId="68E7FA28">
            <w:pPr>
              <w:widowControl/>
              <w:jc w:val="center"/>
              <w:textAlignment w:val="center"/>
              <w:rPr>
                <w:color w:val="000000"/>
                <w:sz w:val="18"/>
                <w:szCs w:val="18"/>
              </w:rPr>
            </w:pPr>
            <w:r>
              <w:rPr>
                <w:color w:val="000000"/>
                <w:kern w:val="0"/>
                <w:sz w:val="18"/>
                <w:szCs w:val="18"/>
                <w:lang w:bidi="ar"/>
              </w:rPr>
              <w:t>GM-0.5B</w:t>
            </w:r>
          </w:p>
        </w:tc>
        <w:tc>
          <w:tcPr>
            <w:tcW w:w="318" w:type="pct"/>
            <w:tcBorders>
              <w:tl2br w:val="nil"/>
              <w:tr2bl w:val="nil"/>
            </w:tcBorders>
            <w:noWrap/>
            <w:vAlign w:val="center"/>
          </w:tcPr>
          <w:p w14:paraId="60DD4CFF">
            <w:pPr>
              <w:widowControl/>
              <w:jc w:val="center"/>
              <w:textAlignment w:val="center"/>
              <w:rPr>
                <w:color w:val="000000"/>
                <w:sz w:val="18"/>
                <w:szCs w:val="18"/>
              </w:rPr>
            </w:pPr>
            <w:r>
              <w:rPr>
                <w:color w:val="000000"/>
                <w:kern w:val="0"/>
                <w:sz w:val="18"/>
                <w:szCs w:val="18"/>
                <w:lang w:bidi="ar"/>
              </w:rPr>
              <w:t>65</w:t>
            </w:r>
          </w:p>
        </w:tc>
        <w:tc>
          <w:tcPr>
            <w:tcW w:w="314" w:type="pct"/>
            <w:vMerge w:val="continue"/>
            <w:tcBorders>
              <w:tl2br w:val="nil"/>
              <w:tr2bl w:val="nil"/>
            </w:tcBorders>
            <w:vAlign w:val="center"/>
          </w:tcPr>
          <w:p w14:paraId="17EF2D57">
            <w:pPr>
              <w:widowControl/>
              <w:jc w:val="center"/>
              <w:rPr>
                <w:color w:val="000000"/>
                <w:sz w:val="18"/>
                <w:szCs w:val="18"/>
              </w:rPr>
            </w:pPr>
          </w:p>
        </w:tc>
        <w:tc>
          <w:tcPr>
            <w:tcW w:w="181" w:type="pct"/>
            <w:tcBorders>
              <w:tl2br w:val="nil"/>
              <w:tr2bl w:val="nil"/>
            </w:tcBorders>
            <w:noWrap/>
            <w:vAlign w:val="center"/>
          </w:tcPr>
          <w:p w14:paraId="7E454C0A">
            <w:pPr>
              <w:widowControl/>
              <w:jc w:val="center"/>
              <w:textAlignment w:val="center"/>
              <w:rPr>
                <w:color w:val="000000"/>
                <w:sz w:val="18"/>
                <w:szCs w:val="18"/>
              </w:rPr>
            </w:pPr>
            <w:r>
              <w:rPr>
                <w:color w:val="000000"/>
                <w:kern w:val="0"/>
                <w:sz w:val="18"/>
                <w:szCs w:val="18"/>
                <w:lang w:bidi="ar"/>
              </w:rPr>
              <w:t>-57.33</w:t>
            </w:r>
          </w:p>
        </w:tc>
        <w:tc>
          <w:tcPr>
            <w:tcW w:w="160" w:type="pct"/>
            <w:tcBorders>
              <w:tl2br w:val="nil"/>
              <w:tr2bl w:val="nil"/>
            </w:tcBorders>
            <w:noWrap/>
            <w:vAlign w:val="center"/>
          </w:tcPr>
          <w:p w14:paraId="3861B51B">
            <w:pPr>
              <w:widowControl/>
              <w:jc w:val="center"/>
              <w:textAlignment w:val="center"/>
              <w:rPr>
                <w:color w:val="000000"/>
                <w:sz w:val="18"/>
                <w:szCs w:val="18"/>
              </w:rPr>
            </w:pPr>
            <w:r>
              <w:rPr>
                <w:color w:val="000000"/>
                <w:kern w:val="0"/>
                <w:sz w:val="18"/>
                <w:szCs w:val="18"/>
                <w:lang w:bidi="ar"/>
              </w:rPr>
              <w:t>21.27</w:t>
            </w:r>
          </w:p>
        </w:tc>
        <w:tc>
          <w:tcPr>
            <w:tcW w:w="83" w:type="pct"/>
            <w:tcBorders>
              <w:tl2br w:val="nil"/>
              <w:tr2bl w:val="nil"/>
            </w:tcBorders>
            <w:noWrap/>
            <w:vAlign w:val="center"/>
          </w:tcPr>
          <w:p w14:paraId="554C33E3">
            <w:pPr>
              <w:widowControl/>
              <w:jc w:val="center"/>
              <w:textAlignment w:val="center"/>
              <w:rPr>
                <w:color w:val="000000"/>
                <w:sz w:val="18"/>
                <w:szCs w:val="18"/>
              </w:rPr>
            </w:pPr>
            <w:r>
              <w:rPr>
                <w:color w:val="000000"/>
                <w:kern w:val="0"/>
                <w:sz w:val="18"/>
                <w:szCs w:val="18"/>
                <w:lang w:bidi="ar"/>
              </w:rPr>
              <w:t>1</w:t>
            </w:r>
          </w:p>
        </w:tc>
        <w:tc>
          <w:tcPr>
            <w:tcW w:w="160" w:type="pct"/>
            <w:tcBorders>
              <w:tl2br w:val="nil"/>
              <w:tr2bl w:val="nil"/>
            </w:tcBorders>
            <w:noWrap/>
            <w:vAlign w:val="center"/>
          </w:tcPr>
          <w:p w14:paraId="5A2128E0">
            <w:pPr>
              <w:widowControl/>
              <w:jc w:val="center"/>
              <w:textAlignment w:val="center"/>
              <w:rPr>
                <w:color w:val="000000"/>
                <w:sz w:val="18"/>
                <w:szCs w:val="18"/>
              </w:rPr>
            </w:pPr>
            <w:r>
              <w:rPr>
                <w:color w:val="000000"/>
                <w:kern w:val="0"/>
                <w:sz w:val="18"/>
                <w:szCs w:val="18"/>
                <w:lang w:bidi="ar"/>
              </w:rPr>
              <w:t>41.83</w:t>
            </w:r>
          </w:p>
        </w:tc>
        <w:tc>
          <w:tcPr>
            <w:tcW w:w="160" w:type="pct"/>
            <w:tcBorders>
              <w:tl2br w:val="nil"/>
              <w:tr2bl w:val="nil"/>
            </w:tcBorders>
            <w:noWrap/>
            <w:vAlign w:val="center"/>
          </w:tcPr>
          <w:p w14:paraId="7E2D9CFD">
            <w:pPr>
              <w:widowControl/>
              <w:jc w:val="center"/>
              <w:textAlignment w:val="center"/>
              <w:rPr>
                <w:color w:val="000000"/>
                <w:sz w:val="18"/>
                <w:szCs w:val="18"/>
              </w:rPr>
            </w:pPr>
            <w:r>
              <w:rPr>
                <w:color w:val="000000"/>
                <w:kern w:val="0"/>
                <w:sz w:val="18"/>
                <w:szCs w:val="18"/>
                <w:lang w:bidi="ar"/>
              </w:rPr>
              <w:t>5.07</w:t>
            </w:r>
          </w:p>
        </w:tc>
        <w:tc>
          <w:tcPr>
            <w:tcW w:w="160" w:type="pct"/>
            <w:tcBorders>
              <w:tl2br w:val="nil"/>
              <w:tr2bl w:val="nil"/>
            </w:tcBorders>
            <w:noWrap/>
            <w:vAlign w:val="center"/>
          </w:tcPr>
          <w:p w14:paraId="6DF51BEA">
            <w:pPr>
              <w:widowControl/>
              <w:jc w:val="center"/>
              <w:textAlignment w:val="center"/>
              <w:rPr>
                <w:color w:val="000000"/>
                <w:sz w:val="18"/>
                <w:szCs w:val="18"/>
              </w:rPr>
            </w:pPr>
            <w:r>
              <w:rPr>
                <w:color w:val="000000"/>
                <w:kern w:val="0"/>
                <w:sz w:val="18"/>
                <w:szCs w:val="18"/>
                <w:lang w:bidi="ar"/>
              </w:rPr>
              <w:t>60.95</w:t>
            </w:r>
          </w:p>
        </w:tc>
        <w:tc>
          <w:tcPr>
            <w:tcW w:w="160" w:type="pct"/>
            <w:tcBorders>
              <w:tl2br w:val="nil"/>
              <w:tr2bl w:val="nil"/>
            </w:tcBorders>
            <w:noWrap/>
            <w:vAlign w:val="center"/>
          </w:tcPr>
          <w:p w14:paraId="1BECA43E">
            <w:pPr>
              <w:widowControl/>
              <w:jc w:val="center"/>
              <w:textAlignment w:val="center"/>
              <w:rPr>
                <w:color w:val="000000"/>
                <w:sz w:val="18"/>
                <w:szCs w:val="18"/>
              </w:rPr>
            </w:pPr>
            <w:r>
              <w:rPr>
                <w:color w:val="000000"/>
                <w:kern w:val="0"/>
                <w:sz w:val="18"/>
                <w:szCs w:val="18"/>
                <w:lang w:bidi="ar"/>
              </w:rPr>
              <w:t>27.98</w:t>
            </w:r>
          </w:p>
        </w:tc>
        <w:tc>
          <w:tcPr>
            <w:tcW w:w="661" w:type="dxa"/>
            <w:tcBorders>
              <w:tl2br w:val="nil"/>
              <w:tr2bl w:val="nil"/>
            </w:tcBorders>
            <w:shd w:val="clear" w:color="auto" w:fill="auto"/>
            <w:noWrap/>
            <w:vAlign w:val="bottom"/>
          </w:tcPr>
          <w:p w14:paraId="1DFDCE7B">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661" w:type="dxa"/>
            <w:tcBorders>
              <w:tl2br w:val="nil"/>
              <w:tr2bl w:val="nil"/>
            </w:tcBorders>
            <w:shd w:val="clear" w:color="auto" w:fill="auto"/>
            <w:noWrap/>
            <w:vAlign w:val="bottom"/>
          </w:tcPr>
          <w:p w14:paraId="22184A9E">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57.01</w:t>
            </w:r>
          </w:p>
        </w:tc>
        <w:tc>
          <w:tcPr>
            <w:tcW w:w="661" w:type="dxa"/>
            <w:tcBorders>
              <w:tl2br w:val="nil"/>
              <w:tr2bl w:val="nil"/>
            </w:tcBorders>
            <w:shd w:val="clear" w:color="auto" w:fill="auto"/>
            <w:noWrap/>
            <w:vAlign w:val="bottom"/>
          </w:tcPr>
          <w:p w14:paraId="69A552F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56.79</w:t>
            </w:r>
          </w:p>
        </w:tc>
        <w:tc>
          <w:tcPr>
            <w:tcW w:w="665" w:type="dxa"/>
            <w:tcBorders>
              <w:tl2br w:val="nil"/>
              <w:tr2bl w:val="nil"/>
            </w:tcBorders>
            <w:shd w:val="clear" w:color="auto" w:fill="auto"/>
            <w:noWrap/>
            <w:vAlign w:val="bottom"/>
          </w:tcPr>
          <w:p w14:paraId="3EB6A374">
            <w:pPr>
              <w:keepNext w:val="0"/>
              <w:keepLines w:val="0"/>
              <w:widowControl/>
              <w:suppressLineNumbers w:val="0"/>
              <w:jc w:val="center"/>
              <w:textAlignment w:val="bottom"/>
              <w:rPr>
                <w:rFonts w:ascii="Times New Roman" w:hAnsi="Times New Roman" w:cs="Times New Roman"/>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56.80</w:t>
            </w:r>
          </w:p>
        </w:tc>
        <w:tc>
          <w:tcPr>
            <w:tcW w:w="188" w:type="pct"/>
            <w:tcBorders>
              <w:tl2br w:val="nil"/>
              <w:tr2bl w:val="nil"/>
            </w:tcBorders>
            <w:noWrap/>
            <w:vAlign w:val="center"/>
          </w:tcPr>
          <w:p w14:paraId="45443371">
            <w:pPr>
              <w:widowControl/>
              <w:jc w:val="center"/>
              <w:textAlignment w:val="center"/>
              <w:rPr>
                <w:color w:val="000000"/>
                <w:sz w:val="18"/>
                <w:szCs w:val="18"/>
              </w:rPr>
            </w:pPr>
            <w:r>
              <w:rPr>
                <w:rFonts w:hint="eastAsia"/>
                <w:color w:val="000000"/>
                <w:kern w:val="0"/>
                <w:sz w:val="18"/>
                <w:szCs w:val="18"/>
                <w:lang w:bidi="ar"/>
              </w:rPr>
              <w:t>昼间</w:t>
            </w:r>
          </w:p>
        </w:tc>
        <w:tc>
          <w:tcPr>
            <w:tcW w:w="274" w:type="pct"/>
            <w:tcBorders>
              <w:tl2br w:val="nil"/>
              <w:tr2bl w:val="nil"/>
            </w:tcBorders>
            <w:noWrap/>
            <w:vAlign w:val="center"/>
          </w:tcPr>
          <w:p w14:paraId="3F3A0A5D">
            <w:pPr>
              <w:widowControl/>
              <w:jc w:val="center"/>
              <w:textAlignment w:val="center"/>
              <w:rPr>
                <w:color w:val="000000"/>
                <w:sz w:val="18"/>
                <w:szCs w:val="18"/>
              </w:rPr>
            </w:pPr>
            <w:r>
              <w:rPr>
                <w:color w:val="000000"/>
                <w:kern w:val="0"/>
                <w:sz w:val="18"/>
                <w:szCs w:val="18"/>
                <w:lang w:bidi="ar"/>
              </w:rPr>
              <w:t>21</w:t>
            </w:r>
          </w:p>
        </w:tc>
        <w:tc>
          <w:tcPr>
            <w:tcW w:w="236" w:type="pct"/>
            <w:tcBorders>
              <w:tl2br w:val="nil"/>
              <w:tr2bl w:val="nil"/>
            </w:tcBorders>
            <w:noWrap/>
            <w:vAlign w:val="center"/>
          </w:tcPr>
          <w:p w14:paraId="7F4DB05F">
            <w:pPr>
              <w:widowControl/>
              <w:jc w:val="center"/>
              <w:textAlignment w:val="center"/>
              <w:rPr>
                <w:color w:val="000000"/>
                <w:sz w:val="18"/>
                <w:szCs w:val="18"/>
              </w:rPr>
            </w:pPr>
            <w:r>
              <w:rPr>
                <w:color w:val="000000"/>
                <w:kern w:val="0"/>
                <w:sz w:val="18"/>
                <w:szCs w:val="18"/>
                <w:lang w:bidi="ar"/>
              </w:rPr>
              <w:t>45.80</w:t>
            </w:r>
          </w:p>
        </w:tc>
        <w:tc>
          <w:tcPr>
            <w:tcW w:w="160" w:type="pct"/>
            <w:tcBorders>
              <w:tl2br w:val="nil"/>
              <w:tr2bl w:val="nil"/>
            </w:tcBorders>
            <w:noWrap/>
            <w:vAlign w:val="center"/>
          </w:tcPr>
          <w:p w14:paraId="6E3EA37A">
            <w:pPr>
              <w:widowControl/>
              <w:jc w:val="center"/>
              <w:textAlignment w:val="center"/>
              <w:rPr>
                <w:color w:val="000000"/>
                <w:sz w:val="18"/>
                <w:szCs w:val="18"/>
              </w:rPr>
            </w:pPr>
            <w:r>
              <w:rPr>
                <w:color w:val="000000"/>
                <w:kern w:val="0"/>
                <w:sz w:val="18"/>
                <w:szCs w:val="18"/>
                <w:lang w:bidi="ar"/>
              </w:rPr>
              <w:t>45.88</w:t>
            </w:r>
          </w:p>
        </w:tc>
        <w:tc>
          <w:tcPr>
            <w:tcW w:w="160" w:type="pct"/>
            <w:tcBorders>
              <w:tl2br w:val="nil"/>
              <w:tr2bl w:val="nil"/>
            </w:tcBorders>
            <w:noWrap/>
            <w:vAlign w:val="center"/>
          </w:tcPr>
          <w:p w14:paraId="51D5A572">
            <w:pPr>
              <w:widowControl/>
              <w:jc w:val="center"/>
              <w:textAlignment w:val="center"/>
              <w:rPr>
                <w:color w:val="000000"/>
                <w:sz w:val="18"/>
                <w:szCs w:val="18"/>
              </w:rPr>
            </w:pPr>
            <w:r>
              <w:rPr>
                <w:color w:val="000000"/>
                <w:kern w:val="0"/>
                <w:sz w:val="18"/>
                <w:szCs w:val="18"/>
                <w:lang w:bidi="ar"/>
              </w:rPr>
              <w:t>45.79</w:t>
            </w:r>
          </w:p>
        </w:tc>
        <w:tc>
          <w:tcPr>
            <w:tcW w:w="160" w:type="pct"/>
            <w:tcBorders>
              <w:tl2br w:val="nil"/>
              <w:tr2bl w:val="nil"/>
            </w:tcBorders>
            <w:noWrap/>
            <w:vAlign w:val="center"/>
          </w:tcPr>
          <w:p w14:paraId="1542F1CB">
            <w:pPr>
              <w:widowControl/>
              <w:jc w:val="center"/>
              <w:textAlignment w:val="center"/>
              <w:rPr>
                <w:color w:val="000000"/>
                <w:sz w:val="18"/>
                <w:szCs w:val="18"/>
              </w:rPr>
            </w:pPr>
            <w:r>
              <w:rPr>
                <w:color w:val="000000"/>
                <w:kern w:val="0"/>
                <w:sz w:val="18"/>
                <w:szCs w:val="18"/>
                <w:lang w:bidi="ar"/>
              </w:rPr>
              <w:t>45.80</w:t>
            </w:r>
          </w:p>
        </w:tc>
        <w:tc>
          <w:tcPr>
            <w:tcW w:w="248" w:type="pct"/>
            <w:tcBorders>
              <w:tl2br w:val="nil"/>
              <w:tr2bl w:val="nil"/>
            </w:tcBorders>
            <w:noWrap/>
            <w:vAlign w:val="center"/>
          </w:tcPr>
          <w:p w14:paraId="66F19235">
            <w:pPr>
              <w:widowControl/>
              <w:jc w:val="center"/>
              <w:textAlignment w:val="center"/>
              <w:rPr>
                <w:color w:val="000000"/>
                <w:sz w:val="18"/>
                <w:szCs w:val="18"/>
              </w:rPr>
            </w:pPr>
            <w:r>
              <w:rPr>
                <w:color w:val="000000"/>
                <w:kern w:val="0"/>
                <w:sz w:val="18"/>
                <w:szCs w:val="18"/>
                <w:lang w:bidi="ar"/>
              </w:rPr>
              <w:t>1</w:t>
            </w:r>
          </w:p>
        </w:tc>
      </w:tr>
    </w:tbl>
    <w:p w14:paraId="4E2694E0">
      <w:pPr>
        <w:pStyle w:val="22"/>
        <w:spacing w:before="0" w:beforeAutospacing="0" w:after="0" w:afterAutospacing="0"/>
        <w:rPr>
          <w:rFonts w:hint="eastAsia" w:cs="宋体"/>
          <w:snapToGrid w:val="0"/>
          <w:sz w:val="18"/>
          <w:szCs w:val="18"/>
        </w:rPr>
      </w:pPr>
      <w:r>
        <w:rPr>
          <w:rFonts w:hint="eastAsia" w:cs="宋体"/>
          <w:snapToGrid w:val="0"/>
          <w:sz w:val="18"/>
          <w:szCs w:val="18"/>
        </w:rPr>
        <w:t>备注：表中坐标以厂界东南角为坐标原点，正东向为X轴正方向，正北向为Y轴正方向。</w:t>
      </w:r>
    </w:p>
    <w:p w14:paraId="037D933F">
      <w:pPr>
        <w:pStyle w:val="22"/>
        <w:jc w:val="both"/>
        <w:rPr>
          <w:rFonts w:ascii="Times New Roman" w:hAnsi="Times New Roman" w:eastAsia="黑体"/>
          <w:snapToGrid w:val="0"/>
          <w:sz w:val="30"/>
          <w:szCs w:val="30"/>
        </w:rPr>
      </w:pPr>
    </w:p>
    <w:p w14:paraId="2B73F70F">
      <w:pPr>
        <w:pStyle w:val="22"/>
        <w:jc w:val="center"/>
        <w:outlineLvl w:val="0"/>
        <w:rPr>
          <w:rFonts w:ascii="Times New Roman" w:hAnsi="Times New Roman" w:eastAsia="黑体"/>
          <w:snapToGrid w:val="0"/>
          <w:sz w:val="30"/>
          <w:szCs w:val="30"/>
        </w:rPr>
        <w:sectPr>
          <w:pgSz w:w="23811" w:h="16838"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7847"/>
      </w:tblGrid>
      <w:tr w14:paraId="1210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C8415DB">
            <w:pPr>
              <w:adjustRightInd w:val="0"/>
              <w:snapToGrid w:val="0"/>
              <w:jc w:val="center"/>
              <w:rPr>
                <w:bCs/>
                <w:szCs w:val="21"/>
              </w:rPr>
            </w:pPr>
            <w:r>
              <w:rPr>
                <w:rFonts w:hint="eastAsia"/>
                <w:bCs/>
                <w:szCs w:val="21"/>
              </w:rPr>
              <w:t>运营</w:t>
            </w:r>
          </w:p>
          <w:p w14:paraId="13AB43A3">
            <w:pPr>
              <w:adjustRightInd w:val="0"/>
              <w:snapToGrid w:val="0"/>
              <w:jc w:val="center"/>
              <w:rPr>
                <w:bCs/>
                <w:szCs w:val="21"/>
              </w:rPr>
            </w:pPr>
            <w:r>
              <w:rPr>
                <w:rFonts w:hint="eastAsia"/>
                <w:bCs/>
                <w:szCs w:val="21"/>
              </w:rPr>
              <w:t>期环</w:t>
            </w:r>
          </w:p>
          <w:p w14:paraId="3D487722">
            <w:pPr>
              <w:adjustRightInd w:val="0"/>
              <w:snapToGrid w:val="0"/>
              <w:jc w:val="center"/>
              <w:rPr>
                <w:bCs/>
                <w:szCs w:val="21"/>
              </w:rPr>
            </w:pPr>
            <w:r>
              <w:rPr>
                <w:rFonts w:hint="eastAsia"/>
                <w:bCs/>
                <w:szCs w:val="21"/>
              </w:rPr>
              <w:t>境影</w:t>
            </w:r>
          </w:p>
          <w:p w14:paraId="707F1B84">
            <w:pPr>
              <w:adjustRightInd w:val="0"/>
              <w:snapToGrid w:val="0"/>
              <w:jc w:val="center"/>
              <w:rPr>
                <w:bCs/>
                <w:szCs w:val="21"/>
              </w:rPr>
            </w:pPr>
            <w:r>
              <w:rPr>
                <w:rFonts w:hint="eastAsia"/>
                <w:bCs/>
                <w:szCs w:val="21"/>
              </w:rPr>
              <w:t>响和</w:t>
            </w:r>
          </w:p>
          <w:p w14:paraId="5082AD76">
            <w:pPr>
              <w:adjustRightInd w:val="0"/>
              <w:snapToGrid w:val="0"/>
              <w:jc w:val="center"/>
              <w:rPr>
                <w:bCs/>
                <w:szCs w:val="21"/>
              </w:rPr>
            </w:pPr>
            <w:r>
              <w:rPr>
                <w:rFonts w:hint="eastAsia"/>
                <w:bCs/>
                <w:szCs w:val="21"/>
              </w:rPr>
              <w:t>保护</w:t>
            </w:r>
          </w:p>
          <w:p w14:paraId="53F16056">
            <w:pPr>
              <w:adjustRightInd w:val="0"/>
              <w:snapToGrid w:val="0"/>
              <w:spacing w:line="360" w:lineRule="auto"/>
              <w:jc w:val="center"/>
              <w:rPr>
                <w:b/>
                <w:kern w:val="0"/>
                <w:sz w:val="28"/>
                <w:szCs w:val="28"/>
              </w:rPr>
            </w:pPr>
            <w:r>
              <w:rPr>
                <w:rFonts w:hint="eastAsia"/>
                <w:bCs/>
                <w:szCs w:val="21"/>
              </w:rPr>
              <w:t>措施</w:t>
            </w:r>
          </w:p>
        </w:tc>
        <w:tc>
          <w:tcPr>
            <w:tcW w:w="7847" w:type="dxa"/>
          </w:tcPr>
          <w:p w14:paraId="5E3F1C6E">
            <w:pPr>
              <w:numPr>
                <w:ilvl w:val="0"/>
                <w:numId w:val="16"/>
              </w:numPr>
              <w:spacing w:line="360" w:lineRule="auto"/>
              <w:rPr>
                <w:b/>
                <w:bCs/>
              </w:rPr>
            </w:pPr>
            <w:r>
              <w:rPr>
                <w:rFonts w:hint="eastAsia"/>
                <w:b/>
                <w:bCs/>
              </w:rPr>
              <w:t>基础数据</w:t>
            </w:r>
          </w:p>
          <w:p w14:paraId="64D4B453">
            <w:pPr>
              <w:spacing w:line="360" w:lineRule="auto"/>
              <w:ind w:firstLine="420" w:firstLineChars="200"/>
            </w:pPr>
            <w:r>
              <w:rPr>
                <w:rFonts w:hint="eastAsia"/>
              </w:rPr>
              <w:t>进行噪声预测的参数设置见</w:t>
            </w:r>
            <w:r>
              <w:rPr>
                <w:rFonts w:hint="eastAsia"/>
                <w:bCs/>
                <w:szCs w:val="21"/>
              </w:rPr>
              <w:t>下表</w:t>
            </w:r>
            <w:r>
              <w:rPr>
                <w:rFonts w:hint="eastAsia"/>
              </w:rPr>
              <w:t>。</w:t>
            </w:r>
          </w:p>
          <w:p w14:paraId="2C26EA4C">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 xml:space="preserve"> 项目噪声环境影响预测基础数据表</w:t>
            </w:r>
          </w:p>
          <w:tbl>
            <w:tblPr>
              <w:tblStyle w:val="27"/>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1899"/>
              <w:gridCol w:w="1899"/>
              <w:gridCol w:w="1901"/>
            </w:tblGrid>
            <w:tr w14:paraId="00690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4C6EF13E">
                  <w:pPr>
                    <w:jc w:val="center"/>
                    <w:rPr>
                      <w:sz w:val="18"/>
                      <w:szCs w:val="18"/>
                    </w:rPr>
                  </w:pPr>
                  <w:r>
                    <w:rPr>
                      <w:rFonts w:hint="eastAsia"/>
                      <w:sz w:val="18"/>
                      <w:szCs w:val="18"/>
                    </w:rPr>
                    <w:t>序号</w:t>
                  </w:r>
                </w:p>
              </w:tc>
              <w:tc>
                <w:tcPr>
                  <w:tcW w:w="1249" w:type="pct"/>
                  <w:tcBorders>
                    <w:tl2br w:val="nil"/>
                    <w:tr2bl w:val="nil"/>
                  </w:tcBorders>
                  <w:vAlign w:val="center"/>
                </w:tcPr>
                <w:p w14:paraId="4F89C9B8">
                  <w:pPr>
                    <w:jc w:val="center"/>
                    <w:rPr>
                      <w:sz w:val="18"/>
                      <w:szCs w:val="18"/>
                    </w:rPr>
                  </w:pPr>
                  <w:r>
                    <w:rPr>
                      <w:rFonts w:hint="eastAsia"/>
                      <w:sz w:val="18"/>
                      <w:szCs w:val="18"/>
                    </w:rPr>
                    <w:t>名称</w:t>
                  </w:r>
                </w:p>
              </w:tc>
              <w:tc>
                <w:tcPr>
                  <w:tcW w:w="1249" w:type="pct"/>
                  <w:tcBorders>
                    <w:tl2br w:val="nil"/>
                    <w:tr2bl w:val="nil"/>
                  </w:tcBorders>
                  <w:vAlign w:val="center"/>
                </w:tcPr>
                <w:p w14:paraId="7E29301C">
                  <w:pPr>
                    <w:jc w:val="center"/>
                    <w:rPr>
                      <w:sz w:val="18"/>
                      <w:szCs w:val="18"/>
                    </w:rPr>
                  </w:pPr>
                  <w:r>
                    <w:rPr>
                      <w:rFonts w:hint="eastAsia"/>
                      <w:sz w:val="18"/>
                      <w:szCs w:val="18"/>
                    </w:rPr>
                    <w:t>单位</w:t>
                  </w:r>
                </w:p>
              </w:tc>
              <w:tc>
                <w:tcPr>
                  <w:tcW w:w="1250" w:type="pct"/>
                  <w:tcBorders>
                    <w:tl2br w:val="nil"/>
                    <w:tr2bl w:val="nil"/>
                  </w:tcBorders>
                  <w:vAlign w:val="center"/>
                </w:tcPr>
                <w:p w14:paraId="5075417E">
                  <w:pPr>
                    <w:jc w:val="center"/>
                    <w:rPr>
                      <w:sz w:val="18"/>
                      <w:szCs w:val="18"/>
                    </w:rPr>
                  </w:pPr>
                  <w:r>
                    <w:rPr>
                      <w:rFonts w:hint="eastAsia"/>
                      <w:sz w:val="18"/>
                      <w:szCs w:val="18"/>
                    </w:rPr>
                    <w:t>数据</w:t>
                  </w:r>
                </w:p>
              </w:tc>
            </w:tr>
            <w:tr w14:paraId="2B261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14D1D6BC">
                  <w:pPr>
                    <w:jc w:val="center"/>
                    <w:rPr>
                      <w:sz w:val="18"/>
                      <w:szCs w:val="18"/>
                    </w:rPr>
                  </w:pPr>
                  <w:r>
                    <w:rPr>
                      <w:sz w:val="18"/>
                      <w:szCs w:val="18"/>
                    </w:rPr>
                    <w:t>1</w:t>
                  </w:r>
                </w:p>
              </w:tc>
              <w:tc>
                <w:tcPr>
                  <w:tcW w:w="1249" w:type="pct"/>
                  <w:tcBorders>
                    <w:tl2br w:val="nil"/>
                    <w:tr2bl w:val="nil"/>
                  </w:tcBorders>
                  <w:vAlign w:val="center"/>
                </w:tcPr>
                <w:p w14:paraId="3F572945">
                  <w:pPr>
                    <w:jc w:val="center"/>
                    <w:rPr>
                      <w:sz w:val="18"/>
                      <w:szCs w:val="18"/>
                    </w:rPr>
                  </w:pPr>
                  <w:r>
                    <w:rPr>
                      <w:rFonts w:hint="eastAsia"/>
                      <w:sz w:val="18"/>
                      <w:szCs w:val="18"/>
                    </w:rPr>
                    <w:t>年平均风速</w:t>
                  </w:r>
                </w:p>
              </w:tc>
              <w:tc>
                <w:tcPr>
                  <w:tcW w:w="1249" w:type="pct"/>
                  <w:tcBorders>
                    <w:tl2br w:val="nil"/>
                    <w:tr2bl w:val="nil"/>
                  </w:tcBorders>
                  <w:vAlign w:val="center"/>
                </w:tcPr>
                <w:p w14:paraId="41FEE09F">
                  <w:pPr>
                    <w:jc w:val="center"/>
                    <w:rPr>
                      <w:sz w:val="18"/>
                      <w:szCs w:val="18"/>
                    </w:rPr>
                  </w:pPr>
                  <w:r>
                    <w:rPr>
                      <w:sz w:val="18"/>
                      <w:szCs w:val="18"/>
                    </w:rPr>
                    <w:t>m/s</w:t>
                  </w:r>
                </w:p>
              </w:tc>
              <w:tc>
                <w:tcPr>
                  <w:tcW w:w="1250" w:type="pct"/>
                  <w:tcBorders>
                    <w:tl2br w:val="nil"/>
                    <w:tr2bl w:val="nil"/>
                  </w:tcBorders>
                  <w:vAlign w:val="center"/>
                </w:tcPr>
                <w:p w14:paraId="05AE9870">
                  <w:pPr>
                    <w:jc w:val="center"/>
                    <w:rPr>
                      <w:sz w:val="18"/>
                      <w:szCs w:val="18"/>
                    </w:rPr>
                  </w:pPr>
                  <w:r>
                    <w:rPr>
                      <w:sz w:val="18"/>
                      <w:szCs w:val="18"/>
                    </w:rPr>
                    <w:t>2.0</w:t>
                  </w:r>
                </w:p>
              </w:tc>
            </w:tr>
            <w:tr w14:paraId="0674C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437D92FF">
                  <w:pPr>
                    <w:jc w:val="center"/>
                    <w:rPr>
                      <w:sz w:val="18"/>
                      <w:szCs w:val="18"/>
                    </w:rPr>
                  </w:pPr>
                  <w:r>
                    <w:rPr>
                      <w:sz w:val="18"/>
                      <w:szCs w:val="18"/>
                    </w:rPr>
                    <w:t>2</w:t>
                  </w:r>
                </w:p>
              </w:tc>
              <w:tc>
                <w:tcPr>
                  <w:tcW w:w="1249" w:type="pct"/>
                  <w:tcBorders>
                    <w:tl2br w:val="nil"/>
                    <w:tr2bl w:val="nil"/>
                  </w:tcBorders>
                  <w:vAlign w:val="center"/>
                </w:tcPr>
                <w:p w14:paraId="4E96E4B1">
                  <w:pPr>
                    <w:jc w:val="center"/>
                    <w:rPr>
                      <w:sz w:val="18"/>
                      <w:szCs w:val="18"/>
                    </w:rPr>
                  </w:pPr>
                  <w:r>
                    <w:rPr>
                      <w:rFonts w:hint="eastAsia"/>
                      <w:sz w:val="18"/>
                      <w:szCs w:val="18"/>
                    </w:rPr>
                    <w:t>主导风向</w:t>
                  </w:r>
                </w:p>
              </w:tc>
              <w:tc>
                <w:tcPr>
                  <w:tcW w:w="1249" w:type="pct"/>
                  <w:tcBorders>
                    <w:tl2br w:val="nil"/>
                    <w:tr2bl w:val="nil"/>
                  </w:tcBorders>
                  <w:vAlign w:val="center"/>
                </w:tcPr>
                <w:p w14:paraId="02E12CAF">
                  <w:pPr>
                    <w:jc w:val="center"/>
                    <w:rPr>
                      <w:sz w:val="18"/>
                      <w:szCs w:val="18"/>
                    </w:rPr>
                  </w:pPr>
                  <w:r>
                    <w:rPr>
                      <w:sz w:val="18"/>
                      <w:szCs w:val="18"/>
                    </w:rPr>
                    <w:t>/</w:t>
                  </w:r>
                </w:p>
              </w:tc>
              <w:tc>
                <w:tcPr>
                  <w:tcW w:w="1250" w:type="pct"/>
                  <w:tcBorders>
                    <w:tl2br w:val="nil"/>
                    <w:tr2bl w:val="nil"/>
                  </w:tcBorders>
                  <w:vAlign w:val="center"/>
                </w:tcPr>
                <w:p w14:paraId="271F0F50">
                  <w:pPr>
                    <w:jc w:val="center"/>
                    <w:rPr>
                      <w:sz w:val="18"/>
                      <w:szCs w:val="18"/>
                    </w:rPr>
                  </w:pPr>
                  <w:r>
                    <w:rPr>
                      <w:rFonts w:hint="eastAsia"/>
                      <w:sz w:val="18"/>
                      <w:szCs w:val="18"/>
                    </w:rPr>
                    <w:t>ENE（9.0%）</w:t>
                  </w:r>
                </w:p>
              </w:tc>
            </w:tr>
            <w:tr w14:paraId="39B4A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64460B09">
                  <w:pPr>
                    <w:jc w:val="center"/>
                    <w:rPr>
                      <w:sz w:val="18"/>
                      <w:szCs w:val="18"/>
                    </w:rPr>
                  </w:pPr>
                  <w:r>
                    <w:rPr>
                      <w:sz w:val="18"/>
                      <w:szCs w:val="18"/>
                    </w:rPr>
                    <w:t>3</w:t>
                  </w:r>
                </w:p>
              </w:tc>
              <w:tc>
                <w:tcPr>
                  <w:tcW w:w="1249" w:type="pct"/>
                  <w:tcBorders>
                    <w:tl2br w:val="nil"/>
                    <w:tr2bl w:val="nil"/>
                  </w:tcBorders>
                  <w:vAlign w:val="center"/>
                </w:tcPr>
                <w:p w14:paraId="7DAD49FE">
                  <w:pPr>
                    <w:jc w:val="center"/>
                    <w:rPr>
                      <w:sz w:val="18"/>
                      <w:szCs w:val="18"/>
                    </w:rPr>
                  </w:pPr>
                  <w:r>
                    <w:rPr>
                      <w:rFonts w:hint="eastAsia"/>
                      <w:sz w:val="18"/>
                      <w:szCs w:val="18"/>
                    </w:rPr>
                    <w:t>年平均气温</w:t>
                  </w:r>
                </w:p>
              </w:tc>
              <w:tc>
                <w:tcPr>
                  <w:tcW w:w="1249" w:type="pct"/>
                  <w:tcBorders>
                    <w:tl2br w:val="nil"/>
                    <w:tr2bl w:val="nil"/>
                  </w:tcBorders>
                  <w:vAlign w:val="center"/>
                </w:tcPr>
                <w:p w14:paraId="52A41606">
                  <w:pPr>
                    <w:jc w:val="center"/>
                    <w:rPr>
                      <w:sz w:val="18"/>
                      <w:szCs w:val="18"/>
                    </w:rPr>
                  </w:pPr>
                  <w:r>
                    <w:rPr>
                      <w:sz w:val="18"/>
                      <w:szCs w:val="18"/>
                    </w:rPr>
                    <w:t>℃</w:t>
                  </w:r>
                </w:p>
              </w:tc>
              <w:tc>
                <w:tcPr>
                  <w:tcW w:w="1250" w:type="pct"/>
                  <w:tcBorders>
                    <w:tl2br w:val="nil"/>
                    <w:tr2bl w:val="nil"/>
                  </w:tcBorders>
                  <w:vAlign w:val="center"/>
                </w:tcPr>
                <w:p w14:paraId="4BD0AC49">
                  <w:pPr>
                    <w:jc w:val="center"/>
                    <w:rPr>
                      <w:sz w:val="18"/>
                      <w:szCs w:val="18"/>
                    </w:rPr>
                  </w:pPr>
                  <w:r>
                    <w:rPr>
                      <w:sz w:val="18"/>
                      <w:szCs w:val="18"/>
                    </w:rPr>
                    <w:t>16.7</w:t>
                  </w:r>
                </w:p>
              </w:tc>
            </w:tr>
            <w:tr w14:paraId="7CA4A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3A899359">
                  <w:pPr>
                    <w:jc w:val="center"/>
                    <w:rPr>
                      <w:sz w:val="18"/>
                      <w:szCs w:val="18"/>
                    </w:rPr>
                  </w:pPr>
                  <w:r>
                    <w:rPr>
                      <w:sz w:val="18"/>
                      <w:szCs w:val="18"/>
                    </w:rPr>
                    <w:t>4</w:t>
                  </w:r>
                </w:p>
              </w:tc>
              <w:tc>
                <w:tcPr>
                  <w:tcW w:w="1249" w:type="pct"/>
                  <w:tcBorders>
                    <w:tl2br w:val="nil"/>
                    <w:tr2bl w:val="nil"/>
                  </w:tcBorders>
                  <w:vAlign w:val="center"/>
                </w:tcPr>
                <w:p w14:paraId="2C884E5B">
                  <w:pPr>
                    <w:jc w:val="center"/>
                    <w:rPr>
                      <w:sz w:val="18"/>
                      <w:szCs w:val="18"/>
                    </w:rPr>
                  </w:pPr>
                  <w:r>
                    <w:rPr>
                      <w:rFonts w:hint="eastAsia"/>
                      <w:sz w:val="18"/>
                      <w:szCs w:val="18"/>
                    </w:rPr>
                    <w:t>年平均相对湿度</w:t>
                  </w:r>
                </w:p>
              </w:tc>
              <w:tc>
                <w:tcPr>
                  <w:tcW w:w="1249" w:type="pct"/>
                  <w:tcBorders>
                    <w:tl2br w:val="nil"/>
                    <w:tr2bl w:val="nil"/>
                  </w:tcBorders>
                  <w:vAlign w:val="center"/>
                </w:tcPr>
                <w:p w14:paraId="1775D224">
                  <w:pPr>
                    <w:jc w:val="center"/>
                    <w:rPr>
                      <w:sz w:val="18"/>
                      <w:szCs w:val="18"/>
                    </w:rPr>
                  </w:pPr>
                  <w:r>
                    <w:rPr>
                      <w:sz w:val="18"/>
                      <w:szCs w:val="18"/>
                    </w:rPr>
                    <w:t>%</w:t>
                  </w:r>
                </w:p>
              </w:tc>
              <w:tc>
                <w:tcPr>
                  <w:tcW w:w="1250" w:type="pct"/>
                  <w:tcBorders>
                    <w:tl2br w:val="nil"/>
                    <w:tr2bl w:val="nil"/>
                  </w:tcBorders>
                  <w:vAlign w:val="center"/>
                </w:tcPr>
                <w:p w14:paraId="5667123E">
                  <w:pPr>
                    <w:jc w:val="center"/>
                    <w:rPr>
                      <w:sz w:val="18"/>
                      <w:szCs w:val="18"/>
                    </w:rPr>
                  </w:pPr>
                  <w:r>
                    <w:rPr>
                      <w:sz w:val="18"/>
                      <w:szCs w:val="18"/>
                    </w:rPr>
                    <w:t>75.2</w:t>
                  </w:r>
                </w:p>
              </w:tc>
            </w:tr>
            <w:tr w14:paraId="29A7B7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vAlign w:val="center"/>
                </w:tcPr>
                <w:p w14:paraId="6F7BF593">
                  <w:pPr>
                    <w:jc w:val="center"/>
                    <w:rPr>
                      <w:sz w:val="18"/>
                      <w:szCs w:val="18"/>
                    </w:rPr>
                  </w:pPr>
                  <w:r>
                    <w:rPr>
                      <w:sz w:val="18"/>
                      <w:szCs w:val="18"/>
                    </w:rPr>
                    <w:t>5</w:t>
                  </w:r>
                </w:p>
              </w:tc>
              <w:tc>
                <w:tcPr>
                  <w:tcW w:w="1249" w:type="pct"/>
                  <w:tcBorders>
                    <w:tl2br w:val="nil"/>
                    <w:tr2bl w:val="nil"/>
                  </w:tcBorders>
                  <w:vAlign w:val="center"/>
                </w:tcPr>
                <w:p w14:paraId="3AF0CFB7">
                  <w:pPr>
                    <w:jc w:val="center"/>
                    <w:rPr>
                      <w:sz w:val="18"/>
                      <w:szCs w:val="18"/>
                    </w:rPr>
                  </w:pPr>
                  <w:r>
                    <w:rPr>
                      <w:rFonts w:hint="eastAsia"/>
                      <w:sz w:val="18"/>
                      <w:szCs w:val="18"/>
                    </w:rPr>
                    <w:t>大气压强</w:t>
                  </w:r>
                </w:p>
              </w:tc>
              <w:tc>
                <w:tcPr>
                  <w:tcW w:w="1249" w:type="pct"/>
                  <w:tcBorders>
                    <w:tl2br w:val="nil"/>
                    <w:tr2bl w:val="nil"/>
                  </w:tcBorders>
                  <w:vAlign w:val="center"/>
                </w:tcPr>
                <w:p w14:paraId="12914F41">
                  <w:pPr>
                    <w:jc w:val="center"/>
                    <w:rPr>
                      <w:sz w:val="18"/>
                      <w:szCs w:val="18"/>
                    </w:rPr>
                  </w:pPr>
                  <w:r>
                    <w:rPr>
                      <w:sz w:val="18"/>
                      <w:szCs w:val="18"/>
                    </w:rPr>
                    <w:t>atm</w:t>
                  </w:r>
                </w:p>
              </w:tc>
              <w:tc>
                <w:tcPr>
                  <w:tcW w:w="1250" w:type="pct"/>
                  <w:tcBorders>
                    <w:tl2br w:val="nil"/>
                    <w:tr2bl w:val="nil"/>
                  </w:tcBorders>
                  <w:vAlign w:val="center"/>
                </w:tcPr>
                <w:p w14:paraId="14E2BD3B">
                  <w:pPr>
                    <w:jc w:val="center"/>
                    <w:rPr>
                      <w:sz w:val="18"/>
                      <w:szCs w:val="18"/>
                    </w:rPr>
                  </w:pPr>
                  <w:r>
                    <w:rPr>
                      <w:sz w:val="18"/>
                      <w:szCs w:val="18"/>
                    </w:rPr>
                    <w:t>1</w:t>
                  </w:r>
                </w:p>
              </w:tc>
            </w:tr>
          </w:tbl>
          <w:p w14:paraId="2E966D80">
            <w:pPr>
              <w:spacing w:line="360" w:lineRule="auto"/>
              <w:ind w:firstLine="420" w:firstLineChars="200"/>
              <w:rPr>
                <w:b/>
                <w:bCs/>
              </w:rPr>
            </w:pPr>
            <w:r>
              <w:rPr>
                <w:rFonts w:hint="eastAsia"/>
                <w:szCs w:val="21"/>
              </w:rPr>
              <w:t>声源和预测点间的地形、高差、障碍物、树林、灌木等的分布情况以及地面覆盖情况（如草地、水面、水泥地面、土质地面等）根据现场踏勘、项目总平图等，并结合卫星图片地理信息数据确定，数据精度为10m。</w:t>
            </w:r>
          </w:p>
          <w:p w14:paraId="6E74CAC5">
            <w:pPr>
              <w:numPr>
                <w:ilvl w:val="0"/>
                <w:numId w:val="16"/>
              </w:numPr>
              <w:spacing w:line="360" w:lineRule="auto"/>
              <w:rPr>
                <w:b/>
                <w:bCs/>
              </w:rPr>
            </w:pPr>
            <w:r>
              <w:rPr>
                <w:rFonts w:hint="eastAsia"/>
                <w:b/>
                <w:bCs/>
              </w:rPr>
              <w:t>预测结果</w:t>
            </w:r>
          </w:p>
          <w:p w14:paraId="4606C384">
            <w:pPr>
              <w:spacing w:line="360" w:lineRule="auto"/>
              <w:ind w:firstLine="420" w:firstLineChars="200"/>
              <w:rPr>
                <w:b/>
                <w:bCs/>
              </w:rPr>
            </w:pPr>
            <w:r>
              <w:rPr>
                <w:rFonts w:hint="eastAsia"/>
              </w:rPr>
              <w:t>厂界噪声预测结果及达标分析情况见</w:t>
            </w:r>
            <w:r>
              <w:rPr>
                <w:rFonts w:hint="eastAsia"/>
                <w:bCs/>
                <w:szCs w:val="21"/>
              </w:rPr>
              <w:t>下表</w:t>
            </w:r>
            <w:r>
              <w:rPr>
                <w:rFonts w:hint="eastAsia"/>
              </w:rPr>
              <w:t>。</w:t>
            </w:r>
          </w:p>
          <w:p w14:paraId="458427B0">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 xml:space="preserve"> 厂界噪声估测结果与达标分析一览表</w:t>
            </w:r>
          </w:p>
          <w:tbl>
            <w:tblPr>
              <w:tblStyle w:val="26"/>
              <w:tblW w:w="499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949"/>
              <w:gridCol w:w="920"/>
              <w:gridCol w:w="836"/>
              <w:gridCol w:w="581"/>
              <w:gridCol w:w="576"/>
              <w:gridCol w:w="1297"/>
              <w:gridCol w:w="1485"/>
              <w:gridCol w:w="952"/>
            </w:tblGrid>
            <w:tr w14:paraId="6450A3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12" w:hRule="atLeast"/>
                <w:jc w:val="center"/>
              </w:trPr>
              <w:tc>
                <w:tcPr>
                  <w:tcW w:w="625" w:type="pct"/>
                  <w:vMerge w:val="restart"/>
                  <w:tcBorders>
                    <w:tl2br w:val="nil"/>
                    <w:tr2bl w:val="nil"/>
                  </w:tcBorders>
                  <w:noWrap/>
                  <w:vAlign w:val="center"/>
                </w:tcPr>
                <w:p w14:paraId="547D1A42">
                  <w:pPr>
                    <w:widowControl/>
                    <w:jc w:val="center"/>
                    <w:textAlignment w:val="center"/>
                    <w:rPr>
                      <w:color w:val="000000"/>
                      <w:sz w:val="18"/>
                      <w:szCs w:val="18"/>
                    </w:rPr>
                  </w:pPr>
                  <w:r>
                    <w:rPr>
                      <w:rFonts w:hint="eastAsia"/>
                      <w:color w:val="000000"/>
                      <w:kern w:val="0"/>
                      <w:sz w:val="18"/>
                      <w:szCs w:val="18"/>
                      <w:lang w:bidi="ar"/>
                    </w:rPr>
                    <w:t>预测方位</w:t>
                  </w:r>
                </w:p>
              </w:tc>
              <w:tc>
                <w:tcPr>
                  <w:tcW w:w="1538" w:type="pct"/>
                  <w:gridSpan w:val="3"/>
                  <w:tcBorders>
                    <w:tl2br w:val="nil"/>
                    <w:tr2bl w:val="nil"/>
                  </w:tcBorders>
                  <w:noWrap/>
                  <w:vAlign w:val="center"/>
                </w:tcPr>
                <w:p w14:paraId="4D694AA9">
                  <w:pPr>
                    <w:widowControl/>
                    <w:jc w:val="center"/>
                    <w:textAlignment w:val="center"/>
                    <w:rPr>
                      <w:color w:val="000000"/>
                      <w:sz w:val="18"/>
                      <w:szCs w:val="18"/>
                    </w:rPr>
                  </w:pPr>
                  <w:r>
                    <w:rPr>
                      <w:rFonts w:hint="eastAsia"/>
                      <w:color w:val="000000"/>
                      <w:kern w:val="0"/>
                      <w:sz w:val="18"/>
                      <w:szCs w:val="18"/>
                      <w:lang w:bidi="ar"/>
                    </w:rPr>
                    <w:t>最大值点空间相对位置/m</w:t>
                  </w:r>
                </w:p>
              </w:tc>
              <w:tc>
                <w:tcPr>
                  <w:tcW w:w="377" w:type="pct"/>
                  <w:tcBorders>
                    <w:tl2br w:val="nil"/>
                    <w:tr2bl w:val="nil"/>
                  </w:tcBorders>
                  <w:noWrap/>
                  <w:vAlign w:val="center"/>
                </w:tcPr>
                <w:p w14:paraId="699B474D">
                  <w:pPr>
                    <w:widowControl/>
                    <w:jc w:val="center"/>
                    <w:textAlignment w:val="center"/>
                    <w:rPr>
                      <w:color w:val="000000"/>
                      <w:sz w:val="18"/>
                      <w:szCs w:val="18"/>
                    </w:rPr>
                  </w:pPr>
                  <w:r>
                    <w:rPr>
                      <w:rFonts w:hint="eastAsia"/>
                      <w:color w:val="000000"/>
                      <w:kern w:val="0"/>
                      <w:sz w:val="18"/>
                      <w:szCs w:val="18"/>
                      <w:lang w:bidi="ar"/>
                    </w:rPr>
                    <w:t>时段</w:t>
                  </w:r>
                </w:p>
              </w:tc>
              <w:tc>
                <w:tcPr>
                  <w:tcW w:w="853" w:type="pct"/>
                  <w:tcBorders>
                    <w:tl2br w:val="nil"/>
                    <w:tr2bl w:val="nil"/>
                  </w:tcBorders>
                  <w:noWrap/>
                  <w:vAlign w:val="center"/>
                </w:tcPr>
                <w:p w14:paraId="08D3EDB0">
                  <w:pPr>
                    <w:widowControl/>
                    <w:jc w:val="center"/>
                    <w:textAlignment w:val="center"/>
                    <w:rPr>
                      <w:color w:val="000000"/>
                      <w:sz w:val="18"/>
                      <w:szCs w:val="18"/>
                    </w:rPr>
                  </w:pPr>
                  <w:r>
                    <w:rPr>
                      <w:rFonts w:hint="eastAsia"/>
                      <w:color w:val="000000"/>
                      <w:kern w:val="0"/>
                      <w:sz w:val="18"/>
                      <w:szCs w:val="18"/>
                      <w:lang w:bidi="ar"/>
                    </w:rPr>
                    <w:t>贡献值/dB(A)</w:t>
                  </w:r>
                </w:p>
              </w:tc>
              <w:tc>
                <w:tcPr>
                  <w:tcW w:w="977" w:type="pct"/>
                  <w:tcBorders>
                    <w:tl2br w:val="nil"/>
                    <w:tr2bl w:val="nil"/>
                  </w:tcBorders>
                  <w:noWrap/>
                  <w:vAlign w:val="center"/>
                </w:tcPr>
                <w:p w14:paraId="33C42A48">
                  <w:pPr>
                    <w:widowControl/>
                    <w:jc w:val="center"/>
                    <w:textAlignment w:val="center"/>
                    <w:rPr>
                      <w:color w:val="000000"/>
                      <w:sz w:val="18"/>
                      <w:szCs w:val="18"/>
                    </w:rPr>
                  </w:pPr>
                  <w:r>
                    <w:rPr>
                      <w:rFonts w:hint="eastAsia"/>
                      <w:color w:val="000000"/>
                      <w:kern w:val="0"/>
                      <w:sz w:val="18"/>
                      <w:szCs w:val="18"/>
                      <w:lang w:bidi="ar"/>
                    </w:rPr>
                    <w:t>标准限值/dB(A)</w:t>
                  </w:r>
                </w:p>
              </w:tc>
              <w:tc>
                <w:tcPr>
                  <w:tcW w:w="626" w:type="pct"/>
                  <w:tcBorders>
                    <w:tl2br w:val="nil"/>
                    <w:tr2bl w:val="nil"/>
                  </w:tcBorders>
                  <w:noWrap/>
                  <w:vAlign w:val="center"/>
                </w:tcPr>
                <w:p w14:paraId="0F8C4E79">
                  <w:pPr>
                    <w:widowControl/>
                    <w:jc w:val="center"/>
                    <w:textAlignment w:val="center"/>
                    <w:rPr>
                      <w:color w:val="000000"/>
                      <w:sz w:val="18"/>
                      <w:szCs w:val="18"/>
                    </w:rPr>
                  </w:pPr>
                  <w:r>
                    <w:rPr>
                      <w:rFonts w:hint="eastAsia"/>
                      <w:color w:val="000000"/>
                      <w:kern w:val="0"/>
                      <w:sz w:val="18"/>
                      <w:szCs w:val="18"/>
                      <w:lang w:bidi="ar"/>
                    </w:rPr>
                    <w:t>达标情况</w:t>
                  </w:r>
                </w:p>
              </w:tc>
            </w:tr>
            <w:tr w14:paraId="2EAE4A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25" w:type="pct"/>
                  <w:vMerge w:val="continue"/>
                  <w:tcBorders>
                    <w:tl2br w:val="nil"/>
                    <w:tr2bl w:val="nil"/>
                  </w:tcBorders>
                  <w:noWrap/>
                  <w:vAlign w:val="center"/>
                </w:tcPr>
                <w:p w14:paraId="67D36392">
                  <w:pPr>
                    <w:jc w:val="center"/>
                    <w:rPr>
                      <w:color w:val="000000"/>
                      <w:sz w:val="18"/>
                      <w:szCs w:val="18"/>
                    </w:rPr>
                  </w:pPr>
                </w:p>
              </w:tc>
              <w:tc>
                <w:tcPr>
                  <w:tcW w:w="606" w:type="pct"/>
                  <w:tcBorders>
                    <w:tl2br w:val="nil"/>
                    <w:tr2bl w:val="nil"/>
                  </w:tcBorders>
                  <w:noWrap/>
                  <w:vAlign w:val="center"/>
                </w:tcPr>
                <w:p w14:paraId="18463BDC">
                  <w:pPr>
                    <w:widowControl/>
                    <w:jc w:val="center"/>
                    <w:textAlignment w:val="center"/>
                    <w:rPr>
                      <w:color w:val="000000"/>
                      <w:sz w:val="18"/>
                      <w:szCs w:val="18"/>
                    </w:rPr>
                  </w:pPr>
                  <w:r>
                    <w:rPr>
                      <w:color w:val="000000"/>
                      <w:kern w:val="0"/>
                      <w:sz w:val="18"/>
                      <w:szCs w:val="18"/>
                      <w:lang w:bidi="ar"/>
                    </w:rPr>
                    <w:t>X</w:t>
                  </w:r>
                </w:p>
              </w:tc>
              <w:tc>
                <w:tcPr>
                  <w:tcW w:w="550" w:type="pct"/>
                  <w:tcBorders>
                    <w:tl2br w:val="nil"/>
                    <w:tr2bl w:val="nil"/>
                  </w:tcBorders>
                  <w:noWrap/>
                  <w:vAlign w:val="center"/>
                </w:tcPr>
                <w:p w14:paraId="3F809B8C">
                  <w:pPr>
                    <w:widowControl/>
                    <w:jc w:val="center"/>
                    <w:textAlignment w:val="center"/>
                    <w:rPr>
                      <w:color w:val="000000"/>
                      <w:sz w:val="18"/>
                      <w:szCs w:val="18"/>
                    </w:rPr>
                  </w:pPr>
                  <w:r>
                    <w:rPr>
                      <w:color w:val="000000"/>
                      <w:kern w:val="0"/>
                      <w:sz w:val="18"/>
                      <w:szCs w:val="18"/>
                      <w:lang w:bidi="ar"/>
                    </w:rPr>
                    <w:t>Y</w:t>
                  </w:r>
                </w:p>
              </w:tc>
              <w:tc>
                <w:tcPr>
                  <w:tcW w:w="380" w:type="pct"/>
                  <w:tcBorders>
                    <w:tl2br w:val="nil"/>
                    <w:tr2bl w:val="nil"/>
                  </w:tcBorders>
                  <w:noWrap/>
                  <w:vAlign w:val="center"/>
                </w:tcPr>
                <w:p w14:paraId="459B97D2">
                  <w:pPr>
                    <w:widowControl/>
                    <w:jc w:val="center"/>
                    <w:textAlignment w:val="center"/>
                    <w:rPr>
                      <w:color w:val="000000"/>
                      <w:sz w:val="18"/>
                      <w:szCs w:val="18"/>
                    </w:rPr>
                  </w:pPr>
                  <w:r>
                    <w:rPr>
                      <w:color w:val="000000"/>
                      <w:kern w:val="0"/>
                      <w:sz w:val="18"/>
                      <w:szCs w:val="18"/>
                      <w:lang w:bidi="ar"/>
                    </w:rPr>
                    <w:t>Z</w:t>
                  </w:r>
                </w:p>
              </w:tc>
              <w:tc>
                <w:tcPr>
                  <w:tcW w:w="377" w:type="pct"/>
                  <w:tcBorders>
                    <w:tl2br w:val="nil"/>
                    <w:tr2bl w:val="nil"/>
                  </w:tcBorders>
                  <w:noWrap/>
                  <w:vAlign w:val="center"/>
                </w:tcPr>
                <w:p w14:paraId="2B762ED5">
                  <w:pPr>
                    <w:jc w:val="center"/>
                    <w:rPr>
                      <w:color w:val="000000"/>
                      <w:sz w:val="18"/>
                      <w:szCs w:val="18"/>
                    </w:rPr>
                  </w:pPr>
                </w:p>
              </w:tc>
              <w:tc>
                <w:tcPr>
                  <w:tcW w:w="853" w:type="pct"/>
                  <w:tcBorders>
                    <w:tl2br w:val="nil"/>
                    <w:tr2bl w:val="nil"/>
                  </w:tcBorders>
                  <w:noWrap/>
                  <w:vAlign w:val="center"/>
                </w:tcPr>
                <w:p w14:paraId="68F177CB">
                  <w:pPr>
                    <w:jc w:val="center"/>
                    <w:rPr>
                      <w:color w:val="000000"/>
                      <w:sz w:val="18"/>
                      <w:szCs w:val="18"/>
                    </w:rPr>
                  </w:pPr>
                </w:p>
              </w:tc>
              <w:tc>
                <w:tcPr>
                  <w:tcW w:w="977" w:type="pct"/>
                  <w:tcBorders>
                    <w:tl2br w:val="nil"/>
                    <w:tr2bl w:val="nil"/>
                  </w:tcBorders>
                  <w:noWrap/>
                  <w:vAlign w:val="center"/>
                </w:tcPr>
                <w:p w14:paraId="615CADDD">
                  <w:pPr>
                    <w:jc w:val="center"/>
                    <w:rPr>
                      <w:color w:val="000000"/>
                      <w:sz w:val="18"/>
                      <w:szCs w:val="18"/>
                    </w:rPr>
                  </w:pPr>
                </w:p>
              </w:tc>
              <w:tc>
                <w:tcPr>
                  <w:tcW w:w="626" w:type="pct"/>
                  <w:tcBorders>
                    <w:tl2br w:val="nil"/>
                    <w:tr2bl w:val="nil"/>
                  </w:tcBorders>
                  <w:noWrap/>
                  <w:vAlign w:val="center"/>
                </w:tcPr>
                <w:p w14:paraId="3CEB18E4">
                  <w:pPr>
                    <w:jc w:val="center"/>
                    <w:rPr>
                      <w:color w:val="000000"/>
                      <w:sz w:val="18"/>
                      <w:szCs w:val="18"/>
                    </w:rPr>
                  </w:pPr>
                </w:p>
              </w:tc>
            </w:tr>
            <w:tr w14:paraId="1E7989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25" w:type="pct"/>
                  <w:tcBorders>
                    <w:tl2br w:val="nil"/>
                    <w:tr2bl w:val="nil"/>
                  </w:tcBorders>
                  <w:noWrap/>
                  <w:vAlign w:val="center"/>
                </w:tcPr>
                <w:p w14:paraId="45C50D5F">
                  <w:pPr>
                    <w:widowControl/>
                    <w:jc w:val="center"/>
                    <w:textAlignment w:val="center"/>
                    <w:rPr>
                      <w:color w:val="000000"/>
                      <w:sz w:val="18"/>
                      <w:szCs w:val="18"/>
                    </w:rPr>
                  </w:pPr>
                  <w:r>
                    <w:rPr>
                      <w:rFonts w:hint="eastAsia"/>
                      <w:color w:val="000000"/>
                      <w:kern w:val="0"/>
                      <w:sz w:val="18"/>
                      <w:szCs w:val="18"/>
                      <w:lang w:bidi="ar"/>
                    </w:rPr>
                    <w:t>东侧</w:t>
                  </w:r>
                </w:p>
              </w:tc>
              <w:tc>
                <w:tcPr>
                  <w:tcW w:w="606" w:type="pct"/>
                  <w:tcBorders>
                    <w:tl2br w:val="nil"/>
                    <w:tr2bl w:val="nil"/>
                  </w:tcBorders>
                  <w:shd w:val="clear" w:color="auto" w:fill="FFFFFF"/>
                  <w:noWrap/>
                  <w:vAlign w:val="center"/>
                </w:tcPr>
                <w:p w14:paraId="2622CAD8">
                  <w:pPr>
                    <w:widowControl/>
                    <w:jc w:val="center"/>
                    <w:textAlignment w:val="center"/>
                    <w:rPr>
                      <w:color w:val="000000"/>
                      <w:sz w:val="18"/>
                      <w:szCs w:val="18"/>
                    </w:rPr>
                  </w:pPr>
                  <w:r>
                    <w:rPr>
                      <w:color w:val="000000"/>
                      <w:kern w:val="0"/>
                      <w:sz w:val="18"/>
                      <w:szCs w:val="18"/>
                      <w:lang w:bidi="ar"/>
                    </w:rPr>
                    <w:t>-98.89</w:t>
                  </w:r>
                </w:p>
              </w:tc>
              <w:tc>
                <w:tcPr>
                  <w:tcW w:w="550" w:type="pct"/>
                  <w:tcBorders>
                    <w:tl2br w:val="nil"/>
                    <w:tr2bl w:val="nil"/>
                  </w:tcBorders>
                  <w:shd w:val="clear" w:color="auto" w:fill="FFFFFF"/>
                  <w:noWrap/>
                  <w:vAlign w:val="center"/>
                </w:tcPr>
                <w:p w14:paraId="4A437FD1">
                  <w:pPr>
                    <w:widowControl/>
                    <w:jc w:val="center"/>
                    <w:textAlignment w:val="center"/>
                    <w:rPr>
                      <w:color w:val="000000"/>
                      <w:sz w:val="18"/>
                      <w:szCs w:val="18"/>
                    </w:rPr>
                  </w:pPr>
                  <w:r>
                    <w:rPr>
                      <w:color w:val="000000"/>
                      <w:kern w:val="0"/>
                      <w:sz w:val="18"/>
                      <w:szCs w:val="18"/>
                      <w:lang w:bidi="ar"/>
                    </w:rPr>
                    <w:t>31.72</w:t>
                  </w:r>
                </w:p>
              </w:tc>
              <w:tc>
                <w:tcPr>
                  <w:tcW w:w="380" w:type="pct"/>
                  <w:tcBorders>
                    <w:tl2br w:val="nil"/>
                    <w:tr2bl w:val="nil"/>
                  </w:tcBorders>
                  <w:noWrap/>
                  <w:vAlign w:val="center"/>
                </w:tcPr>
                <w:p w14:paraId="70D1A498">
                  <w:pPr>
                    <w:widowControl/>
                    <w:jc w:val="center"/>
                    <w:textAlignment w:val="center"/>
                    <w:rPr>
                      <w:color w:val="000000"/>
                      <w:sz w:val="18"/>
                      <w:szCs w:val="18"/>
                    </w:rPr>
                  </w:pPr>
                  <w:r>
                    <w:rPr>
                      <w:color w:val="000000"/>
                      <w:kern w:val="0"/>
                      <w:sz w:val="18"/>
                      <w:szCs w:val="18"/>
                      <w:lang w:bidi="ar"/>
                    </w:rPr>
                    <w:t>1.2</w:t>
                  </w:r>
                </w:p>
              </w:tc>
              <w:tc>
                <w:tcPr>
                  <w:tcW w:w="377" w:type="pct"/>
                  <w:tcBorders>
                    <w:tl2br w:val="nil"/>
                    <w:tr2bl w:val="nil"/>
                  </w:tcBorders>
                  <w:noWrap/>
                  <w:vAlign w:val="center"/>
                </w:tcPr>
                <w:p w14:paraId="04226454">
                  <w:pPr>
                    <w:widowControl/>
                    <w:jc w:val="center"/>
                    <w:textAlignment w:val="center"/>
                    <w:rPr>
                      <w:color w:val="000000"/>
                      <w:sz w:val="18"/>
                      <w:szCs w:val="18"/>
                    </w:rPr>
                  </w:pPr>
                  <w:r>
                    <w:rPr>
                      <w:rFonts w:hint="eastAsia"/>
                      <w:color w:val="000000"/>
                      <w:kern w:val="0"/>
                      <w:sz w:val="18"/>
                      <w:szCs w:val="18"/>
                      <w:lang w:bidi="ar"/>
                    </w:rPr>
                    <w:t>昼间</w:t>
                  </w:r>
                </w:p>
              </w:tc>
              <w:tc>
                <w:tcPr>
                  <w:tcW w:w="853" w:type="pct"/>
                  <w:tcBorders>
                    <w:tl2br w:val="nil"/>
                    <w:tr2bl w:val="nil"/>
                  </w:tcBorders>
                  <w:shd w:val="clear" w:color="auto" w:fill="FFFFFF"/>
                  <w:noWrap/>
                  <w:vAlign w:val="center"/>
                </w:tcPr>
                <w:p w14:paraId="1A240E79">
                  <w:pPr>
                    <w:widowControl/>
                    <w:jc w:val="center"/>
                    <w:textAlignment w:val="center"/>
                    <w:rPr>
                      <w:color w:val="000000"/>
                      <w:sz w:val="18"/>
                      <w:szCs w:val="18"/>
                    </w:rPr>
                  </w:pPr>
                  <w:r>
                    <w:rPr>
                      <w:color w:val="000000"/>
                      <w:kern w:val="0"/>
                      <w:sz w:val="18"/>
                      <w:szCs w:val="18"/>
                      <w:lang w:bidi="ar"/>
                    </w:rPr>
                    <w:t>58.05</w:t>
                  </w:r>
                </w:p>
              </w:tc>
              <w:tc>
                <w:tcPr>
                  <w:tcW w:w="977" w:type="pct"/>
                  <w:tcBorders>
                    <w:tl2br w:val="nil"/>
                    <w:tr2bl w:val="nil"/>
                  </w:tcBorders>
                  <w:noWrap/>
                  <w:vAlign w:val="center"/>
                </w:tcPr>
                <w:p w14:paraId="625B9DB3">
                  <w:pPr>
                    <w:widowControl/>
                    <w:jc w:val="center"/>
                    <w:textAlignment w:val="center"/>
                    <w:rPr>
                      <w:rFonts w:hint="eastAsia" w:eastAsia="宋体"/>
                      <w:color w:val="000000"/>
                      <w:sz w:val="18"/>
                      <w:szCs w:val="18"/>
                      <w:lang w:val="en-US" w:eastAsia="zh-CN"/>
                    </w:rPr>
                  </w:pPr>
                  <w:r>
                    <w:rPr>
                      <w:color w:val="000000"/>
                      <w:kern w:val="0"/>
                      <w:sz w:val="18"/>
                      <w:szCs w:val="18"/>
                      <w:lang w:bidi="ar"/>
                    </w:rPr>
                    <w:t>6</w:t>
                  </w:r>
                  <w:r>
                    <w:rPr>
                      <w:rFonts w:hint="eastAsia"/>
                      <w:color w:val="000000"/>
                      <w:kern w:val="0"/>
                      <w:sz w:val="18"/>
                      <w:szCs w:val="18"/>
                      <w:lang w:val="en-US" w:eastAsia="zh-CN" w:bidi="ar"/>
                    </w:rPr>
                    <w:t>0</w:t>
                  </w:r>
                </w:p>
              </w:tc>
              <w:tc>
                <w:tcPr>
                  <w:tcW w:w="626" w:type="pct"/>
                  <w:tcBorders>
                    <w:tl2br w:val="nil"/>
                    <w:tr2bl w:val="nil"/>
                  </w:tcBorders>
                  <w:noWrap/>
                  <w:vAlign w:val="center"/>
                </w:tcPr>
                <w:p w14:paraId="10CDC34D">
                  <w:pPr>
                    <w:widowControl/>
                    <w:jc w:val="center"/>
                    <w:textAlignment w:val="center"/>
                    <w:rPr>
                      <w:color w:val="000000"/>
                      <w:sz w:val="18"/>
                      <w:szCs w:val="18"/>
                    </w:rPr>
                  </w:pPr>
                  <w:r>
                    <w:rPr>
                      <w:rFonts w:hint="eastAsia"/>
                      <w:color w:val="000000"/>
                      <w:kern w:val="0"/>
                      <w:sz w:val="18"/>
                      <w:szCs w:val="18"/>
                      <w:lang w:bidi="ar"/>
                    </w:rPr>
                    <w:t>达标</w:t>
                  </w:r>
                </w:p>
              </w:tc>
            </w:tr>
            <w:tr w14:paraId="566514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25" w:type="pct"/>
                  <w:tcBorders>
                    <w:tl2br w:val="nil"/>
                    <w:tr2bl w:val="nil"/>
                  </w:tcBorders>
                  <w:noWrap/>
                  <w:vAlign w:val="center"/>
                </w:tcPr>
                <w:p w14:paraId="0E616AFE">
                  <w:pPr>
                    <w:widowControl/>
                    <w:jc w:val="center"/>
                    <w:textAlignment w:val="center"/>
                    <w:rPr>
                      <w:color w:val="000000"/>
                      <w:sz w:val="18"/>
                      <w:szCs w:val="18"/>
                    </w:rPr>
                  </w:pPr>
                  <w:r>
                    <w:rPr>
                      <w:rFonts w:hint="eastAsia"/>
                      <w:color w:val="000000"/>
                      <w:kern w:val="0"/>
                      <w:sz w:val="18"/>
                      <w:szCs w:val="18"/>
                      <w:lang w:bidi="ar"/>
                    </w:rPr>
                    <w:t>南侧</w:t>
                  </w:r>
                </w:p>
              </w:tc>
              <w:tc>
                <w:tcPr>
                  <w:tcW w:w="606" w:type="pct"/>
                  <w:tcBorders>
                    <w:tl2br w:val="nil"/>
                    <w:tr2bl w:val="nil"/>
                  </w:tcBorders>
                  <w:noWrap/>
                  <w:vAlign w:val="center"/>
                </w:tcPr>
                <w:p w14:paraId="767D3C30">
                  <w:pPr>
                    <w:widowControl/>
                    <w:jc w:val="center"/>
                    <w:textAlignment w:val="center"/>
                    <w:rPr>
                      <w:color w:val="000000"/>
                      <w:sz w:val="18"/>
                      <w:szCs w:val="18"/>
                    </w:rPr>
                  </w:pPr>
                  <w:r>
                    <w:rPr>
                      <w:color w:val="000000"/>
                      <w:kern w:val="0"/>
                      <w:sz w:val="18"/>
                      <w:szCs w:val="18"/>
                      <w:lang w:bidi="ar"/>
                    </w:rPr>
                    <w:t>-3.86</w:t>
                  </w:r>
                </w:p>
              </w:tc>
              <w:tc>
                <w:tcPr>
                  <w:tcW w:w="550" w:type="pct"/>
                  <w:tcBorders>
                    <w:tl2br w:val="nil"/>
                    <w:tr2bl w:val="nil"/>
                  </w:tcBorders>
                  <w:noWrap/>
                  <w:vAlign w:val="center"/>
                </w:tcPr>
                <w:p w14:paraId="00DDB066">
                  <w:pPr>
                    <w:widowControl/>
                    <w:jc w:val="center"/>
                    <w:textAlignment w:val="center"/>
                    <w:rPr>
                      <w:color w:val="000000"/>
                      <w:sz w:val="18"/>
                      <w:szCs w:val="18"/>
                    </w:rPr>
                  </w:pPr>
                  <w:r>
                    <w:rPr>
                      <w:color w:val="000000"/>
                      <w:kern w:val="0"/>
                      <w:sz w:val="18"/>
                      <w:szCs w:val="18"/>
                      <w:lang w:bidi="ar"/>
                    </w:rPr>
                    <w:t>0.15</w:t>
                  </w:r>
                </w:p>
              </w:tc>
              <w:tc>
                <w:tcPr>
                  <w:tcW w:w="380" w:type="pct"/>
                  <w:tcBorders>
                    <w:tl2br w:val="nil"/>
                    <w:tr2bl w:val="nil"/>
                  </w:tcBorders>
                  <w:noWrap/>
                  <w:vAlign w:val="center"/>
                </w:tcPr>
                <w:p w14:paraId="7A125C12">
                  <w:pPr>
                    <w:widowControl/>
                    <w:jc w:val="center"/>
                    <w:textAlignment w:val="center"/>
                    <w:rPr>
                      <w:color w:val="000000"/>
                      <w:sz w:val="18"/>
                      <w:szCs w:val="18"/>
                    </w:rPr>
                  </w:pPr>
                  <w:r>
                    <w:rPr>
                      <w:color w:val="000000"/>
                      <w:kern w:val="0"/>
                      <w:sz w:val="18"/>
                      <w:szCs w:val="18"/>
                      <w:lang w:bidi="ar"/>
                    </w:rPr>
                    <w:t>1.2</w:t>
                  </w:r>
                </w:p>
              </w:tc>
              <w:tc>
                <w:tcPr>
                  <w:tcW w:w="377" w:type="pct"/>
                  <w:tcBorders>
                    <w:tl2br w:val="nil"/>
                    <w:tr2bl w:val="nil"/>
                  </w:tcBorders>
                  <w:noWrap/>
                  <w:vAlign w:val="center"/>
                </w:tcPr>
                <w:p w14:paraId="7501A22E">
                  <w:pPr>
                    <w:widowControl/>
                    <w:jc w:val="center"/>
                    <w:textAlignment w:val="center"/>
                    <w:rPr>
                      <w:color w:val="000000"/>
                      <w:sz w:val="18"/>
                      <w:szCs w:val="18"/>
                    </w:rPr>
                  </w:pPr>
                  <w:r>
                    <w:rPr>
                      <w:rFonts w:hint="eastAsia"/>
                      <w:color w:val="000000"/>
                      <w:kern w:val="0"/>
                      <w:sz w:val="18"/>
                      <w:szCs w:val="18"/>
                      <w:lang w:bidi="ar"/>
                    </w:rPr>
                    <w:t>昼间</w:t>
                  </w:r>
                </w:p>
              </w:tc>
              <w:tc>
                <w:tcPr>
                  <w:tcW w:w="853" w:type="pct"/>
                  <w:tcBorders>
                    <w:tl2br w:val="nil"/>
                    <w:tr2bl w:val="nil"/>
                  </w:tcBorders>
                  <w:noWrap/>
                  <w:vAlign w:val="center"/>
                </w:tcPr>
                <w:p w14:paraId="50EE4757">
                  <w:pPr>
                    <w:widowControl/>
                    <w:jc w:val="center"/>
                    <w:textAlignment w:val="center"/>
                    <w:rPr>
                      <w:color w:val="000000"/>
                      <w:sz w:val="18"/>
                      <w:szCs w:val="18"/>
                    </w:rPr>
                  </w:pPr>
                  <w:r>
                    <w:rPr>
                      <w:color w:val="000000"/>
                      <w:kern w:val="0"/>
                      <w:sz w:val="18"/>
                      <w:szCs w:val="18"/>
                      <w:lang w:bidi="ar"/>
                    </w:rPr>
                    <w:t>59.03</w:t>
                  </w:r>
                </w:p>
              </w:tc>
              <w:tc>
                <w:tcPr>
                  <w:tcW w:w="977" w:type="pct"/>
                  <w:tcBorders>
                    <w:tl2br w:val="nil"/>
                    <w:tr2bl w:val="nil"/>
                  </w:tcBorders>
                  <w:noWrap/>
                  <w:vAlign w:val="center"/>
                </w:tcPr>
                <w:p w14:paraId="177711A6">
                  <w:pPr>
                    <w:widowControl/>
                    <w:jc w:val="center"/>
                    <w:textAlignment w:val="center"/>
                    <w:rPr>
                      <w:rFonts w:hint="eastAsia" w:eastAsia="宋体"/>
                      <w:color w:val="000000"/>
                      <w:sz w:val="18"/>
                      <w:szCs w:val="18"/>
                      <w:lang w:eastAsia="zh-CN"/>
                    </w:rPr>
                  </w:pPr>
                  <w:r>
                    <w:rPr>
                      <w:color w:val="000000"/>
                      <w:kern w:val="0"/>
                      <w:sz w:val="18"/>
                      <w:szCs w:val="18"/>
                      <w:lang w:bidi="ar"/>
                    </w:rPr>
                    <w:t>6</w:t>
                  </w:r>
                  <w:r>
                    <w:rPr>
                      <w:rFonts w:hint="eastAsia"/>
                      <w:color w:val="000000"/>
                      <w:kern w:val="0"/>
                      <w:sz w:val="18"/>
                      <w:szCs w:val="18"/>
                      <w:lang w:val="en-US" w:eastAsia="zh-CN" w:bidi="ar"/>
                    </w:rPr>
                    <w:t>0</w:t>
                  </w:r>
                </w:p>
              </w:tc>
              <w:tc>
                <w:tcPr>
                  <w:tcW w:w="626" w:type="pct"/>
                  <w:tcBorders>
                    <w:tl2br w:val="nil"/>
                    <w:tr2bl w:val="nil"/>
                  </w:tcBorders>
                  <w:noWrap/>
                  <w:vAlign w:val="center"/>
                </w:tcPr>
                <w:p w14:paraId="13B4D1F9">
                  <w:pPr>
                    <w:widowControl/>
                    <w:jc w:val="center"/>
                    <w:textAlignment w:val="center"/>
                    <w:rPr>
                      <w:color w:val="000000"/>
                      <w:sz w:val="18"/>
                      <w:szCs w:val="18"/>
                    </w:rPr>
                  </w:pPr>
                  <w:r>
                    <w:rPr>
                      <w:rFonts w:hint="eastAsia"/>
                      <w:color w:val="000000"/>
                      <w:kern w:val="0"/>
                      <w:sz w:val="18"/>
                      <w:szCs w:val="18"/>
                      <w:lang w:bidi="ar"/>
                    </w:rPr>
                    <w:t>达标</w:t>
                  </w:r>
                </w:p>
              </w:tc>
            </w:tr>
            <w:tr w14:paraId="2AC3AF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25" w:type="pct"/>
                  <w:tcBorders>
                    <w:tl2br w:val="nil"/>
                    <w:tr2bl w:val="nil"/>
                  </w:tcBorders>
                  <w:noWrap/>
                  <w:vAlign w:val="center"/>
                </w:tcPr>
                <w:p w14:paraId="5AF950C0">
                  <w:pPr>
                    <w:widowControl/>
                    <w:jc w:val="center"/>
                    <w:textAlignment w:val="center"/>
                    <w:rPr>
                      <w:color w:val="000000"/>
                      <w:sz w:val="18"/>
                      <w:szCs w:val="18"/>
                    </w:rPr>
                  </w:pPr>
                  <w:r>
                    <w:rPr>
                      <w:rFonts w:hint="eastAsia"/>
                      <w:color w:val="000000"/>
                      <w:kern w:val="0"/>
                      <w:sz w:val="18"/>
                      <w:szCs w:val="18"/>
                      <w:lang w:bidi="ar"/>
                    </w:rPr>
                    <w:t>西侧</w:t>
                  </w:r>
                </w:p>
              </w:tc>
              <w:tc>
                <w:tcPr>
                  <w:tcW w:w="606" w:type="pct"/>
                  <w:tcBorders>
                    <w:tl2br w:val="nil"/>
                    <w:tr2bl w:val="nil"/>
                  </w:tcBorders>
                  <w:shd w:val="clear" w:color="auto" w:fill="FFFFFF"/>
                  <w:noWrap/>
                  <w:vAlign w:val="center"/>
                </w:tcPr>
                <w:p w14:paraId="224154E2">
                  <w:pPr>
                    <w:widowControl/>
                    <w:jc w:val="center"/>
                    <w:textAlignment w:val="center"/>
                    <w:rPr>
                      <w:color w:val="000000"/>
                      <w:sz w:val="18"/>
                      <w:szCs w:val="18"/>
                    </w:rPr>
                  </w:pPr>
                  <w:r>
                    <w:rPr>
                      <w:color w:val="000000"/>
                      <w:kern w:val="0"/>
                      <w:sz w:val="18"/>
                      <w:szCs w:val="18"/>
                      <w:lang w:bidi="ar"/>
                    </w:rPr>
                    <w:t>8.95</w:t>
                  </w:r>
                </w:p>
              </w:tc>
              <w:tc>
                <w:tcPr>
                  <w:tcW w:w="550" w:type="pct"/>
                  <w:tcBorders>
                    <w:tl2br w:val="nil"/>
                    <w:tr2bl w:val="nil"/>
                  </w:tcBorders>
                  <w:shd w:val="clear" w:color="auto" w:fill="FFFFFF"/>
                  <w:noWrap/>
                  <w:vAlign w:val="center"/>
                </w:tcPr>
                <w:p w14:paraId="332832E2">
                  <w:pPr>
                    <w:widowControl/>
                    <w:jc w:val="center"/>
                    <w:textAlignment w:val="center"/>
                    <w:rPr>
                      <w:color w:val="000000"/>
                      <w:sz w:val="18"/>
                      <w:szCs w:val="18"/>
                    </w:rPr>
                  </w:pPr>
                  <w:r>
                    <w:rPr>
                      <w:color w:val="000000"/>
                      <w:kern w:val="0"/>
                      <w:sz w:val="18"/>
                      <w:szCs w:val="18"/>
                      <w:lang w:bidi="ar"/>
                    </w:rPr>
                    <w:t>27.73</w:t>
                  </w:r>
                </w:p>
              </w:tc>
              <w:tc>
                <w:tcPr>
                  <w:tcW w:w="380" w:type="pct"/>
                  <w:tcBorders>
                    <w:tl2br w:val="nil"/>
                    <w:tr2bl w:val="nil"/>
                  </w:tcBorders>
                  <w:noWrap/>
                  <w:vAlign w:val="center"/>
                </w:tcPr>
                <w:p w14:paraId="233D8DED">
                  <w:pPr>
                    <w:widowControl/>
                    <w:jc w:val="center"/>
                    <w:textAlignment w:val="center"/>
                    <w:rPr>
                      <w:color w:val="000000"/>
                      <w:sz w:val="18"/>
                      <w:szCs w:val="18"/>
                    </w:rPr>
                  </w:pPr>
                  <w:r>
                    <w:rPr>
                      <w:color w:val="000000"/>
                      <w:kern w:val="0"/>
                      <w:sz w:val="18"/>
                      <w:szCs w:val="18"/>
                      <w:lang w:bidi="ar"/>
                    </w:rPr>
                    <w:t>1.2</w:t>
                  </w:r>
                </w:p>
              </w:tc>
              <w:tc>
                <w:tcPr>
                  <w:tcW w:w="377" w:type="pct"/>
                  <w:tcBorders>
                    <w:tl2br w:val="nil"/>
                    <w:tr2bl w:val="nil"/>
                  </w:tcBorders>
                  <w:noWrap/>
                  <w:vAlign w:val="center"/>
                </w:tcPr>
                <w:p w14:paraId="3E73B608">
                  <w:pPr>
                    <w:widowControl/>
                    <w:jc w:val="center"/>
                    <w:textAlignment w:val="center"/>
                    <w:rPr>
                      <w:color w:val="000000"/>
                      <w:sz w:val="18"/>
                      <w:szCs w:val="18"/>
                    </w:rPr>
                  </w:pPr>
                  <w:r>
                    <w:rPr>
                      <w:rFonts w:hint="eastAsia"/>
                      <w:color w:val="000000"/>
                      <w:kern w:val="0"/>
                      <w:sz w:val="18"/>
                      <w:szCs w:val="18"/>
                      <w:lang w:bidi="ar"/>
                    </w:rPr>
                    <w:t>昼间</w:t>
                  </w:r>
                </w:p>
              </w:tc>
              <w:tc>
                <w:tcPr>
                  <w:tcW w:w="853" w:type="pct"/>
                  <w:tcBorders>
                    <w:tl2br w:val="nil"/>
                    <w:tr2bl w:val="nil"/>
                  </w:tcBorders>
                  <w:shd w:val="clear" w:color="auto" w:fill="FFFFFF"/>
                  <w:noWrap/>
                  <w:vAlign w:val="center"/>
                </w:tcPr>
                <w:p w14:paraId="3F624368">
                  <w:pPr>
                    <w:widowControl/>
                    <w:jc w:val="center"/>
                    <w:textAlignment w:val="center"/>
                    <w:rPr>
                      <w:color w:val="000000"/>
                      <w:sz w:val="18"/>
                      <w:szCs w:val="18"/>
                    </w:rPr>
                  </w:pPr>
                  <w:r>
                    <w:rPr>
                      <w:color w:val="000000"/>
                      <w:kern w:val="0"/>
                      <w:sz w:val="18"/>
                      <w:szCs w:val="18"/>
                      <w:lang w:bidi="ar"/>
                    </w:rPr>
                    <w:t>58.04</w:t>
                  </w:r>
                </w:p>
              </w:tc>
              <w:tc>
                <w:tcPr>
                  <w:tcW w:w="977" w:type="pct"/>
                  <w:tcBorders>
                    <w:tl2br w:val="nil"/>
                    <w:tr2bl w:val="nil"/>
                  </w:tcBorders>
                  <w:noWrap/>
                  <w:vAlign w:val="center"/>
                </w:tcPr>
                <w:p w14:paraId="64D6D2DD">
                  <w:pPr>
                    <w:widowControl/>
                    <w:jc w:val="center"/>
                    <w:textAlignment w:val="center"/>
                    <w:rPr>
                      <w:rFonts w:hint="eastAsia" w:eastAsia="宋体"/>
                      <w:color w:val="000000"/>
                      <w:sz w:val="18"/>
                      <w:szCs w:val="18"/>
                      <w:lang w:eastAsia="zh-CN"/>
                    </w:rPr>
                  </w:pPr>
                  <w:r>
                    <w:rPr>
                      <w:color w:val="000000"/>
                      <w:kern w:val="0"/>
                      <w:sz w:val="18"/>
                      <w:szCs w:val="18"/>
                      <w:lang w:bidi="ar"/>
                    </w:rPr>
                    <w:t>6</w:t>
                  </w:r>
                  <w:r>
                    <w:rPr>
                      <w:rFonts w:hint="eastAsia"/>
                      <w:color w:val="000000"/>
                      <w:kern w:val="0"/>
                      <w:sz w:val="18"/>
                      <w:szCs w:val="18"/>
                      <w:lang w:val="en-US" w:eastAsia="zh-CN" w:bidi="ar"/>
                    </w:rPr>
                    <w:t>0</w:t>
                  </w:r>
                </w:p>
              </w:tc>
              <w:tc>
                <w:tcPr>
                  <w:tcW w:w="626" w:type="pct"/>
                  <w:tcBorders>
                    <w:tl2br w:val="nil"/>
                    <w:tr2bl w:val="nil"/>
                  </w:tcBorders>
                  <w:noWrap/>
                  <w:vAlign w:val="center"/>
                </w:tcPr>
                <w:p w14:paraId="40B8524B">
                  <w:pPr>
                    <w:widowControl/>
                    <w:jc w:val="center"/>
                    <w:textAlignment w:val="center"/>
                    <w:rPr>
                      <w:color w:val="000000"/>
                      <w:sz w:val="18"/>
                      <w:szCs w:val="18"/>
                    </w:rPr>
                  </w:pPr>
                  <w:r>
                    <w:rPr>
                      <w:rFonts w:hint="eastAsia"/>
                      <w:color w:val="000000"/>
                      <w:kern w:val="0"/>
                      <w:sz w:val="18"/>
                      <w:szCs w:val="18"/>
                      <w:lang w:bidi="ar"/>
                    </w:rPr>
                    <w:t>达标</w:t>
                  </w:r>
                </w:p>
              </w:tc>
            </w:tr>
            <w:tr w14:paraId="4EEFA5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25" w:type="pct"/>
                  <w:tcBorders>
                    <w:tl2br w:val="nil"/>
                    <w:tr2bl w:val="nil"/>
                  </w:tcBorders>
                  <w:noWrap/>
                  <w:vAlign w:val="center"/>
                </w:tcPr>
                <w:p w14:paraId="5B1273F4">
                  <w:pPr>
                    <w:widowControl/>
                    <w:jc w:val="center"/>
                    <w:textAlignment w:val="center"/>
                    <w:rPr>
                      <w:color w:val="000000"/>
                      <w:sz w:val="18"/>
                      <w:szCs w:val="18"/>
                    </w:rPr>
                  </w:pPr>
                  <w:r>
                    <w:rPr>
                      <w:rFonts w:hint="eastAsia"/>
                      <w:color w:val="000000"/>
                      <w:kern w:val="0"/>
                      <w:sz w:val="18"/>
                      <w:szCs w:val="18"/>
                      <w:lang w:bidi="ar"/>
                    </w:rPr>
                    <w:t>北侧</w:t>
                  </w:r>
                </w:p>
              </w:tc>
              <w:tc>
                <w:tcPr>
                  <w:tcW w:w="606" w:type="pct"/>
                  <w:tcBorders>
                    <w:tl2br w:val="nil"/>
                    <w:tr2bl w:val="nil"/>
                  </w:tcBorders>
                  <w:noWrap/>
                  <w:vAlign w:val="center"/>
                </w:tcPr>
                <w:p w14:paraId="119970B4">
                  <w:pPr>
                    <w:widowControl/>
                    <w:jc w:val="center"/>
                    <w:textAlignment w:val="center"/>
                    <w:rPr>
                      <w:color w:val="000000"/>
                      <w:sz w:val="18"/>
                      <w:szCs w:val="18"/>
                    </w:rPr>
                  </w:pPr>
                  <w:r>
                    <w:rPr>
                      <w:color w:val="000000"/>
                      <w:kern w:val="0"/>
                      <w:sz w:val="18"/>
                      <w:szCs w:val="18"/>
                      <w:lang w:bidi="ar"/>
                    </w:rPr>
                    <w:t>-86.02</w:t>
                  </w:r>
                </w:p>
              </w:tc>
              <w:tc>
                <w:tcPr>
                  <w:tcW w:w="550" w:type="pct"/>
                  <w:tcBorders>
                    <w:tl2br w:val="nil"/>
                    <w:tr2bl w:val="nil"/>
                  </w:tcBorders>
                  <w:noWrap/>
                  <w:vAlign w:val="center"/>
                </w:tcPr>
                <w:p w14:paraId="40A5C457">
                  <w:pPr>
                    <w:widowControl/>
                    <w:jc w:val="center"/>
                    <w:textAlignment w:val="center"/>
                    <w:rPr>
                      <w:color w:val="000000"/>
                      <w:sz w:val="18"/>
                      <w:szCs w:val="18"/>
                    </w:rPr>
                  </w:pPr>
                  <w:r>
                    <w:rPr>
                      <w:color w:val="000000"/>
                      <w:kern w:val="0"/>
                      <w:sz w:val="18"/>
                      <w:szCs w:val="18"/>
                      <w:lang w:bidi="ar"/>
                    </w:rPr>
                    <w:t>59.29</w:t>
                  </w:r>
                </w:p>
              </w:tc>
              <w:tc>
                <w:tcPr>
                  <w:tcW w:w="380" w:type="pct"/>
                  <w:tcBorders>
                    <w:tl2br w:val="nil"/>
                    <w:tr2bl w:val="nil"/>
                  </w:tcBorders>
                  <w:noWrap/>
                  <w:vAlign w:val="center"/>
                </w:tcPr>
                <w:p w14:paraId="4D843233">
                  <w:pPr>
                    <w:widowControl/>
                    <w:jc w:val="center"/>
                    <w:textAlignment w:val="center"/>
                    <w:rPr>
                      <w:color w:val="000000"/>
                      <w:sz w:val="18"/>
                      <w:szCs w:val="18"/>
                    </w:rPr>
                  </w:pPr>
                  <w:r>
                    <w:rPr>
                      <w:color w:val="000000"/>
                      <w:kern w:val="0"/>
                      <w:sz w:val="18"/>
                      <w:szCs w:val="18"/>
                      <w:lang w:bidi="ar"/>
                    </w:rPr>
                    <w:t>1.2</w:t>
                  </w:r>
                </w:p>
              </w:tc>
              <w:tc>
                <w:tcPr>
                  <w:tcW w:w="377" w:type="pct"/>
                  <w:tcBorders>
                    <w:tl2br w:val="nil"/>
                    <w:tr2bl w:val="nil"/>
                  </w:tcBorders>
                  <w:noWrap/>
                  <w:vAlign w:val="center"/>
                </w:tcPr>
                <w:p w14:paraId="3FC8FB0C">
                  <w:pPr>
                    <w:widowControl/>
                    <w:jc w:val="center"/>
                    <w:textAlignment w:val="center"/>
                    <w:rPr>
                      <w:color w:val="000000"/>
                      <w:sz w:val="18"/>
                      <w:szCs w:val="18"/>
                    </w:rPr>
                  </w:pPr>
                  <w:r>
                    <w:rPr>
                      <w:rFonts w:hint="eastAsia"/>
                      <w:color w:val="000000"/>
                      <w:kern w:val="0"/>
                      <w:sz w:val="18"/>
                      <w:szCs w:val="18"/>
                      <w:lang w:bidi="ar"/>
                    </w:rPr>
                    <w:t>昼间</w:t>
                  </w:r>
                </w:p>
              </w:tc>
              <w:tc>
                <w:tcPr>
                  <w:tcW w:w="853" w:type="pct"/>
                  <w:tcBorders>
                    <w:tl2br w:val="nil"/>
                    <w:tr2bl w:val="nil"/>
                  </w:tcBorders>
                  <w:noWrap/>
                  <w:vAlign w:val="center"/>
                </w:tcPr>
                <w:p w14:paraId="18E4743B">
                  <w:pPr>
                    <w:widowControl/>
                    <w:jc w:val="center"/>
                    <w:textAlignment w:val="center"/>
                    <w:rPr>
                      <w:color w:val="000000"/>
                      <w:sz w:val="18"/>
                      <w:szCs w:val="18"/>
                    </w:rPr>
                  </w:pPr>
                  <w:r>
                    <w:rPr>
                      <w:color w:val="000000"/>
                      <w:kern w:val="0"/>
                      <w:sz w:val="18"/>
                      <w:szCs w:val="18"/>
                      <w:lang w:bidi="ar"/>
                    </w:rPr>
                    <w:t>59.26</w:t>
                  </w:r>
                </w:p>
              </w:tc>
              <w:tc>
                <w:tcPr>
                  <w:tcW w:w="977" w:type="pct"/>
                  <w:tcBorders>
                    <w:tl2br w:val="nil"/>
                    <w:tr2bl w:val="nil"/>
                  </w:tcBorders>
                  <w:noWrap/>
                  <w:vAlign w:val="center"/>
                </w:tcPr>
                <w:p w14:paraId="0FB5AC7E">
                  <w:pPr>
                    <w:widowControl/>
                    <w:jc w:val="center"/>
                    <w:textAlignment w:val="center"/>
                    <w:rPr>
                      <w:rFonts w:hint="eastAsia" w:eastAsia="宋体"/>
                      <w:color w:val="000000"/>
                      <w:sz w:val="18"/>
                      <w:szCs w:val="18"/>
                      <w:lang w:eastAsia="zh-CN"/>
                    </w:rPr>
                  </w:pPr>
                  <w:r>
                    <w:rPr>
                      <w:color w:val="000000"/>
                      <w:kern w:val="0"/>
                      <w:sz w:val="18"/>
                      <w:szCs w:val="18"/>
                      <w:lang w:bidi="ar"/>
                    </w:rPr>
                    <w:t>6</w:t>
                  </w:r>
                  <w:r>
                    <w:rPr>
                      <w:rFonts w:hint="eastAsia"/>
                      <w:color w:val="000000"/>
                      <w:kern w:val="0"/>
                      <w:sz w:val="18"/>
                      <w:szCs w:val="18"/>
                      <w:lang w:val="en-US" w:eastAsia="zh-CN" w:bidi="ar"/>
                    </w:rPr>
                    <w:t>0</w:t>
                  </w:r>
                </w:p>
              </w:tc>
              <w:tc>
                <w:tcPr>
                  <w:tcW w:w="626" w:type="pct"/>
                  <w:tcBorders>
                    <w:tl2br w:val="nil"/>
                    <w:tr2bl w:val="nil"/>
                  </w:tcBorders>
                  <w:noWrap/>
                  <w:vAlign w:val="center"/>
                </w:tcPr>
                <w:p w14:paraId="29123074">
                  <w:pPr>
                    <w:widowControl/>
                    <w:jc w:val="center"/>
                    <w:textAlignment w:val="center"/>
                    <w:rPr>
                      <w:color w:val="000000"/>
                      <w:sz w:val="18"/>
                      <w:szCs w:val="18"/>
                    </w:rPr>
                  </w:pPr>
                  <w:r>
                    <w:rPr>
                      <w:rFonts w:hint="eastAsia"/>
                      <w:color w:val="000000"/>
                      <w:kern w:val="0"/>
                      <w:sz w:val="18"/>
                      <w:szCs w:val="18"/>
                      <w:lang w:bidi="ar"/>
                    </w:rPr>
                    <w:t>达标</w:t>
                  </w:r>
                </w:p>
              </w:tc>
            </w:tr>
          </w:tbl>
          <w:p w14:paraId="3B028A4F">
            <w:pPr>
              <w:pStyle w:val="22"/>
              <w:spacing w:before="0" w:beforeAutospacing="0" w:after="0" w:afterAutospacing="0"/>
              <w:rPr>
                <w:rFonts w:ascii="Times New Roman" w:hAnsi="Times New Roman"/>
                <w:sz w:val="21"/>
                <w:szCs w:val="21"/>
              </w:rPr>
            </w:pPr>
            <w:r>
              <w:rPr>
                <w:rFonts w:hint="eastAsia" w:cs="宋体"/>
                <w:snapToGrid w:val="0"/>
                <w:sz w:val="18"/>
                <w:szCs w:val="18"/>
              </w:rPr>
              <w:t>备注：表中坐标以厂界东南角为坐标原点，正东向为X轴正方向，正北向为Y轴正方向。</w:t>
            </w:r>
          </w:p>
          <w:p w14:paraId="6C80CF4C">
            <w:pPr>
              <w:spacing w:line="360" w:lineRule="auto"/>
              <w:ind w:firstLine="420" w:firstLineChars="200"/>
              <w:rPr>
                <w:szCs w:val="21"/>
              </w:rPr>
            </w:pPr>
          </w:p>
          <w:p w14:paraId="1D8419A3">
            <w:pPr>
              <w:spacing w:line="360" w:lineRule="auto"/>
              <w:ind w:firstLine="420" w:firstLineChars="200"/>
              <w:rPr>
                <w:rFonts w:hint="eastAsia"/>
                <w:szCs w:val="21"/>
              </w:rPr>
            </w:pPr>
            <w:r>
              <w:rPr>
                <w:rFonts w:hint="eastAsia"/>
                <w:szCs w:val="21"/>
              </w:rPr>
              <w:t>根据预测结果分析，采取必要的噪声防治措施后，正常情况下，项目</w:t>
            </w:r>
            <w:r>
              <w:rPr>
                <w:rFonts w:hint="eastAsia"/>
                <w:szCs w:val="21"/>
                <w:lang w:val="en-US" w:eastAsia="zh-CN"/>
              </w:rPr>
              <w:t>四周</w:t>
            </w:r>
            <w:r>
              <w:rPr>
                <w:rFonts w:hint="eastAsia"/>
                <w:szCs w:val="21"/>
              </w:rPr>
              <w:t>厂界满足《工业企业厂界环境噪声排放标准》(GB12348-2008)中</w:t>
            </w:r>
            <w:r>
              <w:rPr>
                <w:rFonts w:hint="eastAsia"/>
                <w:szCs w:val="21"/>
                <w:lang w:val="en-US" w:eastAsia="zh-CN"/>
              </w:rPr>
              <w:t>2</w:t>
            </w:r>
            <w:r>
              <w:rPr>
                <w:rFonts w:hint="eastAsia"/>
                <w:szCs w:val="21"/>
              </w:rPr>
              <w:t>类标准限值要求。综上所述，项目</w:t>
            </w:r>
            <w:r>
              <w:rPr>
                <w:rFonts w:hint="eastAsia"/>
                <w:szCs w:val="21"/>
                <w:lang w:val="en-US" w:eastAsia="zh-CN"/>
              </w:rPr>
              <w:t>在</w:t>
            </w:r>
            <w:r>
              <w:rPr>
                <w:rFonts w:hint="eastAsia"/>
                <w:szCs w:val="21"/>
              </w:rPr>
              <w:t>采取必要的噪声治理措施后，各种</w:t>
            </w:r>
            <w:r>
              <w:rPr>
                <w:rFonts w:hint="eastAsia"/>
                <w:szCs w:val="21"/>
                <w:lang w:val="en-US" w:eastAsia="zh-CN"/>
              </w:rPr>
              <w:t>设备</w:t>
            </w:r>
            <w:r>
              <w:rPr>
                <w:rFonts w:hint="eastAsia"/>
                <w:szCs w:val="21"/>
              </w:rPr>
              <w:t>生产运行噪声对周围环境影响较小。</w:t>
            </w:r>
          </w:p>
          <w:p w14:paraId="3BE6C9D5">
            <w:pPr>
              <w:numPr>
                <w:ilvl w:val="0"/>
                <w:numId w:val="16"/>
              </w:numPr>
              <w:spacing w:line="360" w:lineRule="auto"/>
              <w:rPr>
                <w:b/>
                <w:bCs/>
              </w:rPr>
            </w:pPr>
            <w:r>
              <w:rPr>
                <w:rFonts w:hint="eastAsia"/>
                <w:b/>
                <w:bCs/>
                <w:lang w:val="en-US" w:eastAsia="zh-CN"/>
              </w:rPr>
              <w:t>噪声监测计划</w:t>
            </w:r>
          </w:p>
          <w:p w14:paraId="58A0E684">
            <w:pPr>
              <w:bidi w:val="0"/>
              <w:spacing w:line="360" w:lineRule="auto"/>
              <w:ind w:firstLine="420" w:firstLineChars="200"/>
              <w:rPr>
                <w:rFonts w:hint="eastAsia"/>
                <w:lang w:val="en-US" w:eastAsia="zh-CN"/>
              </w:rPr>
            </w:pPr>
            <w:r>
              <w:rPr>
                <w:rFonts w:hint="eastAsia"/>
                <w:lang w:val="en-US" w:eastAsia="zh-CN"/>
              </w:rPr>
              <w:t>根据《排污单位自行监测技术指南 总则》（HJ 819-2017）中的自行监测要求，本项目噪声污染源自行监测计划如下：</w:t>
            </w:r>
          </w:p>
          <w:p w14:paraId="6BD5862C">
            <w:pPr>
              <w:keepNext w:val="0"/>
              <w:keepLines w:val="0"/>
              <w:pageBreakBefore w:val="0"/>
              <w:widowControl/>
              <w:numPr>
                <w:ilvl w:val="0"/>
                <w:numId w:val="12"/>
              </w:numPr>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hAnsi="黑体" w:eastAsia="黑体" w:cs="黑体"/>
                <w:b w:val="0"/>
                <w:bCs w:val="0"/>
                <w:spacing w:val="-10"/>
                <w:kern w:val="2"/>
                <w:szCs w:val="21"/>
                <w:lang w:val="en-US" w:eastAsia="zh-CN"/>
              </w:rPr>
            </w:pPr>
            <w:r>
              <w:rPr>
                <w:rFonts w:hint="eastAsia" w:ascii="黑体" w:hAnsi="黑体" w:eastAsia="黑体" w:cs="黑体"/>
                <w:b w:val="0"/>
                <w:bCs w:val="0"/>
                <w:spacing w:val="-10"/>
                <w:kern w:val="2"/>
                <w:szCs w:val="21"/>
                <w:lang w:val="en-US" w:eastAsia="zh-CN"/>
              </w:rPr>
              <w:t>项目噪声污染源监测计划表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2325"/>
              <w:gridCol w:w="1939"/>
              <w:gridCol w:w="1624"/>
              <w:gridCol w:w="1733"/>
            </w:tblGrid>
            <w:tr w14:paraId="4C7D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 w:hRule="atLeast"/>
                <w:jc w:val="center"/>
              </w:trPr>
              <w:tc>
                <w:tcPr>
                  <w:tcW w:w="1525" w:type="pct"/>
                  <w:vAlign w:val="center"/>
                </w:tcPr>
                <w:p w14:paraId="381C5695">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类别</w:t>
                  </w:r>
                </w:p>
              </w:tc>
              <w:tc>
                <w:tcPr>
                  <w:tcW w:w="1272" w:type="pct"/>
                  <w:vAlign w:val="center"/>
                </w:tcPr>
                <w:p w14:paraId="32325D48">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监管要求</w:t>
                  </w:r>
                </w:p>
              </w:tc>
              <w:tc>
                <w:tcPr>
                  <w:tcW w:w="1065" w:type="pct"/>
                  <w:vAlign w:val="center"/>
                </w:tcPr>
                <w:p w14:paraId="5131741D">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监测项目</w:t>
                  </w:r>
                </w:p>
              </w:tc>
              <w:tc>
                <w:tcPr>
                  <w:tcW w:w="1137" w:type="pct"/>
                  <w:vAlign w:val="center"/>
                </w:tcPr>
                <w:p w14:paraId="71405805">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监测频次</w:t>
                  </w:r>
                </w:p>
              </w:tc>
            </w:tr>
            <w:tr w14:paraId="74F1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 w:hRule="atLeast"/>
                <w:jc w:val="center"/>
              </w:trPr>
              <w:tc>
                <w:tcPr>
                  <w:tcW w:w="1525" w:type="pct"/>
                  <w:vAlign w:val="center"/>
                </w:tcPr>
                <w:p w14:paraId="0CCA57D9">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四周厂界</w:t>
                  </w:r>
                  <w:r>
                    <w:rPr>
                      <w:rFonts w:hint="eastAsia"/>
                    </w:rPr>
                    <w:t>昼间</w:t>
                  </w:r>
                  <w:r>
                    <w:rPr>
                      <w:rFonts w:hint="default"/>
                    </w:rPr>
                    <w:t>噪声</w:t>
                  </w:r>
                </w:p>
              </w:tc>
              <w:tc>
                <w:tcPr>
                  <w:tcW w:w="1272" w:type="pct"/>
                  <w:vAlign w:val="center"/>
                </w:tcPr>
                <w:p w14:paraId="4998CFF0">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达标监督管理</w:t>
                  </w:r>
                </w:p>
              </w:tc>
              <w:tc>
                <w:tcPr>
                  <w:tcW w:w="1065" w:type="pct"/>
                  <w:vAlign w:val="center"/>
                </w:tcPr>
                <w:p w14:paraId="066DF532">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rPr>
                  </w:pPr>
                  <w:r>
                    <w:rPr>
                      <w:rFonts w:hint="default"/>
                    </w:rPr>
                    <w:t>Leq（A）</w:t>
                  </w:r>
                </w:p>
              </w:tc>
              <w:tc>
                <w:tcPr>
                  <w:tcW w:w="1137" w:type="pct"/>
                  <w:vAlign w:val="center"/>
                </w:tcPr>
                <w:p w14:paraId="43642BD2">
                  <w:pPr>
                    <w:pStyle w:val="157"/>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lang w:val="en-US" w:eastAsia="zh-CN"/>
                    </w:rPr>
                  </w:pPr>
                  <w:r>
                    <w:rPr>
                      <w:rFonts w:hint="eastAsia"/>
                      <w:lang w:val="en-US" w:eastAsia="zh-CN"/>
                    </w:rPr>
                    <w:t>一次/季度</w:t>
                  </w:r>
                </w:p>
              </w:tc>
            </w:tr>
          </w:tbl>
          <w:p w14:paraId="34DCEBF5">
            <w:pPr>
              <w:spacing w:line="360" w:lineRule="auto"/>
              <w:ind w:firstLine="0" w:firstLineChars="0"/>
              <w:rPr>
                <w:rFonts w:hint="eastAsia"/>
                <w:szCs w:val="21"/>
              </w:rPr>
            </w:pPr>
          </w:p>
          <w:p w14:paraId="5B8240EF">
            <w:pPr>
              <w:spacing w:line="360" w:lineRule="auto"/>
              <w:rPr>
                <w:b/>
                <w:bCs/>
                <w:sz w:val="22"/>
                <w:szCs w:val="28"/>
              </w:rPr>
            </w:pPr>
            <w:r>
              <w:rPr>
                <w:rFonts w:hint="eastAsia"/>
                <w:b/>
                <w:bCs/>
                <w:sz w:val="22"/>
                <w:szCs w:val="28"/>
              </w:rPr>
              <w:t>4.2.4 固体废物</w:t>
            </w:r>
          </w:p>
          <w:p w14:paraId="071A835A">
            <w:pPr>
              <w:spacing w:line="360" w:lineRule="auto"/>
              <w:rPr>
                <w:b/>
                <w:bCs/>
              </w:rPr>
            </w:pPr>
            <w:r>
              <w:rPr>
                <w:rFonts w:hint="eastAsia"/>
                <w:b/>
                <w:bCs/>
              </w:rPr>
              <w:t>1、副产物产生情况</w:t>
            </w:r>
          </w:p>
          <w:p w14:paraId="3875B6B9">
            <w:pPr>
              <w:pStyle w:val="16"/>
              <w:spacing w:line="360" w:lineRule="auto"/>
              <w:ind w:firstLine="420" w:firstLineChars="200"/>
              <w:rPr>
                <w:rFonts w:hint="default" w:ascii="Times New Roman" w:hAnsi="Times New Roman" w:cs="Times New Roman"/>
                <w:lang w:val="en-US"/>
              </w:rPr>
            </w:pPr>
            <w:r>
              <w:rPr>
                <w:rFonts w:hint="eastAsia" w:ascii="Times New Roman" w:hAnsi="Times New Roman" w:cs="Times New Roman"/>
              </w:rPr>
              <w:t>本项目副产物主要为废边角料S1</w:t>
            </w:r>
            <w:r>
              <w:rPr>
                <w:rFonts w:hint="eastAsia" w:ascii="Times New Roman" w:hAnsi="Times New Roman" w:cs="Times New Roman"/>
                <w:lang w:eastAsia="zh-CN"/>
              </w:rPr>
              <w:t>、</w:t>
            </w:r>
            <w:r>
              <w:rPr>
                <w:rFonts w:hint="eastAsia" w:ascii="Times New Roman" w:hAnsi="Times New Roman" w:cs="Times New Roman"/>
              </w:rPr>
              <w:t>废包装材料S2</w:t>
            </w:r>
            <w:r>
              <w:rPr>
                <w:rFonts w:hint="eastAsia" w:ascii="Times New Roman" w:hAnsi="Times New Roman" w:cs="Times New Roman"/>
                <w:lang w:eastAsia="zh-CN"/>
              </w:rPr>
              <w:t>、</w:t>
            </w:r>
            <w:r>
              <w:rPr>
                <w:rFonts w:hint="eastAsia" w:ascii="Times New Roman" w:hAnsi="Times New Roman" w:cs="Times New Roman"/>
              </w:rPr>
              <w:t>废反渗透膜S3</w:t>
            </w:r>
            <w:r>
              <w:rPr>
                <w:rFonts w:hint="eastAsia" w:ascii="Times New Roman" w:hAnsi="Times New Roman" w:cs="Times New Roman"/>
                <w:lang w:eastAsia="zh-CN"/>
              </w:rPr>
              <w:t>、</w:t>
            </w:r>
            <w:r>
              <w:rPr>
                <w:rFonts w:hint="eastAsia" w:ascii="Times New Roman" w:hAnsi="Times New Roman" w:cs="Times New Roman"/>
              </w:rPr>
              <w:t>实验室废物S4</w:t>
            </w:r>
            <w:r>
              <w:rPr>
                <w:rFonts w:hint="eastAsia" w:ascii="Times New Roman" w:hAnsi="Times New Roman" w:cs="Times New Roman"/>
                <w:lang w:eastAsia="zh-CN"/>
              </w:rPr>
              <w:t>、</w:t>
            </w:r>
            <w:r>
              <w:rPr>
                <w:rFonts w:hint="eastAsia" w:ascii="Times New Roman" w:hAnsi="Times New Roman" w:cs="Times New Roman"/>
              </w:rPr>
              <w:t>废一次性耗材S5</w:t>
            </w:r>
            <w:r>
              <w:rPr>
                <w:rFonts w:hint="eastAsia" w:ascii="Times New Roman" w:hAnsi="Times New Roman" w:cs="Times New Roman"/>
                <w:lang w:eastAsia="zh-CN"/>
              </w:rPr>
              <w:t>、</w:t>
            </w:r>
            <w:r>
              <w:rPr>
                <w:rFonts w:hint="eastAsia" w:ascii="Times New Roman" w:hAnsi="Times New Roman" w:cs="Times New Roman"/>
              </w:rPr>
              <w:t>废抹布S6</w:t>
            </w:r>
            <w:r>
              <w:rPr>
                <w:rFonts w:hint="eastAsia" w:ascii="Times New Roman" w:hAnsi="Times New Roman" w:cs="Times New Roman"/>
                <w:lang w:eastAsia="zh-CN"/>
              </w:rPr>
              <w:t>、</w:t>
            </w:r>
            <w:r>
              <w:rPr>
                <w:rFonts w:hint="eastAsia" w:ascii="Times New Roman" w:hAnsi="Times New Roman" w:cs="Times New Roman"/>
              </w:rPr>
              <w:t>洁净服S7</w:t>
            </w:r>
            <w:r>
              <w:rPr>
                <w:rFonts w:hint="eastAsia" w:ascii="Times New Roman" w:hAnsi="Times New Roman" w:cs="Times New Roman"/>
                <w:lang w:eastAsia="zh-CN"/>
              </w:rPr>
              <w:t>、</w:t>
            </w:r>
            <w:r>
              <w:rPr>
                <w:rFonts w:hint="eastAsia" w:ascii="Times New Roman" w:hAnsi="Times New Roman" w:cs="Times New Roman"/>
              </w:rPr>
              <w:t>实验室废液S8</w:t>
            </w:r>
            <w:r>
              <w:rPr>
                <w:rFonts w:hint="eastAsia" w:ascii="Times New Roman" w:hAnsi="Times New Roman" w:cs="Times New Roman"/>
                <w:lang w:eastAsia="zh-CN"/>
              </w:rPr>
              <w:t>、</w:t>
            </w:r>
            <w:r>
              <w:rPr>
                <w:rFonts w:hint="eastAsia" w:ascii="Times New Roman" w:hAnsi="Times New Roman" w:cs="Times New Roman"/>
                <w:lang w:val="en-US" w:eastAsia="zh-CN"/>
              </w:rPr>
              <w:t>沾染化学品包装S9、</w:t>
            </w:r>
            <w:r>
              <w:rPr>
                <w:rFonts w:hint="eastAsia" w:ascii="Times New Roman" w:hAnsi="Times New Roman" w:cs="Times New Roman"/>
              </w:rPr>
              <w:t>废HEPA过滤器S1</w:t>
            </w:r>
            <w:r>
              <w:rPr>
                <w:rFonts w:hint="eastAsia" w:ascii="Times New Roman" w:hAnsi="Times New Roman" w:cs="Times New Roman"/>
                <w:lang w:val="en-US" w:eastAsia="zh-CN"/>
              </w:rPr>
              <w:t>0</w:t>
            </w:r>
            <w:r>
              <w:rPr>
                <w:rFonts w:hint="eastAsia" w:ascii="Times New Roman" w:hAnsi="Times New Roman" w:cs="Times New Roman"/>
              </w:rPr>
              <w:t>；</w:t>
            </w:r>
            <w:r>
              <w:rPr>
                <w:rFonts w:hint="eastAsia" w:ascii="Times New Roman" w:hAnsi="Times New Roman" w:cs="Times New Roman"/>
                <w:lang w:val="en-US" w:eastAsia="zh-CN"/>
              </w:rPr>
              <w:t>废活性炭S11、</w:t>
            </w:r>
            <w:r>
              <w:rPr>
                <w:rFonts w:hint="eastAsia" w:ascii="Times New Roman" w:hAnsi="Times New Roman" w:cs="Times New Roman"/>
              </w:rPr>
              <w:t>废润滑油S1</w:t>
            </w:r>
            <w:r>
              <w:rPr>
                <w:rFonts w:hint="eastAsia" w:ascii="Times New Roman" w:hAnsi="Times New Roman" w:cs="Times New Roman"/>
                <w:lang w:val="en-US" w:eastAsia="zh-CN"/>
              </w:rPr>
              <w:t>2</w:t>
            </w:r>
            <w:r>
              <w:rPr>
                <w:rFonts w:hint="eastAsia" w:ascii="Times New Roman" w:hAnsi="Times New Roman" w:cs="Times New Roman"/>
              </w:rPr>
              <w:t>；废油桶S1</w:t>
            </w:r>
            <w:r>
              <w:rPr>
                <w:rFonts w:hint="eastAsia" w:ascii="Times New Roman" w:hAnsi="Times New Roman" w:cs="Times New Roman"/>
                <w:lang w:val="en-US" w:eastAsia="zh-CN"/>
              </w:rPr>
              <w:t>3；生活垃圾S14。</w:t>
            </w:r>
          </w:p>
          <w:p w14:paraId="57AD58FA">
            <w:pPr>
              <w:numPr>
                <w:ilvl w:val="0"/>
                <w:numId w:val="17"/>
              </w:numPr>
              <w:spacing w:line="360" w:lineRule="auto"/>
              <w:ind w:firstLine="420" w:firstLineChars="200"/>
            </w:pPr>
            <w:r>
              <w:rPr>
                <w:rFonts w:hint="eastAsia"/>
              </w:rPr>
              <w:t>废边角料S1</w:t>
            </w:r>
          </w:p>
          <w:p w14:paraId="4E9B6ABF">
            <w:pPr>
              <w:spacing w:line="360" w:lineRule="auto"/>
              <w:ind w:firstLine="420" w:firstLineChars="200"/>
            </w:pPr>
            <w:r>
              <w:rPr>
                <w:rFonts w:hint="eastAsia"/>
              </w:rPr>
              <w:t>管材切割过程中产生少量废边角料，产生量约为0.2t/a，妥善收集后出售给物资回收公司。</w:t>
            </w:r>
          </w:p>
          <w:p w14:paraId="32299C5D">
            <w:pPr>
              <w:numPr>
                <w:ilvl w:val="0"/>
                <w:numId w:val="17"/>
              </w:numPr>
              <w:adjustRightInd w:val="0"/>
              <w:snapToGrid w:val="0"/>
              <w:spacing w:line="360" w:lineRule="auto"/>
              <w:ind w:firstLine="420" w:firstLineChars="200"/>
              <w:rPr>
                <w:szCs w:val="21"/>
              </w:rPr>
            </w:pPr>
            <w:r>
              <w:rPr>
                <w:rFonts w:hint="eastAsia"/>
                <w:szCs w:val="21"/>
              </w:rPr>
              <w:t>废包装材料S2</w:t>
            </w:r>
          </w:p>
          <w:p w14:paraId="3E9D29EA">
            <w:pPr>
              <w:adjustRightInd w:val="0"/>
              <w:snapToGrid w:val="0"/>
              <w:spacing w:line="360" w:lineRule="auto"/>
              <w:ind w:firstLine="420" w:firstLineChars="200"/>
              <w:rPr>
                <w:szCs w:val="21"/>
              </w:rPr>
            </w:pPr>
            <w:r>
              <w:rPr>
                <w:rFonts w:hint="eastAsia"/>
                <w:szCs w:val="21"/>
              </w:rPr>
              <w:t>本项目原料拆包及包装过程中会产生废包装材料，预计产生量为0.4 t/a，</w:t>
            </w:r>
            <w:r>
              <w:rPr>
                <w:rFonts w:hint="eastAsia"/>
              </w:rPr>
              <w:t>妥善收集后出售给物资回收公司。</w:t>
            </w:r>
          </w:p>
          <w:p w14:paraId="322E9117">
            <w:pPr>
              <w:numPr>
                <w:ilvl w:val="0"/>
                <w:numId w:val="17"/>
              </w:numPr>
              <w:spacing w:line="360" w:lineRule="auto"/>
              <w:ind w:firstLine="420" w:firstLineChars="200"/>
            </w:pPr>
            <w:r>
              <w:rPr>
                <w:rFonts w:hint="eastAsia"/>
              </w:rPr>
              <w:t>废反渗透膜S3</w:t>
            </w:r>
          </w:p>
          <w:p w14:paraId="44198FD0">
            <w:pPr>
              <w:spacing w:line="360" w:lineRule="auto"/>
              <w:ind w:firstLine="420" w:firstLineChars="200"/>
            </w:pPr>
            <w:r>
              <w:rPr>
                <w:rFonts w:hint="eastAsia"/>
              </w:rPr>
              <w:t>本项目纯水制备过程中产生废反渗透膜，产生量约为0.01 t/a，妥善收集后出售给物资回收公司。</w:t>
            </w:r>
          </w:p>
          <w:p w14:paraId="786190C4">
            <w:pPr>
              <w:numPr>
                <w:ilvl w:val="0"/>
                <w:numId w:val="17"/>
              </w:numPr>
              <w:spacing w:line="360" w:lineRule="auto"/>
              <w:ind w:firstLine="420" w:firstLineChars="200"/>
            </w:pPr>
            <w:r>
              <w:rPr>
                <w:rFonts w:hint="eastAsia"/>
              </w:rPr>
              <w:t>实验室废物S4</w:t>
            </w:r>
          </w:p>
          <w:p w14:paraId="152F825D">
            <w:pPr>
              <w:spacing w:line="360" w:lineRule="auto"/>
              <w:ind w:firstLine="420" w:firstLineChars="200"/>
            </w:pPr>
            <w:r>
              <w:rPr>
                <w:rFonts w:hint="eastAsia"/>
              </w:rPr>
              <w:t>实验室检测过程中会产生废培养基、废样品等；根据企业提供资料，实验室废物产生量约为0.02 t/a，属于危险固废，经立式压力蒸汽灭菌器灭活灭菌后由有资质的单位处置。</w:t>
            </w:r>
          </w:p>
          <w:p w14:paraId="68F5BDE1">
            <w:pPr>
              <w:numPr>
                <w:ilvl w:val="0"/>
                <w:numId w:val="17"/>
              </w:numPr>
              <w:spacing w:line="360" w:lineRule="auto"/>
              <w:ind w:firstLine="420" w:firstLineChars="200"/>
            </w:pPr>
            <w:r>
              <w:rPr>
                <w:rFonts w:hint="eastAsia"/>
              </w:rPr>
              <w:t>废一次性耗材S5</w:t>
            </w:r>
          </w:p>
          <w:p w14:paraId="66EBA07A">
            <w:pPr>
              <w:spacing w:line="360" w:lineRule="auto"/>
              <w:ind w:firstLine="420" w:firstLineChars="200"/>
            </w:pPr>
            <w:r>
              <w:rPr>
                <w:rFonts w:hint="eastAsia"/>
              </w:rPr>
              <w:t>实验室检测过程中产生废一次性塑料试管、废一次性乳胶手套、废一次性移液枪头、废一次性塑料离心管、废玻片等，据企业提供资料，产生量约为0.05 t/a。以上废弃一次性耗材可能含有生物活性物质，属于危险固废，需要立式压力蒸汽灭菌器灭活灭菌后交由有资质的单位处理。</w:t>
            </w:r>
          </w:p>
          <w:p w14:paraId="42414CA8">
            <w:pPr>
              <w:numPr>
                <w:ilvl w:val="0"/>
                <w:numId w:val="17"/>
              </w:numPr>
              <w:spacing w:line="360" w:lineRule="auto"/>
              <w:ind w:firstLine="420" w:firstLineChars="200"/>
            </w:pPr>
            <w:r>
              <w:rPr>
                <w:rFonts w:hint="eastAsia"/>
                <w:szCs w:val="21"/>
              </w:rPr>
              <w:t>废抹布S6</w:t>
            </w:r>
          </w:p>
          <w:p w14:paraId="0CBDA4F8">
            <w:pPr>
              <w:spacing w:line="360" w:lineRule="auto"/>
              <w:ind w:firstLine="420" w:firstLineChars="200"/>
            </w:pPr>
            <w:r>
              <w:rPr>
                <w:rFonts w:hint="eastAsia"/>
                <w:szCs w:val="21"/>
              </w:rPr>
              <w:t>生产过程中需要用抹布擦拭不小心滴落的化学品，废抹布产生量约为0.005 t/a，属于危险固废，妥善收集后交由有资质的单位处理。</w:t>
            </w:r>
          </w:p>
          <w:p w14:paraId="1BDDB7B3">
            <w:pPr>
              <w:numPr>
                <w:ilvl w:val="0"/>
                <w:numId w:val="17"/>
              </w:numPr>
              <w:spacing w:line="360" w:lineRule="auto"/>
              <w:ind w:firstLine="420" w:firstLineChars="200"/>
            </w:pPr>
            <w:r>
              <w:rPr>
                <w:rFonts w:hint="eastAsia"/>
              </w:rPr>
              <w:t>废洁净服S7</w:t>
            </w:r>
          </w:p>
          <w:p w14:paraId="650B34C8">
            <w:pPr>
              <w:spacing w:line="360" w:lineRule="auto"/>
              <w:ind w:firstLine="420" w:firstLineChars="200"/>
            </w:pPr>
            <w:r>
              <w:rPr>
                <w:rFonts w:hint="eastAsia"/>
              </w:rPr>
              <w:t>本项目中，洁净服一般不会沾染化学品，若不慎发生，废实验服需要妥善收集处置。废实验服产生量约为0.01 t/a，属于危险固废，妥善收集后交由有资质的单位处理。</w:t>
            </w:r>
          </w:p>
          <w:p w14:paraId="4C1545C9">
            <w:pPr>
              <w:numPr>
                <w:ilvl w:val="0"/>
                <w:numId w:val="17"/>
              </w:numPr>
              <w:spacing w:line="360" w:lineRule="auto"/>
              <w:ind w:firstLine="420" w:firstLineChars="200"/>
              <w:rPr>
                <w:szCs w:val="21"/>
              </w:rPr>
            </w:pPr>
            <w:r>
              <w:rPr>
                <w:rFonts w:hint="eastAsia"/>
                <w:szCs w:val="21"/>
              </w:rPr>
              <w:t>实验室废液S8</w:t>
            </w:r>
          </w:p>
          <w:p w14:paraId="05DC909C">
            <w:pPr>
              <w:spacing w:line="360" w:lineRule="auto"/>
              <w:ind w:firstLine="420" w:firstLineChars="200"/>
              <w:rPr>
                <w:szCs w:val="21"/>
              </w:rPr>
            </w:pPr>
            <w:r>
              <w:rPr>
                <w:rFonts w:hint="eastAsia"/>
                <w:szCs w:val="21"/>
              </w:rPr>
              <w:t>实验室试剂配置、检测过程中产生少量废液，产生量约为0.4 t/a，属于危险固废，妥善收集后交由有资质的单位处理。</w:t>
            </w:r>
          </w:p>
          <w:p w14:paraId="17A7749E">
            <w:pPr>
              <w:numPr>
                <w:ilvl w:val="0"/>
                <w:numId w:val="17"/>
              </w:numPr>
              <w:spacing w:line="360" w:lineRule="auto"/>
              <w:ind w:firstLine="420" w:firstLineChars="200"/>
              <w:rPr>
                <w:szCs w:val="21"/>
              </w:rPr>
            </w:pPr>
            <w:r>
              <w:rPr>
                <w:rFonts w:hint="eastAsia"/>
                <w:szCs w:val="21"/>
                <w:lang w:val="en-US" w:eastAsia="zh-CN"/>
              </w:rPr>
              <w:t>沾染化学品包装</w:t>
            </w:r>
            <w:r>
              <w:rPr>
                <w:rFonts w:hint="eastAsia"/>
                <w:szCs w:val="21"/>
              </w:rPr>
              <w:t>S</w:t>
            </w:r>
            <w:r>
              <w:rPr>
                <w:rFonts w:hint="eastAsia"/>
                <w:szCs w:val="21"/>
                <w:lang w:val="en-US" w:eastAsia="zh-CN"/>
              </w:rPr>
              <w:t>9</w:t>
            </w:r>
          </w:p>
          <w:p w14:paraId="67666175">
            <w:pPr>
              <w:widowControl/>
              <w:spacing w:line="360" w:lineRule="auto"/>
              <w:ind w:firstLine="420" w:firstLineChars="200"/>
              <w:jc w:val="left"/>
              <w:rPr>
                <w:szCs w:val="21"/>
              </w:rPr>
            </w:pPr>
            <w:r>
              <w:rPr>
                <w:rFonts w:hint="eastAsia"/>
                <w:color w:val="000000"/>
                <w:kern w:val="0"/>
                <w:szCs w:val="21"/>
                <w:lang w:val="en-US" w:eastAsia="zh-CN" w:bidi="ar"/>
              </w:rPr>
              <w:t>实验室废试剂瓶、</w:t>
            </w:r>
            <w:r>
              <w:rPr>
                <w:rFonts w:hint="eastAsia"/>
                <w:color w:val="000000"/>
                <w:kern w:val="0"/>
                <w:szCs w:val="21"/>
                <w:lang w:bidi="ar"/>
              </w:rPr>
              <w:t>部分溶剂型原料（胶水等）的包装物，产生量约为</w:t>
            </w:r>
            <w:r>
              <w:rPr>
                <w:rFonts w:hint="eastAsia"/>
                <w:color w:val="000000"/>
                <w:kern w:val="0"/>
                <w:szCs w:val="21"/>
                <w:lang w:val="en-US" w:eastAsia="zh-CN" w:bidi="ar"/>
              </w:rPr>
              <w:t xml:space="preserve">0.1 </w:t>
            </w:r>
            <w:r>
              <w:rPr>
                <w:rFonts w:hint="eastAsia"/>
                <w:color w:val="000000"/>
                <w:kern w:val="0"/>
                <w:szCs w:val="21"/>
                <w:lang w:bidi="ar"/>
              </w:rPr>
              <w:t>t/a，沾染化学品，属于危险固废，收集后交由有资质的单位处置。</w:t>
            </w:r>
          </w:p>
          <w:p w14:paraId="011D0F5F">
            <w:pPr>
              <w:numPr>
                <w:ilvl w:val="0"/>
                <w:numId w:val="17"/>
              </w:numPr>
              <w:spacing w:line="360" w:lineRule="auto"/>
              <w:ind w:firstLine="420" w:firstLineChars="200"/>
            </w:pPr>
            <w:r>
              <w:rPr>
                <w:rFonts w:hint="eastAsia"/>
              </w:rPr>
              <w:t>废HEPA过滤器S1</w:t>
            </w:r>
            <w:r>
              <w:rPr>
                <w:rFonts w:hint="eastAsia"/>
                <w:lang w:val="en-US" w:eastAsia="zh-CN"/>
              </w:rPr>
              <w:t>0</w:t>
            </w:r>
          </w:p>
          <w:p w14:paraId="23C5AF9D">
            <w:pPr>
              <w:spacing w:line="360" w:lineRule="auto"/>
              <w:ind w:firstLine="420" w:firstLineChars="200"/>
            </w:pPr>
            <w:r>
              <w:rPr>
                <w:rFonts w:hint="eastAsia"/>
              </w:rPr>
              <w:t>过滤器约半年更换一次，产生量约为</w:t>
            </w:r>
            <w:r>
              <w:t>0.05</w:t>
            </w:r>
            <w:r>
              <w:rPr>
                <w:rFonts w:hint="eastAsia"/>
              </w:rPr>
              <w:t xml:space="preserve"> </w:t>
            </w:r>
            <w:r>
              <w:t>t/a</w:t>
            </w:r>
            <w:r>
              <w:rPr>
                <w:rFonts w:hint="eastAsia"/>
              </w:rPr>
              <w:t>，经立式压力蒸汽灭菌器灭活灭菌由有资质的单位回收处置。</w:t>
            </w:r>
          </w:p>
          <w:p w14:paraId="5C752336">
            <w:pPr>
              <w:numPr>
                <w:ilvl w:val="0"/>
                <w:numId w:val="17"/>
              </w:numPr>
              <w:adjustRightInd w:val="0"/>
              <w:snapToGrid w:val="0"/>
              <w:spacing w:line="360" w:lineRule="auto"/>
              <w:ind w:firstLine="420" w:firstLineChars="200"/>
              <w:rPr>
                <w:szCs w:val="21"/>
              </w:rPr>
            </w:pPr>
            <w:r>
              <w:rPr>
                <w:rFonts w:hint="eastAsia"/>
                <w:szCs w:val="21"/>
              </w:rPr>
              <w:t>废</w:t>
            </w:r>
            <w:r>
              <w:rPr>
                <w:rFonts w:hint="eastAsia"/>
                <w:szCs w:val="21"/>
                <w:lang w:val="en-US" w:eastAsia="zh-CN"/>
              </w:rPr>
              <w:t>活性炭</w:t>
            </w:r>
            <w:r>
              <w:rPr>
                <w:rFonts w:hint="eastAsia"/>
                <w:szCs w:val="21"/>
              </w:rPr>
              <w:t>S1</w:t>
            </w:r>
            <w:r>
              <w:rPr>
                <w:rFonts w:hint="eastAsia"/>
                <w:szCs w:val="21"/>
                <w:lang w:val="en-US" w:eastAsia="zh-CN"/>
              </w:rPr>
              <w:t>1</w:t>
            </w:r>
          </w:p>
          <w:p w14:paraId="085BA8DF">
            <w:pPr>
              <w:widowControl w:val="0"/>
              <w:numPr>
                <w:ilvl w:val="0"/>
                <w:numId w:val="0"/>
              </w:numPr>
              <w:adjustRightInd w:val="0"/>
              <w:snapToGrid w:val="0"/>
              <w:spacing w:line="360" w:lineRule="auto"/>
              <w:ind w:firstLine="420" w:firstLineChars="200"/>
              <w:jc w:val="both"/>
              <w:rPr>
                <w:szCs w:val="21"/>
              </w:rPr>
            </w:pPr>
            <w:r>
              <w:rPr>
                <w:rFonts w:hint="eastAsia"/>
                <w:szCs w:val="21"/>
              </w:rPr>
              <w:t>项目设置</w:t>
            </w:r>
            <w:r>
              <w:rPr>
                <w:rFonts w:hint="eastAsia"/>
                <w:szCs w:val="21"/>
                <w:lang w:val="en-US" w:eastAsia="zh-CN"/>
              </w:rPr>
              <w:t>多套一级活性炭</w:t>
            </w:r>
            <w:r>
              <w:rPr>
                <w:rFonts w:hint="eastAsia"/>
                <w:szCs w:val="21"/>
              </w:rPr>
              <w:t>装置用于</w:t>
            </w:r>
            <w:r>
              <w:rPr>
                <w:rFonts w:hint="eastAsia"/>
                <w:szCs w:val="21"/>
                <w:lang w:val="en-US" w:eastAsia="zh-CN"/>
              </w:rPr>
              <w:t>吸附废气中的非甲烷总烃。根据源强核算，活性炭的非甲烷总烃吸附量为0.067 t/a，动态吸附容量取值15%，则活性炭最少用量约为0.5 t/a。根据《浙江省分散吸附-集中再生活性炭法挥发性有机物治理体系建设技术指南（试行）》，本项目各排气筒风量小于5000 m</w:t>
            </w:r>
            <w:r>
              <w:rPr>
                <w:rFonts w:hint="eastAsia"/>
                <w:szCs w:val="21"/>
                <w:vertAlign w:val="superscript"/>
                <w:lang w:val="en-US" w:eastAsia="zh-CN"/>
              </w:rPr>
              <w:t>3</w:t>
            </w:r>
            <w:r>
              <w:rPr>
                <w:rFonts w:hint="eastAsia"/>
                <w:szCs w:val="21"/>
                <w:lang w:val="en-US" w:eastAsia="zh-CN"/>
              </w:rPr>
              <w:t>/h，VOCs初始浓度小于200 mg</w:t>
            </w:r>
            <w:r>
              <w:rPr>
                <w:rFonts w:hint="eastAsia"/>
                <w:szCs w:val="21"/>
                <w:highlight w:val="none"/>
                <w:lang w:val="en-US" w:eastAsia="zh-CN"/>
              </w:rPr>
              <w:t>/m</w:t>
            </w:r>
            <w:r>
              <w:rPr>
                <w:rFonts w:hint="eastAsia"/>
                <w:szCs w:val="21"/>
                <w:highlight w:val="none"/>
                <w:vertAlign w:val="superscript"/>
                <w:lang w:val="en-US" w:eastAsia="zh-CN"/>
              </w:rPr>
              <w:t>3</w:t>
            </w:r>
            <w:r>
              <w:rPr>
                <w:rFonts w:hint="eastAsia"/>
                <w:szCs w:val="21"/>
                <w:highlight w:val="none"/>
                <w:vertAlign w:val="baseline"/>
                <w:lang w:val="en-US" w:eastAsia="zh-CN"/>
              </w:rPr>
              <w:t>，则每个活性炭箱的装填量至少为0.5 t，共计4个活性炭箱（DA001~DA004）；活性炭更换周期不应不超过累计500 h，则一年更换四次，总用量为8 t/a。活性炭</w:t>
            </w:r>
            <w:r>
              <w:rPr>
                <w:rFonts w:hint="eastAsia"/>
                <w:szCs w:val="21"/>
                <w:highlight w:val="none"/>
                <w:lang w:val="en-US" w:eastAsia="zh-CN"/>
              </w:rPr>
              <w:t>每年更换。废活性炭</w:t>
            </w:r>
            <w:r>
              <w:rPr>
                <w:rFonts w:hint="eastAsia"/>
                <w:szCs w:val="21"/>
                <w:highlight w:val="none"/>
              </w:rPr>
              <w:t>属于危险废物，</w:t>
            </w:r>
            <w:r>
              <w:rPr>
                <w:rFonts w:hint="eastAsia"/>
                <w:szCs w:val="21"/>
                <w:highlight w:val="none"/>
                <w:lang w:val="zh-CN"/>
              </w:rPr>
              <w:t>经妥善收集暂存于危废仓库，定期委有资质</w:t>
            </w:r>
            <w:r>
              <w:rPr>
                <w:rFonts w:hint="eastAsia"/>
                <w:szCs w:val="21"/>
                <w:lang w:val="zh-CN"/>
              </w:rPr>
              <w:t>单位进行处置。</w:t>
            </w:r>
          </w:p>
          <w:p w14:paraId="3DEC088D">
            <w:pPr>
              <w:numPr>
                <w:ilvl w:val="0"/>
                <w:numId w:val="17"/>
              </w:numPr>
              <w:adjustRightInd w:val="0"/>
              <w:snapToGrid w:val="0"/>
              <w:spacing w:line="360" w:lineRule="auto"/>
              <w:ind w:firstLine="420" w:firstLineChars="200"/>
              <w:rPr>
                <w:szCs w:val="21"/>
              </w:rPr>
            </w:pPr>
            <w:r>
              <w:rPr>
                <w:rFonts w:hint="eastAsia"/>
                <w:szCs w:val="21"/>
                <w:lang w:val="en-US" w:eastAsia="zh-CN"/>
              </w:rPr>
              <w:t>废润滑油S12</w:t>
            </w:r>
          </w:p>
          <w:p w14:paraId="3FF3792A">
            <w:pPr>
              <w:adjustRightInd w:val="0"/>
              <w:snapToGrid w:val="0"/>
              <w:spacing w:line="360" w:lineRule="auto"/>
              <w:ind w:firstLine="420" w:firstLineChars="200"/>
              <w:rPr>
                <w:szCs w:val="21"/>
              </w:rPr>
            </w:pPr>
            <w:r>
              <w:rPr>
                <w:rFonts w:hint="eastAsia"/>
                <w:szCs w:val="21"/>
              </w:rPr>
              <w:t>空气压缩设备每年更换一次润滑油，废油量约</w:t>
            </w:r>
            <w:r>
              <w:rPr>
                <w:szCs w:val="21"/>
              </w:rPr>
              <w:t>0.006</w:t>
            </w:r>
            <w:r>
              <w:rPr>
                <w:rFonts w:hint="eastAsia"/>
                <w:szCs w:val="21"/>
              </w:rPr>
              <w:t xml:space="preserve"> </w:t>
            </w:r>
            <w:r>
              <w:rPr>
                <w:szCs w:val="21"/>
              </w:rPr>
              <w:t>t/a</w:t>
            </w:r>
            <w:r>
              <w:rPr>
                <w:rFonts w:hint="eastAsia"/>
                <w:szCs w:val="21"/>
              </w:rPr>
              <w:t>，属于危险固废，由资质单位处置。</w:t>
            </w:r>
          </w:p>
          <w:p w14:paraId="5B5AED03">
            <w:pPr>
              <w:numPr>
                <w:ilvl w:val="0"/>
                <w:numId w:val="17"/>
              </w:numPr>
              <w:adjustRightInd w:val="0"/>
              <w:snapToGrid w:val="0"/>
              <w:spacing w:line="360" w:lineRule="auto"/>
              <w:ind w:firstLine="420" w:firstLineChars="200"/>
              <w:rPr>
                <w:szCs w:val="21"/>
              </w:rPr>
            </w:pPr>
            <w:r>
              <w:rPr>
                <w:rFonts w:hint="eastAsia"/>
                <w:szCs w:val="21"/>
              </w:rPr>
              <w:t>废油桶S1</w:t>
            </w:r>
            <w:r>
              <w:rPr>
                <w:rFonts w:hint="eastAsia"/>
                <w:szCs w:val="21"/>
                <w:lang w:val="en-US" w:eastAsia="zh-CN"/>
              </w:rPr>
              <w:t>3</w:t>
            </w:r>
          </w:p>
          <w:p w14:paraId="3ADB4B6C">
            <w:pPr>
              <w:adjustRightInd w:val="0"/>
              <w:snapToGrid w:val="0"/>
              <w:spacing w:line="360" w:lineRule="auto"/>
              <w:ind w:firstLine="420" w:firstLineChars="200"/>
              <w:rPr>
                <w:rFonts w:cs="Arial"/>
                <w:szCs w:val="21"/>
                <w:lang w:val="zh-CN"/>
              </w:rPr>
            </w:pPr>
            <w:r>
              <w:rPr>
                <w:rFonts w:hint="eastAsia"/>
                <w:szCs w:val="21"/>
              </w:rPr>
              <w:t>废油桶年产生</w:t>
            </w:r>
            <w:r>
              <w:rPr>
                <w:szCs w:val="21"/>
              </w:rPr>
              <w:t xml:space="preserve">1 </w:t>
            </w:r>
            <w:r>
              <w:rPr>
                <w:rFonts w:hint="eastAsia"/>
                <w:szCs w:val="21"/>
              </w:rPr>
              <w:t>个，单重</w:t>
            </w:r>
            <w:r>
              <w:rPr>
                <w:szCs w:val="21"/>
              </w:rPr>
              <w:t>2</w:t>
            </w:r>
            <w:r>
              <w:rPr>
                <w:rFonts w:hint="eastAsia"/>
                <w:szCs w:val="21"/>
              </w:rPr>
              <w:t xml:space="preserve"> </w:t>
            </w:r>
            <w:r>
              <w:rPr>
                <w:szCs w:val="21"/>
              </w:rPr>
              <w:t>kg</w:t>
            </w:r>
            <w:r>
              <w:rPr>
                <w:rFonts w:hint="eastAsia"/>
                <w:szCs w:val="21"/>
              </w:rPr>
              <w:t>，总重</w:t>
            </w:r>
            <w:r>
              <w:rPr>
                <w:szCs w:val="21"/>
              </w:rPr>
              <w:t>0.002</w:t>
            </w:r>
            <w:r>
              <w:rPr>
                <w:rFonts w:hint="eastAsia"/>
                <w:szCs w:val="21"/>
              </w:rPr>
              <w:t xml:space="preserve"> </w:t>
            </w:r>
            <w:r>
              <w:rPr>
                <w:szCs w:val="21"/>
              </w:rPr>
              <w:t>t/a</w:t>
            </w:r>
            <w:r>
              <w:rPr>
                <w:rFonts w:hint="eastAsia"/>
                <w:szCs w:val="21"/>
              </w:rPr>
              <w:t xml:space="preserve">，属于危险固废，妥善收集后由有资质单位处置 </w:t>
            </w:r>
          </w:p>
          <w:p w14:paraId="69B48FAB">
            <w:pPr>
              <w:numPr>
                <w:ilvl w:val="0"/>
                <w:numId w:val="17"/>
              </w:numPr>
              <w:adjustRightInd w:val="0"/>
              <w:snapToGrid w:val="0"/>
              <w:spacing w:line="360" w:lineRule="auto"/>
              <w:ind w:firstLine="420" w:firstLineChars="200"/>
              <w:rPr>
                <w:szCs w:val="21"/>
              </w:rPr>
            </w:pPr>
            <w:r>
              <w:rPr>
                <w:rFonts w:hint="eastAsia"/>
                <w:szCs w:val="21"/>
              </w:rPr>
              <w:t>生活垃圾S1</w:t>
            </w:r>
            <w:r>
              <w:rPr>
                <w:rFonts w:hint="eastAsia"/>
                <w:szCs w:val="21"/>
                <w:lang w:val="en-US" w:eastAsia="zh-CN"/>
              </w:rPr>
              <w:t>4</w:t>
            </w:r>
          </w:p>
          <w:p w14:paraId="3C55CB67">
            <w:pPr>
              <w:pStyle w:val="16"/>
              <w:spacing w:line="360" w:lineRule="auto"/>
              <w:ind w:firstLine="420" w:firstLineChars="200"/>
              <w:rPr>
                <w:rFonts w:ascii="Times New Roman" w:hAnsi="Times New Roman" w:cs="Times New Roman"/>
                <w:lang w:val="zh-CN"/>
              </w:rPr>
            </w:pPr>
            <w:r>
              <w:rPr>
                <w:rFonts w:hint="eastAsia"/>
              </w:rPr>
              <w:t>企</w:t>
            </w:r>
            <w:r>
              <w:rPr>
                <w:rFonts w:hint="eastAsia" w:ascii="Times New Roman" w:hAnsi="Times New Roman" w:cs="Times New Roman"/>
              </w:rPr>
              <w:t>业劳动定员60人</w:t>
            </w:r>
            <w:r>
              <w:rPr>
                <w:rFonts w:hint="eastAsia" w:ascii="Times New Roman" w:hAnsi="Times New Roman" w:cs="Times New Roman"/>
                <w:b/>
                <w:bCs/>
              </w:rPr>
              <w:t>，</w:t>
            </w:r>
            <w:r>
              <w:rPr>
                <w:rFonts w:hint="eastAsia" w:ascii="Times New Roman" w:hAnsi="Times New Roman" w:cs="Times New Roman"/>
              </w:rPr>
              <w:t>实行单班制，每班生产8小时，年工作日250天。</w:t>
            </w:r>
            <w:r>
              <w:rPr>
                <w:rFonts w:hint="eastAsia" w:ascii="Times New Roman" w:hAnsi="Times New Roman" w:cs="Times New Roman"/>
                <w:lang w:val="zh-CN"/>
              </w:rPr>
              <w:t>生活垃圾产生量按</w:t>
            </w:r>
            <w:r>
              <w:rPr>
                <w:rFonts w:hint="eastAsia" w:ascii="Times New Roman" w:hAnsi="Times New Roman" w:cs="Times New Roman"/>
              </w:rPr>
              <w:t>0.5 千克</w:t>
            </w:r>
            <w:r>
              <w:rPr>
                <w:rFonts w:hint="eastAsia" w:ascii="Times New Roman" w:hAnsi="Times New Roman" w:cs="Times New Roman"/>
                <w:lang w:val="zh-CN"/>
              </w:rPr>
              <w:t>/（人</w:t>
            </w:r>
            <w:r>
              <w:rPr>
                <w:rFonts w:hint="eastAsia" w:ascii="Times New Roman" w:hAnsi="Times New Roman" w:cs="Times New Roman"/>
              </w:rPr>
              <w:t>·天</w:t>
            </w:r>
            <w:r>
              <w:rPr>
                <w:rFonts w:hint="eastAsia" w:ascii="Times New Roman" w:hAnsi="Times New Roman" w:cs="Times New Roman"/>
                <w:lang w:val="zh-CN"/>
              </w:rPr>
              <w:t>）计，则</w:t>
            </w:r>
            <w:r>
              <w:rPr>
                <w:rFonts w:hint="eastAsia" w:ascii="Times New Roman" w:hAnsi="Times New Roman" w:cs="Times New Roman"/>
              </w:rPr>
              <w:t>生活垃圾</w:t>
            </w:r>
            <w:r>
              <w:rPr>
                <w:rFonts w:hint="eastAsia" w:ascii="Times New Roman" w:hAnsi="Times New Roman" w:cs="Times New Roman"/>
                <w:lang w:val="zh-CN"/>
              </w:rPr>
              <w:t>产生量</w:t>
            </w:r>
            <w:r>
              <w:rPr>
                <w:rFonts w:hint="eastAsia" w:ascii="Times New Roman" w:hAnsi="Times New Roman" w:cs="Times New Roman"/>
              </w:rPr>
              <w:t>7.5 t/a，定期</w:t>
            </w:r>
            <w:r>
              <w:rPr>
                <w:rFonts w:hint="eastAsia" w:ascii="Times New Roman" w:hAnsi="Times New Roman" w:cs="Times New Roman"/>
                <w:lang w:val="zh-CN"/>
              </w:rPr>
              <w:t>由环卫部门统一清运。</w:t>
            </w:r>
          </w:p>
          <w:p w14:paraId="51586D05">
            <w:pPr>
              <w:spacing w:line="360" w:lineRule="auto"/>
              <w:ind w:firstLine="422" w:firstLineChars="200"/>
              <w:rPr>
                <w:b/>
                <w:bCs/>
              </w:rPr>
            </w:pPr>
          </w:p>
        </w:tc>
      </w:tr>
    </w:tbl>
    <w:p w14:paraId="6D599C2A">
      <w:pPr>
        <w:pStyle w:val="22"/>
        <w:jc w:val="center"/>
        <w:outlineLvl w:val="0"/>
        <w:rPr>
          <w:rFonts w:ascii="Times New Roman" w:hAnsi="Times New Roman" w:eastAsia="黑体"/>
          <w:snapToGrid w:val="0"/>
          <w:sz w:val="30"/>
          <w:szCs w:val="30"/>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91BC4E1">
      <w:pPr>
        <w:numPr>
          <w:ilvl w:val="0"/>
          <w:numId w:val="18"/>
        </w:numPr>
        <w:spacing w:line="360" w:lineRule="auto"/>
        <w:rPr>
          <w:b/>
          <w:bCs/>
        </w:rPr>
      </w:pPr>
      <w:r>
        <w:rPr>
          <w:rFonts w:hint="eastAsia"/>
          <w:b/>
          <w:bCs/>
        </w:rPr>
        <w:t>副产物属性判定</w:t>
      </w:r>
    </w:p>
    <w:p w14:paraId="1FAA0160">
      <w:pPr>
        <w:numPr>
          <w:ilvl w:val="-1"/>
          <w:numId w:val="0"/>
        </w:numPr>
        <w:tabs>
          <w:tab w:val="left" w:pos="0"/>
        </w:tabs>
        <w:spacing w:line="360" w:lineRule="auto"/>
        <w:ind w:firstLine="420" w:firstLineChars="200"/>
        <w:jc w:val="both"/>
        <w:rPr>
          <w:rFonts w:hint="eastAsia" w:ascii="黑体" w:hAnsi="黑体" w:eastAsia="黑体" w:cs="黑体"/>
          <w:spacing w:val="-10"/>
          <w:szCs w:val="21"/>
        </w:rPr>
      </w:pPr>
      <w:r>
        <w:rPr>
          <w:rFonts w:hint="eastAsia" w:cs="Arial"/>
          <w:szCs w:val="21"/>
        </w:rPr>
        <w:t>根据《固体废物鉴别标准 通则》（GB 34330—2025）的规定，对副产物进行判定结果见</w:t>
      </w:r>
      <w:r>
        <w:rPr>
          <w:rFonts w:hint="eastAsia"/>
          <w:bCs/>
          <w:szCs w:val="21"/>
        </w:rPr>
        <w:t>下表</w:t>
      </w:r>
      <w:r>
        <w:rPr>
          <w:rFonts w:hint="eastAsia" w:cs="Arial"/>
          <w:szCs w:val="21"/>
        </w:rPr>
        <w:t>：</w:t>
      </w:r>
    </w:p>
    <w:p w14:paraId="6DB85613">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项目生产过程副产物产生情况汇总表</w:t>
      </w:r>
    </w:p>
    <w:tbl>
      <w:tblPr>
        <w:tblStyle w:val="26"/>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76"/>
        <w:gridCol w:w="1248"/>
        <w:gridCol w:w="1068"/>
        <w:gridCol w:w="1795"/>
        <w:gridCol w:w="988"/>
        <w:gridCol w:w="3116"/>
        <w:gridCol w:w="1657"/>
        <w:gridCol w:w="1796"/>
        <w:gridCol w:w="1157"/>
      </w:tblGrid>
      <w:tr w14:paraId="2A9F5E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303560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922" w:type="pct"/>
            <w:gridSpan w:val="2"/>
            <w:tcBorders>
              <w:tl2br w:val="nil"/>
              <w:tr2bl w:val="nil"/>
            </w:tcBorders>
            <w:shd w:val="clear" w:color="auto" w:fill="auto"/>
            <w:noWrap/>
            <w:vAlign w:val="center"/>
          </w:tcPr>
          <w:p w14:paraId="1AB4A5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产生工序</w:t>
            </w:r>
          </w:p>
        </w:tc>
        <w:tc>
          <w:tcPr>
            <w:tcW w:w="690" w:type="pct"/>
            <w:tcBorders>
              <w:tl2br w:val="nil"/>
              <w:tr2bl w:val="nil"/>
            </w:tcBorders>
            <w:shd w:val="clear" w:color="auto" w:fill="auto"/>
            <w:noWrap/>
            <w:vAlign w:val="center"/>
          </w:tcPr>
          <w:p w14:paraId="79F97B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名称</w:t>
            </w:r>
          </w:p>
        </w:tc>
        <w:tc>
          <w:tcPr>
            <w:tcW w:w="389" w:type="pct"/>
            <w:tcBorders>
              <w:tl2br w:val="nil"/>
              <w:tr2bl w:val="nil"/>
            </w:tcBorders>
            <w:shd w:val="clear" w:color="auto" w:fill="auto"/>
            <w:noWrap/>
            <w:vAlign w:val="center"/>
          </w:tcPr>
          <w:p w14:paraId="3CF34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形态</w:t>
            </w:r>
          </w:p>
        </w:tc>
        <w:tc>
          <w:tcPr>
            <w:tcW w:w="1182" w:type="pct"/>
            <w:tcBorders>
              <w:tl2br w:val="nil"/>
              <w:tr2bl w:val="nil"/>
            </w:tcBorders>
            <w:shd w:val="clear" w:color="auto" w:fill="auto"/>
            <w:noWrap/>
            <w:vAlign w:val="center"/>
          </w:tcPr>
          <w:p w14:paraId="50712E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主要成分</w:t>
            </w:r>
          </w:p>
        </w:tc>
        <w:tc>
          <w:tcPr>
            <w:tcW w:w="452" w:type="pct"/>
            <w:tcBorders>
              <w:tl2br w:val="nil"/>
              <w:tr2bl w:val="nil"/>
            </w:tcBorders>
            <w:shd w:val="clear" w:color="auto" w:fill="auto"/>
            <w:noWrap/>
            <w:vAlign w:val="center"/>
          </w:tcPr>
          <w:p w14:paraId="1389DD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预测产生量（t/a）</w:t>
            </w:r>
          </w:p>
        </w:tc>
        <w:tc>
          <w:tcPr>
            <w:tcW w:w="690" w:type="pct"/>
            <w:tcBorders>
              <w:tl2br w:val="nil"/>
              <w:tr2bl w:val="nil"/>
            </w:tcBorders>
            <w:shd w:val="clear" w:color="auto" w:fill="auto"/>
            <w:noWrap/>
            <w:vAlign w:val="center"/>
          </w:tcPr>
          <w:p w14:paraId="0C5D0B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是否属固体废物</w:t>
            </w:r>
          </w:p>
        </w:tc>
        <w:tc>
          <w:tcPr>
            <w:tcW w:w="452" w:type="pct"/>
            <w:tcBorders>
              <w:tl2br w:val="nil"/>
              <w:tr2bl w:val="nil"/>
            </w:tcBorders>
            <w:shd w:val="clear" w:color="auto" w:fill="auto"/>
            <w:noWrap/>
            <w:vAlign w:val="center"/>
          </w:tcPr>
          <w:p w14:paraId="334409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判定依据</w:t>
            </w:r>
          </w:p>
        </w:tc>
      </w:tr>
      <w:tr w14:paraId="0AFDC9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7E4280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w:t>
            </w:r>
          </w:p>
        </w:tc>
        <w:tc>
          <w:tcPr>
            <w:tcW w:w="503" w:type="pct"/>
            <w:vMerge w:val="restart"/>
            <w:tcBorders>
              <w:tl2br w:val="nil"/>
              <w:tr2bl w:val="nil"/>
            </w:tcBorders>
            <w:shd w:val="clear" w:color="auto" w:fill="auto"/>
            <w:noWrap/>
            <w:vAlign w:val="center"/>
          </w:tcPr>
          <w:p w14:paraId="0F9E80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产品生产</w:t>
            </w:r>
          </w:p>
        </w:tc>
        <w:tc>
          <w:tcPr>
            <w:tcW w:w="419" w:type="pct"/>
            <w:tcBorders>
              <w:tl2br w:val="nil"/>
              <w:tr2bl w:val="nil"/>
            </w:tcBorders>
            <w:shd w:val="clear" w:color="auto" w:fill="auto"/>
            <w:noWrap/>
            <w:vAlign w:val="center"/>
          </w:tcPr>
          <w:p w14:paraId="01191E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裁切</w:t>
            </w:r>
          </w:p>
        </w:tc>
        <w:tc>
          <w:tcPr>
            <w:tcW w:w="690" w:type="pct"/>
            <w:tcBorders>
              <w:tl2br w:val="nil"/>
              <w:tr2bl w:val="nil"/>
            </w:tcBorders>
            <w:shd w:val="clear" w:color="auto" w:fill="auto"/>
            <w:noWrap/>
            <w:vAlign w:val="center"/>
          </w:tcPr>
          <w:p w14:paraId="3AD2BB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w:t>
            </w:r>
          </w:p>
        </w:tc>
        <w:tc>
          <w:tcPr>
            <w:tcW w:w="389" w:type="pct"/>
            <w:tcBorders>
              <w:tl2br w:val="nil"/>
              <w:tr2bl w:val="nil"/>
            </w:tcBorders>
            <w:shd w:val="clear" w:color="auto" w:fill="auto"/>
            <w:noWrap/>
            <w:vAlign w:val="center"/>
          </w:tcPr>
          <w:p w14:paraId="4B0BA1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09E110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废塑料管材</w:t>
            </w:r>
          </w:p>
        </w:tc>
        <w:tc>
          <w:tcPr>
            <w:tcW w:w="452" w:type="pct"/>
            <w:tcBorders>
              <w:tl2br w:val="nil"/>
              <w:tr2bl w:val="nil"/>
            </w:tcBorders>
            <w:shd w:val="clear" w:color="auto" w:fill="auto"/>
            <w:vAlign w:val="center"/>
          </w:tcPr>
          <w:p w14:paraId="13F0F3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w:t>
            </w:r>
          </w:p>
        </w:tc>
        <w:tc>
          <w:tcPr>
            <w:tcW w:w="690" w:type="pct"/>
            <w:tcBorders>
              <w:tl2br w:val="nil"/>
              <w:tr2bl w:val="nil"/>
            </w:tcBorders>
            <w:shd w:val="clear" w:color="auto" w:fill="auto"/>
            <w:vAlign w:val="center"/>
          </w:tcPr>
          <w:p w14:paraId="701F6B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09FBD3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1DC9CB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3C326A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S2</w:t>
            </w:r>
          </w:p>
        </w:tc>
        <w:tc>
          <w:tcPr>
            <w:tcW w:w="503" w:type="pct"/>
            <w:vMerge w:val="continue"/>
            <w:tcBorders>
              <w:tl2br w:val="nil"/>
              <w:tr2bl w:val="nil"/>
            </w:tcBorders>
            <w:shd w:val="clear" w:color="auto" w:fill="auto"/>
            <w:noWrap/>
            <w:vAlign w:val="center"/>
          </w:tcPr>
          <w:p w14:paraId="67E9C04C">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2B94CA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总装</w:t>
            </w:r>
          </w:p>
        </w:tc>
        <w:tc>
          <w:tcPr>
            <w:tcW w:w="690" w:type="pct"/>
            <w:tcBorders>
              <w:tl2br w:val="nil"/>
              <w:tr2bl w:val="nil"/>
            </w:tcBorders>
            <w:shd w:val="clear" w:color="auto" w:fill="auto"/>
            <w:noWrap/>
            <w:vAlign w:val="center"/>
          </w:tcPr>
          <w:p w14:paraId="3506E4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389" w:type="pct"/>
            <w:tcBorders>
              <w:tl2br w:val="nil"/>
              <w:tr2bl w:val="nil"/>
            </w:tcBorders>
            <w:shd w:val="clear" w:color="auto" w:fill="auto"/>
            <w:noWrap/>
            <w:vAlign w:val="center"/>
          </w:tcPr>
          <w:p w14:paraId="277151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1B9F6E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452" w:type="pct"/>
            <w:tcBorders>
              <w:tl2br w:val="nil"/>
              <w:tr2bl w:val="nil"/>
            </w:tcBorders>
            <w:shd w:val="clear" w:color="auto" w:fill="auto"/>
            <w:vAlign w:val="center"/>
          </w:tcPr>
          <w:p w14:paraId="18D1FE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690" w:type="pct"/>
            <w:tcBorders>
              <w:tl2br w:val="nil"/>
              <w:tr2bl w:val="nil"/>
            </w:tcBorders>
            <w:shd w:val="clear" w:color="auto" w:fill="auto"/>
            <w:vAlign w:val="center"/>
          </w:tcPr>
          <w:p w14:paraId="39C0D3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1FDC50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5B568E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089625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S3</w:t>
            </w:r>
          </w:p>
        </w:tc>
        <w:tc>
          <w:tcPr>
            <w:tcW w:w="503" w:type="pct"/>
            <w:tcBorders>
              <w:tl2br w:val="nil"/>
              <w:tr2bl w:val="nil"/>
            </w:tcBorders>
            <w:shd w:val="clear" w:color="auto" w:fill="auto"/>
            <w:noWrap/>
            <w:vAlign w:val="center"/>
          </w:tcPr>
          <w:p w14:paraId="186A5C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32E026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纯水制备</w:t>
            </w:r>
          </w:p>
        </w:tc>
        <w:tc>
          <w:tcPr>
            <w:tcW w:w="690" w:type="pct"/>
            <w:tcBorders>
              <w:tl2br w:val="nil"/>
              <w:tr2bl w:val="nil"/>
            </w:tcBorders>
            <w:shd w:val="clear" w:color="auto" w:fill="auto"/>
            <w:noWrap/>
            <w:vAlign w:val="center"/>
          </w:tcPr>
          <w:p w14:paraId="41A28B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389" w:type="pct"/>
            <w:tcBorders>
              <w:tl2br w:val="nil"/>
              <w:tr2bl w:val="nil"/>
            </w:tcBorders>
            <w:shd w:val="clear" w:color="auto" w:fill="auto"/>
            <w:noWrap/>
            <w:vAlign w:val="center"/>
          </w:tcPr>
          <w:p w14:paraId="2CC9A7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5F66F7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452" w:type="pct"/>
            <w:tcBorders>
              <w:tl2br w:val="nil"/>
              <w:tr2bl w:val="nil"/>
            </w:tcBorders>
            <w:shd w:val="clear" w:color="auto" w:fill="auto"/>
            <w:vAlign w:val="center"/>
          </w:tcPr>
          <w:p w14:paraId="5D6CDB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90" w:type="pct"/>
            <w:tcBorders>
              <w:tl2br w:val="nil"/>
              <w:tr2bl w:val="nil"/>
            </w:tcBorders>
            <w:shd w:val="clear" w:color="auto" w:fill="auto"/>
            <w:vAlign w:val="center"/>
          </w:tcPr>
          <w:p w14:paraId="0D03C9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vAlign w:val="center"/>
          </w:tcPr>
          <w:p w14:paraId="69D8E5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 g)</w:t>
            </w:r>
          </w:p>
        </w:tc>
      </w:tr>
      <w:tr w14:paraId="553BCB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011133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S4</w:t>
            </w:r>
          </w:p>
        </w:tc>
        <w:tc>
          <w:tcPr>
            <w:tcW w:w="503" w:type="pct"/>
            <w:vMerge w:val="restart"/>
            <w:tcBorders>
              <w:tl2br w:val="nil"/>
              <w:tr2bl w:val="nil"/>
            </w:tcBorders>
            <w:shd w:val="clear" w:color="auto" w:fill="auto"/>
            <w:noWrap/>
            <w:vAlign w:val="center"/>
          </w:tcPr>
          <w:p w14:paraId="21D88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实验室检测</w:t>
            </w:r>
          </w:p>
        </w:tc>
        <w:tc>
          <w:tcPr>
            <w:tcW w:w="419" w:type="pct"/>
            <w:tcBorders>
              <w:tl2br w:val="nil"/>
              <w:tr2bl w:val="nil"/>
            </w:tcBorders>
            <w:shd w:val="clear" w:color="auto" w:fill="auto"/>
            <w:noWrap/>
            <w:vAlign w:val="center"/>
          </w:tcPr>
          <w:p w14:paraId="2AC012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90" w:type="pct"/>
            <w:tcBorders>
              <w:tl2br w:val="nil"/>
              <w:tr2bl w:val="nil"/>
            </w:tcBorders>
            <w:shd w:val="clear" w:color="auto" w:fill="auto"/>
            <w:noWrap/>
            <w:vAlign w:val="center"/>
          </w:tcPr>
          <w:p w14:paraId="2B890A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实验室废物</w:t>
            </w:r>
          </w:p>
        </w:tc>
        <w:tc>
          <w:tcPr>
            <w:tcW w:w="389" w:type="pct"/>
            <w:tcBorders>
              <w:tl2br w:val="nil"/>
              <w:tr2bl w:val="nil"/>
            </w:tcBorders>
            <w:shd w:val="clear" w:color="auto" w:fill="auto"/>
            <w:noWrap/>
            <w:vAlign w:val="center"/>
          </w:tcPr>
          <w:p w14:paraId="5FB47C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04E043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酸、碱、有机溶剂、废培养基</w:t>
            </w:r>
          </w:p>
        </w:tc>
        <w:tc>
          <w:tcPr>
            <w:tcW w:w="452" w:type="pct"/>
            <w:tcBorders>
              <w:tl2br w:val="nil"/>
              <w:tr2bl w:val="nil"/>
            </w:tcBorders>
            <w:shd w:val="clear" w:color="auto" w:fill="auto"/>
            <w:vAlign w:val="center"/>
          </w:tcPr>
          <w:p w14:paraId="1093D5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90" w:type="pct"/>
            <w:tcBorders>
              <w:tl2br w:val="nil"/>
              <w:tr2bl w:val="nil"/>
            </w:tcBorders>
            <w:shd w:val="clear" w:color="auto" w:fill="auto"/>
            <w:vAlign w:val="center"/>
          </w:tcPr>
          <w:p w14:paraId="431700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2D9475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i)</w:t>
            </w:r>
          </w:p>
        </w:tc>
      </w:tr>
      <w:tr w14:paraId="630345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37496F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S5</w:t>
            </w:r>
          </w:p>
        </w:tc>
        <w:tc>
          <w:tcPr>
            <w:tcW w:w="503" w:type="pct"/>
            <w:vMerge w:val="continue"/>
            <w:tcBorders>
              <w:tl2br w:val="nil"/>
              <w:tr2bl w:val="nil"/>
            </w:tcBorders>
            <w:shd w:val="clear" w:color="auto" w:fill="auto"/>
            <w:noWrap/>
            <w:vAlign w:val="center"/>
          </w:tcPr>
          <w:p w14:paraId="260C1AFB">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7D9EA9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90" w:type="pct"/>
            <w:tcBorders>
              <w:tl2br w:val="nil"/>
              <w:tr2bl w:val="nil"/>
            </w:tcBorders>
            <w:shd w:val="clear" w:color="auto" w:fill="auto"/>
            <w:noWrap/>
            <w:vAlign w:val="center"/>
          </w:tcPr>
          <w:p w14:paraId="75C7D8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废一次性耗材</w:t>
            </w:r>
          </w:p>
        </w:tc>
        <w:tc>
          <w:tcPr>
            <w:tcW w:w="389" w:type="pct"/>
            <w:tcBorders>
              <w:tl2br w:val="nil"/>
              <w:tr2bl w:val="nil"/>
            </w:tcBorders>
            <w:shd w:val="clear" w:color="auto" w:fill="auto"/>
            <w:noWrap/>
            <w:vAlign w:val="center"/>
          </w:tcPr>
          <w:p w14:paraId="4B6D1A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4721A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酸、碱、有机溶剂、微生物</w:t>
            </w:r>
          </w:p>
        </w:tc>
        <w:tc>
          <w:tcPr>
            <w:tcW w:w="452" w:type="pct"/>
            <w:tcBorders>
              <w:tl2br w:val="nil"/>
              <w:tr2bl w:val="nil"/>
            </w:tcBorders>
            <w:shd w:val="clear" w:color="auto" w:fill="auto"/>
            <w:vAlign w:val="center"/>
          </w:tcPr>
          <w:p w14:paraId="04446C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90" w:type="pct"/>
            <w:tcBorders>
              <w:tl2br w:val="nil"/>
              <w:tr2bl w:val="nil"/>
            </w:tcBorders>
            <w:shd w:val="clear" w:color="auto" w:fill="auto"/>
            <w:vAlign w:val="center"/>
          </w:tcPr>
          <w:p w14:paraId="2AEF29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1395AE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i)</w:t>
            </w:r>
          </w:p>
        </w:tc>
      </w:tr>
      <w:tr w14:paraId="0A201E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713C28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S6</w:t>
            </w:r>
          </w:p>
        </w:tc>
        <w:tc>
          <w:tcPr>
            <w:tcW w:w="503" w:type="pct"/>
            <w:vMerge w:val="continue"/>
            <w:tcBorders>
              <w:tl2br w:val="nil"/>
              <w:tr2bl w:val="nil"/>
            </w:tcBorders>
            <w:shd w:val="clear" w:color="auto" w:fill="auto"/>
            <w:noWrap/>
            <w:vAlign w:val="center"/>
          </w:tcPr>
          <w:p w14:paraId="58EBC7BB">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795905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90" w:type="pct"/>
            <w:tcBorders>
              <w:tl2br w:val="nil"/>
              <w:tr2bl w:val="nil"/>
            </w:tcBorders>
            <w:shd w:val="clear" w:color="auto" w:fill="auto"/>
            <w:noWrap/>
            <w:vAlign w:val="center"/>
          </w:tcPr>
          <w:p w14:paraId="031FB6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废抹布</w:t>
            </w:r>
          </w:p>
        </w:tc>
        <w:tc>
          <w:tcPr>
            <w:tcW w:w="389" w:type="pct"/>
            <w:tcBorders>
              <w:tl2br w:val="nil"/>
              <w:tr2bl w:val="nil"/>
            </w:tcBorders>
            <w:shd w:val="clear" w:color="auto" w:fill="auto"/>
            <w:noWrap/>
            <w:vAlign w:val="center"/>
          </w:tcPr>
          <w:p w14:paraId="593C04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62708B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酸、碱、有机溶剂、微生物</w:t>
            </w:r>
          </w:p>
        </w:tc>
        <w:tc>
          <w:tcPr>
            <w:tcW w:w="452" w:type="pct"/>
            <w:tcBorders>
              <w:tl2br w:val="nil"/>
              <w:tr2bl w:val="nil"/>
            </w:tcBorders>
            <w:shd w:val="clear" w:color="auto" w:fill="auto"/>
            <w:vAlign w:val="center"/>
          </w:tcPr>
          <w:p w14:paraId="133FB5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690" w:type="pct"/>
            <w:tcBorders>
              <w:tl2br w:val="nil"/>
              <w:tr2bl w:val="nil"/>
            </w:tcBorders>
            <w:shd w:val="clear" w:color="auto" w:fill="auto"/>
            <w:vAlign w:val="center"/>
          </w:tcPr>
          <w:p w14:paraId="02BA5D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491DCF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4FF7FE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263C44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S7</w:t>
            </w:r>
          </w:p>
        </w:tc>
        <w:tc>
          <w:tcPr>
            <w:tcW w:w="503" w:type="pct"/>
            <w:vMerge w:val="continue"/>
            <w:tcBorders>
              <w:tl2br w:val="nil"/>
              <w:tr2bl w:val="nil"/>
            </w:tcBorders>
            <w:shd w:val="clear" w:color="auto" w:fill="auto"/>
            <w:noWrap/>
            <w:vAlign w:val="center"/>
          </w:tcPr>
          <w:p w14:paraId="107B740D">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7F541D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90" w:type="pct"/>
            <w:tcBorders>
              <w:tl2br w:val="nil"/>
              <w:tr2bl w:val="nil"/>
            </w:tcBorders>
            <w:shd w:val="clear" w:color="auto" w:fill="auto"/>
            <w:noWrap/>
            <w:vAlign w:val="center"/>
          </w:tcPr>
          <w:p w14:paraId="10D55A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废洁净服</w:t>
            </w:r>
          </w:p>
        </w:tc>
        <w:tc>
          <w:tcPr>
            <w:tcW w:w="389" w:type="pct"/>
            <w:tcBorders>
              <w:tl2br w:val="nil"/>
              <w:tr2bl w:val="nil"/>
            </w:tcBorders>
            <w:shd w:val="clear" w:color="auto" w:fill="auto"/>
            <w:noWrap/>
            <w:vAlign w:val="center"/>
          </w:tcPr>
          <w:p w14:paraId="7F5197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4542F8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酸、碱、有机溶剂、微生物</w:t>
            </w:r>
          </w:p>
        </w:tc>
        <w:tc>
          <w:tcPr>
            <w:tcW w:w="452" w:type="pct"/>
            <w:tcBorders>
              <w:tl2br w:val="nil"/>
              <w:tr2bl w:val="nil"/>
            </w:tcBorders>
            <w:shd w:val="clear" w:color="auto" w:fill="auto"/>
            <w:noWrap/>
            <w:vAlign w:val="center"/>
          </w:tcPr>
          <w:p w14:paraId="20DA4E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90" w:type="pct"/>
            <w:tcBorders>
              <w:tl2br w:val="nil"/>
              <w:tr2bl w:val="nil"/>
            </w:tcBorders>
            <w:shd w:val="clear" w:color="auto" w:fill="auto"/>
            <w:vAlign w:val="center"/>
          </w:tcPr>
          <w:p w14:paraId="40C015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231B2D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100579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2403BA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S8</w:t>
            </w:r>
          </w:p>
        </w:tc>
        <w:tc>
          <w:tcPr>
            <w:tcW w:w="503" w:type="pct"/>
            <w:vMerge w:val="continue"/>
            <w:tcBorders>
              <w:tl2br w:val="nil"/>
              <w:tr2bl w:val="nil"/>
            </w:tcBorders>
            <w:shd w:val="clear" w:color="auto" w:fill="auto"/>
            <w:noWrap/>
            <w:vAlign w:val="center"/>
          </w:tcPr>
          <w:p w14:paraId="6D27E03B">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2572A0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90" w:type="pct"/>
            <w:tcBorders>
              <w:tl2br w:val="nil"/>
              <w:tr2bl w:val="nil"/>
            </w:tcBorders>
            <w:shd w:val="clear" w:color="auto" w:fill="auto"/>
            <w:noWrap/>
            <w:vAlign w:val="center"/>
          </w:tcPr>
          <w:p w14:paraId="2DEDC0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实验室废液</w:t>
            </w:r>
          </w:p>
        </w:tc>
        <w:tc>
          <w:tcPr>
            <w:tcW w:w="389" w:type="pct"/>
            <w:tcBorders>
              <w:tl2br w:val="nil"/>
              <w:tr2bl w:val="nil"/>
            </w:tcBorders>
            <w:shd w:val="clear" w:color="auto" w:fill="auto"/>
            <w:noWrap/>
            <w:vAlign w:val="center"/>
          </w:tcPr>
          <w:p w14:paraId="51A641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液</w:t>
            </w:r>
          </w:p>
        </w:tc>
        <w:tc>
          <w:tcPr>
            <w:tcW w:w="1182" w:type="pct"/>
            <w:tcBorders>
              <w:tl2br w:val="nil"/>
              <w:tr2bl w:val="nil"/>
            </w:tcBorders>
            <w:shd w:val="clear" w:color="auto" w:fill="auto"/>
            <w:noWrap/>
            <w:vAlign w:val="center"/>
          </w:tcPr>
          <w:p w14:paraId="47AC43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酸、碱、有机溶剂</w:t>
            </w:r>
          </w:p>
        </w:tc>
        <w:tc>
          <w:tcPr>
            <w:tcW w:w="452" w:type="pct"/>
            <w:tcBorders>
              <w:tl2br w:val="nil"/>
              <w:tr2bl w:val="nil"/>
            </w:tcBorders>
            <w:shd w:val="clear" w:color="auto" w:fill="auto"/>
            <w:noWrap/>
            <w:vAlign w:val="center"/>
          </w:tcPr>
          <w:p w14:paraId="2C7AC5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690" w:type="pct"/>
            <w:tcBorders>
              <w:tl2br w:val="nil"/>
              <w:tr2bl w:val="nil"/>
            </w:tcBorders>
            <w:shd w:val="clear" w:color="auto" w:fill="auto"/>
            <w:vAlign w:val="center"/>
          </w:tcPr>
          <w:p w14:paraId="71A375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376C84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i)</w:t>
            </w:r>
          </w:p>
        </w:tc>
      </w:tr>
      <w:tr w14:paraId="6AAF55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6BE2A2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S9</w:t>
            </w:r>
          </w:p>
        </w:tc>
        <w:tc>
          <w:tcPr>
            <w:tcW w:w="503" w:type="pct"/>
            <w:tcBorders>
              <w:tl2br w:val="nil"/>
              <w:tr2bl w:val="nil"/>
            </w:tcBorders>
            <w:shd w:val="clear" w:color="auto" w:fill="auto"/>
            <w:noWrap/>
            <w:vAlign w:val="center"/>
          </w:tcPr>
          <w:p w14:paraId="76CDEF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2E27F3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拆包</w:t>
            </w:r>
          </w:p>
        </w:tc>
        <w:tc>
          <w:tcPr>
            <w:tcW w:w="690" w:type="pct"/>
            <w:tcBorders>
              <w:tl2br w:val="nil"/>
              <w:tr2bl w:val="nil"/>
            </w:tcBorders>
            <w:shd w:val="clear" w:color="auto" w:fill="auto"/>
            <w:noWrap/>
            <w:vAlign w:val="center"/>
          </w:tcPr>
          <w:p w14:paraId="52D330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沾染化学品包装</w:t>
            </w:r>
          </w:p>
        </w:tc>
        <w:tc>
          <w:tcPr>
            <w:tcW w:w="389" w:type="pct"/>
            <w:tcBorders>
              <w:tl2br w:val="nil"/>
              <w:tr2bl w:val="nil"/>
            </w:tcBorders>
            <w:shd w:val="clear" w:color="auto" w:fill="auto"/>
            <w:noWrap/>
            <w:vAlign w:val="center"/>
          </w:tcPr>
          <w:p w14:paraId="5A3395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29BE0A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452" w:type="pct"/>
            <w:tcBorders>
              <w:tl2br w:val="nil"/>
              <w:tr2bl w:val="nil"/>
            </w:tcBorders>
            <w:shd w:val="clear" w:color="auto" w:fill="auto"/>
            <w:noWrap/>
            <w:vAlign w:val="center"/>
          </w:tcPr>
          <w:p w14:paraId="3CDA0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690" w:type="pct"/>
            <w:tcBorders>
              <w:tl2br w:val="nil"/>
              <w:tr2bl w:val="nil"/>
            </w:tcBorders>
            <w:shd w:val="clear" w:color="auto" w:fill="auto"/>
            <w:vAlign w:val="center"/>
          </w:tcPr>
          <w:p w14:paraId="13B312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48AA41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471A0A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110F91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S10</w:t>
            </w:r>
          </w:p>
        </w:tc>
        <w:tc>
          <w:tcPr>
            <w:tcW w:w="503" w:type="pct"/>
            <w:tcBorders>
              <w:tl2br w:val="nil"/>
              <w:tr2bl w:val="nil"/>
            </w:tcBorders>
            <w:shd w:val="clear" w:color="auto" w:fill="auto"/>
            <w:noWrap/>
            <w:vAlign w:val="center"/>
          </w:tcPr>
          <w:p w14:paraId="392DCF88">
            <w:pPr>
              <w:jc w:val="center"/>
              <w:rPr>
                <w:rFonts w:hint="default" w:ascii="Times New Roman" w:hAnsi="Times New Roman" w:eastAsia="宋体" w:cs="Times New Roman"/>
                <w:i w:val="0"/>
                <w:iCs w:val="0"/>
                <w:color w:val="000000"/>
                <w:sz w:val="18"/>
                <w:szCs w:val="18"/>
                <w:u w:val="none"/>
              </w:rPr>
            </w:pPr>
          </w:p>
        </w:tc>
        <w:tc>
          <w:tcPr>
            <w:tcW w:w="419" w:type="pct"/>
            <w:tcBorders>
              <w:tl2br w:val="nil"/>
              <w:tr2bl w:val="nil"/>
            </w:tcBorders>
            <w:shd w:val="clear" w:color="auto" w:fill="auto"/>
            <w:noWrap/>
            <w:vAlign w:val="center"/>
          </w:tcPr>
          <w:p w14:paraId="16E51E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690" w:type="pct"/>
            <w:tcBorders>
              <w:tl2br w:val="nil"/>
              <w:tr2bl w:val="nil"/>
            </w:tcBorders>
            <w:shd w:val="clear" w:color="auto" w:fill="auto"/>
            <w:noWrap/>
            <w:vAlign w:val="center"/>
          </w:tcPr>
          <w:p w14:paraId="1E039A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389" w:type="pct"/>
            <w:tcBorders>
              <w:tl2br w:val="nil"/>
              <w:tr2bl w:val="nil"/>
            </w:tcBorders>
            <w:shd w:val="clear" w:color="auto" w:fill="auto"/>
            <w:noWrap/>
            <w:vAlign w:val="center"/>
          </w:tcPr>
          <w:p w14:paraId="380998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5E7E10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452" w:type="pct"/>
            <w:tcBorders>
              <w:tl2br w:val="nil"/>
              <w:tr2bl w:val="nil"/>
            </w:tcBorders>
            <w:shd w:val="clear" w:color="auto" w:fill="auto"/>
            <w:noWrap/>
            <w:vAlign w:val="center"/>
          </w:tcPr>
          <w:p w14:paraId="2BD831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90" w:type="pct"/>
            <w:tcBorders>
              <w:tl2br w:val="nil"/>
              <w:tr2bl w:val="nil"/>
            </w:tcBorders>
            <w:shd w:val="clear" w:color="auto" w:fill="auto"/>
            <w:vAlign w:val="center"/>
          </w:tcPr>
          <w:p w14:paraId="26B8D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vAlign w:val="center"/>
          </w:tcPr>
          <w:p w14:paraId="53B8AF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 g)</w:t>
            </w:r>
          </w:p>
        </w:tc>
      </w:tr>
      <w:tr w14:paraId="3BF699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3954E9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S11</w:t>
            </w:r>
          </w:p>
        </w:tc>
        <w:tc>
          <w:tcPr>
            <w:tcW w:w="503" w:type="pct"/>
            <w:tcBorders>
              <w:tl2br w:val="nil"/>
              <w:tr2bl w:val="nil"/>
            </w:tcBorders>
            <w:shd w:val="clear" w:color="auto" w:fill="auto"/>
            <w:noWrap/>
            <w:vAlign w:val="center"/>
          </w:tcPr>
          <w:p w14:paraId="27A4A7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3B388B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690" w:type="pct"/>
            <w:tcBorders>
              <w:tl2br w:val="nil"/>
              <w:tr2bl w:val="nil"/>
            </w:tcBorders>
            <w:shd w:val="clear" w:color="auto" w:fill="auto"/>
            <w:noWrap/>
            <w:vAlign w:val="center"/>
          </w:tcPr>
          <w:p w14:paraId="47B256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废活性炭</w:t>
            </w:r>
          </w:p>
        </w:tc>
        <w:tc>
          <w:tcPr>
            <w:tcW w:w="389" w:type="pct"/>
            <w:tcBorders>
              <w:tl2br w:val="nil"/>
              <w:tr2bl w:val="nil"/>
            </w:tcBorders>
            <w:shd w:val="clear" w:color="auto" w:fill="auto"/>
            <w:noWrap/>
            <w:vAlign w:val="center"/>
          </w:tcPr>
          <w:p w14:paraId="1B2584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2FD949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废活性炭</w:t>
            </w:r>
          </w:p>
        </w:tc>
        <w:tc>
          <w:tcPr>
            <w:tcW w:w="452" w:type="pct"/>
            <w:tcBorders>
              <w:tl2br w:val="nil"/>
              <w:tr2bl w:val="nil"/>
            </w:tcBorders>
            <w:shd w:val="clear" w:color="auto" w:fill="auto"/>
            <w:noWrap/>
            <w:vAlign w:val="center"/>
          </w:tcPr>
          <w:p w14:paraId="604ED0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8</w:t>
            </w:r>
          </w:p>
        </w:tc>
        <w:tc>
          <w:tcPr>
            <w:tcW w:w="690" w:type="pct"/>
            <w:tcBorders>
              <w:tl2br w:val="nil"/>
              <w:tr2bl w:val="nil"/>
            </w:tcBorders>
            <w:shd w:val="clear" w:color="auto" w:fill="auto"/>
            <w:vAlign w:val="center"/>
          </w:tcPr>
          <w:p w14:paraId="4BF81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vAlign w:val="center"/>
          </w:tcPr>
          <w:p w14:paraId="69B8E3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 d)</w:t>
            </w:r>
          </w:p>
        </w:tc>
      </w:tr>
      <w:tr w14:paraId="0AAAC8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5A68EC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S12</w:t>
            </w:r>
          </w:p>
        </w:tc>
        <w:tc>
          <w:tcPr>
            <w:tcW w:w="503" w:type="pct"/>
            <w:tcBorders>
              <w:tl2br w:val="nil"/>
              <w:tr2bl w:val="nil"/>
            </w:tcBorders>
            <w:shd w:val="clear" w:color="auto" w:fill="auto"/>
            <w:noWrap/>
            <w:vAlign w:val="center"/>
          </w:tcPr>
          <w:p w14:paraId="6B4AFC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49CF73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690" w:type="pct"/>
            <w:tcBorders>
              <w:tl2br w:val="nil"/>
              <w:tr2bl w:val="nil"/>
            </w:tcBorders>
            <w:shd w:val="clear" w:color="auto" w:fill="auto"/>
            <w:noWrap/>
            <w:vAlign w:val="center"/>
          </w:tcPr>
          <w:p w14:paraId="13C2F0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废润滑油</w:t>
            </w:r>
          </w:p>
        </w:tc>
        <w:tc>
          <w:tcPr>
            <w:tcW w:w="389" w:type="pct"/>
            <w:tcBorders>
              <w:tl2br w:val="nil"/>
              <w:tr2bl w:val="nil"/>
            </w:tcBorders>
            <w:shd w:val="clear" w:color="auto" w:fill="auto"/>
            <w:noWrap/>
            <w:vAlign w:val="center"/>
          </w:tcPr>
          <w:p w14:paraId="43717E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液</w:t>
            </w:r>
          </w:p>
        </w:tc>
        <w:tc>
          <w:tcPr>
            <w:tcW w:w="1182" w:type="pct"/>
            <w:tcBorders>
              <w:tl2br w:val="nil"/>
              <w:tr2bl w:val="nil"/>
            </w:tcBorders>
            <w:shd w:val="clear" w:color="auto" w:fill="auto"/>
            <w:noWrap/>
            <w:vAlign w:val="center"/>
          </w:tcPr>
          <w:p w14:paraId="16BF13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废润滑油</w:t>
            </w:r>
          </w:p>
        </w:tc>
        <w:tc>
          <w:tcPr>
            <w:tcW w:w="452" w:type="pct"/>
            <w:tcBorders>
              <w:tl2br w:val="nil"/>
              <w:tr2bl w:val="nil"/>
            </w:tcBorders>
            <w:shd w:val="clear" w:color="auto" w:fill="auto"/>
            <w:noWrap/>
            <w:vAlign w:val="center"/>
          </w:tcPr>
          <w:p w14:paraId="4FFD1A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690" w:type="pct"/>
            <w:tcBorders>
              <w:tl2br w:val="nil"/>
              <w:tr2bl w:val="nil"/>
            </w:tcBorders>
            <w:shd w:val="clear" w:color="auto" w:fill="auto"/>
            <w:vAlign w:val="center"/>
          </w:tcPr>
          <w:p w14:paraId="67CEC1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vAlign w:val="center"/>
          </w:tcPr>
          <w:p w14:paraId="4B4E23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 e)</w:t>
            </w:r>
          </w:p>
        </w:tc>
      </w:tr>
      <w:tr w14:paraId="579B98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5B014E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S13</w:t>
            </w:r>
          </w:p>
        </w:tc>
        <w:tc>
          <w:tcPr>
            <w:tcW w:w="503" w:type="pct"/>
            <w:tcBorders>
              <w:tl2br w:val="nil"/>
              <w:tr2bl w:val="nil"/>
            </w:tcBorders>
            <w:shd w:val="clear" w:color="auto" w:fill="auto"/>
            <w:noWrap/>
            <w:vAlign w:val="center"/>
          </w:tcPr>
          <w:p w14:paraId="1A4AE9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10EB0C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690" w:type="pct"/>
            <w:tcBorders>
              <w:tl2br w:val="nil"/>
              <w:tr2bl w:val="nil"/>
            </w:tcBorders>
            <w:shd w:val="clear" w:color="auto" w:fill="auto"/>
            <w:noWrap/>
            <w:vAlign w:val="center"/>
          </w:tcPr>
          <w:p w14:paraId="22BC9E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废油桶</w:t>
            </w:r>
          </w:p>
        </w:tc>
        <w:tc>
          <w:tcPr>
            <w:tcW w:w="389" w:type="pct"/>
            <w:tcBorders>
              <w:tl2br w:val="nil"/>
              <w:tr2bl w:val="nil"/>
            </w:tcBorders>
            <w:shd w:val="clear" w:color="auto" w:fill="auto"/>
            <w:noWrap/>
            <w:vAlign w:val="center"/>
          </w:tcPr>
          <w:p w14:paraId="3C09DA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135C5A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废油桶</w:t>
            </w:r>
          </w:p>
        </w:tc>
        <w:tc>
          <w:tcPr>
            <w:tcW w:w="452" w:type="pct"/>
            <w:tcBorders>
              <w:tl2br w:val="nil"/>
              <w:tr2bl w:val="nil"/>
            </w:tcBorders>
            <w:shd w:val="clear" w:color="auto" w:fill="auto"/>
            <w:noWrap/>
            <w:vAlign w:val="center"/>
          </w:tcPr>
          <w:p w14:paraId="78ADD1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c>
          <w:tcPr>
            <w:tcW w:w="690" w:type="pct"/>
            <w:tcBorders>
              <w:tl2br w:val="nil"/>
              <w:tr2bl w:val="nil"/>
            </w:tcBorders>
            <w:shd w:val="clear" w:color="auto" w:fill="auto"/>
            <w:vAlign w:val="center"/>
          </w:tcPr>
          <w:p w14:paraId="4EB1E9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noWrap/>
            <w:vAlign w:val="center"/>
          </w:tcPr>
          <w:p w14:paraId="5DDA76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 a)</w:t>
            </w:r>
          </w:p>
        </w:tc>
      </w:tr>
      <w:tr w14:paraId="2FB0F1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9" w:type="pct"/>
            <w:tcBorders>
              <w:tl2br w:val="nil"/>
              <w:tr2bl w:val="nil"/>
            </w:tcBorders>
            <w:shd w:val="clear" w:color="auto" w:fill="auto"/>
            <w:noWrap/>
            <w:vAlign w:val="center"/>
          </w:tcPr>
          <w:p w14:paraId="16A8EF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S14</w:t>
            </w:r>
          </w:p>
        </w:tc>
        <w:tc>
          <w:tcPr>
            <w:tcW w:w="503" w:type="pct"/>
            <w:tcBorders>
              <w:tl2br w:val="nil"/>
              <w:tr2bl w:val="nil"/>
            </w:tcBorders>
            <w:shd w:val="clear" w:color="auto" w:fill="auto"/>
            <w:noWrap/>
            <w:vAlign w:val="center"/>
          </w:tcPr>
          <w:p w14:paraId="16D2B9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9" w:type="pct"/>
            <w:tcBorders>
              <w:tl2br w:val="nil"/>
              <w:tr2bl w:val="nil"/>
            </w:tcBorders>
            <w:shd w:val="clear" w:color="auto" w:fill="auto"/>
            <w:noWrap/>
            <w:vAlign w:val="center"/>
          </w:tcPr>
          <w:p w14:paraId="2D707C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员工生活</w:t>
            </w:r>
          </w:p>
        </w:tc>
        <w:tc>
          <w:tcPr>
            <w:tcW w:w="690" w:type="pct"/>
            <w:tcBorders>
              <w:tl2br w:val="nil"/>
              <w:tr2bl w:val="nil"/>
            </w:tcBorders>
            <w:shd w:val="clear" w:color="auto" w:fill="auto"/>
            <w:noWrap/>
            <w:vAlign w:val="center"/>
          </w:tcPr>
          <w:p w14:paraId="79DC90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生活垃圾</w:t>
            </w:r>
          </w:p>
        </w:tc>
        <w:tc>
          <w:tcPr>
            <w:tcW w:w="389" w:type="pct"/>
            <w:tcBorders>
              <w:tl2br w:val="nil"/>
              <w:tr2bl w:val="nil"/>
            </w:tcBorders>
            <w:shd w:val="clear" w:color="auto" w:fill="auto"/>
            <w:noWrap/>
            <w:vAlign w:val="center"/>
          </w:tcPr>
          <w:p w14:paraId="2ABA93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w:t>
            </w:r>
          </w:p>
        </w:tc>
        <w:tc>
          <w:tcPr>
            <w:tcW w:w="1182" w:type="pct"/>
            <w:tcBorders>
              <w:tl2br w:val="nil"/>
              <w:tr2bl w:val="nil"/>
            </w:tcBorders>
            <w:shd w:val="clear" w:color="auto" w:fill="auto"/>
            <w:noWrap/>
            <w:vAlign w:val="center"/>
          </w:tcPr>
          <w:p w14:paraId="12B98A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生活垃圾</w:t>
            </w:r>
          </w:p>
        </w:tc>
        <w:tc>
          <w:tcPr>
            <w:tcW w:w="452" w:type="pct"/>
            <w:tcBorders>
              <w:tl2br w:val="nil"/>
              <w:tr2bl w:val="nil"/>
            </w:tcBorders>
            <w:shd w:val="clear" w:color="auto" w:fill="auto"/>
            <w:noWrap/>
            <w:vAlign w:val="center"/>
          </w:tcPr>
          <w:p w14:paraId="52E117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690" w:type="pct"/>
            <w:tcBorders>
              <w:tl2br w:val="nil"/>
              <w:tr2bl w:val="nil"/>
            </w:tcBorders>
            <w:shd w:val="clear" w:color="auto" w:fill="auto"/>
            <w:vAlign w:val="center"/>
          </w:tcPr>
          <w:p w14:paraId="191E85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452" w:type="pct"/>
            <w:tcBorders>
              <w:tl2br w:val="nil"/>
              <w:tr2bl w:val="nil"/>
            </w:tcBorders>
            <w:shd w:val="clear" w:color="auto" w:fill="auto"/>
            <w:vAlign w:val="center"/>
          </w:tcPr>
          <w:p w14:paraId="496596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 a)</w:t>
            </w:r>
          </w:p>
        </w:tc>
      </w:tr>
    </w:tbl>
    <w:p w14:paraId="12F49699">
      <w:pPr>
        <w:spacing w:line="360" w:lineRule="auto"/>
        <w:rPr>
          <w:b/>
          <w:bCs/>
        </w:rPr>
      </w:pPr>
    </w:p>
    <w:p w14:paraId="565C1534">
      <w:pPr>
        <w:spacing w:line="360" w:lineRule="auto"/>
        <w:rPr>
          <w:b/>
          <w:bCs/>
        </w:rPr>
      </w:pPr>
    </w:p>
    <w:p w14:paraId="1E21F17A">
      <w:pPr>
        <w:spacing w:line="360" w:lineRule="auto"/>
        <w:rPr>
          <w:b/>
          <w:bCs/>
        </w:rPr>
      </w:pPr>
    </w:p>
    <w:p w14:paraId="76557ADA">
      <w:pPr>
        <w:spacing w:line="360" w:lineRule="auto"/>
        <w:rPr>
          <w:b/>
          <w:bCs/>
        </w:rPr>
      </w:pPr>
    </w:p>
    <w:p w14:paraId="41494C49">
      <w:pPr>
        <w:spacing w:line="360" w:lineRule="auto"/>
        <w:rPr>
          <w:b/>
          <w:bCs/>
        </w:rPr>
      </w:pPr>
    </w:p>
    <w:p w14:paraId="334DCFD2">
      <w:pPr>
        <w:spacing w:line="360" w:lineRule="auto"/>
        <w:rPr>
          <w:b/>
          <w:bCs/>
        </w:rPr>
      </w:pPr>
    </w:p>
    <w:p w14:paraId="4D05C65B">
      <w:pPr>
        <w:spacing w:line="360" w:lineRule="auto"/>
        <w:rPr>
          <w:b/>
          <w:bCs/>
        </w:rPr>
      </w:pPr>
    </w:p>
    <w:p w14:paraId="67F525C4">
      <w:pPr>
        <w:spacing w:line="360" w:lineRule="auto"/>
        <w:rPr>
          <w:b/>
          <w:bCs/>
        </w:rPr>
      </w:pPr>
      <w:r>
        <w:rPr>
          <w:rFonts w:hint="eastAsia"/>
          <w:b/>
          <w:bCs/>
        </w:rPr>
        <w:t>3、固废属性判定</w:t>
      </w:r>
    </w:p>
    <w:p w14:paraId="26B6F95E">
      <w:pPr>
        <w:spacing w:line="360" w:lineRule="auto"/>
        <w:ind w:firstLine="482"/>
        <w:rPr>
          <w:szCs w:val="21"/>
        </w:rPr>
      </w:pPr>
      <w:r>
        <w:rPr>
          <w:rFonts w:hint="eastAsia"/>
          <w:szCs w:val="21"/>
        </w:rPr>
        <w:t>根据《国家危险废物名录（2025年版）》、《危险废物鉴别标准》（GB5085.7-2019）和《建设项目危险废物环境影响评价指南》（公告2017年第43号）、《固体废物分类与代码目录》(公告2024年第4号)中的相关规定，判定结果见</w:t>
      </w:r>
      <w:r>
        <w:rPr>
          <w:rFonts w:hint="eastAsia"/>
          <w:bCs/>
          <w:szCs w:val="21"/>
        </w:rPr>
        <w:t>下表</w:t>
      </w:r>
      <w:r>
        <w:rPr>
          <w:rFonts w:hint="eastAsia"/>
          <w:szCs w:val="21"/>
        </w:rPr>
        <w:t>：</w:t>
      </w:r>
    </w:p>
    <w:p w14:paraId="65263761">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 xml:space="preserve"> 项目固废属性判定情况一览表</w:t>
      </w:r>
    </w:p>
    <w:tbl>
      <w:tblPr>
        <w:tblStyle w:val="26"/>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2"/>
        <w:gridCol w:w="2020"/>
        <w:gridCol w:w="1675"/>
        <w:gridCol w:w="2780"/>
        <w:gridCol w:w="1657"/>
        <w:gridCol w:w="2595"/>
        <w:gridCol w:w="1812"/>
      </w:tblGrid>
      <w:tr w14:paraId="06E5EA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700F47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1389" w:type="pct"/>
            <w:gridSpan w:val="2"/>
            <w:tcBorders>
              <w:tl2br w:val="nil"/>
              <w:tr2bl w:val="nil"/>
            </w:tcBorders>
            <w:shd w:val="clear" w:color="auto" w:fill="auto"/>
            <w:noWrap/>
            <w:vAlign w:val="center"/>
          </w:tcPr>
          <w:p w14:paraId="2FF601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产生工序</w:t>
            </w:r>
          </w:p>
        </w:tc>
        <w:tc>
          <w:tcPr>
            <w:tcW w:w="1042" w:type="pct"/>
            <w:tcBorders>
              <w:tl2br w:val="nil"/>
              <w:tr2bl w:val="nil"/>
            </w:tcBorders>
            <w:shd w:val="clear" w:color="auto" w:fill="auto"/>
            <w:noWrap/>
            <w:vAlign w:val="center"/>
          </w:tcPr>
          <w:p w14:paraId="5A6433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名称</w:t>
            </w:r>
          </w:p>
        </w:tc>
        <w:tc>
          <w:tcPr>
            <w:tcW w:w="585" w:type="pct"/>
            <w:tcBorders>
              <w:tl2br w:val="nil"/>
              <w:tr2bl w:val="nil"/>
            </w:tcBorders>
            <w:shd w:val="clear" w:color="auto" w:fill="auto"/>
            <w:noWrap/>
            <w:vAlign w:val="center"/>
          </w:tcPr>
          <w:p w14:paraId="57CF9F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是否属于危险废物</w:t>
            </w:r>
          </w:p>
        </w:tc>
        <w:tc>
          <w:tcPr>
            <w:tcW w:w="973" w:type="pct"/>
            <w:tcBorders>
              <w:tl2br w:val="nil"/>
              <w:tr2bl w:val="nil"/>
            </w:tcBorders>
            <w:shd w:val="clear" w:color="auto" w:fill="auto"/>
            <w:noWrap/>
            <w:vAlign w:val="center"/>
          </w:tcPr>
          <w:p w14:paraId="65033E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废物类别及代码</w:t>
            </w:r>
          </w:p>
        </w:tc>
        <w:tc>
          <w:tcPr>
            <w:tcW w:w="681" w:type="pct"/>
            <w:tcBorders>
              <w:tl2br w:val="nil"/>
              <w:tr2bl w:val="nil"/>
            </w:tcBorders>
            <w:shd w:val="clear" w:color="auto" w:fill="auto"/>
            <w:noWrap/>
            <w:vAlign w:val="center"/>
          </w:tcPr>
          <w:p w14:paraId="288790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危险特性</w:t>
            </w:r>
          </w:p>
        </w:tc>
      </w:tr>
      <w:tr w14:paraId="564D5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0DA4F3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w:t>
            </w:r>
          </w:p>
        </w:tc>
        <w:tc>
          <w:tcPr>
            <w:tcW w:w="759" w:type="pct"/>
            <w:vMerge w:val="restart"/>
            <w:tcBorders>
              <w:tl2br w:val="nil"/>
              <w:tr2bl w:val="nil"/>
            </w:tcBorders>
            <w:shd w:val="clear" w:color="auto" w:fill="auto"/>
            <w:noWrap/>
            <w:vAlign w:val="center"/>
          </w:tcPr>
          <w:p w14:paraId="69E9C4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产品生产</w:t>
            </w:r>
          </w:p>
        </w:tc>
        <w:tc>
          <w:tcPr>
            <w:tcW w:w="630" w:type="pct"/>
            <w:tcBorders>
              <w:tl2br w:val="nil"/>
              <w:tr2bl w:val="nil"/>
            </w:tcBorders>
            <w:shd w:val="clear" w:color="auto" w:fill="auto"/>
            <w:noWrap/>
            <w:vAlign w:val="center"/>
          </w:tcPr>
          <w:p w14:paraId="15C504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裁切</w:t>
            </w:r>
          </w:p>
        </w:tc>
        <w:tc>
          <w:tcPr>
            <w:tcW w:w="1042" w:type="pct"/>
            <w:tcBorders>
              <w:tl2br w:val="nil"/>
              <w:tr2bl w:val="nil"/>
            </w:tcBorders>
            <w:shd w:val="clear" w:color="auto" w:fill="auto"/>
            <w:noWrap/>
            <w:vAlign w:val="center"/>
          </w:tcPr>
          <w:p w14:paraId="3162A5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w:t>
            </w:r>
          </w:p>
        </w:tc>
        <w:tc>
          <w:tcPr>
            <w:tcW w:w="585" w:type="pct"/>
            <w:tcBorders>
              <w:tl2br w:val="nil"/>
              <w:tr2bl w:val="nil"/>
            </w:tcBorders>
            <w:shd w:val="clear" w:color="auto" w:fill="auto"/>
            <w:noWrap/>
            <w:vAlign w:val="center"/>
          </w:tcPr>
          <w:p w14:paraId="0CCF46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否</w:t>
            </w:r>
          </w:p>
        </w:tc>
        <w:tc>
          <w:tcPr>
            <w:tcW w:w="973" w:type="pct"/>
            <w:tcBorders>
              <w:tl2br w:val="nil"/>
              <w:tr2bl w:val="nil"/>
            </w:tcBorders>
            <w:shd w:val="clear" w:color="auto" w:fill="auto"/>
            <w:noWrap/>
            <w:vAlign w:val="center"/>
          </w:tcPr>
          <w:p w14:paraId="09A4F0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SW06/900-002-S06</w:t>
            </w:r>
          </w:p>
        </w:tc>
        <w:tc>
          <w:tcPr>
            <w:tcW w:w="681" w:type="pct"/>
            <w:tcBorders>
              <w:tl2br w:val="nil"/>
              <w:tr2bl w:val="nil"/>
            </w:tcBorders>
            <w:shd w:val="clear" w:color="auto" w:fill="auto"/>
            <w:noWrap/>
            <w:vAlign w:val="center"/>
          </w:tcPr>
          <w:p w14:paraId="52FA8B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14:paraId="002D55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1FB0C6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S2</w:t>
            </w:r>
          </w:p>
        </w:tc>
        <w:tc>
          <w:tcPr>
            <w:tcW w:w="759" w:type="pct"/>
            <w:vMerge w:val="continue"/>
            <w:tcBorders>
              <w:tl2br w:val="nil"/>
              <w:tr2bl w:val="nil"/>
            </w:tcBorders>
            <w:shd w:val="clear" w:color="auto" w:fill="auto"/>
            <w:noWrap/>
            <w:vAlign w:val="center"/>
          </w:tcPr>
          <w:p w14:paraId="392A4A3C">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1A50CF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总装</w:t>
            </w:r>
          </w:p>
        </w:tc>
        <w:tc>
          <w:tcPr>
            <w:tcW w:w="1042" w:type="pct"/>
            <w:tcBorders>
              <w:tl2br w:val="nil"/>
              <w:tr2bl w:val="nil"/>
            </w:tcBorders>
            <w:shd w:val="clear" w:color="auto" w:fill="auto"/>
            <w:noWrap/>
            <w:vAlign w:val="center"/>
          </w:tcPr>
          <w:p w14:paraId="3FD561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585" w:type="pct"/>
            <w:tcBorders>
              <w:tl2br w:val="nil"/>
              <w:tr2bl w:val="nil"/>
            </w:tcBorders>
            <w:shd w:val="clear" w:color="auto" w:fill="auto"/>
            <w:noWrap/>
            <w:vAlign w:val="center"/>
          </w:tcPr>
          <w:p w14:paraId="2AC574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否</w:t>
            </w:r>
          </w:p>
        </w:tc>
        <w:tc>
          <w:tcPr>
            <w:tcW w:w="973" w:type="pct"/>
            <w:tcBorders>
              <w:tl2br w:val="nil"/>
              <w:tr2bl w:val="nil"/>
            </w:tcBorders>
            <w:shd w:val="clear" w:color="auto" w:fill="auto"/>
            <w:noWrap/>
            <w:vAlign w:val="center"/>
          </w:tcPr>
          <w:p w14:paraId="7AD1B4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SW06/900-002-S06</w:t>
            </w:r>
          </w:p>
        </w:tc>
        <w:tc>
          <w:tcPr>
            <w:tcW w:w="681" w:type="pct"/>
            <w:tcBorders>
              <w:tl2br w:val="nil"/>
              <w:tr2bl w:val="nil"/>
            </w:tcBorders>
            <w:shd w:val="clear" w:color="auto" w:fill="auto"/>
            <w:noWrap/>
            <w:vAlign w:val="center"/>
          </w:tcPr>
          <w:p w14:paraId="227F22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14:paraId="2C0BF4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2152A6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S3</w:t>
            </w:r>
          </w:p>
        </w:tc>
        <w:tc>
          <w:tcPr>
            <w:tcW w:w="759" w:type="pct"/>
            <w:tcBorders>
              <w:tl2br w:val="nil"/>
              <w:tr2bl w:val="nil"/>
            </w:tcBorders>
            <w:shd w:val="clear" w:color="auto" w:fill="auto"/>
            <w:noWrap/>
            <w:vAlign w:val="center"/>
          </w:tcPr>
          <w:p w14:paraId="78AA94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42122E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纯水制备</w:t>
            </w:r>
          </w:p>
        </w:tc>
        <w:tc>
          <w:tcPr>
            <w:tcW w:w="1042" w:type="pct"/>
            <w:tcBorders>
              <w:tl2br w:val="nil"/>
              <w:tr2bl w:val="nil"/>
            </w:tcBorders>
            <w:shd w:val="clear" w:color="auto" w:fill="auto"/>
            <w:noWrap/>
            <w:vAlign w:val="center"/>
          </w:tcPr>
          <w:p w14:paraId="03B36C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585" w:type="pct"/>
            <w:tcBorders>
              <w:tl2br w:val="nil"/>
              <w:tr2bl w:val="nil"/>
            </w:tcBorders>
            <w:shd w:val="clear" w:color="auto" w:fill="auto"/>
            <w:noWrap/>
            <w:vAlign w:val="center"/>
          </w:tcPr>
          <w:p w14:paraId="77C839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否</w:t>
            </w:r>
          </w:p>
        </w:tc>
        <w:tc>
          <w:tcPr>
            <w:tcW w:w="973" w:type="pct"/>
            <w:tcBorders>
              <w:tl2br w:val="nil"/>
              <w:tr2bl w:val="nil"/>
            </w:tcBorders>
            <w:shd w:val="clear" w:color="auto" w:fill="auto"/>
            <w:noWrap/>
            <w:vAlign w:val="center"/>
          </w:tcPr>
          <w:p w14:paraId="3EEA31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SW59/900-009-S59</w:t>
            </w:r>
          </w:p>
        </w:tc>
        <w:tc>
          <w:tcPr>
            <w:tcW w:w="681" w:type="pct"/>
            <w:tcBorders>
              <w:tl2br w:val="nil"/>
              <w:tr2bl w:val="nil"/>
            </w:tcBorders>
            <w:shd w:val="clear" w:color="auto" w:fill="auto"/>
            <w:noWrap/>
            <w:vAlign w:val="center"/>
          </w:tcPr>
          <w:p w14:paraId="35C4DE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r w14:paraId="5425D6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6C5246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S4</w:t>
            </w:r>
          </w:p>
        </w:tc>
        <w:tc>
          <w:tcPr>
            <w:tcW w:w="759" w:type="pct"/>
            <w:vMerge w:val="restart"/>
            <w:tcBorders>
              <w:tl2br w:val="nil"/>
              <w:tr2bl w:val="nil"/>
            </w:tcBorders>
            <w:shd w:val="clear" w:color="auto" w:fill="auto"/>
            <w:noWrap/>
            <w:vAlign w:val="center"/>
          </w:tcPr>
          <w:p w14:paraId="20F0D2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实验室检测</w:t>
            </w:r>
          </w:p>
        </w:tc>
        <w:tc>
          <w:tcPr>
            <w:tcW w:w="630" w:type="pct"/>
            <w:tcBorders>
              <w:tl2br w:val="nil"/>
              <w:tr2bl w:val="nil"/>
            </w:tcBorders>
            <w:shd w:val="clear" w:color="auto" w:fill="auto"/>
            <w:noWrap/>
            <w:vAlign w:val="center"/>
          </w:tcPr>
          <w:p w14:paraId="72E7A3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1042" w:type="pct"/>
            <w:tcBorders>
              <w:tl2br w:val="nil"/>
              <w:tr2bl w:val="nil"/>
            </w:tcBorders>
            <w:shd w:val="clear" w:color="auto" w:fill="auto"/>
            <w:noWrap/>
            <w:vAlign w:val="center"/>
          </w:tcPr>
          <w:p w14:paraId="6A9CFD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实验室废物</w:t>
            </w:r>
          </w:p>
        </w:tc>
        <w:tc>
          <w:tcPr>
            <w:tcW w:w="585" w:type="pct"/>
            <w:tcBorders>
              <w:tl2br w:val="nil"/>
              <w:tr2bl w:val="nil"/>
            </w:tcBorders>
            <w:shd w:val="clear" w:color="auto" w:fill="auto"/>
            <w:noWrap/>
            <w:vAlign w:val="center"/>
          </w:tcPr>
          <w:p w14:paraId="452C1E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372BA4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681" w:type="pct"/>
            <w:tcBorders>
              <w:tl2br w:val="nil"/>
              <w:tr2bl w:val="nil"/>
            </w:tcBorders>
            <w:shd w:val="clear" w:color="auto" w:fill="auto"/>
            <w:noWrap/>
            <w:vAlign w:val="center"/>
          </w:tcPr>
          <w:p w14:paraId="37DC9E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T/In</w:t>
            </w:r>
          </w:p>
        </w:tc>
      </w:tr>
      <w:tr w14:paraId="0FB247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624120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S5</w:t>
            </w:r>
          </w:p>
        </w:tc>
        <w:tc>
          <w:tcPr>
            <w:tcW w:w="759" w:type="pct"/>
            <w:vMerge w:val="continue"/>
            <w:tcBorders>
              <w:tl2br w:val="nil"/>
              <w:tr2bl w:val="nil"/>
            </w:tcBorders>
            <w:shd w:val="clear" w:color="auto" w:fill="auto"/>
            <w:noWrap/>
            <w:vAlign w:val="center"/>
          </w:tcPr>
          <w:p w14:paraId="1A6DE081">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36680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1042" w:type="pct"/>
            <w:tcBorders>
              <w:tl2br w:val="nil"/>
              <w:tr2bl w:val="nil"/>
            </w:tcBorders>
            <w:shd w:val="clear" w:color="auto" w:fill="auto"/>
            <w:noWrap/>
            <w:vAlign w:val="center"/>
          </w:tcPr>
          <w:p w14:paraId="4CB59C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废一次性耗材</w:t>
            </w:r>
          </w:p>
        </w:tc>
        <w:tc>
          <w:tcPr>
            <w:tcW w:w="585" w:type="pct"/>
            <w:tcBorders>
              <w:tl2br w:val="nil"/>
              <w:tr2bl w:val="nil"/>
            </w:tcBorders>
            <w:shd w:val="clear" w:color="auto" w:fill="auto"/>
            <w:noWrap/>
            <w:vAlign w:val="center"/>
          </w:tcPr>
          <w:p w14:paraId="4DB3EC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3029DD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681" w:type="pct"/>
            <w:tcBorders>
              <w:tl2br w:val="nil"/>
              <w:tr2bl w:val="nil"/>
            </w:tcBorders>
            <w:shd w:val="clear" w:color="auto" w:fill="auto"/>
            <w:noWrap/>
            <w:vAlign w:val="center"/>
          </w:tcPr>
          <w:p w14:paraId="51CCCB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T/In</w:t>
            </w:r>
          </w:p>
        </w:tc>
      </w:tr>
      <w:tr w14:paraId="5FA2E2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7CD155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S6</w:t>
            </w:r>
          </w:p>
        </w:tc>
        <w:tc>
          <w:tcPr>
            <w:tcW w:w="759" w:type="pct"/>
            <w:vMerge w:val="continue"/>
            <w:tcBorders>
              <w:tl2br w:val="nil"/>
              <w:tr2bl w:val="nil"/>
            </w:tcBorders>
            <w:shd w:val="clear" w:color="auto" w:fill="auto"/>
            <w:noWrap/>
            <w:vAlign w:val="center"/>
          </w:tcPr>
          <w:p w14:paraId="53E8705E">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302200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1042" w:type="pct"/>
            <w:tcBorders>
              <w:tl2br w:val="nil"/>
              <w:tr2bl w:val="nil"/>
            </w:tcBorders>
            <w:shd w:val="clear" w:color="auto" w:fill="auto"/>
            <w:noWrap/>
            <w:vAlign w:val="center"/>
          </w:tcPr>
          <w:p w14:paraId="6E6BC1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废抹布</w:t>
            </w:r>
          </w:p>
        </w:tc>
        <w:tc>
          <w:tcPr>
            <w:tcW w:w="585" w:type="pct"/>
            <w:tcBorders>
              <w:tl2br w:val="nil"/>
              <w:tr2bl w:val="nil"/>
            </w:tcBorders>
            <w:shd w:val="clear" w:color="auto" w:fill="auto"/>
            <w:noWrap/>
            <w:vAlign w:val="center"/>
          </w:tcPr>
          <w:p w14:paraId="4C8C71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4180D6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681" w:type="pct"/>
            <w:tcBorders>
              <w:tl2br w:val="nil"/>
              <w:tr2bl w:val="nil"/>
            </w:tcBorders>
            <w:shd w:val="clear" w:color="auto" w:fill="auto"/>
            <w:noWrap/>
            <w:vAlign w:val="center"/>
          </w:tcPr>
          <w:p w14:paraId="6410D5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w:t>
            </w:r>
          </w:p>
        </w:tc>
      </w:tr>
      <w:tr w14:paraId="4BEE9E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5030E6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S7</w:t>
            </w:r>
          </w:p>
        </w:tc>
        <w:tc>
          <w:tcPr>
            <w:tcW w:w="759" w:type="pct"/>
            <w:vMerge w:val="continue"/>
            <w:tcBorders>
              <w:tl2br w:val="nil"/>
              <w:tr2bl w:val="nil"/>
            </w:tcBorders>
            <w:shd w:val="clear" w:color="auto" w:fill="auto"/>
            <w:noWrap/>
            <w:vAlign w:val="center"/>
          </w:tcPr>
          <w:p w14:paraId="4F59E9F2">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18D3F1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1042" w:type="pct"/>
            <w:tcBorders>
              <w:tl2br w:val="nil"/>
              <w:tr2bl w:val="nil"/>
            </w:tcBorders>
            <w:shd w:val="clear" w:color="auto" w:fill="auto"/>
            <w:noWrap/>
            <w:vAlign w:val="center"/>
          </w:tcPr>
          <w:p w14:paraId="01DCC1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废洁净服</w:t>
            </w:r>
          </w:p>
        </w:tc>
        <w:tc>
          <w:tcPr>
            <w:tcW w:w="585" w:type="pct"/>
            <w:tcBorders>
              <w:tl2br w:val="nil"/>
              <w:tr2bl w:val="nil"/>
            </w:tcBorders>
            <w:shd w:val="clear" w:color="auto" w:fill="auto"/>
            <w:noWrap/>
            <w:vAlign w:val="center"/>
          </w:tcPr>
          <w:p w14:paraId="4088A9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5675B6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681" w:type="pct"/>
            <w:tcBorders>
              <w:tl2br w:val="nil"/>
              <w:tr2bl w:val="nil"/>
            </w:tcBorders>
            <w:shd w:val="clear" w:color="auto" w:fill="auto"/>
            <w:noWrap/>
            <w:vAlign w:val="center"/>
          </w:tcPr>
          <w:p w14:paraId="27A461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w:t>
            </w:r>
          </w:p>
        </w:tc>
      </w:tr>
      <w:tr w14:paraId="28B816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327" w:type="pct"/>
            <w:tcBorders>
              <w:tl2br w:val="nil"/>
              <w:tr2bl w:val="nil"/>
            </w:tcBorders>
            <w:shd w:val="clear" w:color="auto" w:fill="auto"/>
            <w:noWrap/>
            <w:vAlign w:val="center"/>
          </w:tcPr>
          <w:p w14:paraId="67DE65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S8</w:t>
            </w:r>
          </w:p>
        </w:tc>
        <w:tc>
          <w:tcPr>
            <w:tcW w:w="759" w:type="pct"/>
            <w:vMerge w:val="continue"/>
            <w:tcBorders>
              <w:tl2br w:val="nil"/>
              <w:tr2bl w:val="nil"/>
            </w:tcBorders>
            <w:shd w:val="clear" w:color="auto" w:fill="auto"/>
            <w:noWrap/>
            <w:vAlign w:val="center"/>
          </w:tcPr>
          <w:p w14:paraId="60DBEF95">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4C1E4E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1042" w:type="pct"/>
            <w:tcBorders>
              <w:tl2br w:val="nil"/>
              <w:tr2bl w:val="nil"/>
            </w:tcBorders>
            <w:shd w:val="clear" w:color="auto" w:fill="auto"/>
            <w:noWrap/>
            <w:vAlign w:val="center"/>
          </w:tcPr>
          <w:p w14:paraId="3E3FBE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实验室废液</w:t>
            </w:r>
          </w:p>
        </w:tc>
        <w:tc>
          <w:tcPr>
            <w:tcW w:w="585" w:type="pct"/>
            <w:tcBorders>
              <w:tl2br w:val="nil"/>
              <w:tr2bl w:val="nil"/>
            </w:tcBorders>
            <w:shd w:val="clear" w:color="auto" w:fill="auto"/>
            <w:noWrap/>
            <w:vAlign w:val="center"/>
          </w:tcPr>
          <w:p w14:paraId="0ADE0A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3906E1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681" w:type="pct"/>
            <w:tcBorders>
              <w:tl2br w:val="nil"/>
              <w:tr2bl w:val="nil"/>
            </w:tcBorders>
            <w:shd w:val="clear" w:color="auto" w:fill="auto"/>
            <w:noWrap/>
            <w:vAlign w:val="center"/>
          </w:tcPr>
          <w:p w14:paraId="34D4A9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T/C</w:t>
            </w:r>
          </w:p>
        </w:tc>
      </w:tr>
      <w:tr w14:paraId="480123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600E39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S9</w:t>
            </w:r>
          </w:p>
        </w:tc>
        <w:tc>
          <w:tcPr>
            <w:tcW w:w="759" w:type="pct"/>
            <w:tcBorders>
              <w:tl2br w:val="nil"/>
              <w:tr2bl w:val="nil"/>
            </w:tcBorders>
            <w:shd w:val="clear" w:color="auto" w:fill="auto"/>
            <w:noWrap/>
            <w:vAlign w:val="center"/>
          </w:tcPr>
          <w:p w14:paraId="6962C9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49E6CA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拆包</w:t>
            </w:r>
          </w:p>
        </w:tc>
        <w:tc>
          <w:tcPr>
            <w:tcW w:w="1042" w:type="pct"/>
            <w:tcBorders>
              <w:tl2br w:val="nil"/>
              <w:tr2bl w:val="nil"/>
            </w:tcBorders>
            <w:shd w:val="clear" w:color="auto" w:fill="auto"/>
            <w:noWrap/>
            <w:vAlign w:val="center"/>
          </w:tcPr>
          <w:p w14:paraId="78EE1B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沾染化学品包装</w:t>
            </w:r>
          </w:p>
        </w:tc>
        <w:tc>
          <w:tcPr>
            <w:tcW w:w="585" w:type="pct"/>
            <w:tcBorders>
              <w:tl2br w:val="nil"/>
              <w:tr2bl w:val="nil"/>
            </w:tcBorders>
            <w:shd w:val="clear" w:color="auto" w:fill="auto"/>
            <w:noWrap/>
            <w:vAlign w:val="center"/>
          </w:tcPr>
          <w:p w14:paraId="1460F9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vAlign w:val="center"/>
          </w:tcPr>
          <w:p w14:paraId="68C243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681" w:type="pct"/>
            <w:tcBorders>
              <w:tl2br w:val="nil"/>
              <w:tr2bl w:val="nil"/>
            </w:tcBorders>
            <w:shd w:val="clear" w:color="auto" w:fill="auto"/>
            <w:vAlign w:val="center"/>
          </w:tcPr>
          <w:p w14:paraId="6C9AEA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T/C/I/R</w:t>
            </w:r>
          </w:p>
        </w:tc>
      </w:tr>
      <w:tr w14:paraId="45E845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5909E8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S10</w:t>
            </w:r>
          </w:p>
        </w:tc>
        <w:tc>
          <w:tcPr>
            <w:tcW w:w="759" w:type="pct"/>
            <w:tcBorders>
              <w:tl2br w:val="nil"/>
              <w:tr2bl w:val="nil"/>
            </w:tcBorders>
            <w:shd w:val="clear" w:color="auto" w:fill="auto"/>
            <w:noWrap/>
            <w:vAlign w:val="center"/>
          </w:tcPr>
          <w:p w14:paraId="7D733D0A">
            <w:pPr>
              <w:jc w:val="center"/>
              <w:rPr>
                <w:rFonts w:hint="default" w:ascii="Times New Roman" w:hAnsi="Times New Roman" w:eastAsia="宋体" w:cs="Times New Roman"/>
                <w:i w:val="0"/>
                <w:iCs w:val="0"/>
                <w:color w:val="000000"/>
                <w:sz w:val="18"/>
                <w:szCs w:val="18"/>
                <w:u w:val="none"/>
              </w:rPr>
            </w:pPr>
          </w:p>
        </w:tc>
        <w:tc>
          <w:tcPr>
            <w:tcW w:w="630" w:type="pct"/>
            <w:tcBorders>
              <w:tl2br w:val="nil"/>
              <w:tr2bl w:val="nil"/>
            </w:tcBorders>
            <w:shd w:val="clear" w:color="auto" w:fill="auto"/>
            <w:noWrap/>
            <w:vAlign w:val="center"/>
          </w:tcPr>
          <w:p w14:paraId="3D94EC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1042" w:type="pct"/>
            <w:tcBorders>
              <w:tl2br w:val="nil"/>
              <w:tr2bl w:val="nil"/>
            </w:tcBorders>
            <w:shd w:val="clear" w:color="auto" w:fill="auto"/>
            <w:noWrap/>
            <w:vAlign w:val="center"/>
          </w:tcPr>
          <w:p w14:paraId="7133F0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585" w:type="pct"/>
            <w:tcBorders>
              <w:tl2br w:val="nil"/>
              <w:tr2bl w:val="nil"/>
            </w:tcBorders>
            <w:shd w:val="clear" w:color="auto" w:fill="auto"/>
            <w:noWrap/>
            <w:vAlign w:val="center"/>
          </w:tcPr>
          <w:p w14:paraId="2CBC65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2581F7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HW49/900-039-49</w:t>
            </w:r>
          </w:p>
        </w:tc>
        <w:tc>
          <w:tcPr>
            <w:tcW w:w="681" w:type="pct"/>
            <w:tcBorders>
              <w:tl2br w:val="nil"/>
              <w:tr2bl w:val="nil"/>
            </w:tcBorders>
            <w:shd w:val="clear" w:color="auto" w:fill="auto"/>
            <w:noWrap/>
            <w:vAlign w:val="center"/>
          </w:tcPr>
          <w:p w14:paraId="5ED687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T/In</w:t>
            </w:r>
          </w:p>
        </w:tc>
      </w:tr>
      <w:tr w14:paraId="72F959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66552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S11</w:t>
            </w:r>
          </w:p>
        </w:tc>
        <w:tc>
          <w:tcPr>
            <w:tcW w:w="759" w:type="pct"/>
            <w:tcBorders>
              <w:tl2br w:val="nil"/>
              <w:tr2bl w:val="nil"/>
            </w:tcBorders>
            <w:shd w:val="clear" w:color="auto" w:fill="auto"/>
            <w:noWrap/>
            <w:vAlign w:val="center"/>
          </w:tcPr>
          <w:p w14:paraId="268771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2295A0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1042" w:type="pct"/>
            <w:tcBorders>
              <w:tl2br w:val="nil"/>
              <w:tr2bl w:val="nil"/>
            </w:tcBorders>
            <w:shd w:val="clear" w:color="auto" w:fill="auto"/>
            <w:noWrap/>
            <w:vAlign w:val="center"/>
          </w:tcPr>
          <w:p w14:paraId="3E9C57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废活性炭</w:t>
            </w:r>
          </w:p>
        </w:tc>
        <w:tc>
          <w:tcPr>
            <w:tcW w:w="585" w:type="pct"/>
            <w:tcBorders>
              <w:tl2br w:val="nil"/>
              <w:tr2bl w:val="nil"/>
            </w:tcBorders>
            <w:shd w:val="clear" w:color="auto" w:fill="auto"/>
            <w:noWrap/>
            <w:vAlign w:val="center"/>
          </w:tcPr>
          <w:p w14:paraId="2E106A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7E4272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HW49/900-039-49</w:t>
            </w:r>
          </w:p>
        </w:tc>
        <w:tc>
          <w:tcPr>
            <w:tcW w:w="681" w:type="pct"/>
            <w:tcBorders>
              <w:tl2br w:val="nil"/>
              <w:tr2bl w:val="nil"/>
            </w:tcBorders>
            <w:shd w:val="clear" w:color="auto" w:fill="auto"/>
            <w:noWrap/>
            <w:vAlign w:val="center"/>
          </w:tcPr>
          <w:p w14:paraId="26C198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w:t>
            </w:r>
          </w:p>
        </w:tc>
      </w:tr>
      <w:tr w14:paraId="5021B4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5EE330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S12</w:t>
            </w:r>
          </w:p>
        </w:tc>
        <w:tc>
          <w:tcPr>
            <w:tcW w:w="759" w:type="pct"/>
            <w:tcBorders>
              <w:tl2br w:val="nil"/>
              <w:tr2bl w:val="nil"/>
            </w:tcBorders>
            <w:shd w:val="clear" w:color="auto" w:fill="auto"/>
            <w:noWrap/>
            <w:vAlign w:val="center"/>
          </w:tcPr>
          <w:p w14:paraId="56A915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11DB58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1042" w:type="pct"/>
            <w:tcBorders>
              <w:tl2br w:val="nil"/>
              <w:tr2bl w:val="nil"/>
            </w:tcBorders>
            <w:shd w:val="clear" w:color="auto" w:fill="auto"/>
            <w:noWrap/>
            <w:vAlign w:val="center"/>
          </w:tcPr>
          <w:p w14:paraId="41C8CA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废润滑油</w:t>
            </w:r>
          </w:p>
        </w:tc>
        <w:tc>
          <w:tcPr>
            <w:tcW w:w="585" w:type="pct"/>
            <w:tcBorders>
              <w:tl2br w:val="nil"/>
              <w:tr2bl w:val="nil"/>
            </w:tcBorders>
            <w:shd w:val="clear" w:color="auto" w:fill="auto"/>
            <w:noWrap/>
            <w:vAlign w:val="center"/>
          </w:tcPr>
          <w:p w14:paraId="0FC3C0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07BAB0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HW49/900-214-08</w:t>
            </w:r>
          </w:p>
        </w:tc>
        <w:tc>
          <w:tcPr>
            <w:tcW w:w="681" w:type="pct"/>
            <w:tcBorders>
              <w:tl2br w:val="nil"/>
              <w:tr2bl w:val="nil"/>
            </w:tcBorders>
            <w:shd w:val="clear" w:color="auto" w:fill="auto"/>
            <w:noWrap/>
            <w:vAlign w:val="center"/>
          </w:tcPr>
          <w:p w14:paraId="209852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w:t>
            </w:r>
          </w:p>
        </w:tc>
      </w:tr>
      <w:tr w14:paraId="13897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44992A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S13</w:t>
            </w:r>
          </w:p>
        </w:tc>
        <w:tc>
          <w:tcPr>
            <w:tcW w:w="759" w:type="pct"/>
            <w:tcBorders>
              <w:tl2br w:val="nil"/>
              <w:tr2bl w:val="nil"/>
            </w:tcBorders>
            <w:shd w:val="clear" w:color="auto" w:fill="auto"/>
            <w:noWrap/>
            <w:vAlign w:val="center"/>
          </w:tcPr>
          <w:p w14:paraId="2B809B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0ABE33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1042" w:type="pct"/>
            <w:tcBorders>
              <w:tl2br w:val="nil"/>
              <w:tr2bl w:val="nil"/>
            </w:tcBorders>
            <w:shd w:val="clear" w:color="auto" w:fill="auto"/>
            <w:noWrap/>
            <w:vAlign w:val="center"/>
          </w:tcPr>
          <w:p w14:paraId="2F4007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废油桶</w:t>
            </w:r>
          </w:p>
        </w:tc>
        <w:tc>
          <w:tcPr>
            <w:tcW w:w="585" w:type="pct"/>
            <w:tcBorders>
              <w:tl2br w:val="nil"/>
              <w:tr2bl w:val="nil"/>
            </w:tcBorders>
            <w:shd w:val="clear" w:color="auto" w:fill="auto"/>
            <w:noWrap/>
            <w:vAlign w:val="center"/>
          </w:tcPr>
          <w:p w14:paraId="37CC7E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是</w:t>
            </w:r>
          </w:p>
        </w:tc>
        <w:tc>
          <w:tcPr>
            <w:tcW w:w="973" w:type="pct"/>
            <w:tcBorders>
              <w:tl2br w:val="nil"/>
              <w:tr2bl w:val="nil"/>
            </w:tcBorders>
            <w:shd w:val="clear" w:color="auto" w:fill="auto"/>
            <w:noWrap/>
            <w:vAlign w:val="center"/>
          </w:tcPr>
          <w:p w14:paraId="4A2AFB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681" w:type="pct"/>
            <w:tcBorders>
              <w:tl2br w:val="nil"/>
              <w:tr2bl w:val="nil"/>
            </w:tcBorders>
            <w:shd w:val="clear" w:color="auto" w:fill="auto"/>
            <w:noWrap/>
            <w:vAlign w:val="center"/>
          </w:tcPr>
          <w:p w14:paraId="33FA53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w:t>
            </w:r>
          </w:p>
        </w:tc>
      </w:tr>
      <w:tr w14:paraId="3E883B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27" w:type="pct"/>
            <w:tcBorders>
              <w:tl2br w:val="nil"/>
              <w:tr2bl w:val="nil"/>
            </w:tcBorders>
            <w:shd w:val="clear" w:color="auto" w:fill="auto"/>
            <w:noWrap/>
            <w:vAlign w:val="center"/>
          </w:tcPr>
          <w:p w14:paraId="6AD997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S14</w:t>
            </w:r>
          </w:p>
        </w:tc>
        <w:tc>
          <w:tcPr>
            <w:tcW w:w="759" w:type="pct"/>
            <w:tcBorders>
              <w:tl2br w:val="nil"/>
              <w:tr2bl w:val="nil"/>
            </w:tcBorders>
            <w:shd w:val="clear" w:color="auto" w:fill="auto"/>
            <w:noWrap/>
            <w:vAlign w:val="center"/>
          </w:tcPr>
          <w:p w14:paraId="6827A8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0" w:type="pct"/>
            <w:tcBorders>
              <w:tl2br w:val="nil"/>
              <w:tr2bl w:val="nil"/>
            </w:tcBorders>
            <w:shd w:val="clear" w:color="auto" w:fill="auto"/>
            <w:noWrap/>
            <w:vAlign w:val="center"/>
          </w:tcPr>
          <w:p w14:paraId="2EB953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员工生活</w:t>
            </w:r>
          </w:p>
        </w:tc>
        <w:tc>
          <w:tcPr>
            <w:tcW w:w="1042" w:type="pct"/>
            <w:tcBorders>
              <w:tl2br w:val="nil"/>
              <w:tr2bl w:val="nil"/>
            </w:tcBorders>
            <w:shd w:val="clear" w:color="auto" w:fill="auto"/>
            <w:noWrap/>
            <w:vAlign w:val="center"/>
          </w:tcPr>
          <w:p w14:paraId="14E3F4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生活垃圾</w:t>
            </w:r>
          </w:p>
        </w:tc>
        <w:tc>
          <w:tcPr>
            <w:tcW w:w="585" w:type="pct"/>
            <w:tcBorders>
              <w:tl2br w:val="nil"/>
              <w:tr2bl w:val="nil"/>
            </w:tcBorders>
            <w:shd w:val="clear" w:color="auto" w:fill="auto"/>
            <w:noWrap/>
            <w:vAlign w:val="center"/>
          </w:tcPr>
          <w:p w14:paraId="229156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否</w:t>
            </w:r>
          </w:p>
        </w:tc>
        <w:tc>
          <w:tcPr>
            <w:tcW w:w="973" w:type="pct"/>
            <w:tcBorders>
              <w:tl2br w:val="nil"/>
              <w:tr2bl w:val="nil"/>
            </w:tcBorders>
            <w:shd w:val="clear" w:color="auto" w:fill="auto"/>
            <w:noWrap/>
            <w:vAlign w:val="center"/>
          </w:tcPr>
          <w:p w14:paraId="07C826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SW64/900-099-S64</w:t>
            </w:r>
          </w:p>
        </w:tc>
        <w:tc>
          <w:tcPr>
            <w:tcW w:w="681" w:type="pct"/>
            <w:tcBorders>
              <w:tl2br w:val="nil"/>
              <w:tr2bl w:val="nil"/>
            </w:tcBorders>
            <w:shd w:val="clear" w:color="auto" w:fill="auto"/>
            <w:noWrap/>
            <w:vAlign w:val="center"/>
          </w:tcPr>
          <w:p w14:paraId="31F7A8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bl>
    <w:p w14:paraId="4DA8F257">
      <w:pPr>
        <w:spacing w:line="360" w:lineRule="auto"/>
        <w:rPr>
          <w:b/>
          <w:bCs/>
          <w:szCs w:val="21"/>
        </w:rPr>
      </w:pPr>
    </w:p>
    <w:p w14:paraId="60F383F9">
      <w:pPr>
        <w:spacing w:line="360" w:lineRule="auto"/>
        <w:rPr>
          <w:b/>
          <w:bCs/>
          <w:szCs w:val="21"/>
        </w:rPr>
      </w:pPr>
    </w:p>
    <w:p w14:paraId="4C9113D4">
      <w:pPr>
        <w:spacing w:line="360" w:lineRule="auto"/>
        <w:rPr>
          <w:b/>
          <w:bCs/>
          <w:szCs w:val="21"/>
        </w:rPr>
      </w:pPr>
    </w:p>
    <w:p w14:paraId="300A1B7D">
      <w:pPr>
        <w:spacing w:line="360" w:lineRule="auto"/>
        <w:rPr>
          <w:b/>
          <w:bCs/>
          <w:szCs w:val="21"/>
        </w:rPr>
      </w:pPr>
    </w:p>
    <w:p w14:paraId="7F400499">
      <w:pPr>
        <w:spacing w:line="360" w:lineRule="auto"/>
        <w:rPr>
          <w:b/>
          <w:bCs/>
          <w:szCs w:val="21"/>
        </w:rPr>
      </w:pPr>
    </w:p>
    <w:p w14:paraId="7F382EF3">
      <w:pPr>
        <w:spacing w:line="360" w:lineRule="auto"/>
        <w:rPr>
          <w:b/>
          <w:bCs/>
          <w:szCs w:val="21"/>
        </w:rPr>
      </w:pPr>
    </w:p>
    <w:p w14:paraId="1752B04E">
      <w:pPr>
        <w:spacing w:line="360" w:lineRule="auto"/>
        <w:rPr>
          <w:b/>
          <w:bCs/>
          <w:szCs w:val="21"/>
        </w:rPr>
      </w:pPr>
      <w:r>
        <w:rPr>
          <w:rFonts w:hint="eastAsia"/>
          <w:b/>
          <w:bCs/>
          <w:szCs w:val="21"/>
        </w:rPr>
        <w:t>4、固废污染源源强核算结果</w:t>
      </w:r>
    </w:p>
    <w:p w14:paraId="216B15C1">
      <w:pPr>
        <w:spacing w:line="360" w:lineRule="auto"/>
        <w:ind w:firstLine="420" w:firstLineChars="200"/>
        <w:rPr>
          <w:b/>
          <w:bCs/>
          <w:szCs w:val="21"/>
        </w:rPr>
      </w:pPr>
      <w:r>
        <w:rPr>
          <w:rFonts w:hint="eastAsia"/>
          <w:szCs w:val="21"/>
        </w:rPr>
        <w:t>本项目固体废物污染源源强核算结果如</w:t>
      </w:r>
      <w:r>
        <w:rPr>
          <w:rFonts w:hint="eastAsia"/>
          <w:bCs/>
          <w:szCs w:val="21"/>
        </w:rPr>
        <w:t>下表</w:t>
      </w:r>
      <w:r>
        <w:rPr>
          <w:rFonts w:hint="eastAsia"/>
          <w:szCs w:val="21"/>
        </w:rPr>
        <w:t>所示</w:t>
      </w:r>
      <w:r>
        <w:rPr>
          <w:rFonts w:hint="eastAsia"/>
          <w:b/>
          <w:bCs/>
          <w:szCs w:val="21"/>
        </w:rPr>
        <w:t>。</w:t>
      </w:r>
    </w:p>
    <w:p w14:paraId="7C9D7EF8">
      <w:pPr>
        <w:numPr>
          <w:ilvl w:val="0"/>
          <w:numId w:val="12"/>
        </w:numPr>
        <w:spacing w:line="360" w:lineRule="auto"/>
        <w:jc w:val="center"/>
        <w:rPr>
          <w:rFonts w:hint="eastAsia" w:ascii="黑体" w:hAnsi="黑体" w:eastAsia="黑体" w:cs="黑体"/>
          <w:szCs w:val="21"/>
        </w:rPr>
      </w:pPr>
      <w:r>
        <w:rPr>
          <w:rFonts w:hint="eastAsia" w:ascii="黑体" w:hAnsi="黑体" w:eastAsia="黑体" w:cs="黑体"/>
          <w:spacing w:val="-10"/>
          <w:szCs w:val="21"/>
        </w:rPr>
        <w:t xml:space="preserve"> 项目固废污染源源强核算结果及相关参数一览表</w:t>
      </w:r>
    </w:p>
    <w:tbl>
      <w:tblPr>
        <w:tblStyle w:val="26"/>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78"/>
        <w:gridCol w:w="1261"/>
        <w:gridCol w:w="1060"/>
        <w:gridCol w:w="1840"/>
        <w:gridCol w:w="1033"/>
        <w:gridCol w:w="1052"/>
        <w:gridCol w:w="1188"/>
        <w:gridCol w:w="1776"/>
        <w:gridCol w:w="1271"/>
        <w:gridCol w:w="2342"/>
      </w:tblGrid>
      <w:tr w14:paraId="2A14C3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vMerge w:val="restart"/>
            <w:tcBorders>
              <w:tl2br w:val="nil"/>
              <w:tr2bl w:val="nil"/>
            </w:tcBorders>
            <w:shd w:val="clear" w:color="auto" w:fill="auto"/>
            <w:noWrap/>
            <w:vAlign w:val="center"/>
          </w:tcPr>
          <w:p w14:paraId="4A3069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865" w:type="pct"/>
            <w:gridSpan w:val="2"/>
            <w:vMerge w:val="restart"/>
            <w:tcBorders>
              <w:tl2br w:val="nil"/>
              <w:tr2bl w:val="nil"/>
            </w:tcBorders>
            <w:shd w:val="clear" w:color="auto" w:fill="auto"/>
            <w:vAlign w:val="center"/>
          </w:tcPr>
          <w:p w14:paraId="4891CA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产生工序</w:t>
            </w:r>
          </w:p>
        </w:tc>
        <w:tc>
          <w:tcPr>
            <w:tcW w:w="686" w:type="pct"/>
            <w:vMerge w:val="restart"/>
            <w:tcBorders>
              <w:tl2br w:val="nil"/>
              <w:tr2bl w:val="nil"/>
            </w:tcBorders>
            <w:shd w:val="clear" w:color="auto" w:fill="auto"/>
            <w:noWrap/>
            <w:vAlign w:val="center"/>
          </w:tcPr>
          <w:p w14:paraId="248B45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名称</w:t>
            </w:r>
          </w:p>
        </w:tc>
        <w:tc>
          <w:tcPr>
            <w:tcW w:w="385" w:type="pct"/>
            <w:vMerge w:val="restart"/>
            <w:tcBorders>
              <w:tl2br w:val="nil"/>
              <w:tr2bl w:val="nil"/>
            </w:tcBorders>
            <w:shd w:val="clear" w:color="auto" w:fill="auto"/>
            <w:noWrap/>
            <w:vAlign w:val="center"/>
          </w:tcPr>
          <w:p w14:paraId="2983F8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固废属性</w:t>
            </w:r>
          </w:p>
        </w:tc>
        <w:tc>
          <w:tcPr>
            <w:tcW w:w="835" w:type="pct"/>
            <w:gridSpan w:val="2"/>
            <w:tcBorders>
              <w:tl2br w:val="nil"/>
              <w:tr2bl w:val="nil"/>
            </w:tcBorders>
            <w:shd w:val="clear" w:color="auto" w:fill="auto"/>
            <w:noWrap/>
            <w:vAlign w:val="center"/>
          </w:tcPr>
          <w:p w14:paraId="40DC85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产生情况</w:t>
            </w:r>
          </w:p>
        </w:tc>
        <w:tc>
          <w:tcPr>
            <w:tcW w:w="1136" w:type="pct"/>
            <w:gridSpan w:val="2"/>
            <w:tcBorders>
              <w:tl2br w:val="nil"/>
              <w:tr2bl w:val="nil"/>
            </w:tcBorders>
            <w:shd w:val="clear" w:color="auto" w:fill="auto"/>
            <w:noWrap/>
            <w:vAlign w:val="center"/>
          </w:tcPr>
          <w:p w14:paraId="50E333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处置措施</w:t>
            </w:r>
          </w:p>
        </w:tc>
        <w:tc>
          <w:tcPr>
            <w:tcW w:w="873" w:type="pct"/>
            <w:tcBorders>
              <w:tl2br w:val="nil"/>
              <w:tr2bl w:val="nil"/>
            </w:tcBorders>
            <w:shd w:val="clear" w:color="auto" w:fill="auto"/>
            <w:noWrap/>
            <w:vAlign w:val="center"/>
          </w:tcPr>
          <w:p w14:paraId="764979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最终去向</w:t>
            </w:r>
          </w:p>
        </w:tc>
      </w:tr>
      <w:tr w14:paraId="6CBD9E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vMerge w:val="continue"/>
            <w:tcBorders>
              <w:tl2br w:val="nil"/>
              <w:tr2bl w:val="nil"/>
            </w:tcBorders>
            <w:shd w:val="clear" w:color="auto" w:fill="auto"/>
            <w:noWrap/>
            <w:vAlign w:val="center"/>
          </w:tcPr>
          <w:p w14:paraId="1D724297">
            <w:pPr>
              <w:jc w:val="center"/>
              <w:rPr>
                <w:rFonts w:hint="default" w:ascii="Times New Roman" w:hAnsi="Times New Roman" w:eastAsia="宋体" w:cs="Times New Roman"/>
                <w:i w:val="0"/>
                <w:iCs w:val="0"/>
                <w:color w:val="000000"/>
                <w:sz w:val="18"/>
                <w:szCs w:val="18"/>
                <w:u w:val="none"/>
              </w:rPr>
            </w:pPr>
          </w:p>
        </w:tc>
        <w:tc>
          <w:tcPr>
            <w:tcW w:w="865" w:type="pct"/>
            <w:gridSpan w:val="2"/>
            <w:vMerge w:val="continue"/>
            <w:tcBorders>
              <w:tl2br w:val="nil"/>
              <w:tr2bl w:val="nil"/>
            </w:tcBorders>
            <w:shd w:val="clear" w:color="auto" w:fill="auto"/>
            <w:vAlign w:val="center"/>
          </w:tcPr>
          <w:p w14:paraId="78021ECD">
            <w:pPr>
              <w:jc w:val="center"/>
              <w:rPr>
                <w:rFonts w:hint="default" w:ascii="Times New Roman" w:hAnsi="Times New Roman" w:eastAsia="宋体" w:cs="Times New Roman"/>
                <w:i w:val="0"/>
                <w:iCs w:val="0"/>
                <w:color w:val="000000"/>
                <w:sz w:val="18"/>
                <w:szCs w:val="18"/>
                <w:u w:val="none"/>
              </w:rPr>
            </w:pPr>
          </w:p>
        </w:tc>
        <w:tc>
          <w:tcPr>
            <w:tcW w:w="686" w:type="pct"/>
            <w:vMerge w:val="continue"/>
            <w:tcBorders>
              <w:tl2br w:val="nil"/>
              <w:tr2bl w:val="nil"/>
            </w:tcBorders>
            <w:shd w:val="clear" w:color="auto" w:fill="auto"/>
            <w:noWrap/>
            <w:vAlign w:val="center"/>
          </w:tcPr>
          <w:p w14:paraId="0A6D4150">
            <w:pPr>
              <w:jc w:val="center"/>
              <w:rPr>
                <w:rFonts w:hint="default" w:ascii="Times New Roman" w:hAnsi="Times New Roman" w:eastAsia="宋体" w:cs="Times New Roman"/>
                <w:i w:val="0"/>
                <w:iCs w:val="0"/>
                <w:color w:val="000000"/>
                <w:sz w:val="18"/>
                <w:szCs w:val="18"/>
                <w:u w:val="none"/>
              </w:rPr>
            </w:pPr>
          </w:p>
        </w:tc>
        <w:tc>
          <w:tcPr>
            <w:tcW w:w="385" w:type="pct"/>
            <w:vMerge w:val="continue"/>
            <w:tcBorders>
              <w:tl2br w:val="nil"/>
              <w:tr2bl w:val="nil"/>
            </w:tcBorders>
            <w:shd w:val="clear" w:color="auto" w:fill="auto"/>
            <w:noWrap/>
            <w:vAlign w:val="center"/>
          </w:tcPr>
          <w:p w14:paraId="144679E8">
            <w:pPr>
              <w:jc w:val="center"/>
              <w:rPr>
                <w:rFonts w:hint="default" w:ascii="Times New Roman" w:hAnsi="Times New Roman" w:eastAsia="宋体" w:cs="Times New Roman"/>
                <w:i w:val="0"/>
                <w:iCs w:val="0"/>
                <w:color w:val="000000"/>
                <w:sz w:val="18"/>
                <w:szCs w:val="18"/>
                <w:u w:val="none"/>
              </w:rPr>
            </w:pPr>
          </w:p>
        </w:tc>
        <w:tc>
          <w:tcPr>
            <w:tcW w:w="392" w:type="pct"/>
            <w:tcBorders>
              <w:tl2br w:val="nil"/>
              <w:tr2bl w:val="nil"/>
            </w:tcBorders>
            <w:shd w:val="clear" w:color="auto" w:fill="auto"/>
            <w:noWrap/>
            <w:vAlign w:val="center"/>
          </w:tcPr>
          <w:p w14:paraId="4A2ED2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442" w:type="pct"/>
            <w:tcBorders>
              <w:tl2br w:val="nil"/>
              <w:tr2bl w:val="nil"/>
            </w:tcBorders>
            <w:shd w:val="clear" w:color="auto" w:fill="auto"/>
            <w:noWrap/>
            <w:vAlign w:val="center"/>
          </w:tcPr>
          <w:p w14:paraId="3A43BC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产生量(t/a)</w:t>
            </w:r>
          </w:p>
        </w:tc>
        <w:tc>
          <w:tcPr>
            <w:tcW w:w="662" w:type="pct"/>
            <w:tcBorders>
              <w:tl2br w:val="nil"/>
              <w:tr2bl w:val="nil"/>
            </w:tcBorders>
            <w:shd w:val="clear" w:color="auto" w:fill="auto"/>
            <w:noWrap/>
            <w:vAlign w:val="center"/>
          </w:tcPr>
          <w:p w14:paraId="4AC504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工艺</w:t>
            </w:r>
          </w:p>
        </w:tc>
        <w:tc>
          <w:tcPr>
            <w:tcW w:w="474" w:type="pct"/>
            <w:tcBorders>
              <w:tl2br w:val="nil"/>
              <w:tr2bl w:val="nil"/>
            </w:tcBorders>
            <w:shd w:val="clear" w:color="auto" w:fill="auto"/>
            <w:noWrap/>
            <w:vAlign w:val="center"/>
          </w:tcPr>
          <w:p w14:paraId="29D99C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处置量(t/a)</w:t>
            </w:r>
          </w:p>
        </w:tc>
        <w:tc>
          <w:tcPr>
            <w:tcW w:w="873" w:type="pct"/>
            <w:tcBorders>
              <w:tl2br w:val="nil"/>
              <w:tr2bl w:val="nil"/>
            </w:tcBorders>
            <w:shd w:val="clear" w:color="auto" w:fill="auto"/>
            <w:noWrap/>
            <w:vAlign w:val="center"/>
          </w:tcPr>
          <w:p w14:paraId="4BCEBBE4">
            <w:pPr>
              <w:jc w:val="center"/>
              <w:rPr>
                <w:rFonts w:hint="default" w:ascii="Times New Roman" w:hAnsi="Times New Roman" w:eastAsia="宋体" w:cs="Times New Roman"/>
                <w:i w:val="0"/>
                <w:iCs w:val="0"/>
                <w:color w:val="000000"/>
                <w:sz w:val="18"/>
                <w:szCs w:val="18"/>
                <w:u w:val="none"/>
              </w:rPr>
            </w:pPr>
          </w:p>
        </w:tc>
      </w:tr>
      <w:tr w14:paraId="008FCA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5969BD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w:t>
            </w:r>
          </w:p>
        </w:tc>
        <w:tc>
          <w:tcPr>
            <w:tcW w:w="470" w:type="pct"/>
            <w:vMerge w:val="restart"/>
            <w:tcBorders>
              <w:tl2br w:val="nil"/>
              <w:tr2bl w:val="nil"/>
            </w:tcBorders>
            <w:shd w:val="clear" w:color="auto" w:fill="auto"/>
            <w:noWrap/>
            <w:vAlign w:val="center"/>
          </w:tcPr>
          <w:p w14:paraId="296F0E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产品生产</w:t>
            </w:r>
          </w:p>
        </w:tc>
        <w:tc>
          <w:tcPr>
            <w:tcW w:w="394" w:type="pct"/>
            <w:tcBorders>
              <w:tl2br w:val="nil"/>
              <w:tr2bl w:val="nil"/>
            </w:tcBorders>
            <w:shd w:val="clear" w:color="auto" w:fill="auto"/>
            <w:noWrap/>
            <w:vAlign w:val="center"/>
          </w:tcPr>
          <w:p w14:paraId="7FA56C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裁切</w:t>
            </w:r>
          </w:p>
        </w:tc>
        <w:tc>
          <w:tcPr>
            <w:tcW w:w="686" w:type="pct"/>
            <w:tcBorders>
              <w:tl2br w:val="nil"/>
              <w:tr2bl w:val="nil"/>
            </w:tcBorders>
            <w:shd w:val="clear" w:color="auto" w:fill="auto"/>
            <w:noWrap/>
            <w:vAlign w:val="center"/>
          </w:tcPr>
          <w:p w14:paraId="387D02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w:t>
            </w:r>
          </w:p>
        </w:tc>
        <w:tc>
          <w:tcPr>
            <w:tcW w:w="385" w:type="pct"/>
            <w:tcBorders>
              <w:tl2br w:val="nil"/>
              <w:tr2bl w:val="nil"/>
            </w:tcBorders>
            <w:shd w:val="clear" w:color="auto" w:fill="auto"/>
            <w:noWrap/>
            <w:vAlign w:val="center"/>
          </w:tcPr>
          <w:p w14:paraId="45F2D4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一般固废</w:t>
            </w:r>
          </w:p>
        </w:tc>
        <w:tc>
          <w:tcPr>
            <w:tcW w:w="392" w:type="pct"/>
            <w:tcBorders>
              <w:tl2br w:val="nil"/>
              <w:tr2bl w:val="nil"/>
            </w:tcBorders>
            <w:shd w:val="clear" w:color="auto" w:fill="auto"/>
            <w:noWrap/>
            <w:vAlign w:val="center"/>
          </w:tcPr>
          <w:p w14:paraId="31D208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223726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w:t>
            </w:r>
          </w:p>
        </w:tc>
        <w:tc>
          <w:tcPr>
            <w:tcW w:w="662" w:type="pct"/>
            <w:tcBorders>
              <w:tl2br w:val="nil"/>
              <w:tr2bl w:val="nil"/>
            </w:tcBorders>
            <w:shd w:val="clear" w:color="auto" w:fill="auto"/>
            <w:noWrap/>
            <w:vAlign w:val="center"/>
          </w:tcPr>
          <w:p w14:paraId="01FDAC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w:t>
            </w:r>
          </w:p>
        </w:tc>
        <w:tc>
          <w:tcPr>
            <w:tcW w:w="474" w:type="pct"/>
            <w:tcBorders>
              <w:tl2br w:val="nil"/>
              <w:tr2bl w:val="nil"/>
            </w:tcBorders>
            <w:shd w:val="clear" w:color="auto" w:fill="auto"/>
            <w:noWrap/>
            <w:vAlign w:val="center"/>
          </w:tcPr>
          <w:p w14:paraId="2A646C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w:t>
            </w:r>
          </w:p>
        </w:tc>
        <w:tc>
          <w:tcPr>
            <w:tcW w:w="873" w:type="pct"/>
            <w:vMerge w:val="restart"/>
            <w:tcBorders>
              <w:tl2br w:val="nil"/>
              <w:tr2bl w:val="nil"/>
            </w:tcBorders>
            <w:shd w:val="clear" w:color="auto" w:fill="auto"/>
            <w:noWrap/>
            <w:vAlign w:val="center"/>
          </w:tcPr>
          <w:p w14:paraId="519B9D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委托处置</w:t>
            </w:r>
          </w:p>
        </w:tc>
      </w:tr>
      <w:tr w14:paraId="370896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1BE4F6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S2</w:t>
            </w:r>
          </w:p>
        </w:tc>
        <w:tc>
          <w:tcPr>
            <w:tcW w:w="470" w:type="pct"/>
            <w:vMerge w:val="continue"/>
            <w:tcBorders>
              <w:tl2br w:val="nil"/>
              <w:tr2bl w:val="nil"/>
            </w:tcBorders>
            <w:shd w:val="clear" w:color="auto" w:fill="auto"/>
            <w:noWrap/>
            <w:vAlign w:val="center"/>
          </w:tcPr>
          <w:p w14:paraId="6CDD8734">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56A226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总装</w:t>
            </w:r>
          </w:p>
        </w:tc>
        <w:tc>
          <w:tcPr>
            <w:tcW w:w="686" w:type="pct"/>
            <w:tcBorders>
              <w:tl2br w:val="nil"/>
              <w:tr2bl w:val="nil"/>
            </w:tcBorders>
            <w:shd w:val="clear" w:color="auto" w:fill="auto"/>
            <w:noWrap/>
            <w:vAlign w:val="center"/>
          </w:tcPr>
          <w:p w14:paraId="3FCDD2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385" w:type="pct"/>
            <w:tcBorders>
              <w:tl2br w:val="nil"/>
              <w:tr2bl w:val="nil"/>
            </w:tcBorders>
            <w:shd w:val="clear" w:color="auto" w:fill="auto"/>
            <w:noWrap/>
            <w:vAlign w:val="center"/>
          </w:tcPr>
          <w:p w14:paraId="0F3FBF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一般固废</w:t>
            </w:r>
          </w:p>
        </w:tc>
        <w:tc>
          <w:tcPr>
            <w:tcW w:w="392" w:type="pct"/>
            <w:tcBorders>
              <w:tl2br w:val="nil"/>
              <w:tr2bl w:val="nil"/>
            </w:tcBorders>
            <w:shd w:val="clear" w:color="auto" w:fill="auto"/>
            <w:noWrap/>
            <w:vAlign w:val="center"/>
          </w:tcPr>
          <w:p w14:paraId="02752D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32957D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662" w:type="pct"/>
            <w:tcBorders>
              <w:tl2br w:val="nil"/>
              <w:tr2bl w:val="nil"/>
            </w:tcBorders>
            <w:shd w:val="clear" w:color="auto" w:fill="auto"/>
            <w:noWrap/>
            <w:vAlign w:val="center"/>
          </w:tcPr>
          <w:p w14:paraId="67535F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w:t>
            </w:r>
          </w:p>
        </w:tc>
        <w:tc>
          <w:tcPr>
            <w:tcW w:w="474" w:type="pct"/>
            <w:tcBorders>
              <w:tl2br w:val="nil"/>
              <w:tr2bl w:val="nil"/>
            </w:tcBorders>
            <w:shd w:val="clear" w:color="auto" w:fill="auto"/>
            <w:noWrap/>
            <w:vAlign w:val="center"/>
          </w:tcPr>
          <w:p w14:paraId="00A2BA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873" w:type="pct"/>
            <w:vMerge w:val="continue"/>
            <w:tcBorders>
              <w:tl2br w:val="nil"/>
              <w:tr2bl w:val="nil"/>
            </w:tcBorders>
            <w:shd w:val="clear" w:color="auto" w:fill="auto"/>
            <w:noWrap/>
            <w:vAlign w:val="center"/>
          </w:tcPr>
          <w:p w14:paraId="57CA8EFE">
            <w:pPr>
              <w:jc w:val="center"/>
              <w:rPr>
                <w:rFonts w:hint="default" w:ascii="Times New Roman" w:hAnsi="Times New Roman" w:eastAsia="宋体" w:cs="Times New Roman"/>
                <w:i w:val="0"/>
                <w:iCs w:val="0"/>
                <w:color w:val="000000"/>
                <w:sz w:val="18"/>
                <w:szCs w:val="18"/>
                <w:u w:val="none"/>
              </w:rPr>
            </w:pPr>
          </w:p>
        </w:tc>
      </w:tr>
      <w:tr w14:paraId="61118F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7B1DFD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S3</w:t>
            </w:r>
          </w:p>
        </w:tc>
        <w:tc>
          <w:tcPr>
            <w:tcW w:w="470" w:type="pct"/>
            <w:tcBorders>
              <w:tl2br w:val="nil"/>
              <w:tr2bl w:val="nil"/>
            </w:tcBorders>
            <w:shd w:val="clear" w:color="auto" w:fill="auto"/>
            <w:noWrap/>
            <w:vAlign w:val="center"/>
          </w:tcPr>
          <w:p w14:paraId="25E119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74141D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纯水制备</w:t>
            </w:r>
          </w:p>
        </w:tc>
        <w:tc>
          <w:tcPr>
            <w:tcW w:w="686" w:type="pct"/>
            <w:tcBorders>
              <w:tl2br w:val="nil"/>
              <w:tr2bl w:val="nil"/>
            </w:tcBorders>
            <w:shd w:val="clear" w:color="auto" w:fill="auto"/>
            <w:noWrap/>
            <w:vAlign w:val="center"/>
          </w:tcPr>
          <w:p w14:paraId="629E65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385" w:type="pct"/>
            <w:tcBorders>
              <w:tl2br w:val="nil"/>
              <w:tr2bl w:val="nil"/>
            </w:tcBorders>
            <w:shd w:val="clear" w:color="auto" w:fill="auto"/>
            <w:noWrap/>
            <w:vAlign w:val="center"/>
          </w:tcPr>
          <w:p w14:paraId="0A02F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一般固废</w:t>
            </w:r>
          </w:p>
        </w:tc>
        <w:tc>
          <w:tcPr>
            <w:tcW w:w="392" w:type="pct"/>
            <w:tcBorders>
              <w:tl2br w:val="nil"/>
              <w:tr2bl w:val="nil"/>
            </w:tcBorders>
            <w:shd w:val="clear" w:color="auto" w:fill="auto"/>
            <w:noWrap/>
            <w:vAlign w:val="center"/>
          </w:tcPr>
          <w:p w14:paraId="02D8A5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7223D4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62" w:type="pct"/>
            <w:tcBorders>
              <w:tl2br w:val="nil"/>
              <w:tr2bl w:val="nil"/>
            </w:tcBorders>
            <w:shd w:val="clear" w:color="auto" w:fill="auto"/>
            <w:noWrap/>
            <w:vAlign w:val="center"/>
          </w:tcPr>
          <w:p w14:paraId="5BFC16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w:t>
            </w:r>
          </w:p>
        </w:tc>
        <w:tc>
          <w:tcPr>
            <w:tcW w:w="474" w:type="pct"/>
            <w:tcBorders>
              <w:tl2br w:val="nil"/>
              <w:tr2bl w:val="nil"/>
            </w:tcBorders>
            <w:shd w:val="clear" w:color="auto" w:fill="auto"/>
            <w:noWrap/>
            <w:vAlign w:val="center"/>
          </w:tcPr>
          <w:p w14:paraId="4C3522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873" w:type="pct"/>
            <w:vMerge w:val="continue"/>
            <w:tcBorders>
              <w:tl2br w:val="nil"/>
              <w:tr2bl w:val="nil"/>
            </w:tcBorders>
            <w:shd w:val="clear" w:color="auto" w:fill="auto"/>
            <w:noWrap/>
            <w:vAlign w:val="center"/>
          </w:tcPr>
          <w:p w14:paraId="7C7E1D4D">
            <w:pPr>
              <w:jc w:val="center"/>
              <w:rPr>
                <w:rFonts w:hint="default" w:ascii="Times New Roman" w:hAnsi="Times New Roman" w:eastAsia="宋体" w:cs="Times New Roman"/>
                <w:i w:val="0"/>
                <w:iCs w:val="0"/>
                <w:color w:val="000000"/>
                <w:sz w:val="18"/>
                <w:szCs w:val="18"/>
                <w:u w:val="none"/>
              </w:rPr>
            </w:pPr>
          </w:p>
        </w:tc>
      </w:tr>
      <w:tr w14:paraId="2008D5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52A513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S4</w:t>
            </w:r>
          </w:p>
        </w:tc>
        <w:tc>
          <w:tcPr>
            <w:tcW w:w="470" w:type="pct"/>
            <w:vMerge w:val="restart"/>
            <w:tcBorders>
              <w:tl2br w:val="nil"/>
              <w:tr2bl w:val="nil"/>
            </w:tcBorders>
            <w:shd w:val="clear" w:color="auto" w:fill="auto"/>
            <w:noWrap/>
            <w:vAlign w:val="center"/>
          </w:tcPr>
          <w:p w14:paraId="39CC96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实验室检测</w:t>
            </w:r>
          </w:p>
        </w:tc>
        <w:tc>
          <w:tcPr>
            <w:tcW w:w="394" w:type="pct"/>
            <w:tcBorders>
              <w:tl2br w:val="nil"/>
              <w:tr2bl w:val="nil"/>
            </w:tcBorders>
            <w:shd w:val="clear" w:color="auto" w:fill="auto"/>
            <w:noWrap/>
            <w:vAlign w:val="center"/>
          </w:tcPr>
          <w:p w14:paraId="1CDCFB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86" w:type="pct"/>
            <w:tcBorders>
              <w:tl2br w:val="nil"/>
              <w:tr2bl w:val="nil"/>
            </w:tcBorders>
            <w:shd w:val="clear" w:color="auto" w:fill="auto"/>
            <w:noWrap/>
            <w:vAlign w:val="center"/>
          </w:tcPr>
          <w:p w14:paraId="687B58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实验室废物</w:t>
            </w:r>
          </w:p>
        </w:tc>
        <w:tc>
          <w:tcPr>
            <w:tcW w:w="385" w:type="pct"/>
            <w:tcBorders>
              <w:tl2br w:val="nil"/>
              <w:tr2bl w:val="nil"/>
            </w:tcBorders>
            <w:shd w:val="clear" w:color="auto" w:fill="auto"/>
            <w:noWrap/>
            <w:vAlign w:val="center"/>
          </w:tcPr>
          <w:p w14:paraId="7F93DC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306AE5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0B29F0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2" w:type="pct"/>
            <w:tcBorders>
              <w:tl2br w:val="nil"/>
              <w:tr2bl w:val="nil"/>
            </w:tcBorders>
            <w:shd w:val="clear" w:color="auto" w:fill="auto"/>
            <w:noWrap/>
            <w:vAlign w:val="center"/>
          </w:tcPr>
          <w:p w14:paraId="3C815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27FDD6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873" w:type="pct"/>
            <w:vMerge w:val="restart"/>
            <w:tcBorders>
              <w:tl2br w:val="nil"/>
              <w:tr2bl w:val="nil"/>
            </w:tcBorders>
            <w:shd w:val="clear" w:color="auto" w:fill="auto"/>
            <w:noWrap/>
            <w:vAlign w:val="center"/>
          </w:tcPr>
          <w:p w14:paraId="0D9F23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委托有资质单位处置</w:t>
            </w:r>
          </w:p>
        </w:tc>
      </w:tr>
      <w:tr w14:paraId="032277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7ECD48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S5</w:t>
            </w:r>
          </w:p>
        </w:tc>
        <w:tc>
          <w:tcPr>
            <w:tcW w:w="470" w:type="pct"/>
            <w:vMerge w:val="continue"/>
            <w:tcBorders>
              <w:tl2br w:val="nil"/>
              <w:tr2bl w:val="nil"/>
            </w:tcBorders>
            <w:shd w:val="clear" w:color="auto" w:fill="auto"/>
            <w:noWrap/>
            <w:vAlign w:val="center"/>
          </w:tcPr>
          <w:p w14:paraId="50B47A70">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002F97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86" w:type="pct"/>
            <w:tcBorders>
              <w:tl2br w:val="nil"/>
              <w:tr2bl w:val="nil"/>
            </w:tcBorders>
            <w:shd w:val="clear" w:color="auto" w:fill="auto"/>
            <w:noWrap/>
            <w:vAlign w:val="center"/>
          </w:tcPr>
          <w:p w14:paraId="38EEA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废一次性耗材</w:t>
            </w:r>
          </w:p>
        </w:tc>
        <w:tc>
          <w:tcPr>
            <w:tcW w:w="385" w:type="pct"/>
            <w:tcBorders>
              <w:tl2br w:val="nil"/>
              <w:tr2bl w:val="nil"/>
            </w:tcBorders>
            <w:shd w:val="clear" w:color="auto" w:fill="auto"/>
            <w:noWrap/>
            <w:vAlign w:val="center"/>
          </w:tcPr>
          <w:p w14:paraId="5B992C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4DAF96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4A37C2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62" w:type="pct"/>
            <w:tcBorders>
              <w:tl2br w:val="nil"/>
              <w:tr2bl w:val="nil"/>
            </w:tcBorders>
            <w:shd w:val="clear" w:color="auto" w:fill="auto"/>
            <w:noWrap/>
            <w:vAlign w:val="center"/>
          </w:tcPr>
          <w:p w14:paraId="1A2555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7FD8BC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873" w:type="pct"/>
            <w:vMerge w:val="continue"/>
            <w:tcBorders>
              <w:tl2br w:val="nil"/>
              <w:tr2bl w:val="nil"/>
            </w:tcBorders>
            <w:shd w:val="clear" w:color="auto" w:fill="auto"/>
            <w:noWrap/>
            <w:vAlign w:val="center"/>
          </w:tcPr>
          <w:p w14:paraId="1E3B69DE">
            <w:pPr>
              <w:jc w:val="center"/>
              <w:rPr>
                <w:rFonts w:hint="default" w:ascii="Times New Roman" w:hAnsi="Times New Roman" w:eastAsia="宋体" w:cs="Times New Roman"/>
                <w:i w:val="0"/>
                <w:iCs w:val="0"/>
                <w:color w:val="000000"/>
                <w:sz w:val="18"/>
                <w:szCs w:val="18"/>
                <w:u w:val="none"/>
              </w:rPr>
            </w:pPr>
          </w:p>
        </w:tc>
      </w:tr>
      <w:tr w14:paraId="3FD407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06F62C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S6</w:t>
            </w:r>
          </w:p>
        </w:tc>
        <w:tc>
          <w:tcPr>
            <w:tcW w:w="470" w:type="pct"/>
            <w:vMerge w:val="continue"/>
            <w:tcBorders>
              <w:tl2br w:val="nil"/>
              <w:tr2bl w:val="nil"/>
            </w:tcBorders>
            <w:shd w:val="clear" w:color="auto" w:fill="auto"/>
            <w:noWrap/>
            <w:vAlign w:val="center"/>
          </w:tcPr>
          <w:p w14:paraId="54FC57D1">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35D60C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86" w:type="pct"/>
            <w:tcBorders>
              <w:tl2br w:val="nil"/>
              <w:tr2bl w:val="nil"/>
            </w:tcBorders>
            <w:shd w:val="clear" w:color="auto" w:fill="auto"/>
            <w:noWrap/>
            <w:vAlign w:val="center"/>
          </w:tcPr>
          <w:p w14:paraId="13D6B8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废抹布</w:t>
            </w:r>
          </w:p>
        </w:tc>
        <w:tc>
          <w:tcPr>
            <w:tcW w:w="385" w:type="pct"/>
            <w:tcBorders>
              <w:tl2br w:val="nil"/>
              <w:tr2bl w:val="nil"/>
            </w:tcBorders>
            <w:shd w:val="clear" w:color="auto" w:fill="auto"/>
            <w:noWrap/>
            <w:vAlign w:val="center"/>
          </w:tcPr>
          <w:p w14:paraId="1E1518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146B4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3FA6D4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662" w:type="pct"/>
            <w:tcBorders>
              <w:tl2br w:val="nil"/>
              <w:tr2bl w:val="nil"/>
            </w:tcBorders>
            <w:shd w:val="clear" w:color="auto" w:fill="auto"/>
            <w:noWrap/>
            <w:vAlign w:val="center"/>
          </w:tcPr>
          <w:p w14:paraId="42CC6A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7E94FD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873" w:type="pct"/>
            <w:vMerge w:val="continue"/>
            <w:tcBorders>
              <w:tl2br w:val="nil"/>
              <w:tr2bl w:val="nil"/>
            </w:tcBorders>
            <w:shd w:val="clear" w:color="auto" w:fill="auto"/>
            <w:noWrap/>
            <w:vAlign w:val="center"/>
          </w:tcPr>
          <w:p w14:paraId="03C5441E">
            <w:pPr>
              <w:jc w:val="center"/>
              <w:rPr>
                <w:rFonts w:hint="default" w:ascii="Times New Roman" w:hAnsi="Times New Roman" w:eastAsia="宋体" w:cs="Times New Roman"/>
                <w:i w:val="0"/>
                <w:iCs w:val="0"/>
                <w:color w:val="000000"/>
                <w:sz w:val="18"/>
                <w:szCs w:val="18"/>
                <w:u w:val="none"/>
              </w:rPr>
            </w:pPr>
          </w:p>
        </w:tc>
      </w:tr>
      <w:tr w14:paraId="031D88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432E85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S7</w:t>
            </w:r>
          </w:p>
        </w:tc>
        <w:tc>
          <w:tcPr>
            <w:tcW w:w="470" w:type="pct"/>
            <w:vMerge w:val="continue"/>
            <w:tcBorders>
              <w:tl2br w:val="nil"/>
              <w:tr2bl w:val="nil"/>
            </w:tcBorders>
            <w:shd w:val="clear" w:color="auto" w:fill="auto"/>
            <w:noWrap/>
            <w:vAlign w:val="center"/>
          </w:tcPr>
          <w:p w14:paraId="6F6FD91A">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499FC6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86" w:type="pct"/>
            <w:tcBorders>
              <w:tl2br w:val="nil"/>
              <w:tr2bl w:val="nil"/>
            </w:tcBorders>
            <w:shd w:val="clear" w:color="auto" w:fill="auto"/>
            <w:noWrap/>
            <w:vAlign w:val="center"/>
          </w:tcPr>
          <w:p w14:paraId="6867A4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废洁净服</w:t>
            </w:r>
          </w:p>
        </w:tc>
        <w:tc>
          <w:tcPr>
            <w:tcW w:w="385" w:type="pct"/>
            <w:tcBorders>
              <w:tl2br w:val="nil"/>
              <w:tr2bl w:val="nil"/>
            </w:tcBorders>
            <w:shd w:val="clear" w:color="auto" w:fill="auto"/>
            <w:noWrap/>
            <w:vAlign w:val="center"/>
          </w:tcPr>
          <w:p w14:paraId="4A9FB7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45F6CF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5E6186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62" w:type="pct"/>
            <w:tcBorders>
              <w:tl2br w:val="nil"/>
              <w:tr2bl w:val="nil"/>
            </w:tcBorders>
            <w:shd w:val="clear" w:color="auto" w:fill="auto"/>
            <w:noWrap/>
            <w:vAlign w:val="center"/>
          </w:tcPr>
          <w:p w14:paraId="0D0FCC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3880F4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873" w:type="pct"/>
            <w:vMerge w:val="continue"/>
            <w:tcBorders>
              <w:tl2br w:val="nil"/>
              <w:tr2bl w:val="nil"/>
            </w:tcBorders>
            <w:shd w:val="clear" w:color="auto" w:fill="auto"/>
            <w:noWrap/>
            <w:vAlign w:val="center"/>
          </w:tcPr>
          <w:p w14:paraId="0A1BD678">
            <w:pPr>
              <w:jc w:val="center"/>
              <w:rPr>
                <w:rFonts w:hint="default" w:ascii="Times New Roman" w:hAnsi="Times New Roman" w:eastAsia="宋体" w:cs="Times New Roman"/>
                <w:i w:val="0"/>
                <w:iCs w:val="0"/>
                <w:color w:val="000000"/>
                <w:sz w:val="18"/>
                <w:szCs w:val="18"/>
                <w:u w:val="none"/>
              </w:rPr>
            </w:pPr>
          </w:p>
        </w:tc>
      </w:tr>
      <w:tr w14:paraId="66D5A5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4B3417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S8</w:t>
            </w:r>
          </w:p>
        </w:tc>
        <w:tc>
          <w:tcPr>
            <w:tcW w:w="470" w:type="pct"/>
            <w:vMerge w:val="continue"/>
            <w:tcBorders>
              <w:tl2br w:val="nil"/>
              <w:tr2bl w:val="nil"/>
            </w:tcBorders>
            <w:shd w:val="clear" w:color="auto" w:fill="auto"/>
            <w:noWrap/>
            <w:vAlign w:val="center"/>
          </w:tcPr>
          <w:p w14:paraId="319BFE2A">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4BA9FD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检测</w:t>
            </w:r>
          </w:p>
        </w:tc>
        <w:tc>
          <w:tcPr>
            <w:tcW w:w="686" w:type="pct"/>
            <w:tcBorders>
              <w:tl2br w:val="nil"/>
              <w:tr2bl w:val="nil"/>
            </w:tcBorders>
            <w:shd w:val="clear" w:color="auto" w:fill="auto"/>
            <w:noWrap/>
            <w:vAlign w:val="center"/>
          </w:tcPr>
          <w:p w14:paraId="4ACB70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实验室废液</w:t>
            </w:r>
          </w:p>
        </w:tc>
        <w:tc>
          <w:tcPr>
            <w:tcW w:w="385" w:type="pct"/>
            <w:tcBorders>
              <w:tl2br w:val="nil"/>
              <w:tr2bl w:val="nil"/>
            </w:tcBorders>
            <w:shd w:val="clear" w:color="auto" w:fill="auto"/>
            <w:noWrap/>
            <w:vAlign w:val="center"/>
          </w:tcPr>
          <w:p w14:paraId="2D93A3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3D9631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518C41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662" w:type="pct"/>
            <w:tcBorders>
              <w:tl2br w:val="nil"/>
              <w:tr2bl w:val="nil"/>
            </w:tcBorders>
            <w:shd w:val="clear" w:color="auto" w:fill="auto"/>
            <w:noWrap/>
            <w:vAlign w:val="center"/>
          </w:tcPr>
          <w:p w14:paraId="0B47AC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20141D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873" w:type="pct"/>
            <w:vMerge w:val="continue"/>
            <w:tcBorders>
              <w:tl2br w:val="nil"/>
              <w:tr2bl w:val="nil"/>
            </w:tcBorders>
            <w:shd w:val="clear" w:color="auto" w:fill="auto"/>
            <w:noWrap/>
            <w:vAlign w:val="center"/>
          </w:tcPr>
          <w:p w14:paraId="235E1A0A">
            <w:pPr>
              <w:jc w:val="center"/>
              <w:rPr>
                <w:rFonts w:hint="default" w:ascii="Times New Roman" w:hAnsi="Times New Roman" w:eastAsia="宋体" w:cs="Times New Roman"/>
                <w:i w:val="0"/>
                <w:iCs w:val="0"/>
                <w:color w:val="000000"/>
                <w:sz w:val="18"/>
                <w:szCs w:val="18"/>
                <w:u w:val="none"/>
              </w:rPr>
            </w:pPr>
          </w:p>
        </w:tc>
      </w:tr>
      <w:tr w14:paraId="0E955D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7270E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S9</w:t>
            </w:r>
          </w:p>
        </w:tc>
        <w:tc>
          <w:tcPr>
            <w:tcW w:w="470" w:type="pct"/>
            <w:tcBorders>
              <w:tl2br w:val="nil"/>
              <w:tr2bl w:val="nil"/>
            </w:tcBorders>
            <w:shd w:val="clear" w:color="auto" w:fill="auto"/>
            <w:noWrap/>
            <w:vAlign w:val="center"/>
          </w:tcPr>
          <w:p w14:paraId="1B29AC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0F8267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拆包</w:t>
            </w:r>
          </w:p>
        </w:tc>
        <w:tc>
          <w:tcPr>
            <w:tcW w:w="686" w:type="pct"/>
            <w:tcBorders>
              <w:tl2br w:val="nil"/>
              <w:tr2bl w:val="nil"/>
            </w:tcBorders>
            <w:shd w:val="clear" w:color="auto" w:fill="auto"/>
            <w:noWrap/>
            <w:vAlign w:val="center"/>
          </w:tcPr>
          <w:p w14:paraId="6FE6C7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沾染化学品包装</w:t>
            </w:r>
          </w:p>
        </w:tc>
        <w:tc>
          <w:tcPr>
            <w:tcW w:w="385" w:type="pct"/>
            <w:tcBorders>
              <w:tl2br w:val="nil"/>
              <w:tr2bl w:val="nil"/>
            </w:tcBorders>
            <w:shd w:val="clear" w:color="auto" w:fill="auto"/>
            <w:noWrap/>
            <w:vAlign w:val="center"/>
          </w:tcPr>
          <w:p w14:paraId="242FA3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1C5C6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31514B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662" w:type="pct"/>
            <w:tcBorders>
              <w:tl2br w:val="nil"/>
              <w:tr2bl w:val="nil"/>
            </w:tcBorders>
            <w:shd w:val="clear" w:color="auto" w:fill="auto"/>
            <w:noWrap/>
            <w:vAlign w:val="center"/>
          </w:tcPr>
          <w:p w14:paraId="43E98C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6A2B7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873" w:type="pct"/>
            <w:vMerge w:val="continue"/>
            <w:tcBorders>
              <w:tl2br w:val="nil"/>
              <w:tr2bl w:val="nil"/>
            </w:tcBorders>
            <w:shd w:val="clear" w:color="auto" w:fill="auto"/>
            <w:noWrap/>
            <w:vAlign w:val="center"/>
          </w:tcPr>
          <w:p w14:paraId="18EE13EA">
            <w:pPr>
              <w:jc w:val="center"/>
              <w:rPr>
                <w:rFonts w:hint="default" w:ascii="Times New Roman" w:hAnsi="Times New Roman" w:eastAsia="宋体" w:cs="Times New Roman"/>
                <w:i w:val="0"/>
                <w:iCs w:val="0"/>
                <w:color w:val="000000"/>
                <w:sz w:val="18"/>
                <w:szCs w:val="18"/>
                <w:u w:val="none"/>
              </w:rPr>
            </w:pPr>
          </w:p>
        </w:tc>
      </w:tr>
      <w:tr w14:paraId="365A11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380835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S10</w:t>
            </w:r>
          </w:p>
        </w:tc>
        <w:tc>
          <w:tcPr>
            <w:tcW w:w="470" w:type="pct"/>
            <w:tcBorders>
              <w:tl2br w:val="nil"/>
              <w:tr2bl w:val="nil"/>
            </w:tcBorders>
            <w:shd w:val="clear" w:color="auto" w:fill="auto"/>
            <w:noWrap/>
            <w:vAlign w:val="center"/>
          </w:tcPr>
          <w:p w14:paraId="1E8568C4">
            <w:pPr>
              <w:jc w:val="center"/>
              <w:rPr>
                <w:rFonts w:hint="default" w:ascii="Times New Roman" w:hAnsi="Times New Roman" w:eastAsia="宋体" w:cs="Times New Roman"/>
                <w:i w:val="0"/>
                <w:iCs w:val="0"/>
                <w:color w:val="000000"/>
                <w:sz w:val="18"/>
                <w:szCs w:val="18"/>
                <w:u w:val="none"/>
              </w:rPr>
            </w:pPr>
          </w:p>
        </w:tc>
        <w:tc>
          <w:tcPr>
            <w:tcW w:w="394" w:type="pct"/>
            <w:tcBorders>
              <w:tl2br w:val="nil"/>
              <w:tr2bl w:val="nil"/>
            </w:tcBorders>
            <w:shd w:val="clear" w:color="auto" w:fill="auto"/>
            <w:noWrap/>
            <w:vAlign w:val="center"/>
          </w:tcPr>
          <w:p w14:paraId="6928FE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686" w:type="pct"/>
            <w:tcBorders>
              <w:tl2br w:val="nil"/>
              <w:tr2bl w:val="nil"/>
            </w:tcBorders>
            <w:shd w:val="clear" w:color="auto" w:fill="auto"/>
            <w:noWrap/>
            <w:vAlign w:val="center"/>
          </w:tcPr>
          <w:p w14:paraId="345F36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385" w:type="pct"/>
            <w:tcBorders>
              <w:tl2br w:val="nil"/>
              <w:tr2bl w:val="nil"/>
            </w:tcBorders>
            <w:shd w:val="clear" w:color="auto" w:fill="auto"/>
            <w:noWrap/>
            <w:vAlign w:val="center"/>
          </w:tcPr>
          <w:p w14:paraId="6342F9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67DC2D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24302A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62" w:type="pct"/>
            <w:tcBorders>
              <w:tl2br w:val="nil"/>
              <w:tr2bl w:val="nil"/>
            </w:tcBorders>
            <w:shd w:val="clear" w:color="auto" w:fill="auto"/>
            <w:noWrap/>
            <w:vAlign w:val="center"/>
          </w:tcPr>
          <w:p w14:paraId="1DD8AF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2DAAA3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873" w:type="pct"/>
            <w:vMerge w:val="continue"/>
            <w:tcBorders>
              <w:tl2br w:val="nil"/>
              <w:tr2bl w:val="nil"/>
            </w:tcBorders>
            <w:shd w:val="clear" w:color="auto" w:fill="auto"/>
            <w:noWrap/>
            <w:vAlign w:val="center"/>
          </w:tcPr>
          <w:p w14:paraId="4F0C53FC">
            <w:pPr>
              <w:jc w:val="center"/>
              <w:rPr>
                <w:rFonts w:hint="default" w:ascii="Times New Roman" w:hAnsi="Times New Roman" w:eastAsia="宋体" w:cs="Times New Roman"/>
                <w:i w:val="0"/>
                <w:iCs w:val="0"/>
                <w:color w:val="000000"/>
                <w:sz w:val="18"/>
                <w:szCs w:val="18"/>
                <w:u w:val="none"/>
              </w:rPr>
            </w:pPr>
          </w:p>
        </w:tc>
      </w:tr>
      <w:tr w14:paraId="1BB481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183EB4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S11</w:t>
            </w:r>
          </w:p>
        </w:tc>
        <w:tc>
          <w:tcPr>
            <w:tcW w:w="470" w:type="pct"/>
            <w:tcBorders>
              <w:tl2br w:val="nil"/>
              <w:tr2bl w:val="nil"/>
            </w:tcBorders>
            <w:shd w:val="clear" w:color="auto" w:fill="auto"/>
            <w:noWrap/>
            <w:vAlign w:val="center"/>
          </w:tcPr>
          <w:p w14:paraId="3C6843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4DE509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废气处理</w:t>
            </w:r>
          </w:p>
        </w:tc>
        <w:tc>
          <w:tcPr>
            <w:tcW w:w="686" w:type="pct"/>
            <w:tcBorders>
              <w:tl2br w:val="nil"/>
              <w:tr2bl w:val="nil"/>
            </w:tcBorders>
            <w:shd w:val="clear" w:color="auto" w:fill="auto"/>
            <w:noWrap/>
            <w:vAlign w:val="center"/>
          </w:tcPr>
          <w:p w14:paraId="6DC914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废活性炭</w:t>
            </w:r>
          </w:p>
        </w:tc>
        <w:tc>
          <w:tcPr>
            <w:tcW w:w="385" w:type="pct"/>
            <w:tcBorders>
              <w:tl2br w:val="nil"/>
              <w:tr2bl w:val="nil"/>
            </w:tcBorders>
            <w:shd w:val="clear" w:color="auto" w:fill="auto"/>
            <w:noWrap/>
            <w:vAlign w:val="center"/>
          </w:tcPr>
          <w:p w14:paraId="1CBD8D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6985A2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09C7C4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8</w:t>
            </w:r>
          </w:p>
        </w:tc>
        <w:tc>
          <w:tcPr>
            <w:tcW w:w="662" w:type="pct"/>
            <w:tcBorders>
              <w:tl2br w:val="nil"/>
              <w:tr2bl w:val="nil"/>
            </w:tcBorders>
            <w:shd w:val="clear" w:color="auto" w:fill="auto"/>
            <w:noWrap/>
            <w:vAlign w:val="center"/>
          </w:tcPr>
          <w:p w14:paraId="61D51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3D7942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8</w:t>
            </w:r>
          </w:p>
        </w:tc>
        <w:tc>
          <w:tcPr>
            <w:tcW w:w="873" w:type="pct"/>
            <w:vMerge w:val="continue"/>
            <w:tcBorders>
              <w:tl2br w:val="nil"/>
              <w:tr2bl w:val="nil"/>
            </w:tcBorders>
            <w:shd w:val="clear" w:color="auto" w:fill="auto"/>
            <w:noWrap/>
            <w:vAlign w:val="center"/>
          </w:tcPr>
          <w:p w14:paraId="40D22FC9">
            <w:pPr>
              <w:jc w:val="center"/>
              <w:rPr>
                <w:rFonts w:hint="default" w:ascii="Times New Roman" w:hAnsi="Times New Roman" w:eastAsia="宋体" w:cs="Times New Roman"/>
                <w:i w:val="0"/>
                <w:iCs w:val="0"/>
                <w:color w:val="000000"/>
                <w:sz w:val="18"/>
                <w:szCs w:val="18"/>
                <w:u w:val="none"/>
              </w:rPr>
            </w:pPr>
          </w:p>
        </w:tc>
      </w:tr>
      <w:tr w14:paraId="667737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53622F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S12</w:t>
            </w:r>
          </w:p>
        </w:tc>
        <w:tc>
          <w:tcPr>
            <w:tcW w:w="470" w:type="pct"/>
            <w:tcBorders>
              <w:tl2br w:val="nil"/>
              <w:tr2bl w:val="nil"/>
            </w:tcBorders>
            <w:shd w:val="clear" w:color="auto" w:fill="auto"/>
            <w:noWrap/>
            <w:vAlign w:val="center"/>
          </w:tcPr>
          <w:p w14:paraId="211950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7C2465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686" w:type="pct"/>
            <w:tcBorders>
              <w:tl2br w:val="nil"/>
              <w:tr2bl w:val="nil"/>
            </w:tcBorders>
            <w:shd w:val="clear" w:color="auto" w:fill="auto"/>
            <w:noWrap/>
            <w:vAlign w:val="center"/>
          </w:tcPr>
          <w:p w14:paraId="3217F2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废润滑油</w:t>
            </w:r>
          </w:p>
        </w:tc>
        <w:tc>
          <w:tcPr>
            <w:tcW w:w="385" w:type="pct"/>
            <w:tcBorders>
              <w:tl2br w:val="nil"/>
              <w:tr2bl w:val="nil"/>
            </w:tcBorders>
            <w:shd w:val="clear" w:color="auto" w:fill="auto"/>
            <w:noWrap/>
            <w:vAlign w:val="center"/>
          </w:tcPr>
          <w:p w14:paraId="223D23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28DF53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06A94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662" w:type="pct"/>
            <w:tcBorders>
              <w:tl2br w:val="nil"/>
              <w:tr2bl w:val="nil"/>
            </w:tcBorders>
            <w:shd w:val="clear" w:color="auto" w:fill="auto"/>
            <w:noWrap/>
            <w:vAlign w:val="center"/>
          </w:tcPr>
          <w:p w14:paraId="019988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19149C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873" w:type="pct"/>
            <w:vMerge w:val="continue"/>
            <w:tcBorders>
              <w:tl2br w:val="nil"/>
              <w:tr2bl w:val="nil"/>
            </w:tcBorders>
            <w:shd w:val="clear" w:color="auto" w:fill="auto"/>
            <w:noWrap/>
            <w:vAlign w:val="center"/>
          </w:tcPr>
          <w:p w14:paraId="33B3B280">
            <w:pPr>
              <w:jc w:val="center"/>
              <w:rPr>
                <w:rFonts w:hint="default" w:ascii="Times New Roman" w:hAnsi="Times New Roman" w:eastAsia="宋体" w:cs="Times New Roman"/>
                <w:i w:val="0"/>
                <w:iCs w:val="0"/>
                <w:color w:val="000000"/>
                <w:sz w:val="18"/>
                <w:szCs w:val="18"/>
                <w:u w:val="none"/>
              </w:rPr>
            </w:pPr>
          </w:p>
        </w:tc>
      </w:tr>
      <w:tr w14:paraId="5F765F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567294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S13</w:t>
            </w:r>
          </w:p>
        </w:tc>
        <w:tc>
          <w:tcPr>
            <w:tcW w:w="470" w:type="pct"/>
            <w:tcBorders>
              <w:tl2br w:val="nil"/>
              <w:tr2bl w:val="nil"/>
            </w:tcBorders>
            <w:shd w:val="clear" w:color="auto" w:fill="auto"/>
            <w:noWrap/>
            <w:vAlign w:val="center"/>
          </w:tcPr>
          <w:p w14:paraId="0FE4F9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2FFF75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设备维保</w:t>
            </w:r>
          </w:p>
        </w:tc>
        <w:tc>
          <w:tcPr>
            <w:tcW w:w="686" w:type="pct"/>
            <w:tcBorders>
              <w:tl2br w:val="nil"/>
              <w:tr2bl w:val="nil"/>
            </w:tcBorders>
            <w:shd w:val="clear" w:color="auto" w:fill="auto"/>
            <w:noWrap/>
            <w:vAlign w:val="center"/>
          </w:tcPr>
          <w:p w14:paraId="42D64B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废油桶</w:t>
            </w:r>
          </w:p>
        </w:tc>
        <w:tc>
          <w:tcPr>
            <w:tcW w:w="385" w:type="pct"/>
            <w:tcBorders>
              <w:tl2br w:val="nil"/>
              <w:tr2bl w:val="nil"/>
            </w:tcBorders>
            <w:shd w:val="clear" w:color="auto" w:fill="auto"/>
            <w:noWrap/>
            <w:vAlign w:val="center"/>
          </w:tcPr>
          <w:p w14:paraId="026455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392" w:type="pct"/>
            <w:tcBorders>
              <w:tl2br w:val="nil"/>
              <w:tr2bl w:val="nil"/>
            </w:tcBorders>
            <w:shd w:val="clear" w:color="auto" w:fill="auto"/>
            <w:noWrap/>
            <w:vAlign w:val="center"/>
          </w:tcPr>
          <w:p w14:paraId="76F204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0B8288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c>
          <w:tcPr>
            <w:tcW w:w="662" w:type="pct"/>
            <w:tcBorders>
              <w:tl2br w:val="nil"/>
              <w:tr2bl w:val="nil"/>
            </w:tcBorders>
            <w:shd w:val="clear" w:color="auto" w:fill="auto"/>
            <w:noWrap/>
            <w:vAlign w:val="center"/>
          </w:tcPr>
          <w:p w14:paraId="256272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资源化、无害化</w:t>
            </w:r>
          </w:p>
        </w:tc>
        <w:tc>
          <w:tcPr>
            <w:tcW w:w="474" w:type="pct"/>
            <w:tcBorders>
              <w:tl2br w:val="nil"/>
              <w:tr2bl w:val="nil"/>
            </w:tcBorders>
            <w:shd w:val="clear" w:color="auto" w:fill="auto"/>
            <w:noWrap/>
            <w:vAlign w:val="center"/>
          </w:tcPr>
          <w:p w14:paraId="4B6442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c>
          <w:tcPr>
            <w:tcW w:w="873" w:type="pct"/>
            <w:vMerge w:val="continue"/>
            <w:tcBorders>
              <w:tl2br w:val="nil"/>
              <w:tr2bl w:val="nil"/>
            </w:tcBorders>
            <w:shd w:val="clear" w:color="auto" w:fill="auto"/>
            <w:noWrap/>
            <w:vAlign w:val="center"/>
          </w:tcPr>
          <w:p w14:paraId="30828EAC">
            <w:pPr>
              <w:jc w:val="center"/>
              <w:rPr>
                <w:rFonts w:hint="default" w:ascii="Times New Roman" w:hAnsi="Times New Roman" w:eastAsia="宋体" w:cs="Times New Roman"/>
                <w:i w:val="0"/>
                <w:iCs w:val="0"/>
                <w:color w:val="000000"/>
                <w:sz w:val="18"/>
                <w:szCs w:val="18"/>
                <w:u w:val="none"/>
              </w:rPr>
            </w:pPr>
          </w:p>
        </w:tc>
      </w:tr>
      <w:tr w14:paraId="73DBAC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216" w:type="pct"/>
            <w:tcBorders>
              <w:tl2br w:val="nil"/>
              <w:tr2bl w:val="nil"/>
            </w:tcBorders>
            <w:shd w:val="clear" w:color="auto" w:fill="auto"/>
            <w:noWrap/>
            <w:vAlign w:val="center"/>
          </w:tcPr>
          <w:p w14:paraId="320918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S14</w:t>
            </w:r>
          </w:p>
        </w:tc>
        <w:tc>
          <w:tcPr>
            <w:tcW w:w="470" w:type="pct"/>
            <w:tcBorders>
              <w:tl2br w:val="nil"/>
              <w:tr2bl w:val="nil"/>
            </w:tcBorders>
            <w:shd w:val="clear" w:color="auto" w:fill="auto"/>
            <w:noWrap/>
            <w:vAlign w:val="center"/>
          </w:tcPr>
          <w:p w14:paraId="0B6D9A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4" w:type="pct"/>
            <w:tcBorders>
              <w:tl2br w:val="nil"/>
              <w:tr2bl w:val="nil"/>
            </w:tcBorders>
            <w:shd w:val="clear" w:color="auto" w:fill="auto"/>
            <w:noWrap/>
            <w:vAlign w:val="center"/>
          </w:tcPr>
          <w:p w14:paraId="46ECFE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员工生活</w:t>
            </w:r>
          </w:p>
        </w:tc>
        <w:tc>
          <w:tcPr>
            <w:tcW w:w="686" w:type="pct"/>
            <w:tcBorders>
              <w:tl2br w:val="nil"/>
              <w:tr2bl w:val="nil"/>
            </w:tcBorders>
            <w:shd w:val="clear" w:color="auto" w:fill="auto"/>
            <w:noWrap/>
            <w:vAlign w:val="center"/>
          </w:tcPr>
          <w:p w14:paraId="43FF40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生活垃圾</w:t>
            </w:r>
          </w:p>
        </w:tc>
        <w:tc>
          <w:tcPr>
            <w:tcW w:w="385" w:type="pct"/>
            <w:tcBorders>
              <w:tl2br w:val="nil"/>
              <w:tr2bl w:val="nil"/>
            </w:tcBorders>
            <w:shd w:val="clear" w:color="auto" w:fill="auto"/>
            <w:noWrap/>
            <w:vAlign w:val="center"/>
          </w:tcPr>
          <w:p w14:paraId="09FAAD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一般固废</w:t>
            </w:r>
          </w:p>
        </w:tc>
        <w:tc>
          <w:tcPr>
            <w:tcW w:w="392" w:type="pct"/>
            <w:tcBorders>
              <w:tl2br w:val="nil"/>
              <w:tr2bl w:val="nil"/>
            </w:tcBorders>
            <w:shd w:val="clear" w:color="auto" w:fill="auto"/>
            <w:noWrap/>
            <w:vAlign w:val="center"/>
          </w:tcPr>
          <w:p w14:paraId="4D2E41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442" w:type="pct"/>
            <w:tcBorders>
              <w:tl2br w:val="nil"/>
              <w:tr2bl w:val="nil"/>
            </w:tcBorders>
            <w:shd w:val="clear" w:color="auto" w:fill="auto"/>
            <w:noWrap/>
            <w:vAlign w:val="center"/>
          </w:tcPr>
          <w:p w14:paraId="35965B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662" w:type="pct"/>
            <w:tcBorders>
              <w:tl2br w:val="nil"/>
              <w:tr2bl w:val="nil"/>
            </w:tcBorders>
            <w:shd w:val="clear" w:color="auto" w:fill="auto"/>
            <w:noWrap/>
            <w:vAlign w:val="center"/>
          </w:tcPr>
          <w:p w14:paraId="3013C7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资源化</w:t>
            </w:r>
          </w:p>
        </w:tc>
        <w:tc>
          <w:tcPr>
            <w:tcW w:w="474" w:type="pct"/>
            <w:tcBorders>
              <w:tl2br w:val="nil"/>
              <w:tr2bl w:val="nil"/>
            </w:tcBorders>
            <w:shd w:val="clear" w:color="auto" w:fill="auto"/>
            <w:noWrap/>
            <w:vAlign w:val="center"/>
          </w:tcPr>
          <w:p w14:paraId="1E4D23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873" w:type="pct"/>
            <w:tcBorders>
              <w:tl2br w:val="nil"/>
              <w:tr2bl w:val="nil"/>
            </w:tcBorders>
            <w:shd w:val="clear" w:color="auto" w:fill="auto"/>
            <w:noWrap/>
            <w:vAlign w:val="center"/>
          </w:tcPr>
          <w:p w14:paraId="1C7BFC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环卫清运</w:t>
            </w:r>
          </w:p>
        </w:tc>
      </w:tr>
    </w:tbl>
    <w:p w14:paraId="745E5B66">
      <w:pPr>
        <w:tabs>
          <w:tab w:val="left" w:pos="0"/>
        </w:tabs>
        <w:spacing w:line="360" w:lineRule="auto"/>
        <w:rPr>
          <w:rFonts w:hint="eastAsia" w:ascii="黑体" w:hAnsi="黑体" w:eastAsia="黑体" w:cs="黑体"/>
          <w:szCs w:val="21"/>
        </w:rPr>
      </w:pPr>
    </w:p>
    <w:p w14:paraId="3E728ACA">
      <w:pPr>
        <w:tabs>
          <w:tab w:val="left" w:pos="0"/>
        </w:tabs>
        <w:spacing w:line="360" w:lineRule="auto"/>
        <w:rPr>
          <w:rFonts w:hint="eastAsia" w:ascii="黑体" w:hAnsi="黑体" w:eastAsia="黑体" w:cs="黑体"/>
          <w:szCs w:val="21"/>
        </w:rPr>
      </w:pPr>
    </w:p>
    <w:p w14:paraId="5A027703">
      <w:pPr>
        <w:tabs>
          <w:tab w:val="left" w:pos="0"/>
        </w:tabs>
        <w:spacing w:line="360" w:lineRule="auto"/>
        <w:rPr>
          <w:rFonts w:hint="eastAsia" w:ascii="黑体" w:hAnsi="黑体" w:eastAsia="黑体" w:cs="黑体"/>
          <w:szCs w:val="21"/>
        </w:rPr>
      </w:pPr>
    </w:p>
    <w:p w14:paraId="78D39356">
      <w:pPr>
        <w:tabs>
          <w:tab w:val="left" w:pos="0"/>
        </w:tabs>
        <w:spacing w:line="360" w:lineRule="auto"/>
        <w:rPr>
          <w:rFonts w:hint="eastAsia" w:ascii="黑体" w:hAnsi="黑体" w:eastAsia="黑体" w:cs="黑体"/>
          <w:szCs w:val="21"/>
        </w:rPr>
      </w:pPr>
    </w:p>
    <w:p w14:paraId="449B5004">
      <w:pPr>
        <w:tabs>
          <w:tab w:val="left" w:pos="0"/>
        </w:tabs>
        <w:spacing w:line="360" w:lineRule="auto"/>
        <w:rPr>
          <w:rFonts w:hint="eastAsia" w:ascii="黑体" w:hAnsi="黑体" w:eastAsia="黑体" w:cs="黑体"/>
          <w:szCs w:val="21"/>
        </w:rPr>
      </w:pPr>
    </w:p>
    <w:p w14:paraId="7242E784">
      <w:pPr>
        <w:tabs>
          <w:tab w:val="left" w:pos="0"/>
        </w:tabs>
        <w:spacing w:line="360" w:lineRule="auto"/>
        <w:rPr>
          <w:rFonts w:hint="eastAsia" w:ascii="黑体" w:hAnsi="黑体" w:eastAsia="黑体" w:cs="黑体"/>
          <w:szCs w:val="21"/>
        </w:rPr>
      </w:pPr>
    </w:p>
    <w:p w14:paraId="3F077171">
      <w:pPr>
        <w:spacing w:line="360" w:lineRule="auto"/>
        <w:rPr>
          <w:b/>
          <w:bCs/>
        </w:rPr>
      </w:pPr>
      <w:r>
        <w:rPr>
          <w:rFonts w:hint="eastAsia"/>
          <w:b/>
          <w:bCs/>
        </w:rPr>
        <w:t>5、危险废物贮存场所（设施）</w:t>
      </w:r>
    </w:p>
    <w:p w14:paraId="7C8EACD1">
      <w:pPr>
        <w:spacing w:line="360" w:lineRule="auto"/>
        <w:ind w:firstLine="482"/>
        <w:rPr>
          <w:szCs w:val="21"/>
        </w:rPr>
      </w:pPr>
      <w:r>
        <w:rPr>
          <w:rFonts w:hint="eastAsia"/>
          <w:szCs w:val="21"/>
        </w:rPr>
        <w:t>企业设有1间危废</w:t>
      </w:r>
      <w:r>
        <w:rPr>
          <w:rFonts w:hint="eastAsia"/>
          <w:szCs w:val="21"/>
          <w:lang w:val="en-US" w:eastAsia="zh-CN"/>
        </w:rPr>
        <w:t>暂存间</w:t>
      </w:r>
      <w:r>
        <w:rPr>
          <w:rFonts w:hint="eastAsia"/>
          <w:szCs w:val="21"/>
        </w:rPr>
        <w:t>，具体情况</w:t>
      </w:r>
      <w:r>
        <w:rPr>
          <w:rFonts w:hint="eastAsia"/>
          <w:bCs/>
          <w:szCs w:val="21"/>
        </w:rPr>
        <w:t>下表</w:t>
      </w:r>
      <w:r>
        <w:rPr>
          <w:rFonts w:hint="eastAsia"/>
          <w:szCs w:val="21"/>
        </w:rPr>
        <w:t>：</w:t>
      </w:r>
    </w:p>
    <w:p w14:paraId="78034E8B">
      <w:pPr>
        <w:numPr>
          <w:ilvl w:val="0"/>
          <w:numId w:val="12"/>
        </w:numPr>
        <w:spacing w:line="360" w:lineRule="auto"/>
        <w:jc w:val="center"/>
        <w:rPr>
          <w:b/>
          <w:bCs/>
          <w:szCs w:val="21"/>
        </w:rPr>
      </w:pPr>
      <w:r>
        <w:rPr>
          <w:rFonts w:hint="eastAsia" w:ascii="黑体" w:hAnsi="黑体" w:eastAsia="黑体" w:cs="黑体"/>
          <w:spacing w:val="-10"/>
          <w:szCs w:val="21"/>
        </w:rPr>
        <w:t xml:space="preserve"> 项目危险废物贮存场所（设施）基本情况表</w:t>
      </w:r>
    </w:p>
    <w:tbl>
      <w:tblPr>
        <w:tblStyle w:val="26"/>
        <w:tblW w:w="456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71"/>
        <w:gridCol w:w="1493"/>
        <w:gridCol w:w="1582"/>
        <w:gridCol w:w="934"/>
        <w:gridCol w:w="934"/>
        <w:gridCol w:w="1831"/>
        <w:gridCol w:w="1462"/>
        <w:gridCol w:w="934"/>
        <w:gridCol w:w="1412"/>
        <w:gridCol w:w="1053"/>
      </w:tblGrid>
      <w:tr w14:paraId="7A6F84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657" w:type="pct"/>
            <w:tcBorders>
              <w:tl2br w:val="nil"/>
              <w:tr2bl w:val="nil"/>
            </w:tcBorders>
            <w:shd w:val="clear" w:color="auto" w:fill="auto"/>
            <w:noWrap/>
            <w:vAlign w:val="center"/>
          </w:tcPr>
          <w:p w14:paraId="61ECBF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贮存场所</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设施</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名称</w:t>
            </w:r>
          </w:p>
        </w:tc>
        <w:tc>
          <w:tcPr>
            <w:tcW w:w="556" w:type="pct"/>
            <w:tcBorders>
              <w:tl2br w:val="nil"/>
              <w:tr2bl w:val="nil"/>
            </w:tcBorders>
            <w:shd w:val="clear" w:color="auto" w:fill="auto"/>
            <w:noWrap/>
            <w:vAlign w:val="center"/>
          </w:tcPr>
          <w:p w14:paraId="273F30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危险废物名称</w:t>
            </w:r>
          </w:p>
        </w:tc>
        <w:tc>
          <w:tcPr>
            <w:tcW w:w="588" w:type="pct"/>
            <w:tcBorders>
              <w:tl2br w:val="nil"/>
              <w:tr2bl w:val="nil"/>
            </w:tcBorders>
            <w:shd w:val="clear" w:color="auto" w:fill="auto"/>
            <w:noWrap/>
            <w:vAlign w:val="center"/>
          </w:tcPr>
          <w:p w14:paraId="79646D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危险废物代码</w:t>
            </w:r>
          </w:p>
        </w:tc>
        <w:tc>
          <w:tcPr>
            <w:tcW w:w="350" w:type="pct"/>
            <w:tcBorders>
              <w:tl2br w:val="nil"/>
              <w:tr2bl w:val="nil"/>
            </w:tcBorders>
            <w:shd w:val="clear" w:color="auto" w:fill="auto"/>
            <w:noWrap/>
            <w:vAlign w:val="center"/>
          </w:tcPr>
          <w:p w14:paraId="275F95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位置</w:t>
            </w:r>
          </w:p>
        </w:tc>
        <w:tc>
          <w:tcPr>
            <w:tcW w:w="350" w:type="pct"/>
            <w:tcBorders>
              <w:tl2br w:val="nil"/>
              <w:tr2bl w:val="nil"/>
            </w:tcBorders>
            <w:shd w:val="clear" w:color="auto" w:fill="auto"/>
            <w:noWrap/>
            <w:vAlign w:val="center"/>
          </w:tcPr>
          <w:p w14:paraId="7A1205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占地面积</w:t>
            </w:r>
          </w:p>
        </w:tc>
        <w:tc>
          <w:tcPr>
            <w:tcW w:w="680" w:type="pct"/>
            <w:tcBorders>
              <w:tl2br w:val="nil"/>
              <w:tr2bl w:val="nil"/>
            </w:tcBorders>
            <w:shd w:val="clear" w:color="auto" w:fill="auto"/>
            <w:noWrap/>
            <w:vAlign w:val="center"/>
          </w:tcPr>
          <w:p w14:paraId="6D80E5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贮存方式</w:t>
            </w:r>
          </w:p>
        </w:tc>
        <w:tc>
          <w:tcPr>
            <w:tcW w:w="544" w:type="pct"/>
            <w:tcBorders>
              <w:tl2br w:val="nil"/>
              <w:tr2bl w:val="nil"/>
            </w:tcBorders>
            <w:shd w:val="clear" w:color="auto" w:fill="auto"/>
            <w:noWrap/>
            <w:vAlign w:val="center"/>
          </w:tcPr>
          <w:p w14:paraId="41FF39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最大贮存规模</w:t>
            </w:r>
            <w:r>
              <w:rPr>
                <w:rFonts w:hint="default" w:ascii="Times New Roman" w:hAnsi="Times New Roman" w:eastAsia="宋体" w:cs="Times New Roman"/>
                <w:i w:val="0"/>
                <w:iCs w:val="0"/>
                <w:color w:val="000000"/>
                <w:kern w:val="0"/>
                <w:sz w:val="18"/>
                <w:szCs w:val="18"/>
                <w:u w:val="none"/>
                <w:lang w:val="en-US" w:eastAsia="zh-CN" w:bidi="ar"/>
              </w:rPr>
              <w:t>(t)</w:t>
            </w:r>
          </w:p>
        </w:tc>
        <w:tc>
          <w:tcPr>
            <w:tcW w:w="350" w:type="pct"/>
            <w:tcBorders>
              <w:tl2br w:val="nil"/>
              <w:tr2bl w:val="nil"/>
            </w:tcBorders>
            <w:shd w:val="clear" w:color="auto" w:fill="auto"/>
            <w:noWrap/>
            <w:vAlign w:val="center"/>
          </w:tcPr>
          <w:p w14:paraId="72DD22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贮存周期</w:t>
            </w:r>
          </w:p>
        </w:tc>
        <w:tc>
          <w:tcPr>
            <w:tcW w:w="526" w:type="pct"/>
            <w:tcBorders>
              <w:tl2br w:val="nil"/>
              <w:tr2bl w:val="nil"/>
            </w:tcBorders>
            <w:shd w:val="clear" w:color="auto" w:fill="auto"/>
            <w:noWrap/>
            <w:vAlign w:val="center"/>
          </w:tcPr>
          <w:p w14:paraId="578685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年贮存能力</w:t>
            </w:r>
            <w:r>
              <w:rPr>
                <w:rFonts w:hint="default" w:ascii="Times New Roman" w:hAnsi="Times New Roman" w:eastAsia="宋体" w:cs="Times New Roman"/>
                <w:i w:val="0"/>
                <w:iCs w:val="0"/>
                <w:color w:val="000000"/>
                <w:kern w:val="0"/>
                <w:sz w:val="18"/>
                <w:szCs w:val="18"/>
                <w:u w:val="none"/>
                <w:lang w:val="en-US" w:eastAsia="zh-CN" w:bidi="ar"/>
              </w:rPr>
              <w:t>(t/a)</w:t>
            </w:r>
          </w:p>
        </w:tc>
        <w:tc>
          <w:tcPr>
            <w:tcW w:w="394" w:type="pct"/>
            <w:tcBorders>
              <w:tl2br w:val="nil"/>
              <w:tr2bl w:val="nil"/>
            </w:tcBorders>
            <w:shd w:val="clear" w:color="auto" w:fill="auto"/>
            <w:noWrap/>
            <w:vAlign w:val="center"/>
          </w:tcPr>
          <w:p w14:paraId="53AB39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产生量</w:t>
            </w:r>
            <w:r>
              <w:rPr>
                <w:rFonts w:hint="default" w:ascii="Times New Roman" w:hAnsi="Times New Roman" w:eastAsia="宋体" w:cs="Times New Roman"/>
                <w:i w:val="0"/>
                <w:iCs w:val="0"/>
                <w:color w:val="000000"/>
                <w:kern w:val="0"/>
                <w:sz w:val="18"/>
                <w:szCs w:val="18"/>
                <w:u w:val="none"/>
                <w:lang w:val="en-US" w:eastAsia="zh-CN" w:bidi="ar"/>
              </w:rPr>
              <w:t>(t/a)</w:t>
            </w:r>
          </w:p>
        </w:tc>
      </w:tr>
      <w:tr w14:paraId="280C16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657" w:type="pct"/>
            <w:vMerge w:val="restart"/>
            <w:tcBorders>
              <w:tl2br w:val="nil"/>
              <w:tr2bl w:val="nil"/>
            </w:tcBorders>
            <w:shd w:val="clear" w:color="auto" w:fill="auto"/>
            <w:noWrap/>
            <w:vAlign w:val="center"/>
          </w:tcPr>
          <w:p w14:paraId="555A2A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危废暂存间</w:t>
            </w:r>
          </w:p>
        </w:tc>
        <w:tc>
          <w:tcPr>
            <w:tcW w:w="556" w:type="pct"/>
            <w:tcBorders>
              <w:tl2br w:val="nil"/>
              <w:tr2bl w:val="nil"/>
            </w:tcBorders>
            <w:shd w:val="clear" w:color="auto" w:fill="auto"/>
            <w:noWrap/>
            <w:vAlign w:val="center"/>
          </w:tcPr>
          <w:p w14:paraId="5B843C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实验室废物</w:t>
            </w:r>
          </w:p>
        </w:tc>
        <w:tc>
          <w:tcPr>
            <w:tcW w:w="588" w:type="pct"/>
            <w:tcBorders>
              <w:tl2br w:val="nil"/>
              <w:tr2bl w:val="nil"/>
            </w:tcBorders>
            <w:shd w:val="clear" w:color="auto" w:fill="auto"/>
            <w:noWrap/>
            <w:vAlign w:val="center"/>
          </w:tcPr>
          <w:p w14:paraId="4A4440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350" w:type="pct"/>
            <w:vMerge w:val="restart"/>
            <w:tcBorders>
              <w:tl2br w:val="nil"/>
              <w:tr2bl w:val="nil"/>
            </w:tcBorders>
            <w:shd w:val="clear" w:color="auto" w:fill="auto"/>
            <w:noWrap/>
            <w:vAlign w:val="center"/>
          </w:tcPr>
          <w:p w14:paraId="5253FB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危废仓库</w:t>
            </w:r>
          </w:p>
        </w:tc>
        <w:tc>
          <w:tcPr>
            <w:tcW w:w="350" w:type="pct"/>
            <w:vMerge w:val="restart"/>
            <w:tcBorders>
              <w:tl2br w:val="nil"/>
              <w:tr2bl w:val="nil"/>
            </w:tcBorders>
            <w:shd w:val="clear" w:color="auto" w:fill="auto"/>
            <w:noWrap/>
            <w:vAlign w:val="center"/>
          </w:tcPr>
          <w:p w14:paraId="306592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 m</w:t>
            </w:r>
            <w:r>
              <w:rPr>
                <w:rFonts w:hint="default" w:ascii="Times New Roman" w:hAnsi="Times New Roman" w:eastAsia="宋体" w:cs="Times New Roman"/>
                <w:i w:val="0"/>
                <w:iCs w:val="0"/>
                <w:color w:val="000000"/>
                <w:kern w:val="0"/>
                <w:sz w:val="18"/>
                <w:szCs w:val="18"/>
                <w:u w:val="none"/>
                <w:vertAlign w:val="superscript"/>
                <w:lang w:val="en-US" w:eastAsia="zh-CN" w:bidi="ar"/>
              </w:rPr>
              <w:t>2</w:t>
            </w:r>
          </w:p>
        </w:tc>
        <w:tc>
          <w:tcPr>
            <w:tcW w:w="680" w:type="pct"/>
            <w:tcBorders>
              <w:tl2br w:val="nil"/>
              <w:tr2bl w:val="nil"/>
            </w:tcBorders>
            <w:shd w:val="clear" w:color="auto" w:fill="auto"/>
            <w:noWrap/>
            <w:vAlign w:val="center"/>
          </w:tcPr>
          <w:p w14:paraId="51F650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70EDFA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5CE4FB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287A1B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751F78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r>
      <w:tr w14:paraId="540AF4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477C775E">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256B7E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废一次性耗材</w:t>
            </w:r>
          </w:p>
        </w:tc>
        <w:tc>
          <w:tcPr>
            <w:tcW w:w="588" w:type="pct"/>
            <w:tcBorders>
              <w:tl2br w:val="nil"/>
              <w:tr2bl w:val="nil"/>
            </w:tcBorders>
            <w:shd w:val="clear" w:color="auto" w:fill="auto"/>
            <w:noWrap/>
            <w:vAlign w:val="center"/>
          </w:tcPr>
          <w:p w14:paraId="74870E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350" w:type="pct"/>
            <w:vMerge w:val="continue"/>
            <w:tcBorders>
              <w:tl2br w:val="nil"/>
              <w:tr2bl w:val="nil"/>
            </w:tcBorders>
            <w:shd w:val="clear" w:color="auto" w:fill="auto"/>
            <w:noWrap/>
            <w:vAlign w:val="center"/>
          </w:tcPr>
          <w:p w14:paraId="099323AB">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284DD41E">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269AF3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2F9061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5496A4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165A1A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5C1640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r>
      <w:tr w14:paraId="690098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37508090">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6DFD9E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废抹布</w:t>
            </w:r>
          </w:p>
        </w:tc>
        <w:tc>
          <w:tcPr>
            <w:tcW w:w="588" w:type="pct"/>
            <w:tcBorders>
              <w:tl2br w:val="nil"/>
              <w:tr2bl w:val="nil"/>
            </w:tcBorders>
            <w:shd w:val="clear" w:color="auto" w:fill="auto"/>
            <w:noWrap/>
            <w:vAlign w:val="center"/>
          </w:tcPr>
          <w:p w14:paraId="62219D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350" w:type="pct"/>
            <w:vMerge w:val="continue"/>
            <w:tcBorders>
              <w:tl2br w:val="nil"/>
              <w:tr2bl w:val="nil"/>
            </w:tcBorders>
            <w:shd w:val="clear" w:color="auto" w:fill="auto"/>
            <w:noWrap/>
            <w:vAlign w:val="center"/>
          </w:tcPr>
          <w:p w14:paraId="4129E1BE">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74899E8C">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209F25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15568B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6546DE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1497B3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4B48F2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r>
      <w:tr w14:paraId="00BCFF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5BD33452">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731B6A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废洁净服</w:t>
            </w:r>
          </w:p>
        </w:tc>
        <w:tc>
          <w:tcPr>
            <w:tcW w:w="588" w:type="pct"/>
            <w:tcBorders>
              <w:tl2br w:val="nil"/>
              <w:tr2bl w:val="nil"/>
            </w:tcBorders>
            <w:shd w:val="clear" w:color="auto" w:fill="auto"/>
            <w:noWrap/>
            <w:vAlign w:val="center"/>
          </w:tcPr>
          <w:p w14:paraId="680F6B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350" w:type="pct"/>
            <w:vMerge w:val="continue"/>
            <w:tcBorders>
              <w:tl2br w:val="nil"/>
              <w:tr2bl w:val="nil"/>
            </w:tcBorders>
            <w:shd w:val="clear" w:color="auto" w:fill="auto"/>
            <w:noWrap/>
            <w:vAlign w:val="center"/>
          </w:tcPr>
          <w:p w14:paraId="6EBBAF1D">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2B57A2CB">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749631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45BFFE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327110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17348F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23A899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r>
      <w:tr w14:paraId="2DE525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76F6E3F7">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706FE8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实验室废液</w:t>
            </w:r>
          </w:p>
        </w:tc>
        <w:tc>
          <w:tcPr>
            <w:tcW w:w="588" w:type="pct"/>
            <w:tcBorders>
              <w:tl2br w:val="nil"/>
              <w:tr2bl w:val="nil"/>
            </w:tcBorders>
            <w:shd w:val="clear" w:color="auto" w:fill="auto"/>
            <w:noWrap/>
            <w:vAlign w:val="center"/>
          </w:tcPr>
          <w:p w14:paraId="7C0ED4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HW49/900-047-49</w:t>
            </w:r>
          </w:p>
        </w:tc>
        <w:tc>
          <w:tcPr>
            <w:tcW w:w="350" w:type="pct"/>
            <w:vMerge w:val="continue"/>
            <w:tcBorders>
              <w:tl2br w:val="nil"/>
              <w:tr2bl w:val="nil"/>
            </w:tcBorders>
            <w:shd w:val="clear" w:color="auto" w:fill="auto"/>
            <w:noWrap/>
            <w:vAlign w:val="center"/>
          </w:tcPr>
          <w:p w14:paraId="77A9C2D3">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4BB6F436">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78CC3B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密封桶装，下接托盘</w:t>
            </w:r>
          </w:p>
        </w:tc>
        <w:tc>
          <w:tcPr>
            <w:tcW w:w="544" w:type="pct"/>
            <w:tcBorders>
              <w:tl2br w:val="nil"/>
              <w:tr2bl w:val="nil"/>
            </w:tcBorders>
            <w:shd w:val="clear" w:color="auto" w:fill="auto"/>
            <w:noWrap/>
            <w:vAlign w:val="center"/>
          </w:tcPr>
          <w:p w14:paraId="17B6E4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w:t>
            </w:r>
          </w:p>
        </w:tc>
        <w:tc>
          <w:tcPr>
            <w:tcW w:w="350" w:type="pct"/>
            <w:tcBorders>
              <w:tl2br w:val="nil"/>
              <w:tr2bl w:val="nil"/>
            </w:tcBorders>
            <w:shd w:val="clear" w:color="auto" w:fill="auto"/>
            <w:noWrap/>
            <w:vAlign w:val="center"/>
          </w:tcPr>
          <w:p w14:paraId="4DC566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05682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w:t>
            </w:r>
          </w:p>
        </w:tc>
        <w:tc>
          <w:tcPr>
            <w:tcW w:w="394" w:type="pct"/>
            <w:tcBorders>
              <w:tl2br w:val="nil"/>
              <w:tr2bl w:val="nil"/>
            </w:tcBorders>
            <w:shd w:val="clear" w:color="auto" w:fill="auto"/>
            <w:noWrap/>
            <w:vAlign w:val="center"/>
          </w:tcPr>
          <w:p w14:paraId="6025EE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r>
      <w:tr w14:paraId="3AAB48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260832FD">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535854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沾染化学品包装</w:t>
            </w:r>
          </w:p>
        </w:tc>
        <w:tc>
          <w:tcPr>
            <w:tcW w:w="588" w:type="pct"/>
            <w:tcBorders>
              <w:tl2br w:val="nil"/>
              <w:tr2bl w:val="nil"/>
            </w:tcBorders>
            <w:shd w:val="clear" w:color="auto" w:fill="auto"/>
            <w:noWrap/>
            <w:vAlign w:val="center"/>
          </w:tcPr>
          <w:p w14:paraId="42049F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350" w:type="pct"/>
            <w:vMerge w:val="continue"/>
            <w:tcBorders>
              <w:tl2br w:val="nil"/>
              <w:tr2bl w:val="nil"/>
            </w:tcBorders>
            <w:shd w:val="clear" w:color="auto" w:fill="auto"/>
            <w:noWrap/>
            <w:vAlign w:val="center"/>
          </w:tcPr>
          <w:p w14:paraId="1F04C29E">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099B1B1B">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764058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4E937B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5FAA08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08BA30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570293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r>
      <w:tr w14:paraId="1F91E5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261C53DD">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67D868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w:t>
            </w:r>
            <w:r>
              <w:rPr>
                <w:rFonts w:hint="default" w:ascii="Times New Roman" w:hAnsi="Times New Roman" w:eastAsia="宋体" w:cs="Times New Roman"/>
                <w:i w:val="0"/>
                <w:iCs w:val="0"/>
                <w:color w:val="000000"/>
                <w:kern w:val="0"/>
                <w:sz w:val="18"/>
                <w:szCs w:val="18"/>
                <w:u w:val="none"/>
                <w:lang w:val="en-US" w:eastAsia="zh-CN" w:bidi="ar"/>
              </w:rPr>
              <w:t>HEPA</w:t>
            </w:r>
            <w:r>
              <w:rPr>
                <w:rFonts w:hint="eastAsia" w:ascii="宋体" w:hAnsi="宋体" w:eastAsia="宋体" w:cs="宋体"/>
                <w:i w:val="0"/>
                <w:iCs w:val="0"/>
                <w:color w:val="000000"/>
                <w:kern w:val="0"/>
                <w:sz w:val="18"/>
                <w:szCs w:val="18"/>
                <w:u w:val="none"/>
                <w:lang w:val="en-US" w:eastAsia="zh-CN" w:bidi="ar"/>
              </w:rPr>
              <w:t>过滤器</w:t>
            </w:r>
          </w:p>
        </w:tc>
        <w:tc>
          <w:tcPr>
            <w:tcW w:w="588" w:type="pct"/>
            <w:tcBorders>
              <w:tl2br w:val="nil"/>
              <w:tr2bl w:val="nil"/>
            </w:tcBorders>
            <w:shd w:val="clear" w:color="auto" w:fill="auto"/>
            <w:noWrap/>
            <w:vAlign w:val="center"/>
          </w:tcPr>
          <w:p w14:paraId="54B7FA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HW49/900-039-49</w:t>
            </w:r>
          </w:p>
        </w:tc>
        <w:tc>
          <w:tcPr>
            <w:tcW w:w="350" w:type="pct"/>
            <w:vMerge w:val="continue"/>
            <w:tcBorders>
              <w:tl2br w:val="nil"/>
              <w:tr2bl w:val="nil"/>
            </w:tcBorders>
            <w:shd w:val="clear" w:color="auto" w:fill="auto"/>
            <w:noWrap/>
            <w:vAlign w:val="center"/>
          </w:tcPr>
          <w:p w14:paraId="0ECCBB03">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6971DCBD">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079E83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3E36C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50" w:type="pct"/>
            <w:tcBorders>
              <w:tl2br w:val="nil"/>
              <w:tr2bl w:val="nil"/>
            </w:tcBorders>
            <w:shd w:val="clear" w:color="auto" w:fill="auto"/>
            <w:noWrap/>
            <w:vAlign w:val="center"/>
          </w:tcPr>
          <w:p w14:paraId="4A7254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445798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w:t>
            </w:r>
          </w:p>
        </w:tc>
        <w:tc>
          <w:tcPr>
            <w:tcW w:w="394" w:type="pct"/>
            <w:tcBorders>
              <w:tl2br w:val="nil"/>
              <w:tr2bl w:val="nil"/>
            </w:tcBorders>
            <w:shd w:val="clear" w:color="auto" w:fill="auto"/>
            <w:noWrap/>
            <w:vAlign w:val="center"/>
          </w:tcPr>
          <w:p w14:paraId="680E9D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r>
      <w:tr w14:paraId="603069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6DA42AE4">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125285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废活性炭</w:t>
            </w:r>
          </w:p>
        </w:tc>
        <w:tc>
          <w:tcPr>
            <w:tcW w:w="588" w:type="pct"/>
            <w:tcBorders>
              <w:tl2br w:val="nil"/>
              <w:tr2bl w:val="nil"/>
            </w:tcBorders>
            <w:shd w:val="clear" w:color="auto" w:fill="auto"/>
            <w:noWrap/>
            <w:vAlign w:val="center"/>
          </w:tcPr>
          <w:p w14:paraId="4E251E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HW49/900-039-49</w:t>
            </w:r>
          </w:p>
        </w:tc>
        <w:tc>
          <w:tcPr>
            <w:tcW w:w="350" w:type="pct"/>
            <w:vMerge w:val="continue"/>
            <w:tcBorders>
              <w:tl2br w:val="nil"/>
              <w:tr2bl w:val="nil"/>
            </w:tcBorders>
            <w:shd w:val="clear" w:color="auto" w:fill="auto"/>
            <w:noWrap/>
            <w:vAlign w:val="center"/>
          </w:tcPr>
          <w:p w14:paraId="71439791">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3D7F042A">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276AF9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6D13AC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4</w:t>
            </w:r>
          </w:p>
        </w:tc>
        <w:tc>
          <w:tcPr>
            <w:tcW w:w="350" w:type="pct"/>
            <w:tcBorders>
              <w:tl2br w:val="nil"/>
              <w:tr2bl w:val="nil"/>
            </w:tcBorders>
            <w:shd w:val="clear" w:color="auto" w:fill="auto"/>
            <w:noWrap/>
            <w:vAlign w:val="center"/>
          </w:tcPr>
          <w:p w14:paraId="508395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半年</w:t>
            </w:r>
          </w:p>
        </w:tc>
        <w:tc>
          <w:tcPr>
            <w:tcW w:w="526" w:type="pct"/>
            <w:tcBorders>
              <w:tl2br w:val="nil"/>
              <w:tr2bl w:val="nil"/>
            </w:tcBorders>
            <w:shd w:val="clear" w:color="auto" w:fill="auto"/>
            <w:noWrap/>
            <w:vAlign w:val="center"/>
          </w:tcPr>
          <w:p w14:paraId="4BB6D5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cs="Times New Roman"/>
                <w:i w:val="0"/>
                <w:iCs w:val="0"/>
                <w:color w:val="000000"/>
                <w:kern w:val="0"/>
                <w:sz w:val="18"/>
                <w:szCs w:val="18"/>
                <w:u w:val="none"/>
                <w:lang w:val="en-US" w:eastAsia="zh-CN" w:bidi="ar"/>
              </w:rPr>
              <w:t>8</w:t>
            </w:r>
          </w:p>
        </w:tc>
        <w:tc>
          <w:tcPr>
            <w:tcW w:w="394" w:type="pct"/>
            <w:tcBorders>
              <w:tl2br w:val="nil"/>
              <w:tr2bl w:val="nil"/>
            </w:tcBorders>
            <w:shd w:val="clear" w:color="auto" w:fill="auto"/>
            <w:noWrap/>
            <w:vAlign w:val="center"/>
          </w:tcPr>
          <w:p w14:paraId="734B7E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8</w:t>
            </w:r>
          </w:p>
        </w:tc>
      </w:tr>
      <w:tr w14:paraId="020695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5E75F631">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33C4BA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废润滑油</w:t>
            </w:r>
          </w:p>
        </w:tc>
        <w:tc>
          <w:tcPr>
            <w:tcW w:w="588" w:type="pct"/>
            <w:tcBorders>
              <w:tl2br w:val="nil"/>
              <w:tr2bl w:val="nil"/>
            </w:tcBorders>
            <w:shd w:val="clear" w:color="auto" w:fill="auto"/>
            <w:noWrap/>
            <w:vAlign w:val="center"/>
          </w:tcPr>
          <w:p w14:paraId="62BFA6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HW49/900-214-08</w:t>
            </w:r>
          </w:p>
        </w:tc>
        <w:tc>
          <w:tcPr>
            <w:tcW w:w="350" w:type="pct"/>
            <w:vMerge w:val="continue"/>
            <w:tcBorders>
              <w:tl2br w:val="nil"/>
              <w:tr2bl w:val="nil"/>
            </w:tcBorders>
            <w:shd w:val="clear" w:color="auto" w:fill="auto"/>
            <w:noWrap/>
            <w:vAlign w:val="center"/>
          </w:tcPr>
          <w:p w14:paraId="7CF6732C">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0081B9FF">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27028C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密封桶装，下接托盘</w:t>
            </w:r>
          </w:p>
        </w:tc>
        <w:tc>
          <w:tcPr>
            <w:tcW w:w="544" w:type="pct"/>
            <w:tcBorders>
              <w:tl2br w:val="nil"/>
              <w:tr2bl w:val="nil"/>
            </w:tcBorders>
            <w:shd w:val="clear" w:color="auto" w:fill="auto"/>
            <w:noWrap/>
            <w:vAlign w:val="center"/>
          </w:tcPr>
          <w:p w14:paraId="6764D9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50" w:type="pct"/>
            <w:tcBorders>
              <w:tl2br w:val="nil"/>
              <w:tr2bl w:val="nil"/>
            </w:tcBorders>
            <w:shd w:val="clear" w:color="auto" w:fill="auto"/>
            <w:noWrap/>
            <w:vAlign w:val="center"/>
          </w:tcPr>
          <w:p w14:paraId="3BCD71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64FFF7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94" w:type="pct"/>
            <w:tcBorders>
              <w:tl2br w:val="nil"/>
              <w:tr2bl w:val="nil"/>
            </w:tcBorders>
            <w:shd w:val="clear" w:color="auto" w:fill="auto"/>
            <w:noWrap/>
            <w:vAlign w:val="center"/>
          </w:tcPr>
          <w:p w14:paraId="02058E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r>
      <w:tr w14:paraId="489AF8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57" w:type="pct"/>
            <w:vMerge w:val="continue"/>
            <w:tcBorders>
              <w:tl2br w:val="nil"/>
              <w:tr2bl w:val="nil"/>
            </w:tcBorders>
            <w:shd w:val="clear" w:color="auto" w:fill="auto"/>
            <w:noWrap/>
            <w:vAlign w:val="center"/>
          </w:tcPr>
          <w:p w14:paraId="12FBFF68">
            <w:pPr>
              <w:jc w:val="center"/>
              <w:rPr>
                <w:rFonts w:hint="default" w:ascii="Times New Roman" w:hAnsi="Times New Roman" w:eastAsia="宋体" w:cs="Times New Roman"/>
                <w:i w:val="0"/>
                <w:iCs w:val="0"/>
                <w:color w:val="000000"/>
                <w:sz w:val="18"/>
                <w:szCs w:val="18"/>
                <w:u w:val="none"/>
              </w:rPr>
            </w:pPr>
          </w:p>
        </w:tc>
        <w:tc>
          <w:tcPr>
            <w:tcW w:w="556" w:type="pct"/>
            <w:tcBorders>
              <w:tl2br w:val="nil"/>
              <w:tr2bl w:val="nil"/>
            </w:tcBorders>
            <w:shd w:val="clear" w:color="auto" w:fill="auto"/>
            <w:noWrap/>
            <w:vAlign w:val="center"/>
          </w:tcPr>
          <w:p w14:paraId="7F6EE1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废油桶</w:t>
            </w:r>
          </w:p>
        </w:tc>
        <w:tc>
          <w:tcPr>
            <w:tcW w:w="588" w:type="pct"/>
            <w:tcBorders>
              <w:tl2br w:val="nil"/>
              <w:tr2bl w:val="nil"/>
            </w:tcBorders>
            <w:shd w:val="clear" w:color="auto" w:fill="auto"/>
            <w:noWrap/>
            <w:vAlign w:val="center"/>
          </w:tcPr>
          <w:p w14:paraId="7E309C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HW49/900-041-49</w:t>
            </w:r>
          </w:p>
        </w:tc>
        <w:tc>
          <w:tcPr>
            <w:tcW w:w="350" w:type="pct"/>
            <w:vMerge w:val="continue"/>
            <w:tcBorders>
              <w:tl2br w:val="nil"/>
              <w:tr2bl w:val="nil"/>
            </w:tcBorders>
            <w:shd w:val="clear" w:color="auto" w:fill="auto"/>
            <w:noWrap/>
            <w:vAlign w:val="center"/>
          </w:tcPr>
          <w:p w14:paraId="6EFEBC5A">
            <w:pPr>
              <w:jc w:val="center"/>
              <w:rPr>
                <w:rFonts w:hint="default" w:ascii="Times New Roman" w:hAnsi="Times New Roman" w:eastAsia="宋体" w:cs="Times New Roman"/>
                <w:i w:val="0"/>
                <w:iCs w:val="0"/>
                <w:color w:val="000000"/>
                <w:sz w:val="18"/>
                <w:szCs w:val="18"/>
                <w:u w:val="none"/>
              </w:rPr>
            </w:pPr>
          </w:p>
        </w:tc>
        <w:tc>
          <w:tcPr>
            <w:tcW w:w="350" w:type="pct"/>
            <w:vMerge w:val="continue"/>
            <w:tcBorders>
              <w:tl2br w:val="nil"/>
              <w:tr2bl w:val="nil"/>
            </w:tcBorders>
            <w:shd w:val="clear" w:color="auto" w:fill="auto"/>
            <w:noWrap/>
            <w:vAlign w:val="center"/>
          </w:tcPr>
          <w:p w14:paraId="17404A9E">
            <w:pPr>
              <w:jc w:val="center"/>
              <w:rPr>
                <w:rFonts w:hint="default" w:ascii="Times New Roman" w:hAnsi="Times New Roman" w:eastAsia="宋体" w:cs="Times New Roman"/>
                <w:i w:val="0"/>
                <w:iCs w:val="0"/>
                <w:color w:val="000000"/>
                <w:sz w:val="18"/>
                <w:szCs w:val="18"/>
                <w:u w:val="none"/>
              </w:rPr>
            </w:pPr>
          </w:p>
        </w:tc>
        <w:tc>
          <w:tcPr>
            <w:tcW w:w="680" w:type="pct"/>
            <w:tcBorders>
              <w:tl2br w:val="nil"/>
              <w:tr2bl w:val="nil"/>
            </w:tcBorders>
            <w:shd w:val="clear" w:color="auto" w:fill="auto"/>
            <w:noWrap/>
            <w:vAlign w:val="center"/>
          </w:tcPr>
          <w:p w14:paraId="6E46F6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密封袋装</w:t>
            </w:r>
          </w:p>
        </w:tc>
        <w:tc>
          <w:tcPr>
            <w:tcW w:w="544" w:type="pct"/>
            <w:tcBorders>
              <w:tl2br w:val="nil"/>
              <w:tr2bl w:val="nil"/>
            </w:tcBorders>
            <w:shd w:val="clear" w:color="auto" w:fill="auto"/>
            <w:noWrap/>
            <w:vAlign w:val="center"/>
          </w:tcPr>
          <w:p w14:paraId="7524BD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350" w:type="pct"/>
            <w:tcBorders>
              <w:tl2br w:val="nil"/>
              <w:tr2bl w:val="nil"/>
            </w:tcBorders>
            <w:shd w:val="clear" w:color="auto" w:fill="auto"/>
            <w:noWrap/>
            <w:vAlign w:val="center"/>
          </w:tcPr>
          <w:p w14:paraId="6F7EA4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一年</w:t>
            </w:r>
          </w:p>
        </w:tc>
        <w:tc>
          <w:tcPr>
            <w:tcW w:w="526" w:type="pct"/>
            <w:tcBorders>
              <w:tl2br w:val="nil"/>
              <w:tr2bl w:val="nil"/>
            </w:tcBorders>
            <w:shd w:val="clear" w:color="auto" w:fill="auto"/>
            <w:noWrap/>
            <w:vAlign w:val="center"/>
          </w:tcPr>
          <w:p w14:paraId="6F147F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394" w:type="pct"/>
            <w:tcBorders>
              <w:tl2br w:val="nil"/>
              <w:tr2bl w:val="nil"/>
            </w:tcBorders>
            <w:shd w:val="clear" w:color="auto" w:fill="auto"/>
            <w:noWrap/>
            <w:vAlign w:val="center"/>
          </w:tcPr>
          <w:p w14:paraId="3006CC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r>
    </w:tbl>
    <w:p w14:paraId="3F3FFB49">
      <w:pPr>
        <w:tabs>
          <w:tab w:val="left" w:pos="0"/>
        </w:tabs>
        <w:spacing w:line="360" w:lineRule="auto"/>
        <w:rPr>
          <w:rFonts w:hint="eastAsia" w:ascii="黑体" w:hAnsi="黑体" w:eastAsia="黑体" w:cs="黑体"/>
          <w:szCs w:val="21"/>
        </w:rPr>
      </w:pPr>
    </w:p>
    <w:p w14:paraId="30C6676C">
      <w:pPr>
        <w:pStyle w:val="22"/>
        <w:jc w:val="both"/>
        <w:rPr>
          <w:rFonts w:ascii="Times New Roman" w:hAnsi="Times New Roman" w:eastAsia="黑体"/>
          <w:snapToGrid w:val="0"/>
          <w:sz w:val="30"/>
          <w:szCs w:val="30"/>
        </w:rPr>
      </w:pPr>
    </w:p>
    <w:p w14:paraId="7EC6ED5E">
      <w:pPr>
        <w:pStyle w:val="22"/>
        <w:jc w:val="both"/>
        <w:outlineLvl w:val="0"/>
        <w:rPr>
          <w:rFonts w:ascii="Times New Roman" w:hAnsi="Times New Roman" w:eastAsia="黑体"/>
          <w:snapToGrid w:val="0"/>
          <w:sz w:val="30"/>
          <w:szCs w:val="30"/>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26D90E49">
      <w:pPr>
        <w:pStyle w:val="22"/>
        <w:jc w:val="center"/>
        <w:rPr>
          <w:rFonts w:ascii="Times New Roman" w:hAnsi="Times New Roman" w:eastAsia="黑体"/>
          <w:snapToGrid w:val="0"/>
          <w:sz w:val="30"/>
          <w:szCs w:val="30"/>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
        <w:gridCol w:w="8550"/>
      </w:tblGrid>
      <w:tr w14:paraId="063E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344325D">
            <w:pPr>
              <w:adjustRightInd w:val="0"/>
              <w:snapToGrid w:val="0"/>
              <w:jc w:val="center"/>
              <w:rPr>
                <w:bCs/>
                <w:szCs w:val="21"/>
              </w:rPr>
            </w:pPr>
            <w:r>
              <w:rPr>
                <w:rFonts w:hint="eastAsia"/>
                <w:bCs/>
                <w:szCs w:val="21"/>
              </w:rPr>
              <w:t>运营</w:t>
            </w:r>
          </w:p>
          <w:p w14:paraId="7D24C095">
            <w:pPr>
              <w:adjustRightInd w:val="0"/>
              <w:snapToGrid w:val="0"/>
              <w:jc w:val="center"/>
              <w:rPr>
                <w:bCs/>
                <w:szCs w:val="21"/>
              </w:rPr>
            </w:pPr>
            <w:r>
              <w:rPr>
                <w:rFonts w:hint="eastAsia"/>
                <w:bCs/>
                <w:szCs w:val="21"/>
              </w:rPr>
              <w:t>期环</w:t>
            </w:r>
          </w:p>
          <w:p w14:paraId="34ED9109">
            <w:pPr>
              <w:adjustRightInd w:val="0"/>
              <w:snapToGrid w:val="0"/>
              <w:jc w:val="center"/>
              <w:rPr>
                <w:bCs/>
                <w:szCs w:val="21"/>
              </w:rPr>
            </w:pPr>
            <w:r>
              <w:rPr>
                <w:rFonts w:hint="eastAsia"/>
                <w:bCs/>
                <w:szCs w:val="21"/>
              </w:rPr>
              <w:t>境影</w:t>
            </w:r>
          </w:p>
          <w:p w14:paraId="2B47A04D">
            <w:pPr>
              <w:adjustRightInd w:val="0"/>
              <w:snapToGrid w:val="0"/>
              <w:jc w:val="center"/>
              <w:rPr>
                <w:bCs/>
                <w:szCs w:val="21"/>
              </w:rPr>
            </w:pPr>
            <w:r>
              <w:rPr>
                <w:rFonts w:hint="eastAsia"/>
                <w:bCs/>
                <w:szCs w:val="21"/>
              </w:rPr>
              <w:t>响和</w:t>
            </w:r>
          </w:p>
          <w:p w14:paraId="75E5B383">
            <w:pPr>
              <w:adjustRightInd w:val="0"/>
              <w:snapToGrid w:val="0"/>
              <w:jc w:val="center"/>
              <w:rPr>
                <w:bCs/>
                <w:szCs w:val="21"/>
              </w:rPr>
            </w:pPr>
            <w:r>
              <w:rPr>
                <w:rFonts w:hint="eastAsia"/>
                <w:bCs/>
                <w:szCs w:val="21"/>
              </w:rPr>
              <w:t>保护</w:t>
            </w:r>
          </w:p>
          <w:p w14:paraId="50C3F4F8">
            <w:pPr>
              <w:adjustRightInd w:val="0"/>
              <w:snapToGrid w:val="0"/>
              <w:spacing w:line="360" w:lineRule="auto"/>
              <w:jc w:val="center"/>
              <w:rPr>
                <w:bCs/>
                <w:szCs w:val="21"/>
              </w:rPr>
            </w:pPr>
            <w:r>
              <w:rPr>
                <w:rFonts w:hint="eastAsia"/>
                <w:bCs/>
                <w:szCs w:val="21"/>
              </w:rPr>
              <w:t>措施</w:t>
            </w:r>
          </w:p>
        </w:tc>
        <w:tc>
          <w:tcPr>
            <w:tcW w:w="7847" w:type="dxa"/>
          </w:tcPr>
          <w:p w14:paraId="1DECE657">
            <w:pPr>
              <w:spacing w:line="360" w:lineRule="auto"/>
              <w:ind w:firstLine="420" w:firstLineChars="200"/>
              <w:rPr>
                <w:szCs w:val="21"/>
              </w:rPr>
            </w:pPr>
            <w:r>
              <w:rPr>
                <w:rFonts w:hint="eastAsia"/>
                <w:szCs w:val="21"/>
              </w:rPr>
              <w:t>根据上表可知，本项目实施后危废最大产生量约为</w:t>
            </w:r>
            <w:r>
              <w:rPr>
                <w:rFonts w:hint="eastAsia"/>
                <w:szCs w:val="21"/>
                <w:lang w:val="en-US" w:eastAsia="zh-CN"/>
              </w:rPr>
              <w:t>8.643</w:t>
            </w:r>
            <w:r>
              <w:rPr>
                <w:rFonts w:hint="eastAsia"/>
                <w:szCs w:val="21"/>
              </w:rPr>
              <w:t xml:space="preserve"> t/a，最大贮存规模约为</w:t>
            </w:r>
            <w:r>
              <w:rPr>
                <w:rFonts w:hint="eastAsia"/>
                <w:szCs w:val="21"/>
                <w:lang w:val="en-US" w:eastAsia="zh-CN"/>
              </w:rPr>
              <w:t>6.15</w:t>
            </w:r>
            <w:r>
              <w:rPr>
                <w:rFonts w:hint="eastAsia"/>
                <w:szCs w:val="21"/>
              </w:rPr>
              <w:t xml:space="preserve"> t，危废仓库占地面积12</w:t>
            </w:r>
            <w:r>
              <w:rPr>
                <w:rFonts w:hint="eastAsia"/>
                <w:szCs w:val="21"/>
                <w:lang w:val="en-US" w:eastAsia="zh-CN"/>
              </w:rPr>
              <w:t xml:space="preserve"> </w:t>
            </w:r>
            <w:r>
              <w:rPr>
                <w:rFonts w:hint="eastAsia"/>
                <w:szCs w:val="21"/>
              </w:rPr>
              <w:t>m</w:t>
            </w:r>
            <w:r>
              <w:rPr>
                <w:rFonts w:hint="eastAsia"/>
                <w:szCs w:val="21"/>
                <w:vertAlign w:val="superscript"/>
              </w:rPr>
              <w:t>2</w:t>
            </w:r>
            <w:r>
              <w:rPr>
                <w:rFonts w:hint="eastAsia"/>
                <w:szCs w:val="21"/>
              </w:rPr>
              <w:t>，</w:t>
            </w:r>
            <w:r>
              <w:rPr>
                <w:rFonts w:hint="eastAsia"/>
                <w:szCs w:val="21"/>
                <w:lang w:val="en-US" w:eastAsia="zh-CN"/>
              </w:rPr>
              <w:t>废活性炭需每半年委托处理，</w:t>
            </w:r>
            <w:r>
              <w:rPr>
                <w:rFonts w:hint="eastAsia"/>
                <w:szCs w:val="21"/>
              </w:rPr>
              <w:t>危废仓库可满足</w:t>
            </w:r>
            <w:r>
              <w:rPr>
                <w:rFonts w:hint="eastAsia"/>
                <w:szCs w:val="21"/>
                <w:lang w:val="en-US" w:eastAsia="zh-CN"/>
              </w:rPr>
              <w:t>其他危险废物</w:t>
            </w:r>
            <w:r>
              <w:rPr>
                <w:rFonts w:hint="eastAsia"/>
                <w:szCs w:val="21"/>
              </w:rPr>
              <w:t>一年的暂存需求。</w:t>
            </w:r>
          </w:p>
          <w:p w14:paraId="20F38947">
            <w:pPr>
              <w:spacing w:line="360" w:lineRule="auto"/>
              <w:ind w:firstLine="482"/>
              <w:rPr>
                <w:szCs w:val="21"/>
              </w:rPr>
            </w:pPr>
            <w:r>
              <w:rPr>
                <w:rFonts w:hint="eastAsia"/>
                <w:szCs w:val="21"/>
              </w:rPr>
              <w:t>危废仓库应按照《危险废物贮存污染控制标准》（GB18597-2023）相关要求进行设计、建设，危险废物标识根据《危险废物识别标志设置技术规范》（HJ1276-2022）设置。具体污染控制要求如下：</w:t>
            </w:r>
          </w:p>
          <w:p w14:paraId="0CCD34BC">
            <w:pPr>
              <w:spacing w:line="360" w:lineRule="auto"/>
              <w:ind w:firstLine="482"/>
              <w:rPr>
                <w:szCs w:val="21"/>
              </w:rPr>
            </w:pPr>
            <w:r>
              <w:rPr>
                <w:rFonts w:hint="eastAsia"/>
                <w:szCs w:val="21"/>
              </w:rPr>
              <w:t>①贮存设置污染控制要求</w:t>
            </w:r>
          </w:p>
          <w:p w14:paraId="76DBF05C">
            <w:pPr>
              <w:spacing w:line="360" w:lineRule="auto"/>
              <w:ind w:firstLine="482"/>
              <w:rPr>
                <w:szCs w:val="21"/>
              </w:rPr>
            </w:pPr>
            <w:r>
              <w:rPr>
                <w:rFonts w:hint="eastAsia"/>
                <w:szCs w:val="21"/>
              </w:rPr>
              <w:t>A.贮存设施应根据危险废物的形态、物理化学性质、包装形式和污染物迁移途径，采取必要的防风、防晒、防雨、防漏、防渗、防腐以及其他环境污染防治措施，不应露天堆放危险废物。</w:t>
            </w:r>
          </w:p>
          <w:p w14:paraId="6433366B">
            <w:pPr>
              <w:spacing w:line="360" w:lineRule="auto"/>
              <w:ind w:firstLine="482"/>
              <w:rPr>
                <w:szCs w:val="21"/>
              </w:rPr>
            </w:pPr>
            <w:r>
              <w:rPr>
                <w:rFonts w:hint="eastAsia"/>
                <w:szCs w:val="21"/>
              </w:rPr>
              <w:t>B.贮存设施应根据危险废物的类别、数量、形态、物理化学性质和污染防治等要求设置必要的贮存分区，避免不相容的危险废物接触、混合。</w:t>
            </w:r>
          </w:p>
          <w:p w14:paraId="5A39D3C7">
            <w:pPr>
              <w:spacing w:line="360" w:lineRule="auto"/>
              <w:ind w:firstLine="482"/>
              <w:rPr>
                <w:szCs w:val="21"/>
              </w:rPr>
            </w:pPr>
            <w:r>
              <w:rPr>
                <w:rFonts w:hint="eastAsia"/>
                <w:szCs w:val="21"/>
              </w:rPr>
              <w:t>C.贮存设施或贮存分区内地面、墙面裙脚、堵截泄漏的围堰、接触危险废物的隔板和墙体等应采用坚固的材料建造，表面无裂缝。</w:t>
            </w:r>
          </w:p>
          <w:p w14:paraId="5B6C5909">
            <w:pPr>
              <w:spacing w:line="360" w:lineRule="auto"/>
              <w:ind w:firstLine="482"/>
              <w:rPr>
                <w:szCs w:val="21"/>
              </w:rPr>
            </w:pPr>
            <w:r>
              <w:rPr>
                <w:rFonts w:hint="eastAsia"/>
                <w:szCs w:val="21"/>
              </w:rPr>
              <w:t>②容器和包装物污染控制要求</w:t>
            </w:r>
          </w:p>
          <w:p w14:paraId="0B529450">
            <w:pPr>
              <w:spacing w:line="360" w:lineRule="auto"/>
              <w:ind w:firstLine="482"/>
              <w:rPr>
                <w:szCs w:val="21"/>
              </w:rPr>
            </w:pPr>
            <w:r>
              <w:rPr>
                <w:rFonts w:hint="eastAsia"/>
                <w:szCs w:val="21"/>
              </w:rPr>
              <w:t>A.容器和包装物材质、内衬应与盛装的危险废物相容。</w:t>
            </w:r>
          </w:p>
          <w:p w14:paraId="2553997F">
            <w:pPr>
              <w:spacing w:line="360" w:lineRule="auto"/>
              <w:ind w:firstLine="482"/>
              <w:rPr>
                <w:szCs w:val="21"/>
              </w:rPr>
            </w:pPr>
            <w:r>
              <w:rPr>
                <w:rFonts w:hint="eastAsia"/>
                <w:szCs w:val="21"/>
              </w:rPr>
              <w:t>B.针对不同类别、形态、物理化学性质的危险废物，其容器和包装物应满足相应的防渗、防漏、防腐和强度等要求。</w:t>
            </w:r>
          </w:p>
          <w:p w14:paraId="627454D7">
            <w:pPr>
              <w:spacing w:line="360" w:lineRule="auto"/>
              <w:ind w:firstLine="482"/>
              <w:rPr>
                <w:szCs w:val="21"/>
              </w:rPr>
            </w:pPr>
            <w:r>
              <w:rPr>
                <w:rFonts w:hint="eastAsia"/>
                <w:szCs w:val="21"/>
              </w:rPr>
              <w:t>C.硬质容器和包装物及其支护结构堆叠码放时不应有明显变形，无破损泄漏。</w:t>
            </w:r>
          </w:p>
          <w:p w14:paraId="271D7112">
            <w:pPr>
              <w:spacing w:line="360" w:lineRule="auto"/>
              <w:ind w:firstLine="482"/>
              <w:rPr>
                <w:szCs w:val="21"/>
              </w:rPr>
            </w:pPr>
            <w:r>
              <w:rPr>
                <w:rFonts w:hint="eastAsia"/>
                <w:szCs w:val="21"/>
              </w:rPr>
              <w:t>D.柔性容器和包装物堆叠码放时应封口严密，无破损泄漏。</w:t>
            </w:r>
          </w:p>
          <w:p w14:paraId="45CEADF5">
            <w:pPr>
              <w:spacing w:line="360" w:lineRule="auto"/>
              <w:ind w:firstLine="482"/>
              <w:rPr>
                <w:szCs w:val="21"/>
              </w:rPr>
            </w:pPr>
            <w:r>
              <w:rPr>
                <w:rFonts w:hint="eastAsia"/>
                <w:szCs w:val="21"/>
              </w:rPr>
              <w:t>E.使用容器盛装液态、半固态危险废物时，容器内部应留有适当的空间，以适应因温度变化等可能引发的收缩和膨胀，防止其导致容器渗漏或永久变形。</w:t>
            </w:r>
          </w:p>
          <w:p w14:paraId="18C2FFED">
            <w:pPr>
              <w:spacing w:line="360" w:lineRule="auto"/>
              <w:ind w:firstLine="482"/>
              <w:rPr>
                <w:szCs w:val="21"/>
              </w:rPr>
            </w:pPr>
            <w:r>
              <w:rPr>
                <w:rFonts w:hint="eastAsia"/>
                <w:szCs w:val="21"/>
              </w:rPr>
              <w:t>F.</w:t>
            </w:r>
            <w:r>
              <w:rPr>
                <w:rFonts w:hint="eastAsia"/>
                <w:szCs w:val="21"/>
                <w:lang w:val="en-US" w:eastAsia="zh-CN"/>
              </w:rPr>
              <w:t>容</w:t>
            </w:r>
            <w:r>
              <w:rPr>
                <w:rFonts w:hint="eastAsia"/>
                <w:szCs w:val="21"/>
              </w:rPr>
              <w:t>器和包装物外表面应保持清洁。</w:t>
            </w:r>
          </w:p>
          <w:p w14:paraId="1D081BEA">
            <w:pPr>
              <w:spacing w:line="360" w:lineRule="auto"/>
              <w:ind w:firstLine="482"/>
              <w:rPr>
                <w:szCs w:val="21"/>
              </w:rPr>
            </w:pPr>
            <w:r>
              <w:rPr>
                <w:szCs w:val="21"/>
              </w:rPr>
              <w:t>③</w:t>
            </w:r>
            <w:r>
              <w:rPr>
                <w:rFonts w:hint="eastAsia"/>
                <w:szCs w:val="21"/>
              </w:rPr>
              <w:t>贮存过程污染控制要求</w:t>
            </w:r>
          </w:p>
          <w:p w14:paraId="08ED38A1">
            <w:pPr>
              <w:spacing w:line="360" w:lineRule="auto"/>
              <w:ind w:firstLine="482"/>
              <w:rPr>
                <w:szCs w:val="21"/>
              </w:rPr>
            </w:pPr>
            <w:r>
              <w:rPr>
                <w:rFonts w:hint="eastAsia"/>
                <w:szCs w:val="21"/>
              </w:rPr>
              <w:t>A.在常温常压下不易水解、不易挥发的固态危险废物可分类堆放贮存，其他固态危险废物应装入容器或包装物内贮存。</w:t>
            </w:r>
          </w:p>
          <w:p w14:paraId="1879CDF2">
            <w:pPr>
              <w:spacing w:line="360" w:lineRule="auto"/>
              <w:ind w:firstLine="482"/>
              <w:rPr>
                <w:szCs w:val="21"/>
              </w:rPr>
            </w:pPr>
            <w:r>
              <w:rPr>
                <w:rFonts w:hint="eastAsia"/>
                <w:szCs w:val="21"/>
              </w:rPr>
              <w:t xml:space="preserve">B.液态危险废物应装入容器内贮存，或直接采用贮存池、贮存罐区贮存。 </w:t>
            </w:r>
          </w:p>
          <w:p w14:paraId="6158563D">
            <w:pPr>
              <w:spacing w:line="360" w:lineRule="auto"/>
              <w:ind w:firstLine="482"/>
              <w:rPr>
                <w:szCs w:val="21"/>
              </w:rPr>
            </w:pPr>
            <w:r>
              <w:rPr>
                <w:rFonts w:hint="eastAsia"/>
                <w:szCs w:val="21"/>
              </w:rPr>
              <w:t xml:space="preserve">C.半固态危险废物应装入容器或包装袋内贮存，或直接采用贮存池贮存。 </w:t>
            </w:r>
          </w:p>
          <w:p w14:paraId="431E8C49">
            <w:pPr>
              <w:spacing w:line="360" w:lineRule="auto"/>
              <w:ind w:firstLine="482"/>
              <w:rPr>
                <w:szCs w:val="21"/>
              </w:rPr>
            </w:pPr>
            <w:r>
              <w:rPr>
                <w:rFonts w:hint="eastAsia"/>
                <w:szCs w:val="21"/>
              </w:rPr>
              <w:t xml:space="preserve">D.具有热塑性的危险废物应装入容器或包装袋内进行贮存。 </w:t>
            </w:r>
          </w:p>
          <w:p w14:paraId="7201EE68">
            <w:pPr>
              <w:spacing w:line="360" w:lineRule="auto"/>
              <w:ind w:firstLine="482"/>
              <w:rPr>
                <w:szCs w:val="21"/>
              </w:rPr>
            </w:pPr>
            <w:r>
              <w:rPr>
                <w:rFonts w:hint="eastAsia"/>
                <w:szCs w:val="21"/>
              </w:rPr>
              <w:t>E.易产生粉尘、</w:t>
            </w:r>
            <w:r>
              <w:rPr>
                <w:szCs w:val="21"/>
              </w:rPr>
              <w:t>VOCs</w:t>
            </w:r>
            <w:r>
              <w:rPr>
                <w:rFonts w:hint="eastAsia"/>
                <w:szCs w:val="21"/>
              </w:rPr>
              <w:t>、酸雾、有毒有害大气污染物和刺激性气味气体的危险废物应装入闭口容器或包装物内贮存。</w:t>
            </w:r>
          </w:p>
          <w:p w14:paraId="79A48E70">
            <w:pPr>
              <w:spacing w:line="360" w:lineRule="auto"/>
              <w:ind w:firstLine="482"/>
              <w:rPr>
                <w:b/>
                <w:bCs/>
              </w:rPr>
            </w:pPr>
            <w:r>
              <w:rPr>
                <w:rFonts w:hint="eastAsia"/>
                <w:szCs w:val="21"/>
              </w:rPr>
              <w:t>F.危险废物贮存过程中易产生粉尘等无组织排放的，应采取抑尘等有效措施。</w:t>
            </w:r>
          </w:p>
          <w:p w14:paraId="6B2DD04C">
            <w:pPr>
              <w:numPr>
                <w:ilvl w:val="0"/>
                <w:numId w:val="19"/>
              </w:numPr>
              <w:spacing w:line="360" w:lineRule="auto"/>
              <w:rPr>
                <w:b/>
                <w:bCs/>
              </w:rPr>
            </w:pPr>
            <w:r>
              <w:rPr>
                <w:rFonts w:hint="eastAsia"/>
                <w:b/>
                <w:bCs/>
              </w:rPr>
              <w:t>固体废物环境管理要求</w:t>
            </w:r>
          </w:p>
          <w:p w14:paraId="6FA5BEC4">
            <w:pPr>
              <w:spacing w:line="360" w:lineRule="auto"/>
              <w:ind w:firstLine="482"/>
              <w:rPr>
                <w:b/>
                <w:bCs/>
                <w:szCs w:val="21"/>
              </w:rPr>
            </w:pPr>
            <w:r>
              <w:rPr>
                <w:rFonts w:hint="eastAsia"/>
                <w:b/>
                <w:bCs/>
                <w:szCs w:val="21"/>
              </w:rPr>
              <w:t>（1）一般工业固废</w:t>
            </w:r>
          </w:p>
          <w:p w14:paraId="71FFEFD8">
            <w:pPr>
              <w:spacing w:line="360" w:lineRule="auto"/>
              <w:ind w:firstLine="482"/>
              <w:rPr>
                <w:szCs w:val="21"/>
              </w:rPr>
            </w:pPr>
            <w:r>
              <w:rPr>
                <w:rFonts w:hint="eastAsia"/>
                <w:szCs w:val="21"/>
                <w:lang w:val="en-US" w:eastAsia="zh-CN"/>
              </w:rPr>
              <w:t>一般工业固废收集后暂存，</w:t>
            </w:r>
            <w:r>
              <w:rPr>
                <w:rFonts w:hint="eastAsia"/>
                <w:szCs w:val="21"/>
              </w:rPr>
              <w:t>委托处置综合利用。</w:t>
            </w:r>
          </w:p>
          <w:p w14:paraId="1833A6EA">
            <w:pPr>
              <w:spacing w:line="360" w:lineRule="auto"/>
              <w:ind w:firstLine="482"/>
              <w:rPr>
                <w:szCs w:val="21"/>
              </w:rPr>
            </w:pPr>
            <w:r>
              <w:rPr>
                <w:rFonts w:hint="eastAsia"/>
                <w:szCs w:val="21"/>
              </w:rPr>
              <w:t>①企业应当参照《一般工业固体废物贮存和填埋污染控制标准》（GB18599-2020）标准进行管理，要求建设一般固废暂存场所，做好防风、防雨、地面硬化等措施，并完善一般固废识别标志。</w:t>
            </w:r>
          </w:p>
          <w:p w14:paraId="6008AD28">
            <w:pPr>
              <w:spacing w:line="360" w:lineRule="auto"/>
              <w:ind w:firstLine="482"/>
              <w:rPr>
                <w:szCs w:val="21"/>
              </w:rPr>
            </w:pPr>
            <w:r>
              <w:rPr>
                <w:rFonts w:hint="eastAsia"/>
                <w:szCs w:val="21"/>
              </w:rPr>
              <w:t>②企业应当建立健全工业固体废物产生、收集、贮存、运输、利用、处置全过程的污染环境防治责任制度，根据《一般工业固体废物管理台账制定指南（试行）》，建立一般工业固体废物管理台账，如实记录产生工业固体废物的种类、数量、流向、贮存、利用、处置等信息；注册并登录浙江省固体废物管理信息系统，实时填报工业固体废物产生、转移、利用和处置等数据。并按照《浙江省工业固体废物电子转移联单管理办法（试行）》（浙环发〔2023〕28号）中要求落实。</w:t>
            </w:r>
          </w:p>
          <w:p w14:paraId="24C1A308">
            <w:pPr>
              <w:spacing w:line="360" w:lineRule="auto"/>
              <w:ind w:firstLine="482"/>
              <w:rPr>
                <w:szCs w:val="21"/>
              </w:rPr>
            </w:pPr>
            <w:r>
              <w:rPr>
                <w:rFonts w:hint="eastAsia"/>
                <w:szCs w:val="21"/>
              </w:rPr>
              <w:t>③企业委托他人运输、利用、处置工业固体废物的，应当对受托方的主体资格和技术能力进行核实，依法签订书面合同，在合同中约定污染防治要求。</w:t>
            </w:r>
          </w:p>
          <w:p w14:paraId="01F6571D">
            <w:pPr>
              <w:spacing w:line="360" w:lineRule="auto"/>
              <w:ind w:firstLine="422" w:firstLineChars="200"/>
              <w:rPr>
                <w:b/>
                <w:bCs/>
                <w:szCs w:val="21"/>
              </w:rPr>
            </w:pPr>
            <w:r>
              <w:rPr>
                <w:rFonts w:hint="eastAsia"/>
                <w:b/>
                <w:bCs/>
                <w:szCs w:val="21"/>
              </w:rPr>
              <w:t>（2）危险废物</w:t>
            </w:r>
          </w:p>
          <w:p w14:paraId="77F65097">
            <w:pPr>
              <w:spacing w:line="360" w:lineRule="auto"/>
              <w:ind w:firstLine="482"/>
              <w:rPr>
                <w:szCs w:val="21"/>
              </w:rPr>
            </w:pPr>
            <w:r>
              <w:rPr>
                <w:rFonts w:hint="eastAsia"/>
                <w:szCs w:val="21"/>
              </w:rPr>
              <w:t>企业应按照《危险废物贮存污染控制标准》(GB18597-2023)等相关标准规定，在厂区内设置相对独立的危险废物存放场地。并做好危险废物的收集、暂存工作。</w:t>
            </w:r>
          </w:p>
          <w:p w14:paraId="2148B501">
            <w:pPr>
              <w:spacing w:line="360" w:lineRule="auto"/>
              <w:ind w:firstLine="420" w:firstLineChars="200"/>
              <w:rPr>
                <w:szCs w:val="21"/>
              </w:rPr>
            </w:pPr>
            <w:r>
              <w:rPr>
                <w:rFonts w:hint="eastAsia"/>
                <w:szCs w:val="21"/>
              </w:rPr>
              <w:t>①危险废物收集、贮存过程环境影响分析</w:t>
            </w:r>
          </w:p>
          <w:p w14:paraId="652A047C">
            <w:pPr>
              <w:spacing w:line="360" w:lineRule="auto"/>
              <w:ind w:firstLine="420" w:firstLineChars="200"/>
              <w:rPr>
                <w:szCs w:val="21"/>
              </w:rPr>
            </w:pPr>
            <w:r>
              <w:rPr>
                <w:rFonts w:hint="eastAsia"/>
                <w:szCs w:val="21"/>
              </w:rPr>
              <w:t>A.污染影响途径分析</w:t>
            </w:r>
          </w:p>
          <w:p w14:paraId="701E461A">
            <w:pPr>
              <w:spacing w:line="360" w:lineRule="auto"/>
              <w:ind w:firstLine="420" w:firstLineChars="200"/>
              <w:rPr>
                <w:szCs w:val="21"/>
              </w:rPr>
            </w:pPr>
            <w:r>
              <w:rPr>
                <w:rFonts w:hint="eastAsia"/>
                <w:szCs w:val="21"/>
              </w:rPr>
              <w:t>本项目产生的危废为固态、液态等形式，危险废物从厂区内产生环节运输到贮存场所过程中以及贮存期间，可能存在遗撒、泄漏等情形。危废泄漏若未能及时收集处置，则有可能进入雨水系统进而污染周边地表水，或下渗进入地下污染土壤和地下水。</w:t>
            </w:r>
          </w:p>
          <w:p w14:paraId="023EB996">
            <w:pPr>
              <w:spacing w:line="360" w:lineRule="auto"/>
              <w:ind w:firstLine="420" w:firstLineChars="200"/>
              <w:rPr>
                <w:szCs w:val="21"/>
              </w:rPr>
            </w:pPr>
            <w:r>
              <w:rPr>
                <w:rFonts w:hint="eastAsia"/>
                <w:szCs w:val="21"/>
              </w:rPr>
              <w:t>B.污染影响分析</w:t>
            </w:r>
          </w:p>
          <w:p w14:paraId="3BD26688">
            <w:pPr>
              <w:spacing w:line="360" w:lineRule="auto"/>
              <w:ind w:firstLine="420" w:firstLineChars="200"/>
              <w:rPr>
                <w:szCs w:val="21"/>
              </w:rPr>
            </w:pPr>
            <w:r>
              <w:rPr>
                <w:rFonts w:hint="eastAsia"/>
                <w:szCs w:val="21"/>
              </w:rPr>
              <w:t>项目危废产生点至危废仓库之间的转运均在厂区内完成，因此转运路线上不涉及环境敏感点。项目产生的各类危险废物在产生点及时收集后，采用密封桶/袋转运至危废仓库，正常情况下发生危废泄漏的机率不大。危废仓库内地面采取必要的防渗、防腐措施后，能够避免污染物污染地下水和土壤环境。</w:t>
            </w:r>
          </w:p>
          <w:p w14:paraId="6B2FCCD0">
            <w:pPr>
              <w:spacing w:line="360" w:lineRule="auto"/>
              <w:ind w:firstLine="420" w:firstLineChars="200"/>
              <w:rPr>
                <w:szCs w:val="21"/>
              </w:rPr>
            </w:pPr>
            <w:r>
              <w:rPr>
                <w:rFonts w:hint="eastAsia"/>
                <w:szCs w:val="21"/>
              </w:rPr>
              <w:t>②危险废物委托处置过程管理要求</w:t>
            </w:r>
          </w:p>
          <w:p w14:paraId="014C6612">
            <w:pPr>
              <w:spacing w:line="360" w:lineRule="auto"/>
              <w:ind w:firstLine="420" w:firstLineChars="200"/>
              <w:rPr>
                <w:szCs w:val="21"/>
              </w:rPr>
            </w:pPr>
            <w:r>
              <w:rPr>
                <w:rFonts w:hint="eastAsia"/>
                <w:szCs w:val="21"/>
              </w:rPr>
              <w:t>根据《国家危险废物名录(2025年本)》，项目产生的废包装材料、废油属危险废物，企业委托有危废处置资质的单位进行处置。</w:t>
            </w:r>
          </w:p>
          <w:p w14:paraId="4889D2C5">
            <w:pPr>
              <w:spacing w:line="360" w:lineRule="auto"/>
              <w:ind w:firstLine="420" w:firstLineChars="200"/>
              <w:rPr>
                <w:szCs w:val="21"/>
              </w:rPr>
            </w:pPr>
            <w:r>
              <w:rPr>
                <w:rFonts w:hint="eastAsia"/>
                <w:szCs w:val="21"/>
              </w:rPr>
              <w:t>根据《危险废物转移管理办法》（部令23号）规定，对于危险废物的转移，应当通过国家危险废物信息管理系统填写、运行危险废物电子转移联单，并依照国家有关规定公开危险废物转移相关污染环境防治信息。危险废物移出人、危险废物承运人、危险废物接受人在危险废物转移过程中应当采取防扬散、防流失、防渗漏或者其他防止污染环境的措施，不得擅自倾倒、堆放、丢弃、遗撒危险废物，并对所造成的环境污染及生态破坏依法承担责任；制定危险废物管理计划，明确拟转移危险废物的种类、重量（数量）和流向等信息；建立危险废物管理台账，对转移的危险废物进行计量称重，如实记录、妥善保管转移危险废物的种类、重量（数量）和接受人等相关信息；填写、运行危险废物转移联单，在危险废物转移联单中如实填写移出人、承运人、接受人信息，转移危险废物的种类、重量（数量）、危险特性等信息，以及突发环境事件的防范措施等；及时核实接受人贮存、利用或者处置相关危险废物情况；禁止将危险废物以副产品等名义提供或者委托给无危险废物经营许可证的单位或者其他生产经营者从事收集、贮存、利用、处置活动。</w:t>
            </w:r>
          </w:p>
          <w:p w14:paraId="5E40F8CF">
            <w:pPr>
              <w:spacing w:line="360" w:lineRule="auto"/>
              <w:ind w:firstLine="420" w:firstLineChars="200"/>
              <w:rPr>
                <w:szCs w:val="21"/>
              </w:rPr>
            </w:pPr>
            <w:r>
              <w:rPr>
                <w:rFonts w:hint="eastAsia"/>
                <w:szCs w:val="21"/>
              </w:rPr>
              <w:t>③危险废物运输管理要求</w:t>
            </w:r>
          </w:p>
          <w:p w14:paraId="3C5935DB">
            <w:pPr>
              <w:spacing w:line="360" w:lineRule="auto"/>
              <w:ind w:firstLine="420" w:firstLineChars="200"/>
              <w:rPr>
                <w:szCs w:val="21"/>
              </w:rPr>
            </w:pPr>
            <w:r>
              <w:rPr>
                <w:rFonts w:hint="eastAsia"/>
                <w:szCs w:val="21"/>
              </w:rPr>
              <w:t>本项目危险废物运输方式为汽车运输，危险废物运输应由具有从事危险废物运输经营许可性的运输单位完成，运输过程严格按照HJ2025-2012《危险废物收集 贮存 运输技术规范》进行。具体运输要求如下：</w:t>
            </w:r>
          </w:p>
          <w:p w14:paraId="36A7F622">
            <w:pPr>
              <w:spacing w:line="360" w:lineRule="auto"/>
              <w:ind w:firstLine="420" w:firstLineChars="200"/>
              <w:rPr>
                <w:szCs w:val="21"/>
              </w:rPr>
            </w:pPr>
            <w:r>
              <w:rPr>
                <w:rFonts w:hint="eastAsia"/>
                <w:szCs w:val="21"/>
              </w:rPr>
              <w:t>A、运输危险废物的车辆必须严格交通、消防、治安等法规并控制车速，保持与前车的距离，严禁违章超车，确保行车安全；装载危废的车辆不得在居民集聚区、行人稠密地段、风景游览区停车；</w:t>
            </w:r>
          </w:p>
          <w:p w14:paraId="13710B24">
            <w:pPr>
              <w:spacing w:line="360" w:lineRule="auto"/>
              <w:ind w:firstLine="420" w:firstLineChars="200"/>
              <w:rPr>
                <w:szCs w:val="21"/>
              </w:rPr>
            </w:pPr>
            <w:r>
              <w:rPr>
                <w:rFonts w:hint="eastAsia"/>
                <w:szCs w:val="21"/>
              </w:rPr>
              <w:t>B、运输危险废物必须配备随车人员在途中经常检查，不得搭乘无关人员，车上人员严禁吸烟；</w:t>
            </w:r>
          </w:p>
          <w:p w14:paraId="3C65B224">
            <w:pPr>
              <w:spacing w:line="360" w:lineRule="auto"/>
              <w:ind w:firstLine="420" w:firstLineChars="200"/>
              <w:rPr>
                <w:szCs w:val="21"/>
              </w:rPr>
            </w:pPr>
            <w:r>
              <w:rPr>
                <w:rFonts w:hint="eastAsia"/>
                <w:szCs w:val="21"/>
              </w:rPr>
              <w:t>C、根据车上废物性质，采取遮阳、控温、防火、防爆、防震、防水、防冻等措施；</w:t>
            </w:r>
          </w:p>
          <w:p w14:paraId="6A4A90FC">
            <w:pPr>
              <w:spacing w:line="360" w:lineRule="auto"/>
              <w:ind w:firstLine="420" w:firstLineChars="200"/>
              <w:rPr>
                <w:szCs w:val="21"/>
              </w:rPr>
            </w:pPr>
            <w:r>
              <w:rPr>
                <w:rFonts w:hint="eastAsia"/>
                <w:szCs w:val="21"/>
              </w:rPr>
              <w:t>D、危险废物随车人员不得擅自改变作业计划，严禁擅自拼装、超载。危险废物运输应优先安排；</w:t>
            </w:r>
          </w:p>
          <w:p w14:paraId="270E633C">
            <w:pPr>
              <w:spacing w:line="360" w:lineRule="auto"/>
              <w:ind w:firstLine="420" w:firstLineChars="200"/>
              <w:rPr>
                <w:szCs w:val="21"/>
              </w:rPr>
            </w:pPr>
            <w:r>
              <w:rPr>
                <w:rFonts w:hint="eastAsia"/>
                <w:szCs w:val="21"/>
              </w:rPr>
              <w:t>E、危险废物装卸作业必须严格遵守操作规程，轻装、轻卸，严禁摔碰、撞击、重压、倒置。</w:t>
            </w:r>
          </w:p>
          <w:p w14:paraId="47C7FDBE">
            <w:pPr>
              <w:spacing w:line="360" w:lineRule="auto"/>
              <w:ind w:firstLine="420" w:firstLineChars="200"/>
              <w:rPr>
                <w:szCs w:val="21"/>
              </w:rPr>
            </w:pPr>
            <w:r>
              <w:rPr>
                <w:rFonts w:hint="eastAsia"/>
                <w:szCs w:val="21"/>
              </w:rPr>
              <w:fldChar w:fldCharType="begin"/>
            </w:r>
            <w:r>
              <w:rPr>
                <w:rFonts w:hint="eastAsia"/>
                <w:szCs w:val="21"/>
              </w:rPr>
              <w:instrText xml:space="preserve"> = 4 \* GB3 \* MERGEFORMAT </w:instrText>
            </w:r>
            <w:r>
              <w:rPr>
                <w:rFonts w:hint="eastAsia"/>
                <w:szCs w:val="21"/>
              </w:rPr>
              <w:fldChar w:fldCharType="separate"/>
            </w:r>
            <w:r>
              <w:rPr>
                <w:rFonts w:hint="eastAsia"/>
                <w:szCs w:val="21"/>
              </w:rPr>
              <w:t>④</w:t>
            </w:r>
            <w:r>
              <w:rPr>
                <w:rFonts w:hint="eastAsia"/>
                <w:szCs w:val="21"/>
              </w:rPr>
              <w:fldChar w:fldCharType="end"/>
            </w:r>
            <w:r>
              <w:rPr>
                <w:rFonts w:hint="eastAsia"/>
                <w:szCs w:val="21"/>
              </w:rPr>
              <w:t>危险废物管理计划和台账制定要求</w:t>
            </w:r>
          </w:p>
          <w:p w14:paraId="71602B54">
            <w:pPr>
              <w:spacing w:line="360" w:lineRule="auto"/>
              <w:ind w:firstLine="420" w:firstLineChars="200"/>
              <w:rPr>
                <w:szCs w:val="21"/>
              </w:rPr>
            </w:pPr>
            <w:r>
              <w:rPr>
                <w:rFonts w:hint="eastAsia"/>
                <w:szCs w:val="21"/>
              </w:rPr>
              <w:t>企业应当遵循《危险废物管理计划和管理台账制定技术导则》（HJ 1259-2022）的有关要求，制定危险废物管理计划，内容应当包括减少危险废物产生量和降低危险废物危害性的措施以及危险废物贮存、利用、处理措施；建立危险废物管理台账，如实记录危险废物的种类、产生量、流向、贮存、利用、处置等有关信息；通过国家危险废物信息管理系统向所在地生态环境主管部门备案危险废物管理计划，申报危险废物有关资料；企业应当按照实际情况填写记录的有关内容，并对内容的真实性、准确性和完整性负责。</w:t>
            </w:r>
          </w:p>
          <w:p w14:paraId="471E1F44">
            <w:pPr>
              <w:spacing w:line="360" w:lineRule="auto"/>
              <w:ind w:firstLine="420" w:firstLineChars="200"/>
              <w:rPr>
                <w:szCs w:val="21"/>
              </w:rPr>
            </w:pPr>
            <w:r>
              <w:rPr>
                <w:rFonts w:hint="eastAsia"/>
                <w:szCs w:val="21"/>
              </w:rPr>
              <w:t>要求企业履行申报的登记制度、建立危废管理台账制度，每种危废一本；及时登记各种危废的产生、转移、处置情况。登记资料至少保存5年。</w:t>
            </w:r>
          </w:p>
          <w:p w14:paraId="239E6C78">
            <w:pPr>
              <w:spacing w:line="360" w:lineRule="auto"/>
              <w:ind w:firstLine="420" w:firstLineChars="200"/>
              <w:rPr>
                <w:szCs w:val="21"/>
              </w:rPr>
            </w:pPr>
            <w:r>
              <w:rPr>
                <w:rFonts w:hint="eastAsia"/>
                <w:szCs w:val="21"/>
              </w:rPr>
              <w:t>危险废物的容器和包装物须设置符合规范的危废标签，危险废物贮存场所须设置危险废物警示标志；对操作工人进行安全操作和废弃物处理方面的培训，推行培训上岗制度。</w:t>
            </w:r>
          </w:p>
          <w:p w14:paraId="636F057B">
            <w:pPr>
              <w:spacing w:line="360" w:lineRule="auto"/>
              <w:ind w:firstLine="420" w:firstLineChars="200"/>
              <w:rPr>
                <w:b/>
                <w:bCs/>
              </w:rPr>
            </w:pPr>
            <w:r>
              <w:rPr>
                <w:rFonts w:hint="eastAsia"/>
                <w:szCs w:val="21"/>
              </w:rPr>
              <w:t>综上所述，本项目各类固体废物处置符合国家技术政策及相关的环保要求，最终均可得到有效处置，因此总体上项目废物处置对环境的影响可以接受。</w:t>
            </w:r>
          </w:p>
          <w:p w14:paraId="0B26A999">
            <w:pPr>
              <w:spacing w:line="360" w:lineRule="auto"/>
              <w:rPr>
                <w:b/>
                <w:bCs/>
                <w:sz w:val="22"/>
                <w:szCs w:val="28"/>
              </w:rPr>
            </w:pPr>
            <w:r>
              <w:rPr>
                <w:rFonts w:hint="eastAsia"/>
                <w:b/>
                <w:bCs/>
                <w:sz w:val="22"/>
                <w:szCs w:val="28"/>
              </w:rPr>
              <w:t>4.2.5地下水、土壤</w:t>
            </w:r>
          </w:p>
          <w:p w14:paraId="4C9B7886">
            <w:pPr>
              <w:numPr>
                <w:ilvl w:val="0"/>
                <w:numId w:val="20"/>
              </w:numPr>
              <w:spacing w:line="360" w:lineRule="auto"/>
              <w:rPr>
                <w:b/>
                <w:bCs/>
              </w:rPr>
            </w:pPr>
            <w:r>
              <w:rPr>
                <w:rFonts w:hint="eastAsia"/>
                <w:b/>
                <w:bCs/>
              </w:rPr>
              <w:t>地下水、土壤污染途径分析</w:t>
            </w:r>
          </w:p>
          <w:p w14:paraId="6EE9942C">
            <w:pPr>
              <w:spacing w:line="360" w:lineRule="auto"/>
              <w:ind w:firstLine="420" w:firstLineChars="200"/>
              <w:rPr>
                <w:szCs w:val="21"/>
              </w:rPr>
            </w:pPr>
            <w:r>
              <w:rPr>
                <w:rFonts w:hint="eastAsia"/>
                <w:szCs w:val="21"/>
              </w:rPr>
              <w:t>本项目地下水、土壤环境影响源及影响因子识别见</w:t>
            </w:r>
            <w:r>
              <w:rPr>
                <w:rFonts w:hint="eastAsia"/>
                <w:bCs/>
                <w:szCs w:val="21"/>
              </w:rPr>
              <w:t>下表</w:t>
            </w:r>
            <w:r>
              <w:rPr>
                <w:rFonts w:hint="eastAsia"/>
                <w:szCs w:val="21"/>
              </w:rPr>
              <w:t>：</w:t>
            </w:r>
          </w:p>
          <w:p w14:paraId="5F4AEF1C">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 xml:space="preserve"> 本项目地下水、土壤环境影响源及影响因子识别表</w:t>
            </w:r>
          </w:p>
          <w:tbl>
            <w:tblPr>
              <w:tblStyle w:val="26"/>
              <w:tblW w:w="499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648"/>
              <w:gridCol w:w="1470"/>
              <w:gridCol w:w="1319"/>
              <w:gridCol w:w="2681"/>
              <w:gridCol w:w="1713"/>
              <w:gridCol w:w="468"/>
            </w:tblGrid>
            <w:tr w14:paraId="07CDDF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jc w:val="center"/>
              </w:trPr>
              <w:tc>
                <w:tcPr>
                  <w:tcW w:w="390" w:type="pct"/>
                  <w:tcBorders>
                    <w:tl2br w:val="nil"/>
                    <w:tr2bl w:val="nil"/>
                  </w:tcBorders>
                  <w:vAlign w:val="center"/>
                </w:tcPr>
                <w:p w14:paraId="3C366471">
                  <w:pPr>
                    <w:widowControl/>
                    <w:jc w:val="center"/>
                    <w:textAlignment w:val="center"/>
                    <w:rPr>
                      <w:color w:val="000000"/>
                      <w:sz w:val="18"/>
                      <w:szCs w:val="18"/>
                    </w:rPr>
                  </w:pPr>
                  <w:r>
                    <w:rPr>
                      <w:rFonts w:hint="eastAsia"/>
                      <w:color w:val="000000"/>
                      <w:kern w:val="0"/>
                      <w:sz w:val="18"/>
                      <w:szCs w:val="18"/>
                      <w:lang w:bidi="ar"/>
                    </w:rPr>
                    <w:t>污染源</w:t>
                  </w:r>
                </w:p>
              </w:tc>
              <w:tc>
                <w:tcPr>
                  <w:tcW w:w="885" w:type="pct"/>
                  <w:tcBorders>
                    <w:tl2br w:val="nil"/>
                    <w:tr2bl w:val="nil"/>
                  </w:tcBorders>
                  <w:vAlign w:val="center"/>
                </w:tcPr>
                <w:p w14:paraId="7EDF7951">
                  <w:pPr>
                    <w:widowControl/>
                    <w:jc w:val="center"/>
                    <w:textAlignment w:val="center"/>
                    <w:rPr>
                      <w:color w:val="000000"/>
                      <w:sz w:val="18"/>
                      <w:szCs w:val="18"/>
                    </w:rPr>
                  </w:pPr>
                  <w:r>
                    <w:rPr>
                      <w:rFonts w:hint="eastAsia"/>
                      <w:color w:val="000000"/>
                      <w:kern w:val="0"/>
                      <w:sz w:val="18"/>
                      <w:szCs w:val="18"/>
                      <w:lang w:bidi="ar"/>
                    </w:rPr>
                    <w:t>工艺流程/节点</w:t>
                  </w:r>
                </w:p>
              </w:tc>
              <w:tc>
                <w:tcPr>
                  <w:tcW w:w="794" w:type="pct"/>
                  <w:tcBorders>
                    <w:tl2br w:val="nil"/>
                    <w:tr2bl w:val="nil"/>
                  </w:tcBorders>
                  <w:vAlign w:val="center"/>
                </w:tcPr>
                <w:p w14:paraId="565A49F9">
                  <w:pPr>
                    <w:widowControl/>
                    <w:jc w:val="center"/>
                    <w:textAlignment w:val="center"/>
                    <w:rPr>
                      <w:color w:val="000000"/>
                      <w:sz w:val="18"/>
                      <w:szCs w:val="18"/>
                    </w:rPr>
                  </w:pPr>
                  <w:r>
                    <w:rPr>
                      <w:rFonts w:hint="eastAsia"/>
                      <w:color w:val="000000"/>
                      <w:kern w:val="0"/>
                      <w:sz w:val="18"/>
                      <w:szCs w:val="18"/>
                      <w:lang w:bidi="ar"/>
                    </w:rPr>
                    <w:t>污染途径</w:t>
                  </w:r>
                </w:p>
              </w:tc>
              <w:tc>
                <w:tcPr>
                  <w:tcW w:w="1614" w:type="pct"/>
                  <w:tcBorders>
                    <w:tl2br w:val="nil"/>
                    <w:tr2bl w:val="nil"/>
                  </w:tcBorders>
                  <w:vAlign w:val="center"/>
                </w:tcPr>
                <w:p w14:paraId="790BAC6E">
                  <w:pPr>
                    <w:widowControl/>
                    <w:jc w:val="center"/>
                    <w:textAlignment w:val="center"/>
                    <w:rPr>
                      <w:color w:val="000000"/>
                      <w:sz w:val="18"/>
                      <w:szCs w:val="18"/>
                    </w:rPr>
                  </w:pPr>
                  <w:r>
                    <w:rPr>
                      <w:rFonts w:hint="eastAsia"/>
                      <w:color w:val="000000"/>
                      <w:kern w:val="0"/>
                      <w:sz w:val="18"/>
                      <w:szCs w:val="18"/>
                      <w:lang w:bidi="ar"/>
                    </w:rPr>
                    <w:t>全部污染指标</w:t>
                  </w:r>
                </w:p>
              </w:tc>
              <w:tc>
                <w:tcPr>
                  <w:tcW w:w="1031" w:type="pct"/>
                  <w:tcBorders>
                    <w:tl2br w:val="nil"/>
                    <w:tr2bl w:val="nil"/>
                  </w:tcBorders>
                  <w:vAlign w:val="center"/>
                </w:tcPr>
                <w:p w14:paraId="147B6D1E">
                  <w:pPr>
                    <w:widowControl/>
                    <w:jc w:val="center"/>
                    <w:textAlignment w:val="center"/>
                    <w:rPr>
                      <w:color w:val="000000"/>
                      <w:sz w:val="18"/>
                      <w:szCs w:val="18"/>
                    </w:rPr>
                  </w:pPr>
                  <w:r>
                    <w:rPr>
                      <w:rFonts w:hint="eastAsia"/>
                      <w:color w:val="000000"/>
                      <w:kern w:val="0"/>
                      <w:sz w:val="18"/>
                      <w:szCs w:val="18"/>
                      <w:lang w:bidi="ar"/>
                    </w:rPr>
                    <w:t>特征因子</w:t>
                  </w:r>
                </w:p>
              </w:tc>
              <w:tc>
                <w:tcPr>
                  <w:tcW w:w="282" w:type="pct"/>
                  <w:tcBorders>
                    <w:tl2br w:val="nil"/>
                    <w:tr2bl w:val="nil"/>
                  </w:tcBorders>
                  <w:vAlign w:val="center"/>
                </w:tcPr>
                <w:p w14:paraId="1FCDDEBA">
                  <w:pPr>
                    <w:widowControl/>
                    <w:jc w:val="center"/>
                    <w:textAlignment w:val="center"/>
                    <w:rPr>
                      <w:color w:val="000000"/>
                      <w:sz w:val="18"/>
                      <w:szCs w:val="18"/>
                    </w:rPr>
                  </w:pPr>
                  <w:r>
                    <w:rPr>
                      <w:rFonts w:hint="eastAsia"/>
                      <w:color w:val="000000"/>
                      <w:kern w:val="0"/>
                      <w:sz w:val="18"/>
                      <w:szCs w:val="18"/>
                      <w:lang w:bidi="ar"/>
                    </w:rPr>
                    <w:t>备注</w:t>
                  </w:r>
                </w:p>
              </w:tc>
            </w:tr>
            <w:tr w14:paraId="3AA788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3572203D">
                  <w:pPr>
                    <w:widowControl/>
                    <w:jc w:val="center"/>
                    <w:textAlignment w:val="center"/>
                    <w:rPr>
                      <w:color w:val="000000"/>
                      <w:sz w:val="18"/>
                      <w:szCs w:val="18"/>
                    </w:rPr>
                  </w:pPr>
                  <w:r>
                    <w:rPr>
                      <w:rFonts w:hint="eastAsia"/>
                      <w:color w:val="000000"/>
                      <w:kern w:val="0"/>
                      <w:sz w:val="18"/>
                      <w:szCs w:val="18"/>
                      <w:lang w:bidi="ar"/>
                    </w:rPr>
                    <w:t>生产车间</w:t>
                  </w:r>
                </w:p>
              </w:tc>
              <w:tc>
                <w:tcPr>
                  <w:tcW w:w="885" w:type="pct"/>
                  <w:tcBorders>
                    <w:tl2br w:val="nil"/>
                    <w:tr2bl w:val="nil"/>
                  </w:tcBorders>
                  <w:vAlign w:val="center"/>
                </w:tcPr>
                <w:p w14:paraId="7D122996">
                  <w:pPr>
                    <w:widowControl/>
                    <w:jc w:val="center"/>
                    <w:textAlignment w:val="center"/>
                    <w:rPr>
                      <w:color w:val="000000"/>
                      <w:sz w:val="18"/>
                      <w:szCs w:val="18"/>
                    </w:rPr>
                  </w:pPr>
                  <w:r>
                    <w:rPr>
                      <w:rFonts w:hint="eastAsia"/>
                      <w:color w:val="000000"/>
                      <w:kern w:val="0"/>
                      <w:sz w:val="18"/>
                      <w:szCs w:val="18"/>
                      <w:lang w:bidi="ar"/>
                    </w:rPr>
                    <w:t>涂覆、UV胶固化</w:t>
                  </w:r>
                </w:p>
              </w:tc>
              <w:tc>
                <w:tcPr>
                  <w:tcW w:w="794" w:type="pct"/>
                  <w:tcBorders>
                    <w:tl2br w:val="nil"/>
                    <w:tr2bl w:val="nil"/>
                  </w:tcBorders>
                  <w:vAlign w:val="center"/>
                </w:tcPr>
                <w:p w14:paraId="16BDA865">
                  <w:pPr>
                    <w:widowControl/>
                    <w:jc w:val="center"/>
                    <w:textAlignment w:val="center"/>
                    <w:rPr>
                      <w:color w:val="000000"/>
                      <w:sz w:val="18"/>
                      <w:szCs w:val="18"/>
                    </w:rPr>
                  </w:pPr>
                  <w:r>
                    <w:rPr>
                      <w:rFonts w:hint="eastAsia"/>
                      <w:color w:val="000000"/>
                      <w:kern w:val="0"/>
                      <w:sz w:val="18"/>
                      <w:szCs w:val="18"/>
                      <w:lang w:bidi="ar"/>
                    </w:rPr>
                    <w:t>地面漫流、垂直入渗</w:t>
                  </w:r>
                </w:p>
              </w:tc>
              <w:tc>
                <w:tcPr>
                  <w:tcW w:w="1614" w:type="pct"/>
                  <w:tcBorders>
                    <w:tl2br w:val="nil"/>
                    <w:tr2bl w:val="nil"/>
                  </w:tcBorders>
                  <w:vAlign w:val="center"/>
                </w:tcPr>
                <w:p w14:paraId="53B56AB0">
                  <w:pPr>
                    <w:widowControl/>
                    <w:jc w:val="center"/>
                    <w:textAlignment w:val="center"/>
                    <w:rPr>
                      <w:color w:val="000000"/>
                      <w:sz w:val="18"/>
                      <w:szCs w:val="18"/>
                    </w:rPr>
                  </w:pPr>
                  <w:r>
                    <w:rPr>
                      <w:rFonts w:hint="eastAsia"/>
                      <w:color w:val="000000"/>
                      <w:kern w:val="0"/>
                      <w:sz w:val="18"/>
                      <w:szCs w:val="18"/>
                      <w:lang w:bidi="ar"/>
                    </w:rPr>
                    <w:t>亲水涂层溶液、UV胶、紫杉醇、雷帕霉素等</w:t>
                  </w:r>
                </w:p>
              </w:tc>
              <w:tc>
                <w:tcPr>
                  <w:tcW w:w="1031" w:type="pct"/>
                  <w:tcBorders>
                    <w:tl2br w:val="nil"/>
                    <w:tr2bl w:val="nil"/>
                  </w:tcBorders>
                  <w:vAlign w:val="center"/>
                </w:tcPr>
                <w:p w14:paraId="2F6421D7">
                  <w:pPr>
                    <w:widowControl/>
                    <w:jc w:val="center"/>
                    <w:textAlignment w:val="center"/>
                    <w:rPr>
                      <w:color w:val="000000"/>
                      <w:sz w:val="18"/>
                      <w:szCs w:val="18"/>
                    </w:rPr>
                  </w:pPr>
                  <w:r>
                    <w:rPr>
                      <w:color w:val="000000"/>
                      <w:kern w:val="0"/>
                      <w:sz w:val="18"/>
                      <w:szCs w:val="18"/>
                      <w:lang w:bidi="ar"/>
                    </w:rPr>
                    <w:t>COD</w:t>
                  </w:r>
                  <w:r>
                    <w:rPr>
                      <w:color w:val="000000"/>
                      <w:kern w:val="0"/>
                      <w:sz w:val="18"/>
                      <w:szCs w:val="18"/>
                      <w:vertAlign w:val="subscript"/>
                      <w:lang w:bidi="ar"/>
                    </w:rPr>
                    <w:t>Cr</w:t>
                  </w:r>
                  <w:r>
                    <w:rPr>
                      <w:rFonts w:hint="eastAsia"/>
                      <w:color w:val="000000"/>
                      <w:kern w:val="0"/>
                      <w:sz w:val="18"/>
                      <w:szCs w:val="18"/>
                      <w:lang w:bidi="ar"/>
                    </w:rPr>
                    <w:t>、VOCs</w:t>
                  </w:r>
                </w:p>
              </w:tc>
              <w:tc>
                <w:tcPr>
                  <w:tcW w:w="282" w:type="pct"/>
                  <w:tcBorders>
                    <w:tl2br w:val="nil"/>
                    <w:tr2bl w:val="nil"/>
                  </w:tcBorders>
                  <w:vAlign w:val="center"/>
                </w:tcPr>
                <w:p w14:paraId="039A60D5">
                  <w:pPr>
                    <w:widowControl/>
                    <w:jc w:val="center"/>
                    <w:textAlignment w:val="center"/>
                    <w:rPr>
                      <w:color w:val="000000"/>
                      <w:sz w:val="18"/>
                      <w:szCs w:val="18"/>
                    </w:rPr>
                  </w:pPr>
                  <w:r>
                    <w:rPr>
                      <w:rFonts w:hint="eastAsia"/>
                      <w:color w:val="000000"/>
                      <w:kern w:val="0"/>
                      <w:sz w:val="18"/>
                      <w:szCs w:val="18"/>
                      <w:lang w:bidi="ar"/>
                    </w:rPr>
                    <w:t>事故</w:t>
                  </w:r>
                </w:p>
              </w:tc>
            </w:tr>
            <w:tr w14:paraId="4A70CD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1EC00F19">
                  <w:pPr>
                    <w:widowControl/>
                    <w:jc w:val="center"/>
                    <w:textAlignment w:val="center"/>
                    <w:rPr>
                      <w:color w:val="000000"/>
                      <w:sz w:val="18"/>
                      <w:szCs w:val="18"/>
                    </w:rPr>
                  </w:pPr>
                  <w:r>
                    <w:rPr>
                      <w:rFonts w:hint="eastAsia"/>
                      <w:color w:val="000000"/>
                      <w:kern w:val="0"/>
                      <w:sz w:val="18"/>
                      <w:szCs w:val="18"/>
                      <w:lang w:bidi="ar"/>
                    </w:rPr>
                    <w:t>实验室</w:t>
                  </w:r>
                </w:p>
              </w:tc>
              <w:tc>
                <w:tcPr>
                  <w:tcW w:w="885" w:type="pct"/>
                  <w:tcBorders>
                    <w:tl2br w:val="nil"/>
                    <w:tr2bl w:val="nil"/>
                  </w:tcBorders>
                  <w:vAlign w:val="center"/>
                </w:tcPr>
                <w:p w14:paraId="27A94383">
                  <w:pPr>
                    <w:widowControl/>
                    <w:jc w:val="center"/>
                    <w:textAlignment w:val="center"/>
                    <w:rPr>
                      <w:color w:val="000000"/>
                      <w:sz w:val="18"/>
                      <w:szCs w:val="18"/>
                    </w:rPr>
                  </w:pPr>
                  <w:r>
                    <w:rPr>
                      <w:rFonts w:hint="eastAsia"/>
                      <w:color w:val="000000"/>
                      <w:kern w:val="0"/>
                      <w:sz w:val="18"/>
                      <w:szCs w:val="18"/>
                      <w:lang w:bidi="ar"/>
                    </w:rPr>
                    <w:t>理化检测、微生物检测、试剂配置</w:t>
                  </w:r>
                </w:p>
              </w:tc>
              <w:tc>
                <w:tcPr>
                  <w:tcW w:w="794" w:type="pct"/>
                  <w:tcBorders>
                    <w:tl2br w:val="nil"/>
                    <w:tr2bl w:val="nil"/>
                  </w:tcBorders>
                  <w:vAlign w:val="center"/>
                </w:tcPr>
                <w:p w14:paraId="4CEB8885">
                  <w:pPr>
                    <w:widowControl/>
                    <w:jc w:val="center"/>
                    <w:textAlignment w:val="center"/>
                    <w:rPr>
                      <w:color w:val="000000"/>
                      <w:sz w:val="18"/>
                      <w:szCs w:val="18"/>
                    </w:rPr>
                  </w:pPr>
                  <w:r>
                    <w:rPr>
                      <w:rFonts w:hint="eastAsia"/>
                      <w:color w:val="000000"/>
                      <w:kern w:val="0"/>
                      <w:sz w:val="18"/>
                      <w:szCs w:val="18"/>
                      <w:lang w:bidi="ar"/>
                    </w:rPr>
                    <w:t>地面漫流、垂直入渗</w:t>
                  </w:r>
                </w:p>
              </w:tc>
              <w:tc>
                <w:tcPr>
                  <w:tcW w:w="1614" w:type="pct"/>
                  <w:tcBorders>
                    <w:tl2br w:val="nil"/>
                    <w:tr2bl w:val="nil"/>
                  </w:tcBorders>
                  <w:vAlign w:val="center"/>
                </w:tcPr>
                <w:p w14:paraId="79387525">
                  <w:pPr>
                    <w:widowControl/>
                    <w:jc w:val="center"/>
                    <w:textAlignment w:val="center"/>
                    <w:rPr>
                      <w:color w:val="000000"/>
                      <w:sz w:val="18"/>
                      <w:szCs w:val="18"/>
                    </w:rPr>
                  </w:pPr>
                  <w:r>
                    <w:rPr>
                      <w:rFonts w:hint="eastAsia"/>
                      <w:color w:val="000000"/>
                      <w:kern w:val="0"/>
                      <w:sz w:val="18"/>
                      <w:szCs w:val="18"/>
                      <w:lang w:bidi="ar"/>
                    </w:rPr>
                    <w:t>酸、碱）、有机溶剂、微生物</w:t>
                  </w:r>
                </w:p>
              </w:tc>
              <w:tc>
                <w:tcPr>
                  <w:tcW w:w="1031" w:type="pct"/>
                  <w:tcBorders>
                    <w:tl2br w:val="nil"/>
                    <w:tr2bl w:val="nil"/>
                  </w:tcBorders>
                  <w:vAlign w:val="center"/>
                </w:tcPr>
                <w:p w14:paraId="36438CB2">
                  <w:pPr>
                    <w:widowControl/>
                    <w:jc w:val="center"/>
                    <w:textAlignment w:val="center"/>
                    <w:rPr>
                      <w:color w:val="000000"/>
                      <w:sz w:val="18"/>
                      <w:szCs w:val="18"/>
                    </w:rPr>
                  </w:pPr>
                  <w:r>
                    <w:rPr>
                      <w:color w:val="000000"/>
                      <w:kern w:val="0"/>
                      <w:sz w:val="18"/>
                      <w:szCs w:val="18"/>
                      <w:lang w:bidi="ar"/>
                    </w:rPr>
                    <w:t>COD</w:t>
                  </w:r>
                  <w:r>
                    <w:rPr>
                      <w:color w:val="000000"/>
                      <w:kern w:val="0"/>
                      <w:sz w:val="18"/>
                      <w:szCs w:val="18"/>
                      <w:vertAlign w:val="subscript"/>
                      <w:lang w:bidi="ar"/>
                    </w:rPr>
                    <w:t>Cr</w:t>
                  </w:r>
                  <w:r>
                    <w:rPr>
                      <w:rFonts w:hint="eastAsia"/>
                      <w:color w:val="000000"/>
                      <w:kern w:val="0"/>
                      <w:sz w:val="18"/>
                      <w:szCs w:val="18"/>
                      <w:lang w:bidi="ar"/>
                    </w:rPr>
                    <w:t>、VOCs</w:t>
                  </w:r>
                </w:p>
              </w:tc>
              <w:tc>
                <w:tcPr>
                  <w:tcW w:w="282" w:type="pct"/>
                  <w:tcBorders>
                    <w:tl2br w:val="nil"/>
                    <w:tr2bl w:val="nil"/>
                  </w:tcBorders>
                  <w:vAlign w:val="center"/>
                </w:tcPr>
                <w:p w14:paraId="683EA83F">
                  <w:pPr>
                    <w:widowControl/>
                    <w:jc w:val="center"/>
                    <w:textAlignment w:val="center"/>
                    <w:rPr>
                      <w:color w:val="000000"/>
                      <w:sz w:val="18"/>
                      <w:szCs w:val="18"/>
                    </w:rPr>
                  </w:pPr>
                  <w:r>
                    <w:rPr>
                      <w:rFonts w:hint="eastAsia"/>
                      <w:color w:val="000000"/>
                      <w:kern w:val="0"/>
                      <w:sz w:val="18"/>
                      <w:szCs w:val="18"/>
                      <w:lang w:bidi="ar"/>
                    </w:rPr>
                    <w:t>事故</w:t>
                  </w:r>
                </w:p>
              </w:tc>
            </w:tr>
            <w:tr w14:paraId="443E3E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2556EB09">
                  <w:pPr>
                    <w:widowControl/>
                    <w:jc w:val="center"/>
                    <w:textAlignment w:val="center"/>
                    <w:rPr>
                      <w:rFonts w:hint="default" w:eastAsia="宋体"/>
                      <w:color w:val="000000"/>
                      <w:sz w:val="18"/>
                      <w:szCs w:val="18"/>
                      <w:lang w:val="en-US" w:eastAsia="zh-CN"/>
                    </w:rPr>
                  </w:pPr>
                  <w:r>
                    <w:rPr>
                      <w:rFonts w:hint="eastAsia"/>
                      <w:color w:val="000000"/>
                      <w:kern w:val="0"/>
                      <w:sz w:val="18"/>
                      <w:szCs w:val="18"/>
                      <w:lang w:bidi="ar"/>
                    </w:rPr>
                    <w:t>化学品库</w:t>
                  </w:r>
                  <w:r>
                    <w:rPr>
                      <w:rFonts w:hint="eastAsia"/>
                      <w:color w:val="000000"/>
                      <w:kern w:val="0"/>
                      <w:sz w:val="18"/>
                      <w:szCs w:val="18"/>
                      <w:lang w:eastAsia="zh-CN" w:bidi="ar"/>
                    </w:rPr>
                    <w:t>、</w:t>
                  </w:r>
                  <w:r>
                    <w:rPr>
                      <w:rFonts w:hint="eastAsia"/>
                      <w:color w:val="000000"/>
                      <w:kern w:val="0"/>
                      <w:sz w:val="18"/>
                      <w:szCs w:val="18"/>
                      <w:lang w:val="en-US" w:eastAsia="zh-CN" w:bidi="ar"/>
                    </w:rPr>
                    <w:t>危废仓库</w:t>
                  </w:r>
                </w:p>
              </w:tc>
              <w:tc>
                <w:tcPr>
                  <w:tcW w:w="885" w:type="pct"/>
                  <w:tcBorders>
                    <w:tl2br w:val="nil"/>
                    <w:tr2bl w:val="nil"/>
                  </w:tcBorders>
                  <w:vAlign w:val="center"/>
                </w:tcPr>
                <w:p w14:paraId="2F356050">
                  <w:pPr>
                    <w:widowControl/>
                    <w:jc w:val="center"/>
                    <w:textAlignment w:val="center"/>
                    <w:rPr>
                      <w:rFonts w:hint="default" w:eastAsia="宋体"/>
                      <w:color w:val="000000"/>
                      <w:sz w:val="18"/>
                      <w:szCs w:val="18"/>
                      <w:lang w:val="en-US" w:eastAsia="zh-CN"/>
                    </w:rPr>
                  </w:pPr>
                  <w:r>
                    <w:rPr>
                      <w:rFonts w:hint="eastAsia"/>
                      <w:color w:val="000000"/>
                      <w:kern w:val="0"/>
                      <w:sz w:val="18"/>
                      <w:szCs w:val="18"/>
                      <w:lang w:bidi="ar"/>
                    </w:rPr>
                    <w:t>化学品储存</w:t>
                  </w:r>
                  <w:r>
                    <w:rPr>
                      <w:rFonts w:hint="eastAsia"/>
                      <w:color w:val="000000"/>
                      <w:kern w:val="0"/>
                      <w:sz w:val="18"/>
                      <w:szCs w:val="18"/>
                      <w:lang w:eastAsia="zh-CN" w:bidi="ar"/>
                    </w:rPr>
                    <w:t>、</w:t>
                  </w:r>
                  <w:r>
                    <w:rPr>
                      <w:rFonts w:hint="eastAsia"/>
                      <w:color w:val="000000"/>
                      <w:kern w:val="0"/>
                      <w:sz w:val="18"/>
                      <w:szCs w:val="18"/>
                      <w:lang w:val="en-US" w:eastAsia="zh-CN" w:bidi="ar"/>
                    </w:rPr>
                    <w:t>危废储存</w:t>
                  </w:r>
                </w:p>
              </w:tc>
              <w:tc>
                <w:tcPr>
                  <w:tcW w:w="794" w:type="pct"/>
                  <w:tcBorders>
                    <w:tl2br w:val="nil"/>
                    <w:tr2bl w:val="nil"/>
                  </w:tcBorders>
                  <w:vAlign w:val="center"/>
                </w:tcPr>
                <w:p w14:paraId="43934613">
                  <w:pPr>
                    <w:widowControl/>
                    <w:jc w:val="center"/>
                    <w:textAlignment w:val="center"/>
                    <w:rPr>
                      <w:color w:val="000000"/>
                      <w:sz w:val="18"/>
                      <w:szCs w:val="18"/>
                    </w:rPr>
                  </w:pPr>
                  <w:r>
                    <w:rPr>
                      <w:rFonts w:hint="eastAsia"/>
                      <w:color w:val="000000"/>
                      <w:kern w:val="0"/>
                      <w:sz w:val="18"/>
                      <w:szCs w:val="18"/>
                      <w:lang w:bidi="ar"/>
                    </w:rPr>
                    <w:t>垂直入渗</w:t>
                  </w:r>
                </w:p>
              </w:tc>
              <w:tc>
                <w:tcPr>
                  <w:tcW w:w="1614" w:type="pct"/>
                  <w:tcBorders>
                    <w:tl2br w:val="nil"/>
                    <w:tr2bl w:val="nil"/>
                  </w:tcBorders>
                  <w:vAlign w:val="center"/>
                </w:tcPr>
                <w:p w14:paraId="7CE985D3">
                  <w:pPr>
                    <w:widowControl/>
                    <w:jc w:val="center"/>
                    <w:textAlignment w:val="center"/>
                    <w:rPr>
                      <w:rFonts w:hint="default" w:eastAsia="宋体"/>
                      <w:color w:val="000000"/>
                      <w:sz w:val="18"/>
                      <w:szCs w:val="18"/>
                      <w:lang w:val="en-US" w:eastAsia="zh-CN"/>
                    </w:rPr>
                  </w:pPr>
                  <w:r>
                    <w:rPr>
                      <w:rFonts w:hint="eastAsia"/>
                      <w:color w:val="000000"/>
                      <w:kern w:val="0"/>
                      <w:sz w:val="18"/>
                      <w:szCs w:val="18"/>
                      <w:lang w:bidi="ar"/>
                    </w:rPr>
                    <w:t>有机溶剂、酸碱试剂、UV胶、亲水涂层溶液等</w:t>
                  </w:r>
                  <w:r>
                    <w:rPr>
                      <w:rFonts w:hint="eastAsia"/>
                      <w:color w:val="000000"/>
                      <w:kern w:val="0"/>
                      <w:sz w:val="18"/>
                      <w:szCs w:val="18"/>
                      <w:lang w:eastAsia="zh-CN" w:bidi="ar"/>
                    </w:rPr>
                    <w:t>；</w:t>
                  </w:r>
                  <w:r>
                    <w:rPr>
                      <w:rFonts w:hint="eastAsia"/>
                      <w:color w:val="000000"/>
                      <w:kern w:val="0"/>
                      <w:sz w:val="18"/>
                      <w:szCs w:val="18"/>
                      <w:lang w:val="en-US" w:eastAsia="zh-CN" w:bidi="ar"/>
                    </w:rPr>
                    <w:t>实验室废液、废活性炭、废润滑油、废试剂瓶等</w:t>
                  </w:r>
                </w:p>
              </w:tc>
              <w:tc>
                <w:tcPr>
                  <w:tcW w:w="1031" w:type="pct"/>
                  <w:tcBorders>
                    <w:tl2br w:val="nil"/>
                    <w:tr2bl w:val="nil"/>
                  </w:tcBorders>
                  <w:vAlign w:val="center"/>
                </w:tcPr>
                <w:p w14:paraId="7A9C8C3E">
                  <w:pPr>
                    <w:widowControl/>
                    <w:jc w:val="center"/>
                    <w:textAlignment w:val="center"/>
                    <w:rPr>
                      <w:color w:val="000000"/>
                      <w:sz w:val="18"/>
                      <w:szCs w:val="18"/>
                    </w:rPr>
                  </w:pPr>
                  <w:r>
                    <w:rPr>
                      <w:rFonts w:hint="default" w:ascii="Times New Roman" w:hAnsi="Times New Roman" w:eastAsia="宋体" w:cs="Times New Roman"/>
                      <w:i w:val="0"/>
                      <w:iCs w:val="0"/>
                      <w:color w:val="000000"/>
                      <w:kern w:val="0"/>
                      <w:sz w:val="18"/>
                      <w:szCs w:val="18"/>
                      <w:u w:val="none"/>
                      <w:lang w:val="en-US" w:eastAsia="zh-CN" w:bidi="ar"/>
                    </w:rPr>
                    <w:t>苯胺类、甲苯、硫酸雾、氯化氢、非甲烷总烃</w:t>
                  </w:r>
                </w:p>
              </w:tc>
              <w:tc>
                <w:tcPr>
                  <w:tcW w:w="282" w:type="pct"/>
                  <w:tcBorders>
                    <w:tl2br w:val="nil"/>
                    <w:tr2bl w:val="nil"/>
                  </w:tcBorders>
                  <w:vAlign w:val="center"/>
                </w:tcPr>
                <w:p w14:paraId="21B95033">
                  <w:pPr>
                    <w:widowControl/>
                    <w:jc w:val="center"/>
                    <w:textAlignment w:val="center"/>
                    <w:rPr>
                      <w:color w:val="000000"/>
                      <w:sz w:val="18"/>
                      <w:szCs w:val="18"/>
                    </w:rPr>
                  </w:pPr>
                  <w:r>
                    <w:rPr>
                      <w:rFonts w:hint="eastAsia"/>
                      <w:color w:val="000000"/>
                      <w:kern w:val="0"/>
                      <w:sz w:val="18"/>
                      <w:szCs w:val="18"/>
                      <w:lang w:bidi="ar"/>
                    </w:rPr>
                    <w:t>事故</w:t>
                  </w:r>
                </w:p>
              </w:tc>
            </w:tr>
            <w:tr w14:paraId="557EA3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15071C85">
                  <w:pPr>
                    <w:widowControl/>
                    <w:jc w:val="center"/>
                    <w:textAlignment w:val="center"/>
                    <w:rPr>
                      <w:rFonts w:hint="default" w:eastAsia="宋体"/>
                      <w:color w:val="000000"/>
                      <w:sz w:val="18"/>
                      <w:szCs w:val="18"/>
                      <w:lang w:val="en-US" w:eastAsia="zh-CN"/>
                    </w:rPr>
                  </w:pPr>
                  <w:r>
                    <w:rPr>
                      <w:rFonts w:hint="eastAsia"/>
                      <w:color w:val="000000"/>
                      <w:sz w:val="18"/>
                      <w:szCs w:val="18"/>
                      <w:lang w:val="en-US" w:eastAsia="zh-CN"/>
                    </w:rPr>
                    <w:t>通风系统</w:t>
                  </w:r>
                </w:p>
              </w:tc>
              <w:tc>
                <w:tcPr>
                  <w:tcW w:w="885" w:type="pct"/>
                  <w:tcBorders>
                    <w:tl2br w:val="nil"/>
                    <w:tr2bl w:val="nil"/>
                  </w:tcBorders>
                  <w:vAlign w:val="center"/>
                </w:tcPr>
                <w:p w14:paraId="5F088220">
                  <w:pPr>
                    <w:widowControl/>
                    <w:jc w:val="center"/>
                    <w:textAlignment w:val="center"/>
                    <w:rPr>
                      <w:rFonts w:hint="eastAsia" w:eastAsia="宋体"/>
                      <w:color w:val="000000"/>
                      <w:sz w:val="18"/>
                      <w:szCs w:val="18"/>
                      <w:lang w:val="en-US" w:eastAsia="zh-CN"/>
                    </w:rPr>
                  </w:pPr>
                  <w:r>
                    <w:rPr>
                      <w:rFonts w:hint="eastAsia"/>
                      <w:color w:val="000000"/>
                      <w:sz w:val="18"/>
                      <w:szCs w:val="18"/>
                      <w:lang w:val="en-US" w:eastAsia="zh-CN"/>
                    </w:rPr>
                    <w:t>密闭车间换风</w:t>
                  </w:r>
                </w:p>
              </w:tc>
              <w:tc>
                <w:tcPr>
                  <w:tcW w:w="794" w:type="pct"/>
                  <w:tcBorders>
                    <w:tl2br w:val="nil"/>
                    <w:tr2bl w:val="nil"/>
                  </w:tcBorders>
                  <w:vAlign w:val="center"/>
                </w:tcPr>
                <w:p w14:paraId="5F5E86F7">
                  <w:pPr>
                    <w:widowControl/>
                    <w:jc w:val="center"/>
                    <w:textAlignment w:val="center"/>
                    <w:rPr>
                      <w:color w:val="000000"/>
                      <w:sz w:val="18"/>
                      <w:szCs w:val="18"/>
                    </w:rPr>
                  </w:pPr>
                  <w:r>
                    <w:rPr>
                      <w:rFonts w:hint="eastAsia"/>
                      <w:color w:val="000000"/>
                      <w:kern w:val="0"/>
                      <w:sz w:val="18"/>
                      <w:szCs w:val="18"/>
                      <w:lang w:bidi="ar"/>
                    </w:rPr>
                    <w:t>大气沉降</w:t>
                  </w:r>
                </w:p>
              </w:tc>
              <w:tc>
                <w:tcPr>
                  <w:tcW w:w="1614" w:type="pct"/>
                  <w:tcBorders>
                    <w:tl2br w:val="nil"/>
                    <w:tr2bl w:val="nil"/>
                  </w:tcBorders>
                  <w:vAlign w:val="center"/>
                </w:tcPr>
                <w:p w14:paraId="210C8858">
                  <w:pPr>
                    <w:widowControl/>
                    <w:jc w:val="center"/>
                    <w:textAlignment w:val="center"/>
                    <w:rPr>
                      <w:color w:val="000000"/>
                      <w:sz w:val="18"/>
                      <w:szCs w:val="18"/>
                    </w:rPr>
                  </w:pPr>
                  <w:r>
                    <w:rPr>
                      <w:rFonts w:hint="eastAsia"/>
                      <w:color w:val="000000"/>
                      <w:kern w:val="0"/>
                      <w:sz w:val="18"/>
                      <w:szCs w:val="18"/>
                      <w:lang w:bidi="ar"/>
                    </w:rPr>
                    <w:t>生产废气（管料受热废气、UV胶废气）</w:t>
                  </w:r>
                </w:p>
              </w:tc>
              <w:tc>
                <w:tcPr>
                  <w:tcW w:w="1031" w:type="pct"/>
                  <w:tcBorders>
                    <w:tl2br w:val="nil"/>
                    <w:tr2bl w:val="nil"/>
                  </w:tcBorders>
                  <w:vAlign w:val="center"/>
                </w:tcPr>
                <w:p w14:paraId="0E2DDC6B">
                  <w:pPr>
                    <w:widowControl/>
                    <w:jc w:val="center"/>
                    <w:textAlignment w:val="center"/>
                    <w:rPr>
                      <w:color w:val="000000"/>
                      <w:sz w:val="18"/>
                      <w:szCs w:val="18"/>
                    </w:rPr>
                  </w:pPr>
                  <w:r>
                    <w:rPr>
                      <w:color w:val="000000"/>
                      <w:kern w:val="0"/>
                      <w:sz w:val="18"/>
                      <w:szCs w:val="18"/>
                      <w:lang w:bidi="ar"/>
                    </w:rPr>
                    <w:t>VOCs</w:t>
                  </w:r>
                </w:p>
              </w:tc>
              <w:tc>
                <w:tcPr>
                  <w:tcW w:w="282" w:type="pct"/>
                  <w:tcBorders>
                    <w:tl2br w:val="nil"/>
                    <w:tr2bl w:val="nil"/>
                  </w:tcBorders>
                  <w:vAlign w:val="center"/>
                </w:tcPr>
                <w:p w14:paraId="38D90BF3">
                  <w:pPr>
                    <w:widowControl/>
                    <w:jc w:val="center"/>
                    <w:textAlignment w:val="center"/>
                    <w:rPr>
                      <w:color w:val="000000"/>
                      <w:sz w:val="18"/>
                      <w:szCs w:val="18"/>
                    </w:rPr>
                  </w:pPr>
                  <w:r>
                    <w:rPr>
                      <w:rFonts w:hint="eastAsia"/>
                      <w:color w:val="000000"/>
                      <w:kern w:val="0"/>
                      <w:sz w:val="18"/>
                      <w:szCs w:val="18"/>
                      <w:lang w:bidi="ar"/>
                    </w:rPr>
                    <w:t>事故</w:t>
                  </w:r>
                </w:p>
              </w:tc>
            </w:tr>
            <w:tr w14:paraId="792921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5086C756">
                  <w:pPr>
                    <w:widowControl/>
                    <w:jc w:val="center"/>
                    <w:textAlignment w:val="center"/>
                    <w:rPr>
                      <w:rFonts w:hint="default"/>
                      <w:color w:val="000000"/>
                      <w:sz w:val="18"/>
                      <w:szCs w:val="18"/>
                      <w:lang w:val="en-US" w:eastAsia="zh-CN"/>
                    </w:rPr>
                  </w:pPr>
                  <w:r>
                    <w:rPr>
                      <w:rFonts w:hint="eastAsia"/>
                      <w:color w:val="000000"/>
                      <w:sz w:val="18"/>
                      <w:szCs w:val="18"/>
                      <w:lang w:val="en-US" w:eastAsia="zh-CN"/>
                    </w:rPr>
                    <w:t>废气处理设施</w:t>
                  </w:r>
                </w:p>
              </w:tc>
              <w:tc>
                <w:tcPr>
                  <w:tcW w:w="885" w:type="pct"/>
                  <w:tcBorders>
                    <w:tl2br w:val="nil"/>
                    <w:tr2bl w:val="nil"/>
                  </w:tcBorders>
                  <w:vAlign w:val="center"/>
                </w:tcPr>
                <w:p w14:paraId="312B9CEE">
                  <w:pPr>
                    <w:widowControl/>
                    <w:jc w:val="center"/>
                    <w:textAlignment w:val="center"/>
                    <w:rPr>
                      <w:rFonts w:hint="default"/>
                      <w:color w:val="000000"/>
                      <w:sz w:val="18"/>
                      <w:szCs w:val="18"/>
                      <w:lang w:val="en-US" w:eastAsia="zh-CN"/>
                    </w:rPr>
                  </w:pPr>
                  <w:r>
                    <w:rPr>
                      <w:rFonts w:hint="eastAsia"/>
                      <w:color w:val="000000"/>
                      <w:sz w:val="18"/>
                      <w:szCs w:val="18"/>
                      <w:lang w:val="en-US" w:eastAsia="zh-CN"/>
                    </w:rPr>
                    <w:t>活性炭吸附</w:t>
                  </w:r>
                </w:p>
              </w:tc>
              <w:tc>
                <w:tcPr>
                  <w:tcW w:w="794" w:type="pct"/>
                  <w:tcBorders>
                    <w:tl2br w:val="nil"/>
                    <w:tr2bl w:val="nil"/>
                  </w:tcBorders>
                  <w:vAlign w:val="center"/>
                </w:tcPr>
                <w:p w14:paraId="6269DEB2">
                  <w:pPr>
                    <w:widowControl/>
                    <w:jc w:val="center"/>
                    <w:textAlignment w:val="center"/>
                    <w:rPr>
                      <w:rFonts w:hint="eastAsia" w:eastAsia="宋体"/>
                      <w:color w:val="000000"/>
                      <w:kern w:val="0"/>
                      <w:sz w:val="18"/>
                      <w:szCs w:val="18"/>
                      <w:lang w:val="en-US" w:eastAsia="zh-CN" w:bidi="ar"/>
                    </w:rPr>
                  </w:pPr>
                  <w:r>
                    <w:rPr>
                      <w:rFonts w:hint="eastAsia"/>
                      <w:color w:val="000000"/>
                      <w:kern w:val="0"/>
                      <w:sz w:val="18"/>
                      <w:szCs w:val="18"/>
                      <w:lang w:val="en-US" w:eastAsia="zh-CN" w:bidi="ar"/>
                    </w:rPr>
                    <w:t>大气沉降</w:t>
                  </w:r>
                </w:p>
              </w:tc>
              <w:tc>
                <w:tcPr>
                  <w:tcW w:w="1614" w:type="pct"/>
                  <w:tcBorders>
                    <w:tl2br w:val="nil"/>
                    <w:tr2bl w:val="nil"/>
                  </w:tcBorders>
                  <w:vAlign w:val="center"/>
                </w:tcPr>
                <w:p w14:paraId="190C034A">
                  <w:pPr>
                    <w:widowControl/>
                    <w:jc w:val="center"/>
                    <w:textAlignment w:val="center"/>
                    <w:rPr>
                      <w:rFonts w:hint="default" w:eastAsia="宋体"/>
                      <w:color w:val="000000"/>
                      <w:kern w:val="0"/>
                      <w:sz w:val="18"/>
                      <w:szCs w:val="18"/>
                      <w:lang w:val="en-US" w:eastAsia="zh-CN" w:bidi="ar"/>
                    </w:rPr>
                  </w:pPr>
                  <w:r>
                    <w:rPr>
                      <w:rFonts w:hint="eastAsia"/>
                      <w:color w:val="000000"/>
                      <w:kern w:val="0"/>
                      <w:sz w:val="18"/>
                      <w:szCs w:val="18"/>
                      <w:lang w:val="en-US" w:eastAsia="zh-CN" w:bidi="ar"/>
                    </w:rPr>
                    <w:t>生产废气（涂覆废气）和实验室废气</w:t>
                  </w:r>
                </w:p>
              </w:tc>
              <w:tc>
                <w:tcPr>
                  <w:tcW w:w="1031" w:type="pct"/>
                  <w:tcBorders>
                    <w:tl2br w:val="nil"/>
                    <w:tr2bl w:val="nil"/>
                  </w:tcBorders>
                  <w:vAlign w:val="center"/>
                </w:tcPr>
                <w:p w14:paraId="495CB985">
                  <w:pPr>
                    <w:widowControl/>
                    <w:jc w:val="center"/>
                    <w:textAlignment w:val="center"/>
                    <w:rPr>
                      <w:color w:val="000000"/>
                      <w:kern w:val="0"/>
                      <w:sz w:val="18"/>
                      <w:szCs w:val="18"/>
                      <w:lang w:bidi="ar"/>
                    </w:rPr>
                  </w:pPr>
                  <w:r>
                    <w:rPr>
                      <w:color w:val="000000"/>
                      <w:kern w:val="0"/>
                      <w:sz w:val="18"/>
                      <w:szCs w:val="18"/>
                      <w:lang w:bidi="ar"/>
                    </w:rPr>
                    <w:t>VOCs</w:t>
                  </w:r>
                </w:p>
              </w:tc>
              <w:tc>
                <w:tcPr>
                  <w:tcW w:w="282" w:type="pct"/>
                  <w:tcBorders>
                    <w:tl2br w:val="nil"/>
                    <w:tr2bl w:val="nil"/>
                  </w:tcBorders>
                  <w:vAlign w:val="center"/>
                </w:tcPr>
                <w:p w14:paraId="080C6A95">
                  <w:pPr>
                    <w:widowControl/>
                    <w:jc w:val="center"/>
                    <w:textAlignment w:val="center"/>
                    <w:rPr>
                      <w:color w:val="000000"/>
                      <w:kern w:val="0"/>
                      <w:sz w:val="18"/>
                      <w:szCs w:val="18"/>
                      <w:lang w:bidi="ar"/>
                    </w:rPr>
                  </w:pPr>
                  <w:r>
                    <w:rPr>
                      <w:rFonts w:hint="eastAsia"/>
                      <w:color w:val="000000"/>
                      <w:kern w:val="0"/>
                      <w:sz w:val="18"/>
                      <w:szCs w:val="18"/>
                      <w:lang w:bidi="ar"/>
                    </w:rPr>
                    <w:t>事故</w:t>
                  </w:r>
                </w:p>
              </w:tc>
            </w:tr>
            <w:tr w14:paraId="258B96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66230F72">
                  <w:pPr>
                    <w:widowControl/>
                    <w:jc w:val="center"/>
                    <w:textAlignment w:val="center"/>
                    <w:rPr>
                      <w:color w:val="000000"/>
                      <w:sz w:val="18"/>
                      <w:szCs w:val="18"/>
                    </w:rPr>
                  </w:pPr>
                  <w:r>
                    <w:rPr>
                      <w:rFonts w:hint="eastAsia"/>
                      <w:color w:val="000000"/>
                      <w:kern w:val="0"/>
                      <w:sz w:val="18"/>
                      <w:szCs w:val="18"/>
                      <w:lang w:bidi="ar"/>
                    </w:rPr>
                    <w:t>危废暂存间</w:t>
                  </w:r>
                </w:p>
              </w:tc>
              <w:tc>
                <w:tcPr>
                  <w:tcW w:w="885" w:type="pct"/>
                  <w:tcBorders>
                    <w:tl2br w:val="nil"/>
                    <w:tr2bl w:val="nil"/>
                  </w:tcBorders>
                  <w:vAlign w:val="center"/>
                </w:tcPr>
                <w:p w14:paraId="1DF6371D">
                  <w:pPr>
                    <w:widowControl/>
                    <w:jc w:val="center"/>
                    <w:textAlignment w:val="center"/>
                    <w:rPr>
                      <w:color w:val="000000"/>
                      <w:sz w:val="18"/>
                      <w:szCs w:val="18"/>
                    </w:rPr>
                  </w:pPr>
                  <w:r>
                    <w:rPr>
                      <w:rFonts w:hint="eastAsia"/>
                      <w:color w:val="000000"/>
                      <w:kern w:val="0"/>
                      <w:sz w:val="18"/>
                      <w:szCs w:val="18"/>
                      <w:lang w:bidi="ar"/>
                    </w:rPr>
                    <w:t>危险废物贮存</w:t>
                  </w:r>
                </w:p>
              </w:tc>
              <w:tc>
                <w:tcPr>
                  <w:tcW w:w="794" w:type="pct"/>
                  <w:tcBorders>
                    <w:tl2br w:val="nil"/>
                    <w:tr2bl w:val="nil"/>
                  </w:tcBorders>
                  <w:vAlign w:val="center"/>
                </w:tcPr>
                <w:p w14:paraId="6BE27BE4">
                  <w:pPr>
                    <w:widowControl/>
                    <w:jc w:val="center"/>
                    <w:textAlignment w:val="center"/>
                    <w:rPr>
                      <w:color w:val="000000"/>
                      <w:sz w:val="18"/>
                      <w:szCs w:val="18"/>
                    </w:rPr>
                  </w:pPr>
                  <w:r>
                    <w:rPr>
                      <w:rFonts w:hint="eastAsia"/>
                      <w:color w:val="000000"/>
                      <w:kern w:val="0"/>
                      <w:sz w:val="18"/>
                      <w:szCs w:val="18"/>
                      <w:lang w:bidi="ar"/>
                    </w:rPr>
                    <w:t>地面漫流、垂直入渗</w:t>
                  </w:r>
                </w:p>
              </w:tc>
              <w:tc>
                <w:tcPr>
                  <w:tcW w:w="1614" w:type="pct"/>
                  <w:tcBorders>
                    <w:tl2br w:val="nil"/>
                    <w:tr2bl w:val="nil"/>
                  </w:tcBorders>
                  <w:vAlign w:val="center"/>
                </w:tcPr>
                <w:p w14:paraId="2C85D68D">
                  <w:pPr>
                    <w:widowControl/>
                    <w:jc w:val="center"/>
                    <w:textAlignment w:val="center"/>
                    <w:rPr>
                      <w:color w:val="000000"/>
                      <w:sz w:val="18"/>
                      <w:szCs w:val="18"/>
                    </w:rPr>
                  </w:pPr>
                  <w:r>
                    <w:rPr>
                      <w:rFonts w:hint="eastAsia"/>
                      <w:color w:val="000000"/>
                      <w:kern w:val="0"/>
                      <w:sz w:val="18"/>
                      <w:szCs w:val="18"/>
                      <w:lang w:bidi="ar"/>
                    </w:rPr>
                    <w:t>实验室废液</w:t>
                  </w:r>
                  <w:r>
                    <w:rPr>
                      <w:rFonts w:hint="eastAsia"/>
                      <w:color w:val="000000"/>
                      <w:kern w:val="0"/>
                      <w:sz w:val="18"/>
                      <w:szCs w:val="18"/>
                      <w:lang w:eastAsia="zh-CN" w:bidi="ar"/>
                    </w:rPr>
                    <w:t>、</w:t>
                  </w:r>
                  <w:r>
                    <w:rPr>
                      <w:rFonts w:hint="eastAsia"/>
                      <w:color w:val="000000"/>
                      <w:kern w:val="0"/>
                      <w:sz w:val="18"/>
                      <w:szCs w:val="18"/>
                      <w:lang w:bidi="ar"/>
                    </w:rPr>
                    <w:t>清洗废水、废润滑油、沾染化学品的废包装物等</w:t>
                  </w:r>
                </w:p>
              </w:tc>
              <w:tc>
                <w:tcPr>
                  <w:tcW w:w="1031" w:type="pct"/>
                  <w:tcBorders>
                    <w:tl2br w:val="nil"/>
                    <w:tr2bl w:val="nil"/>
                  </w:tcBorders>
                  <w:vAlign w:val="center"/>
                </w:tcPr>
                <w:p w14:paraId="2651EECA">
                  <w:pPr>
                    <w:widowControl/>
                    <w:jc w:val="center"/>
                    <w:textAlignment w:val="center"/>
                    <w:rPr>
                      <w:color w:val="000000"/>
                      <w:sz w:val="18"/>
                      <w:szCs w:val="18"/>
                    </w:rPr>
                  </w:pPr>
                  <w:r>
                    <w:rPr>
                      <w:color w:val="000000"/>
                      <w:kern w:val="0"/>
                      <w:sz w:val="18"/>
                      <w:szCs w:val="18"/>
                      <w:lang w:bidi="ar"/>
                    </w:rPr>
                    <w:t>COD</w:t>
                  </w:r>
                  <w:r>
                    <w:rPr>
                      <w:color w:val="000000"/>
                      <w:kern w:val="0"/>
                      <w:sz w:val="18"/>
                      <w:szCs w:val="18"/>
                      <w:vertAlign w:val="subscript"/>
                      <w:lang w:bidi="ar"/>
                    </w:rPr>
                    <w:t>Cr</w:t>
                  </w:r>
                  <w:r>
                    <w:rPr>
                      <w:rFonts w:hint="eastAsia"/>
                      <w:color w:val="000000"/>
                      <w:kern w:val="0"/>
                      <w:sz w:val="18"/>
                      <w:szCs w:val="18"/>
                      <w:lang w:bidi="ar"/>
                    </w:rPr>
                    <w:t>、石油类</w:t>
                  </w:r>
                </w:p>
              </w:tc>
              <w:tc>
                <w:tcPr>
                  <w:tcW w:w="282" w:type="pct"/>
                  <w:tcBorders>
                    <w:tl2br w:val="nil"/>
                    <w:tr2bl w:val="nil"/>
                  </w:tcBorders>
                  <w:vAlign w:val="center"/>
                </w:tcPr>
                <w:p w14:paraId="07E0786B">
                  <w:pPr>
                    <w:widowControl/>
                    <w:jc w:val="center"/>
                    <w:textAlignment w:val="center"/>
                    <w:rPr>
                      <w:color w:val="000000"/>
                      <w:sz w:val="18"/>
                      <w:szCs w:val="18"/>
                    </w:rPr>
                  </w:pPr>
                  <w:r>
                    <w:rPr>
                      <w:rFonts w:hint="eastAsia"/>
                      <w:color w:val="000000"/>
                      <w:kern w:val="0"/>
                      <w:sz w:val="18"/>
                      <w:szCs w:val="18"/>
                      <w:lang w:bidi="ar"/>
                    </w:rPr>
                    <w:t>事故</w:t>
                  </w:r>
                </w:p>
              </w:tc>
            </w:tr>
            <w:tr w14:paraId="5E0989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0" w:type="pct"/>
                  <w:tcBorders>
                    <w:tl2br w:val="nil"/>
                    <w:tr2bl w:val="nil"/>
                  </w:tcBorders>
                  <w:vAlign w:val="center"/>
                </w:tcPr>
                <w:p w14:paraId="607FC1E1">
                  <w:pPr>
                    <w:widowControl/>
                    <w:jc w:val="center"/>
                    <w:textAlignment w:val="center"/>
                    <w:rPr>
                      <w:color w:val="000000"/>
                      <w:sz w:val="18"/>
                      <w:szCs w:val="18"/>
                    </w:rPr>
                  </w:pPr>
                  <w:r>
                    <w:rPr>
                      <w:rFonts w:hint="eastAsia"/>
                      <w:color w:val="000000"/>
                      <w:kern w:val="0"/>
                      <w:sz w:val="18"/>
                      <w:szCs w:val="18"/>
                      <w:lang w:bidi="ar"/>
                    </w:rPr>
                    <w:t>清洗工序</w:t>
                  </w:r>
                </w:p>
              </w:tc>
              <w:tc>
                <w:tcPr>
                  <w:tcW w:w="885" w:type="pct"/>
                  <w:tcBorders>
                    <w:tl2br w:val="nil"/>
                    <w:tr2bl w:val="nil"/>
                  </w:tcBorders>
                  <w:vAlign w:val="center"/>
                </w:tcPr>
                <w:p w14:paraId="0DEB8DE2">
                  <w:pPr>
                    <w:widowControl/>
                    <w:jc w:val="center"/>
                    <w:textAlignment w:val="center"/>
                    <w:rPr>
                      <w:color w:val="000000"/>
                      <w:sz w:val="18"/>
                      <w:szCs w:val="18"/>
                    </w:rPr>
                  </w:pPr>
                  <w:r>
                    <w:rPr>
                      <w:rFonts w:hint="eastAsia"/>
                      <w:color w:val="000000"/>
                      <w:kern w:val="0"/>
                      <w:sz w:val="18"/>
                      <w:szCs w:val="18"/>
                      <w:lang w:bidi="ar"/>
                    </w:rPr>
                    <w:t>实验室器皿清洗、设备清洗</w:t>
                  </w:r>
                </w:p>
              </w:tc>
              <w:tc>
                <w:tcPr>
                  <w:tcW w:w="794" w:type="pct"/>
                  <w:tcBorders>
                    <w:tl2br w:val="nil"/>
                    <w:tr2bl w:val="nil"/>
                  </w:tcBorders>
                  <w:vAlign w:val="center"/>
                </w:tcPr>
                <w:p w14:paraId="0FC8FA6A">
                  <w:pPr>
                    <w:widowControl/>
                    <w:jc w:val="center"/>
                    <w:textAlignment w:val="center"/>
                    <w:rPr>
                      <w:color w:val="000000"/>
                      <w:sz w:val="18"/>
                      <w:szCs w:val="18"/>
                    </w:rPr>
                  </w:pPr>
                  <w:r>
                    <w:rPr>
                      <w:rFonts w:hint="eastAsia"/>
                      <w:color w:val="000000"/>
                      <w:kern w:val="0"/>
                      <w:sz w:val="18"/>
                      <w:szCs w:val="18"/>
                      <w:lang w:bidi="ar"/>
                    </w:rPr>
                    <w:t>地面漫流、垂直入渗</w:t>
                  </w:r>
                </w:p>
              </w:tc>
              <w:tc>
                <w:tcPr>
                  <w:tcW w:w="1614" w:type="pct"/>
                  <w:tcBorders>
                    <w:tl2br w:val="nil"/>
                    <w:tr2bl w:val="nil"/>
                  </w:tcBorders>
                  <w:vAlign w:val="center"/>
                </w:tcPr>
                <w:p w14:paraId="16424BE3">
                  <w:pPr>
                    <w:widowControl/>
                    <w:jc w:val="center"/>
                    <w:textAlignment w:val="center"/>
                    <w:rPr>
                      <w:color w:val="000000"/>
                      <w:sz w:val="18"/>
                      <w:szCs w:val="18"/>
                    </w:rPr>
                  </w:pPr>
                  <w:r>
                    <w:rPr>
                      <w:rFonts w:hint="eastAsia"/>
                      <w:color w:val="000000"/>
                      <w:kern w:val="0"/>
                      <w:sz w:val="18"/>
                      <w:szCs w:val="18"/>
                      <w:lang w:bidi="ar"/>
                    </w:rPr>
                    <w:t>清洗废水（含多种有机溶剂残留、药物残留）</w:t>
                  </w:r>
                </w:p>
              </w:tc>
              <w:tc>
                <w:tcPr>
                  <w:tcW w:w="1031" w:type="pct"/>
                  <w:tcBorders>
                    <w:tl2br w:val="nil"/>
                    <w:tr2bl w:val="nil"/>
                  </w:tcBorders>
                  <w:vAlign w:val="center"/>
                </w:tcPr>
                <w:p w14:paraId="33C02A2E">
                  <w:pPr>
                    <w:widowControl/>
                    <w:jc w:val="center"/>
                    <w:textAlignment w:val="center"/>
                    <w:rPr>
                      <w:color w:val="000000"/>
                      <w:sz w:val="18"/>
                      <w:szCs w:val="18"/>
                    </w:rPr>
                  </w:pPr>
                  <w:r>
                    <w:rPr>
                      <w:color w:val="000000"/>
                      <w:kern w:val="0"/>
                      <w:sz w:val="18"/>
                      <w:szCs w:val="18"/>
                      <w:lang w:bidi="ar"/>
                    </w:rPr>
                    <w:t>COD</w:t>
                  </w:r>
                  <w:r>
                    <w:rPr>
                      <w:color w:val="000000"/>
                      <w:kern w:val="0"/>
                      <w:sz w:val="18"/>
                      <w:szCs w:val="18"/>
                      <w:vertAlign w:val="subscript"/>
                      <w:lang w:bidi="ar"/>
                    </w:rPr>
                    <w:t>Cr</w:t>
                  </w:r>
                  <w:r>
                    <w:rPr>
                      <w:rFonts w:hint="eastAsia"/>
                      <w:color w:val="000000"/>
                      <w:kern w:val="0"/>
                      <w:sz w:val="18"/>
                      <w:szCs w:val="18"/>
                      <w:lang w:bidi="ar"/>
                    </w:rPr>
                    <w:t>、VOCs</w:t>
                  </w:r>
                </w:p>
              </w:tc>
              <w:tc>
                <w:tcPr>
                  <w:tcW w:w="282" w:type="pct"/>
                  <w:tcBorders>
                    <w:tl2br w:val="nil"/>
                    <w:tr2bl w:val="nil"/>
                  </w:tcBorders>
                  <w:vAlign w:val="center"/>
                </w:tcPr>
                <w:p w14:paraId="42115D04">
                  <w:pPr>
                    <w:widowControl/>
                    <w:jc w:val="center"/>
                    <w:textAlignment w:val="center"/>
                    <w:rPr>
                      <w:color w:val="000000"/>
                      <w:sz w:val="18"/>
                      <w:szCs w:val="18"/>
                    </w:rPr>
                  </w:pPr>
                  <w:r>
                    <w:rPr>
                      <w:rFonts w:hint="eastAsia"/>
                      <w:color w:val="000000"/>
                      <w:kern w:val="0"/>
                      <w:sz w:val="18"/>
                      <w:szCs w:val="18"/>
                      <w:lang w:bidi="ar"/>
                    </w:rPr>
                    <w:t>事故</w:t>
                  </w:r>
                </w:p>
              </w:tc>
            </w:tr>
          </w:tbl>
          <w:p w14:paraId="00E26749">
            <w:pPr>
              <w:tabs>
                <w:tab w:val="left" w:pos="0"/>
              </w:tabs>
              <w:spacing w:line="360" w:lineRule="auto"/>
              <w:rPr>
                <w:rFonts w:hint="eastAsia" w:ascii="黑体" w:hAnsi="黑体" w:eastAsia="黑体" w:cs="黑体"/>
                <w:spacing w:val="-10"/>
                <w:szCs w:val="21"/>
              </w:rPr>
            </w:pPr>
          </w:p>
          <w:p w14:paraId="73F45921">
            <w:pPr>
              <w:adjustRightInd w:val="0"/>
              <w:snapToGrid w:val="0"/>
              <w:spacing w:line="360" w:lineRule="auto"/>
              <w:rPr>
                <w:b/>
                <w:szCs w:val="21"/>
              </w:rPr>
            </w:pPr>
            <w:r>
              <w:rPr>
                <w:rFonts w:hint="eastAsia"/>
                <w:b/>
                <w:szCs w:val="21"/>
              </w:rPr>
              <w:t>2、污染防治措施</w:t>
            </w:r>
          </w:p>
          <w:p w14:paraId="129DD39A">
            <w:pPr>
              <w:adjustRightInd w:val="0"/>
              <w:snapToGrid w:val="0"/>
              <w:spacing w:line="360" w:lineRule="auto"/>
              <w:ind w:firstLine="420" w:firstLineChars="200"/>
              <w:rPr>
                <w:bCs/>
                <w:szCs w:val="21"/>
              </w:rPr>
            </w:pPr>
            <w:r>
              <w:rPr>
                <w:rFonts w:hint="eastAsia"/>
                <w:bCs/>
                <w:szCs w:val="21"/>
              </w:rPr>
              <w:t>本次环评从环境管理角度，要求建设单位在项目营运期充分重视其自身环保行为，从源头控制、过程防控等方面加强对土壤、地下水环境的保护。</w:t>
            </w:r>
          </w:p>
          <w:p w14:paraId="7EA1C74F">
            <w:pPr>
              <w:adjustRightInd w:val="0"/>
              <w:snapToGrid w:val="0"/>
              <w:spacing w:line="360" w:lineRule="auto"/>
              <w:ind w:firstLine="420" w:firstLineChars="200"/>
              <w:rPr>
                <w:bCs/>
                <w:szCs w:val="21"/>
              </w:rPr>
            </w:pPr>
            <w:r>
              <w:rPr>
                <w:rFonts w:hint="eastAsia"/>
                <w:bCs/>
                <w:szCs w:val="21"/>
              </w:rPr>
              <w:t>（1）源头控制</w:t>
            </w:r>
          </w:p>
          <w:p w14:paraId="39767821">
            <w:pPr>
              <w:adjustRightInd w:val="0"/>
              <w:snapToGrid w:val="0"/>
              <w:spacing w:line="360" w:lineRule="auto"/>
              <w:ind w:firstLine="420" w:firstLineChars="200"/>
              <w:rPr>
                <w:bCs/>
                <w:szCs w:val="21"/>
              </w:rPr>
            </w:pPr>
            <w:r>
              <w:rPr>
                <w:rFonts w:hint="eastAsia"/>
                <w:bCs/>
                <w:szCs w:val="21"/>
              </w:rPr>
              <w:t>日常营运过程中应注意原料、危险废物等包装的完好性和密封性，降低其转运、贮存过程发生泄漏的隐患。</w:t>
            </w:r>
          </w:p>
          <w:p w14:paraId="4788F952">
            <w:pPr>
              <w:adjustRightInd w:val="0"/>
              <w:snapToGrid w:val="0"/>
              <w:spacing w:line="360" w:lineRule="auto"/>
              <w:ind w:firstLine="420" w:firstLineChars="200"/>
              <w:rPr>
                <w:bCs/>
                <w:szCs w:val="21"/>
              </w:rPr>
            </w:pPr>
            <w:r>
              <w:rPr>
                <w:rFonts w:hint="eastAsia"/>
                <w:bCs/>
                <w:szCs w:val="21"/>
              </w:rPr>
              <w:t>（2）过程防控</w:t>
            </w:r>
          </w:p>
          <w:p w14:paraId="61BA2F51">
            <w:pPr>
              <w:adjustRightInd w:val="0"/>
              <w:snapToGrid w:val="0"/>
              <w:spacing w:line="360" w:lineRule="auto"/>
              <w:ind w:firstLine="420" w:firstLineChars="200"/>
              <w:rPr>
                <w:bCs/>
                <w:szCs w:val="21"/>
              </w:rPr>
            </w:pPr>
            <w:r>
              <w:rPr>
                <w:rFonts w:hint="eastAsia"/>
                <w:bCs/>
                <w:szCs w:val="21"/>
              </w:rPr>
              <w:t>整个厂区地面进行硬化处理，按照下表防渗标准要求设置防渗区，建立防渗设施的检漏系统，防止污染物的跑、冒、滴、漏，将污染物泄漏的环境风险事故降到最低限度。本项目防渗措施见下表。</w:t>
            </w:r>
          </w:p>
          <w:p w14:paraId="41518C79">
            <w:pPr>
              <w:numPr>
                <w:ilvl w:val="0"/>
                <w:numId w:val="12"/>
              </w:numPr>
              <w:spacing w:line="360" w:lineRule="auto"/>
              <w:jc w:val="center"/>
              <w:rPr>
                <w:rFonts w:hint="eastAsia" w:ascii="黑体" w:hAnsi="黑体" w:eastAsia="黑体" w:cs="黑体"/>
                <w:spacing w:val="-10"/>
                <w:szCs w:val="21"/>
              </w:rPr>
            </w:pPr>
            <w:r>
              <w:rPr>
                <w:rFonts w:hint="eastAsia" w:ascii="黑体" w:hAnsi="黑体" w:eastAsia="黑体" w:cs="黑体"/>
                <w:spacing w:val="-10"/>
                <w:szCs w:val="21"/>
              </w:rPr>
              <w:t>项目厂区部分防控措施一览表</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045"/>
              <w:gridCol w:w="2633"/>
              <w:gridCol w:w="4626"/>
            </w:tblGrid>
            <w:tr w14:paraId="59976C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093A764D">
                  <w:pPr>
                    <w:adjustRightInd w:val="0"/>
                    <w:snapToGrid w:val="0"/>
                    <w:jc w:val="center"/>
                    <w:rPr>
                      <w:snapToGrid w:val="0"/>
                      <w:kern w:val="0"/>
                      <w:sz w:val="18"/>
                      <w:szCs w:val="18"/>
                    </w:rPr>
                  </w:pPr>
                  <w:r>
                    <w:rPr>
                      <w:rFonts w:hint="eastAsia"/>
                      <w:snapToGrid w:val="0"/>
                      <w:kern w:val="0"/>
                      <w:sz w:val="18"/>
                      <w:szCs w:val="18"/>
                    </w:rPr>
                    <w:t>防渗分区</w:t>
                  </w:r>
                </w:p>
              </w:tc>
              <w:tc>
                <w:tcPr>
                  <w:tcW w:w="1585" w:type="pct"/>
                  <w:tcBorders>
                    <w:tl2br w:val="nil"/>
                    <w:tr2bl w:val="nil"/>
                  </w:tcBorders>
                  <w:vAlign w:val="center"/>
                </w:tcPr>
                <w:p w14:paraId="2D73B8B6">
                  <w:pPr>
                    <w:adjustRightInd w:val="0"/>
                    <w:snapToGrid w:val="0"/>
                    <w:jc w:val="center"/>
                    <w:rPr>
                      <w:snapToGrid w:val="0"/>
                      <w:kern w:val="0"/>
                      <w:sz w:val="18"/>
                      <w:szCs w:val="18"/>
                    </w:rPr>
                  </w:pPr>
                  <w:r>
                    <w:rPr>
                      <w:rFonts w:hint="eastAsia"/>
                      <w:snapToGrid w:val="0"/>
                      <w:kern w:val="0"/>
                      <w:sz w:val="18"/>
                      <w:szCs w:val="18"/>
                    </w:rPr>
                    <w:t>厂内分区</w:t>
                  </w:r>
                </w:p>
              </w:tc>
              <w:tc>
                <w:tcPr>
                  <w:tcW w:w="2784" w:type="pct"/>
                  <w:tcBorders>
                    <w:tl2br w:val="nil"/>
                    <w:tr2bl w:val="nil"/>
                  </w:tcBorders>
                  <w:vAlign w:val="center"/>
                </w:tcPr>
                <w:p w14:paraId="58E1044E">
                  <w:pPr>
                    <w:adjustRightInd w:val="0"/>
                    <w:snapToGrid w:val="0"/>
                    <w:jc w:val="center"/>
                    <w:rPr>
                      <w:snapToGrid w:val="0"/>
                      <w:kern w:val="0"/>
                      <w:sz w:val="18"/>
                      <w:szCs w:val="18"/>
                    </w:rPr>
                  </w:pPr>
                  <w:r>
                    <w:rPr>
                      <w:rFonts w:hint="eastAsia"/>
                      <w:snapToGrid w:val="0"/>
                      <w:kern w:val="0"/>
                      <w:sz w:val="18"/>
                      <w:szCs w:val="18"/>
                    </w:rPr>
                    <w:t>防渗等级</w:t>
                  </w:r>
                </w:p>
              </w:tc>
            </w:tr>
            <w:tr w14:paraId="0C61C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15D8D163">
                  <w:pPr>
                    <w:adjustRightInd w:val="0"/>
                    <w:snapToGrid w:val="0"/>
                    <w:jc w:val="center"/>
                    <w:rPr>
                      <w:snapToGrid w:val="0"/>
                      <w:kern w:val="0"/>
                      <w:sz w:val="18"/>
                      <w:szCs w:val="18"/>
                    </w:rPr>
                  </w:pPr>
                  <w:r>
                    <w:rPr>
                      <w:rFonts w:hint="eastAsia"/>
                      <w:snapToGrid w:val="0"/>
                      <w:kern w:val="0"/>
                      <w:sz w:val="18"/>
                      <w:szCs w:val="18"/>
                    </w:rPr>
                    <w:t>简单防渗区</w:t>
                  </w:r>
                </w:p>
              </w:tc>
              <w:tc>
                <w:tcPr>
                  <w:tcW w:w="1585" w:type="pct"/>
                  <w:tcBorders>
                    <w:tl2br w:val="nil"/>
                    <w:tr2bl w:val="nil"/>
                  </w:tcBorders>
                  <w:vAlign w:val="center"/>
                </w:tcPr>
                <w:p w14:paraId="53C3A6DA">
                  <w:pPr>
                    <w:adjustRightInd w:val="0"/>
                    <w:snapToGrid w:val="0"/>
                    <w:jc w:val="center"/>
                    <w:rPr>
                      <w:snapToGrid w:val="0"/>
                      <w:kern w:val="0"/>
                      <w:sz w:val="18"/>
                      <w:szCs w:val="18"/>
                    </w:rPr>
                  </w:pPr>
                  <w:r>
                    <w:rPr>
                      <w:rFonts w:hint="eastAsia" w:ascii="Arial" w:hAnsi="Arial"/>
                      <w:bCs/>
                      <w:snapToGrid w:val="0"/>
                      <w:kern w:val="0"/>
                      <w:sz w:val="18"/>
                      <w:szCs w:val="18"/>
                    </w:rPr>
                    <w:t>办公场所</w:t>
                  </w:r>
                </w:p>
              </w:tc>
              <w:tc>
                <w:tcPr>
                  <w:tcW w:w="2784" w:type="pct"/>
                  <w:tcBorders>
                    <w:tl2br w:val="nil"/>
                    <w:tr2bl w:val="nil"/>
                  </w:tcBorders>
                  <w:vAlign w:val="center"/>
                </w:tcPr>
                <w:p w14:paraId="36F6C809">
                  <w:pPr>
                    <w:adjustRightInd w:val="0"/>
                    <w:snapToGrid w:val="0"/>
                    <w:jc w:val="center"/>
                    <w:rPr>
                      <w:snapToGrid w:val="0"/>
                      <w:kern w:val="0"/>
                      <w:sz w:val="18"/>
                      <w:szCs w:val="18"/>
                    </w:rPr>
                  </w:pPr>
                  <w:r>
                    <w:rPr>
                      <w:rFonts w:hint="eastAsia"/>
                      <w:snapToGrid w:val="0"/>
                      <w:kern w:val="0"/>
                      <w:sz w:val="18"/>
                      <w:szCs w:val="18"/>
                    </w:rPr>
                    <w:t>一般地面硬化，不需设置防渗等级</w:t>
                  </w:r>
                </w:p>
              </w:tc>
            </w:tr>
            <w:tr w14:paraId="64D46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3E30224D">
                  <w:pPr>
                    <w:adjustRightInd w:val="0"/>
                    <w:snapToGrid w:val="0"/>
                    <w:jc w:val="center"/>
                    <w:rPr>
                      <w:snapToGrid w:val="0"/>
                      <w:kern w:val="0"/>
                      <w:sz w:val="18"/>
                      <w:szCs w:val="18"/>
                    </w:rPr>
                  </w:pPr>
                  <w:r>
                    <w:rPr>
                      <w:rFonts w:hint="eastAsia"/>
                      <w:snapToGrid w:val="0"/>
                      <w:kern w:val="0"/>
                      <w:sz w:val="18"/>
                      <w:szCs w:val="18"/>
                    </w:rPr>
                    <w:t>一般防渗区</w:t>
                  </w:r>
                </w:p>
              </w:tc>
              <w:tc>
                <w:tcPr>
                  <w:tcW w:w="1585" w:type="pct"/>
                  <w:tcBorders>
                    <w:tl2br w:val="nil"/>
                    <w:tr2bl w:val="nil"/>
                  </w:tcBorders>
                  <w:vAlign w:val="center"/>
                </w:tcPr>
                <w:p w14:paraId="569DDE84">
                  <w:pPr>
                    <w:adjustRightInd w:val="0"/>
                    <w:snapToGrid w:val="0"/>
                    <w:jc w:val="center"/>
                    <w:rPr>
                      <w:snapToGrid w:val="0"/>
                      <w:kern w:val="0"/>
                      <w:sz w:val="18"/>
                      <w:szCs w:val="18"/>
                    </w:rPr>
                  </w:pPr>
                  <w:r>
                    <w:rPr>
                      <w:rFonts w:hint="eastAsia" w:ascii="Arial" w:hAnsi="Arial"/>
                      <w:bCs/>
                      <w:snapToGrid w:val="0"/>
                      <w:kern w:val="0"/>
                      <w:sz w:val="18"/>
                      <w:szCs w:val="18"/>
                    </w:rPr>
                    <w:t>一般原材料仓库、一般固废仓、</w:t>
                  </w:r>
                  <w:r>
                    <w:rPr>
                      <w:rFonts w:hint="eastAsia"/>
                      <w:snapToGrid w:val="0"/>
                      <w:kern w:val="0"/>
                      <w:sz w:val="18"/>
                      <w:szCs w:val="18"/>
                    </w:rPr>
                    <w:t>生产车间</w:t>
                  </w:r>
                </w:p>
              </w:tc>
              <w:tc>
                <w:tcPr>
                  <w:tcW w:w="2784" w:type="pct"/>
                  <w:tcBorders>
                    <w:tl2br w:val="nil"/>
                    <w:tr2bl w:val="nil"/>
                  </w:tcBorders>
                  <w:vAlign w:val="center"/>
                </w:tcPr>
                <w:p w14:paraId="39076901">
                  <w:pPr>
                    <w:adjustRightInd w:val="0"/>
                    <w:snapToGrid w:val="0"/>
                    <w:jc w:val="center"/>
                    <w:rPr>
                      <w:snapToGrid w:val="0"/>
                      <w:kern w:val="0"/>
                      <w:sz w:val="18"/>
                      <w:szCs w:val="18"/>
                    </w:rPr>
                  </w:pPr>
                  <w:r>
                    <w:rPr>
                      <w:rFonts w:hint="eastAsia"/>
                      <w:snapToGrid w:val="0"/>
                      <w:kern w:val="0"/>
                      <w:sz w:val="18"/>
                      <w:szCs w:val="18"/>
                    </w:rPr>
                    <w:t>进行地面硬化，参照GB18599-2020《一般工业固体废物贮存、处置场污染控制标准》要求进行建设或等效黏土防渗层Mb≥1.5m，防渗系数≤1.0×10</w:t>
                  </w:r>
                  <w:r>
                    <w:rPr>
                      <w:snapToGrid w:val="0"/>
                      <w:kern w:val="0"/>
                      <w:sz w:val="18"/>
                      <w:szCs w:val="18"/>
                      <w:vertAlign w:val="superscript"/>
                    </w:rPr>
                    <w:t>-7</w:t>
                  </w:r>
                  <w:r>
                    <w:rPr>
                      <w:rFonts w:hint="eastAsia"/>
                      <w:snapToGrid w:val="0"/>
                      <w:kern w:val="0"/>
                      <w:sz w:val="18"/>
                      <w:szCs w:val="18"/>
                    </w:rPr>
                    <w:t>cm/s。</w:t>
                  </w:r>
                </w:p>
              </w:tc>
            </w:tr>
            <w:tr w14:paraId="28A59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2D547BA8">
                  <w:pPr>
                    <w:adjustRightInd w:val="0"/>
                    <w:snapToGrid w:val="0"/>
                    <w:jc w:val="center"/>
                    <w:rPr>
                      <w:snapToGrid w:val="0"/>
                      <w:kern w:val="0"/>
                      <w:sz w:val="18"/>
                      <w:szCs w:val="18"/>
                    </w:rPr>
                  </w:pPr>
                  <w:r>
                    <w:rPr>
                      <w:rFonts w:hint="eastAsia"/>
                      <w:snapToGrid w:val="0"/>
                      <w:kern w:val="0"/>
                      <w:sz w:val="18"/>
                      <w:szCs w:val="18"/>
                    </w:rPr>
                    <w:t>重点防渗区</w:t>
                  </w:r>
                </w:p>
              </w:tc>
              <w:tc>
                <w:tcPr>
                  <w:tcW w:w="1585" w:type="pct"/>
                  <w:tcBorders>
                    <w:tl2br w:val="nil"/>
                    <w:tr2bl w:val="nil"/>
                  </w:tcBorders>
                  <w:vAlign w:val="center"/>
                </w:tcPr>
                <w:p w14:paraId="0EB54005">
                  <w:pPr>
                    <w:adjustRightInd w:val="0"/>
                    <w:snapToGrid w:val="0"/>
                    <w:jc w:val="center"/>
                    <w:rPr>
                      <w:rFonts w:hint="default" w:eastAsia="宋体"/>
                      <w:snapToGrid w:val="0"/>
                      <w:kern w:val="0"/>
                      <w:sz w:val="18"/>
                      <w:szCs w:val="18"/>
                      <w:lang w:val="en-US" w:eastAsia="zh-CN"/>
                    </w:rPr>
                  </w:pPr>
                  <w:r>
                    <w:rPr>
                      <w:rFonts w:hint="eastAsia"/>
                      <w:snapToGrid w:val="0"/>
                      <w:kern w:val="0"/>
                      <w:sz w:val="18"/>
                      <w:szCs w:val="18"/>
                    </w:rPr>
                    <w:t>危废仓库</w:t>
                  </w:r>
                  <w:r>
                    <w:rPr>
                      <w:rFonts w:hint="eastAsia"/>
                      <w:snapToGrid w:val="0"/>
                      <w:kern w:val="0"/>
                      <w:sz w:val="18"/>
                      <w:szCs w:val="18"/>
                      <w:lang w:eastAsia="zh-CN"/>
                    </w:rPr>
                    <w:t>、</w:t>
                  </w:r>
                  <w:r>
                    <w:rPr>
                      <w:rFonts w:hint="eastAsia"/>
                      <w:snapToGrid w:val="0"/>
                      <w:kern w:val="0"/>
                      <w:sz w:val="18"/>
                      <w:szCs w:val="18"/>
                      <w:lang w:val="en-US" w:eastAsia="zh-CN"/>
                    </w:rPr>
                    <w:t>化学品库、实验室</w:t>
                  </w:r>
                </w:p>
              </w:tc>
              <w:tc>
                <w:tcPr>
                  <w:tcW w:w="2784" w:type="pct"/>
                  <w:tcBorders>
                    <w:tl2br w:val="nil"/>
                    <w:tr2bl w:val="nil"/>
                  </w:tcBorders>
                  <w:vAlign w:val="center"/>
                </w:tcPr>
                <w:p w14:paraId="2007ECA0">
                  <w:pPr>
                    <w:adjustRightInd w:val="0"/>
                    <w:snapToGrid w:val="0"/>
                    <w:jc w:val="center"/>
                    <w:rPr>
                      <w:snapToGrid w:val="0"/>
                      <w:kern w:val="0"/>
                      <w:sz w:val="18"/>
                      <w:szCs w:val="18"/>
                    </w:rPr>
                  </w:pPr>
                  <w:r>
                    <w:rPr>
                      <w:rFonts w:hint="eastAsia"/>
                      <w:snapToGrid w:val="0"/>
                      <w:kern w:val="0"/>
                      <w:sz w:val="18"/>
                      <w:szCs w:val="18"/>
                    </w:rPr>
                    <w:t>参照GB18597-2023《危险废物贮存污染控制标准》进行建设或等效黏土防渗层Mb≥6.0m，防渗系数≤1.0×10</w:t>
                  </w:r>
                  <w:r>
                    <w:rPr>
                      <w:snapToGrid w:val="0"/>
                      <w:kern w:val="0"/>
                      <w:sz w:val="18"/>
                      <w:szCs w:val="18"/>
                      <w:vertAlign w:val="superscript"/>
                    </w:rPr>
                    <w:t>-7</w:t>
                  </w:r>
                  <w:r>
                    <w:rPr>
                      <w:rFonts w:hint="eastAsia"/>
                      <w:snapToGrid w:val="0"/>
                      <w:kern w:val="0"/>
                      <w:sz w:val="18"/>
                      <w:szCs w:val="18"/>
                    </w:rPr>
                    <w:t>cm/s。</w:t>
                  </w:r>
                </w:p>
              </w:tc>
            </w:tr>
          </w:tbl>
          <w:p w14:paraId="436DF7D0">
            <w:pPr>
              <w:spacing w:line="360" w:lineRule="auto"/>
              <w:rPr>
                <w:b/>
                <w:bCs/>
              </w:rPr>
            </w:pPr>
          </w:p>
          <w:p w14:paraId="42EB7AF1">
            <w:pPr>
              <w:spacing w:line="360" w:lineRule="auto"/>
              <w:rPr>
                <w:b/>
                <w:bCs/>
                <w:sz w:val="22"/>
                <w:szCs w:val="28"/>
              </w:rPr>
            </w:pPr>
            <w:r>
              <w:rPr>
                <w:rFonts w:hint="eastAsia"/>
                <w:b/>
                <w:bCs/>
                <w:sz w:val="22"/>
                <w:szCs w:val="28"/>
              </w:rPr>
              <w:t>4.2.6 环境风险</w:t>
            </w:r>
          </w:p>
          <w:p w14:paraId="6F7B6D68">
            <w:pPr>
              <w:spacing w:line="360" w:lineRule="auto"/>
              <w:rPr>
                <w:b/>
                <w:bCs/>
              </w:rPr>
            </w:pPr>
            <w:r>
              <w:rPr>
                <w:rFonts w:hint="eastAsia"/>
                <w:b/>
                <w:bCs/>
              </w:rPr>
              <w:t>1、风险调查</w:t>
            </w:r>
          </w:p>
          <w:p w14:paraId="350EEE39">
            <w:pPr>
              <w:pStyle w:val="22"/>
              <w:spacing w:before="0" w:beforeAutospacing="0" w:after="0" w:afterAutospacing="0" w:line="360" w:lineRule="auto"/>
              <w:ind w:firstLine="420" w:firstLineChars="200"/>
              <w:rPr>
                <w:rFonts w:ascii="Times New Roman" w:hAnsi="Times New Roman"/>
                <w:sz w:val="21"/>
                <w:szCs w:val="21"/>
              </w:rPr>
            </w:pPr>
            <w:r>
              <w:rPr>
                <w:rFonts w:hint="eastAsia" w:ascii="Times New Roman" w:hAnsi="Times New Roman"/>
                <w:sz w:val="21"/>
                <w:szCs w:val="21"/>
              </w:rPr>
              <w:t>根据《建设项目环境风险评价导则》（HJ 169-2018）附录B，本项目原辅材料中主要危险物质为酸、碱、有机溶剂、微生物活性物质、危险废物等，本项目环境风险识别情况见</w:t>
            </w:r>
            <w:r>
              <w:rPr>
                <w:rFonts w:hint="eastAsia"/>
                <w:bCs/>
                <w:sz w:val="21"/>
                <w:szCs w:val="18"/>
              </w:rPr>
              <w:t>下表</w:t>
            </w:r>
            <w:r>
              <w:rPr>
                <w:rFonts w:hint="eastAsia" w:ascii="Times New Roman" w:hAnsi="Times New Roman"/>
                <w:sz w:val="21"/>
                <w:szCs w:val="21"/>
              </w:rPr>
              <w:t>：</w:t>
            </w:r>
          </w:p>
          <w:p w14:paraId="3550F137">
            <w:pPr>
              <w:numPr>
                <w:ilvl w:val="0"/>
                <w:numId w:val="12"/>
              </w:numPr>
              <w:spacing w:line="360" w:lineRule="auto"/>
              <w:jc w:val="center"/>
              <w:rPr>
                <w:rFonts w:hint="eastAsia" w:ascii="黑体" w:hAnsi="黑体" w:eastAsia="黑体" w:cs="黑体"/>
                <w:szCs w:val="21"/>
              </w:rPr>
            </w:pPr>
            <w:r>
              <w:rPr>
                <w:rFonts w:hint="eastAsia" w:ascii="黑体" w:hAnsi="黑体" w:eastAsia="黑体" w:cs="黑体"/>
                <w:spacing w:val="-10"/>
                <w:szCs w:val="21"/>
              </w:rPr>
              <w:t xml:space="preserve"> 建设项目环境风险识别表</w:t>
            </w:r>
          </w:p>
          <w:tbl>
            <w:tblPr>
              <w:tblStyle w:val="2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678"/>
              <w:gridCol w:w="934"/>
              <w:gridCol w:w="655"/>
              <w:gridCol w:w="729"/>
              <w:gridCol w:w="4733"/>
            </w:tblGrid>
            <w:tr w14:paraId="6D8BD5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tcBorders>
                    <w:tl2br w:val="nil"/>
                    <w:tr2bl w:val="nil"/>
                  </w:tcBorders>
                  <w:noWrap/>
                  <w:vAlign w:val="center"/>
                </w:tcPr>
                <w:p w14:paraId="3C99287A">
                  <w:pPr>
                    <w:widowControl/>
                    <w:jc w:val="center"/>
                    <w:textAlignment w:val="center"/>
                    <w:rPr>
                      <w:color w:val="000000"/>
                      <w:sz w:val="18"/>
                      <w:szCs w:val="18"/>
                    </w:rPr>
                  </w:pPr>
                  <w:r>
                    <w:rPr>
                      <w:rFonts w:hint="eastAsia"/>
                      <w:color w:val="000000"/>
                      <w:kern w:val="0"/>
                      <w:sz w:val="18"/>
                      <w:szCs w:val="18"/>
                      <w:lang w:bidi="ar"/>
                    </w:rPr>
                    <w:t>危险单元</w:t>
                  </w:r>
                </w:p>
              </w:tc>
              <w:tc>
                <w:tcPr>
                  <w:tcW w:w="406" w:type="pct"/>
                  <w:tcBorders>
                    <w:tl2br w:val="nil"/>
                    <w:tr2bl w:val="nil"/>
                  </w:tcBorders>
                  <w:noWrap/>
                  <w:vAlign w:val="center"/>
                </w:tcPr>
                <w:p w14:paraId="3A5018BC">
                  <w:pPr>
                    <w:widowControl/>
                    <w:jc w:val="center"/>
                    <w:textAlignment w:val="center"/>
                    <w:rPr>
                      <w:color w:val="000000"/>
                      <w:sz w:val="18"/>
                      <w:szCs w:val="18"/>
                    </w:rPr>
                  </w:pPr>
                  <w:r>
                    <w:rPr>
                      <w:rFonts w:hint="eastAsia"/>
                      <w:color w:val="000000"/>
                      <w:kern w:val="0"/>
                      <w:sz w:val="18"/>
                      <w:szCs w:val="18"/>
                      <w:lang w:bidi="ar"/>
                    </w:rPr>
                    <w:t>潜在风险源</w:t>
                  </w:r>
                </w:p>
              </w:tc>
              <w:tc>
                <w:tcPr>
                  <w:tcW w:w="561" w:type="pct"/>
                  <w:tcBorders>
                    <w:tl2br w:val="nil"/>
                    <w:tr2bl w:val="nil"/>
                  </w:tcBorders>
                  <w:noWrap/>
                  <w:vAlign w:val="center"/>
                </w:tcPr>
                <w:p w14:paraId="61B399AE">
                  <w:pPr>
                    <w:widowControl/>
                    <w:jc w:val="center"/>
                    <w:textAlignment w:val="center"/>
                    <w:rPr>
                      <w:color w:val="000000"/>
                      <w:sz w:val="18"/>
                      <w:szCs w:val="18"/>
                    </w:rPr>
                  </w:pPr>
                  <w:r>
                    <w:rPr>
                      <w:rFonts w:hint="eastAsia"/>
                      <w:color w:val="000000"/>
                      <w:kern w:val="0"/>
                      <w:sz w:val="18"/>
                      <w:szCs w:val="18"/>
                      <w:lang w:bidi="ar"/>
                    </w:rPr>
                    <w:t>主要风险物质</w:t>
                  </w:r>
                </w:p>
              </w:tc>
              <w:tc>
                <w:tcPr>
                  <w:tcW w:w="392" w:type="pct"/>
                  <w:tcBorders>
                    <w:tl2br w:val="nil"/>
                    <w:tr2bl w:val="nil"/>
                  </w:tcBorders>
                  <w:noWrap/>
                  <w:vAlign w:val="center"/>
                </w:tcPr>
                <w:p w14:paraId="5DF8532A">
                  <w:pPr>
                    <w:widowControl/>
                    <w:jc w:val="center"/>
                    <w:textAlignment w:val="center"/>
                    <w:rPr>
                      <w:color w:val="000000"/>
                      <w:sz w:val="18"/>
                      <w:szCs w:val="18"/>
                    </w:rPr>
                  </w:pPr>
                  <w:r>
                    <w:rPr>
                      <w:rFonts w:hint="eastAsia"/>
                      <w:color w:val="000000"/>
                      <w:kern w:val="0"/>
                      <w:sz w:val="18"/>
                      <w:szCs w:val="18"/>
                      <w:lang w:bidi="ar"/>
                    </w:rPr>
                    <w:t>环境风险类型</w:t>
                  </w:r>
                </w:p>
              </w:tc>
              <w:tc>
                <w:tcPr>
                  <w:tcW w:w="437" w:type="pct"/>
                  <w:tcBorders>
                    <w:tl2br w:val="nil"/>
                    <w:tr2bl w:val="nil"/>
                  </w:tcBorders>
                  <w:noWrap/>
                  <w:vAlign w:val="center"/>
                </w:tcPr>
                <w:p w14:paraId="3EA282FA">
                  <w:pPr>
                    <w:widowControl/>
                    <w:jc w:val="center"/>
                    <w:textAlignment w:val="center"/>
                    <w:rPr>
                      <w:color w:val="000000"/>
                      <w:sz w:val="18"/>
                      <w:szCs w:val="18"/>
                    </w:rPr>
                  </w:pPr>
                  <w:r>
                    <w:rPr>
                      <w:rFonts w:hint="eastAsia"/>
                      <w:color w:val="000000"/>
                      <w:kern w:val="0"/>
                      <w:sz w:val="18"/>
                      <w:szCs w:val="18"/>
                      <w:lang w:bidi="ar"/>
                    </w:rPr>
                    <w:t>环境影响途径</w:t>
                  </w:r>
                </w:p>
              </w:tc>
              <w:tc>
                <w:tcPr>
                  <w:tcW w:w="2859" w:type="pct"/>
                  <w:tcBorders>
                    <w:tl2br w:val="nil"/>
                    <w:tr2bl w:val="nil"/>
                  </w:tcBorders>
                  <w:noWrap/>
                  <w:vAlign w:val="center"/>
                </w:tcPr>
                <w:p w14:paraId="5474F4FF">
                  <w:pPr>
                    <w:widowControl/>
                    <w:jc w:val="center"/>
                    <w:textAlignment w:val="center"/>
                    <w:rPr>
                      <w:color w:val="000000"/>
                      <w:sz w:val="18"/>
                      <w:szCs w:val="18"/>
                    </w:rPr>
                  </w:pPr>
                  <w:r>
                    <w:rPr>
                      <w:rFonts w:hint="eastAsia"/>
                      <w:color w:val="000000"/>
                      <w:kern w:val="0"/>
                      <w:sz w:val="18"/>
                      <w:szCs w:val="18"/>
                      <w:lang w:bidi="ar"/>
                    </w:rPr>
                    <w:t>可能受影响的敏感目标</w:t>
                  </w:r>
                </w:p>
              </w:tc>
            </w:tr>
            <w:tr w14:paraId="0097F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vMerge w:val="restart"/>
                  <w:tcBorders>
                    <w:tl2br w:val="nil"/>
                    <w:tr2bl w:val="nil"/>
                  </w:tcBorders>
                  <w:noWrap/>
                  <w:vAlign w:val="center"/>
                </w:tcPr>
                <w:p w14:paraId="52B07D31">
                  <w:pPr>
                    <w:widowControl/>
                    <w:jc w:val="center"/>
                    <w:textAlignment w:val="center"/>
                    <w:rPr>
                      <w:color w:val="000000"/>
                      <w:sz w:val="18"/>
                      <w:szCs w:val="18"/>
                    </w:rPr>
                  </w:pPr>
                  <w:r>
                    <w:rPr>
                      <w:rFonts w:hint="eastAsia"/>
                      <w:color w:val="000000"/>
                      <w:kern w:val="0"/>
                      <w:sz w:val="18"/>
                      <w:szCs w:val="18"/>
                      <w:lang w:bidi="ar"/>
                    </w:rPr>
                    <w:t>球囊导管生产</w:t>
                  </w:r>
                </w:p>
              </w:tc>
              <w:tc>
                <w:tcPr>
                  <w:tcW w:w="406" w:type="pct"/>
                  <w:tcBorders>
                    <w:tl2br w:val="nil"/>
                    <w:tr2bl w:val="nil"/>
                  </w:tcBorders>
                  <w:noWrap/>
                  <w:vAlign w:val="center"/>
                </w:tcPr>
                <w:p w14:paraId="6F738696">
                  <w:pPr>
                    <w:widowControl/>
                    <w:jc w:val="center"/>
                    <w:textAlignment w:val="center"/>
                    <w:rPr>
                      <w:color w:val="000000"/>
                      <w:sz w:val="18"/>
                      <w:szCs w:val="18"/>
                    </w:rPr>
                  </w:pPr>
                  <w:r>
                    <w:rPr>
                      <w:rFonts w:hint="eastAsia"/>
                      <w:color w:val="000000"/>
                      <w:kern w:val="0"/>
                      <w:sz w:val="18"/>
                      <w:szCs w:val="18"/>
                      <w:lang w:bidi="ar"/>
                    </w:rPr>
                    <w:t>球囊成型、焊接设备</w:t>
                  </w:r>
                </w:p>
              </w:tc>
              <w:tc>
                <w:tcPr>
                  <w:tcW w:w="561" w:type="pct"/>
                  <w:tcBorders>
                    <w:tl2br w:val="nil"/>
                    <w:tr2bl w:val="nil"/>
                  </w:tcBorders>
                  <w:noWrap/>
                  <w:vAlign w:val="center"/>
                </w:tcPr>
                <w:p w14:paraId="6C7D4AFD">
                  <w:pPr>
                    <w:widowControl/>
                    <w:jc w:val="center"/>
                    <w:textAlignment w:val="center"/>
                    <w:rPr>
                      <w:color w:val="000000"/>
                      <w:sz w:val="18"/>
                      <w:szCs w:val="18"/>
                    </w:rPr>
                  </w:pPr>
                  <w:r>
                    <w:rPr>
                      <w:rFonts w:hint="eastAsia"/>
                      <w:color w:val="000000"/>
                      <w:kern w:val="0"/>
                      <w:sz w:val="18"/>
                      <w:szCs w:val="18"/>
                      <w:lang w:bidi="ar"/>
                    </w:rPr>
                    <w:t>管料受热废气（VOCs）</w:t>
                  </w:r>
                </w:p>
              </w:tc>
              <w:tc>
                <w:tcPr>
                  <w:tcW w:w="392" w:type="pct"/>
                  <w:tcBorders>
                    <w:tl2br w:val="nil"/>
                    <w:tr2bl w:val="nil"/>
                  </w:tcBorders>
                  <w:noWrap/>
                  <w:vAlign w:val="center"/>
                </w:tcPr>
                <w:p w14:paraId="3961079F">
                  <w:pPr>
                    <w:widowControl/>
                    <w:jc w:val="center"/>
                    <w:textAlignment w:val="center"/>
                    <w:rPr>
                      <w:rFonts w:hint="eastAsia" w:eastAsia="宋体"/>
                      <w:color w:val="000000"/>
                      <w:sz w:val="18"/>
                      <w:szCs w:val="18"/>
                      <w:lang w:eastAsia="zh-CN"/>
                    </w:rPr>
                  </w:pPr>
                  <w:r>
                    <w:rPr>
                      <w:rFonts w:hint="eastAsia"/>
                      <w:color w:val="000000"/>
                      <w:kern w:val="0"/>
                      <w:sz w:val="18"/>
                      <w:szCs w:val="18"/>
                      <w:lang w:val="en-US" w:eastAsia="zh-CN" w:bidi="ar"/>
                    </w:rPr>
                    <w:t>泄露</w:t>
                  </w:r>
                </w:p>
              </w:tc>
              <w:tc>
                <w:tcPr>
                  <w:tcW w:w="437" w:type="pct"/>
                  <w:tcBorders>
                    <w:tl2br w:val="nil"/>
                    <w:tr2bl w:val="nil"/>
                  </w:tcBorders>
                  <w:noWrap/>
                  <w:vAlign w:val="center"/>
                </w:tcPr>
                <w:p w14:paraId="4EFE4591">
                  <w:pPr>
                    <w:widowControl/>
                    <w:jc w:val="center"/>
                    <w:textAlignment w:val="center"/>
                    <w:rPr>
                      <w:color w:val="000000"/>
                      <w:sz w:val="18"/>
                      <w:szCs w:val="18"/>
                    </w:rPr>
                  </w:pPr>
                  <w:r>
                    <w:rPr>
                      <w:rFonts w:hint="eastAsia"/>
                      <w:color w:val="000000"/>
                      <w:kern w:val="0"/>
                      <w:sz w:val="18"/>
                      <w:szCs w:val="18"/>
                      <w:lang w:bidi="ar"/>
                    </w:rPr>
                    <w:t>大气</w:t>
                  </w:r>
                </w:p>
              </w:tc>
              <w:tc>
                <w:tcPr>
                  <w:tcW w:w="2859" w:type="pct"/>
                  <w:vMerge w:val="restart"/>
                  <w:tcBorders>
                    <w:tl2br w:val="nil"/>
                    <w:tr2bl w:val="nil"/>
                  </w:tcBorders>
                  <w:noWrap/>
                  <w:vAlign w:val="center"/>
                </w:tcPr>
                <w:p w14:paraId="17A917DF">
                  <w:pPr>
                    <w:widowControl/>
                    <w:jc w:val="center"/>
                    <w:textAlignment w:val="center"/>
                    <w:rPr>
                      <w:color w:val="000000"/>
                      <w:sz w:val="18"/>
                      <w:szCs w:val="18"/>
                    </w:rPr>
                  </w:pPr>
                  <w:r>
                    <w:rPr>
                      <w:rFonts w:hint="eastAsia"/>
                      <w:color w:val="000000"/>
                      <w:kern w:val="0"/>
                      <w:sz w:val="18"/>
                      <w:szCs w:val="18"/>
                      <w:lang w:bidi="ar"/>
                    </w:rPr>
                    <w:t>火灾爆炸等次生污染或</w:t>
                  </w:r>
                  <w:r>
                    <w:rPr>
                      <w:rFonts w:hint="eastAsia"/>
                      <w:color w:val="000000"/>
                      <w:kern w:val="0"/>
                      <w:sz w:val="18"/>
                      <w:szCs w:val="18"/>
                      <w:lang w:val="en-US" w:eastAsia="zh-CN" w:bidi="ar"/>
                    </w:rPr>
                    <w:t>通风系统故障</w:t>
                  </w:r>
                  <w:r>
                    <w:rPr>
                      <w:rFonts w:hint="eastAsia"/>
                      <w:color w:val="000000"/>
                      <w:kern w:val="0"/>
                      <w:sz w:val="18"/>
                      <w:szCs w:val="18"/>
                      <w:lang w:bidi="ar"/>
                    </w:rPr>
                    <w:t>事故主要会影响附近的员工及；废水、废液泄漏事故可能会影响附近的地表水体，或入渗对土壤地下水造成污染；废水超标排放可能会对污水处理厂造成冲击影响。</w:t>
                  </w:r>
                </w:p>
              </w:tc>
            </w:tr>
            <w:tr w14:paraId="27B7F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vMerge w:val="continue"/>
                  <w:tcBorders>
                    <w:tl2br w:val="nil"/>
                    <w:tr2bl w:val="nil"/>
                  </w:tcBorders>
                  <w:noWrap/>
                  <w:vAlign w:val="center"/>
                </w:tcPr>
                <w:p w14:paraId="46DBE329">
                  <w:pPr>
                    <w:jc w:val="center"/>
                    <w:rPr>
                      <w:color w:val="000000"/>
                      <w:sz w:val="18"/>
                      <w:szCs w:val="18"/>
                    </w:rPr>
                  </w:pPr>
                </w:p>
              </w:tc>
              <w:tc>
                <w:tcPr>
                  <w:tcW w:w="406" w:type="pct"/>
                  <w:tcBorders>
                    <w:tl2br w:val="nil"/>
                    <w:tr2bl w:val="nil"/>
                  </w:tcBorders>
                  <w:noWrap/>
                  <w:vAlign w:val="center"/>
                </w:tcPr>
                <w:p w14:paraId="407052D5">
                  <w:pPr>
                    <w:widowControl/>
                    <w:jc w:val="center"/>
                    <w:textAlignment w:val="center"/>
                    <w:rPr>
                      <w:color w:val="000000"/>
                      <w:sz w:val="18"/>
                      <w:szCs w:val="18"/>
                    </w:rPr>
                  </w:pPr>
                  <w:r>
                    <w:rPr>
                      <w:rFonts w:hint="eastAsia"/>
                      <w:color w:val="000000"/>
                      <w:kern w:val="0"/>
                      <w:sz w:val="18"/>
                      <w:szCs w:val="18"/>
                      <w:lang w:bidi="ar"/>
                    </w:rPr>
                    <w:t>涂覆工序</w:t>
                  </w:r>
                </w:p>
              </w:tc>
              <w:tc>
                <w:tcPr>
                  <w:tcW w:w="561" w:type="pct"/>
                  <w:tcBorders>
                    <w:tl2br w:val="nil"/>
                    <w:tr2bl w:val="nil"/>
                  </w:tcBorders>
                  <w:noWrap/>
                  <w:vAlign w:val="center"/>
                </w:tcPr>
                <w:p w14:paraId="29F20BEC">
                  <w:pPr>
                    <w:widowControl/>
                    <w:jc w:val="center"/>
                    <w:textAlignment w:val="center"/>
                    <w:rPr>
                      <w:color w:val="000000"/>
                      <w:sz w:val="18"/>
                      <w:szCs w:val="18"/>
                    </w:rPr>
                  </w:pPr>
                  <w:r>
                    <w:rPr>
                      <w:rFonts w:hint="eastAsia"/>
                      <w:color w:val="000000"/>
                      <w:kern w:val="0"/>
                      <w:sz w:val="18"/>
                      <w:szCs w:val="18"/>
                      <w:lang w:bidi="ar"/>
                    </w:rPr>
                    <w:t>涂覆废气（VOCs）</w:t>
                  </w:r>
                </w:p>
              </w:tc>
              <w:tc>
                <w:tcPr>
                  <w:tcW w:w="392" w:type="pct"/>
                  <w:tcBorders>
                    <w:tl2br w:val="nil"/>
                    <w:tr2bl w:val="nil"/>
                  </w:tcBorders>
                  <w:noWrap/>
                  <w:vAlign w:val="center"/>
                </w:tcPr>
                <w:p w14:paraId="2F1FCD3F">
                  <w:pPr>
                    <w:widowControl/>
                    <w:jc w:val="center"/>
                    <w:textAlignment w:val="center"/>
                    <w:rPr>
                      <w:color w:val="000000"/>
                      <w:sz w:val="18"/>
                      <w:szCs w:val="18"/>
                    </w:rPr>
                  </w:pPr>
                  <w:r>
                    <w:rPr>
                      <w:rFonts w:hint="eastAsia"/>
                      <w:color w:val="000000"/>
                      <w:kern w:val="0"/>
                      <w:sz w:val="18"/>
                      <w:szCs w:val="18"/>
                      <w:lang w:bidi="ar"/>
                    </w:rPr>
                    <w:t>泄漏/火灾</w:t>
                  </w:r>
                </w:p>
              </w:tc>
              <w:tc>
                <w:tcPr>
                  <w:tcW w:w="437" w:type="pct"/>
                  <w:tcBorders>
                    <w:tl2br w:val="nil"/>
                    <w:tr2bl w:val="nil"/>
                  </w:tcBorders>
                  <w:noWrap/>
                  <w:vAlign w:val="center"/>
                </w:tcPr>
                <w:p w14:paraId="3BD78123">
                  <w:pPr>
                    <w:widowControl/>
                    <w:jc w:val="center"/>
                    <w:textAlignment w:val="center"/>
                    <w:rPr>
                      <w:color w:val="000000"/>
                      <w:sz w:val="18"/>
                      <w:szCs w:val="18"/>
                    </w:rPr>
                  </w:pPr>
                  <w:r>
                    <w:rPr>
                      <w:rFonts w:hint="eastAsia"/>
                      <w:color w:val="000000"/>
                      <w:kern w:val="0"/>
                      <w:sz w:val="18"/>
                      <w:szCs w:val="18"/>
                      <w:lang w:bidi="ar"/>
                    </w:rPr>
                    <w:t>大气</w:t>
                  </w:r>
                </w:p>
              </w:tc>
              <w:tc>
                <w:tcPr>
                  <w:tcW w:w="2859" w:type="pct"/>
                  <w:vMerge w:val="continue"/>
                  <w:tcBorders>
                    <w:tl2br w:val="nil"/>
                    <w:tr2bl w:val="nil"/>
                  </w:tcBorders>
                  <w:noWrap/>
                  <w:vAlign w:val="center"/>
                </w:tcPr>
                <w:p w14:paraId="4ED276BA">
                  <w:pPr>
                    <w:jc w:val="center"/>
                    <w:rPr>
                      <w:color w:val="000000"/>
                      <w:sz w:val="18"/>
                      <w:szCs w:val="18"/>
                    </w:rPr>
                  </w:pPr>
                </w:p>
              </w:tc>
            </w:tr>
            <w:tr w14:paraId="123C4F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vMerge w:val="restart"/>
                  <w:tcBorders>
                    <w:tl2br w:val="nil"/>
                    <w:tr2bl w:val="nil"/>
                  </w:tcBorders>
                  <w:noWrap/>
                  <w:vAlign w:val="center"/>
                </w:tcPr>
                <w:p w14:paraId="53EF8E1C">
                  <w:pPr>
                    <w:widowControl/>
                    <w:jc w:val="center"/>
                    <w:textAlignment w:val="center"/>
                    <w:rPr>
                      <w:color w:val="000000"/>
                      <w:sz w:val="18"/>
                      <w:szCs w:val="18"/>
                    </w:rPr>
                  </w:pPr>
                  <w:r>
                    <w:rPr>
                      <w:rFonts w:hint="eastAsia"/>
                      <w:color w:val="000000"/>
                      <w:kern w:val="0"/>
                      <w:sz w:val="18"/>
                      <w:szCs w:val="18"/>
                      <w:lang w:bidi="ar"/>
                    </w:rPr>
                    <w:t>封堵止血器生产</w:t>
                  </w:r>
                </w:p>
              </w:tc>
              <w:tc>
                <w:tcPr>
                  <w:tcW w:w="406" w:type="pct"/>
                  <w:tcBorders>
                    <w:tl2br w:val="nil"/>
                    <w:tr2bl w:val="nil"/>
                  </w:tcBorders>
                  <w:noWrap/>
                  <w:vAlign w:val="center"/>
                </w:tcPr>
                <w:p w14:paraId="4FA860E4">
                  <w:pPr>
                    <w:widowControl/>
                    <w:jc w:val="center"/>
                    <w:textAlignment w:val="center"/>
                    <w:rPr>
                      <w:color w:val="000000"/>
                      <w:sz w:val="18"/>
                      <w:szCs w:val="18"/>
                    </w:rPr>
                  </w:pPr>
                  <w:r>
                    <w:rPr>
                      <w:rFonts w:hint="eastAsia"/>
                      <w:color w:val="000000"/>
                      <w:kern w:val="0"/>
                      <w:sz w:val="18"/>
                      <w:szCs w:val="18"/>
                      <w:lang w:bidi="ar"/>
                    </w:rPr>
                    <w:t>配置工序</w:t>
                  </w:r>
                </w:p>
              </w:tc>
              <w:tc>
                <w:tcPr>
                  <w:tcW w:w="561" w:type="pct"/>
                  <w:tcBorders>
                    <w:tl2br w:val="nil"/>
                    <w:tr2bl w:val="nil"/>
                  </w:tcBorders>
                  <w:noWrap/>
                  <w:vAlign w:val="center"/>
                </w:tcPr>
                <w:p w14:paraId="513ECD8B">
                  <w:pPr>
                    <w:widowControl/>
                    <w:jc w:val="center"/>
                    <w:textAlignment w:val="center"/>
                    <w:rPr>
                      <w:color w:val="000000"/>
                      <w:sz w:val="18"/>
                      <w:szCs w:val="18"/>
                    </w:rPr>
                  </w:pPr>
                  <w:r>
                    <w:rPr>
                      <w:rFonts w:hint="eastAsia"/>
                      <w:color w:val="000000"/>
                      <w:kern w:val="0"/>
                      <w:sz w:val="18"/>
                      <w:szCs w:val="18"/>
                      <w:lang w:bidi="ar"/>
                    </w:rPr>
                    <w:t>盐酸、氢氧化钠</w:t>
                  </w:r>
                </w:p>
              </w:tc>
              <w:tc>
                <w:tcPr>
                  <w:tcW w:w="392" w:type="pct"/>
                  <w:tcBorders>
                    <w:tl2br w:val="nil"/>
                    <w:tr2bl w:val="nil"/>
                  </w:tcBorders>
                  <w:noWrap/>
                  <w:vAlign w:val="center"/>
                </w:tcPr>
                <w:p w14:paraId="63204DEB">
                  <w:pPr>
                    <w:widowControl/>
                    <w:jc w:val="center"/>
                    <w:textAlignment w:val="center"/>
                    <w:rPr>
                      <w:color w:val="000000"/>
                      <w:sz w:val="18"/>
                      <w:szCs w:val="18"/>
                    </w:rPr>
                  </w:pPr>
                  <w:r>
                    <w:rPr>
                      <w:rFonts w:hint="eastAsia"/>
                      <w:color w:val="000000"/>
                      <w:kern w:val="0"/>
                      <w:sz w:val="18"/>
                      <w:szCs w:val="18"/>
                      <w:lang w:bidi="ar"/>
                    </w:rPr>
                    <w:t>泄漏/腐蚀</w:t>
                  </w:r>
                </w:p>
              </w:tc>
              <w:tc>
                <w:tcPr>
                  <w:tcW w:w="437" w:type="pct"/>
                  <w:tcBorders>
                    <w:tl2br w:val="nil"/>
                    <w:tr2bl w:val="nil"/>
                  </w:tcBorders>
                  <w:noWrap/>
                  <w:vAlign w:val="center"/>
                </w:tcPr>
                <w:p w14:paraId="1E78A17A">
                  <w:pPr>
                    <w:widowControl/>
                    <w:jc w:val="center"/>
                    <w:textAlignment w:val="center"/>
                    <w:rPr>
                      <w:color w:val="000000"/>
                      <w:sz w:val="18"/>
                      <w:szCs w:val="18"/>
                    </w:rPr>
                  </w:pPr>
                  <w:r>
                    <w:rPr>
                      <w:rFonts w:hint="eastAsia"/>
                      <w:color w:val="000000"/>
                      <w:kern w:val="0"/>
                      <w:sz w:val="18"/>
                      <w:szCs w:val="18"/>
                      <w:lang w:bidi="ar"/>
                    </w:rPr>
                    <w:t>大气、地表水、地下水</w:t>
                  </w:r>
                </w:p>
              </w:tc>
              <w:tc>
                <w:tcPr>
                  <w:tcW w:w="2859" w:type="pct"/>
                  <w:vMerge w:val="continue"/>
                  <w:tcBorders>
                    <w:tl2br w:val="nil"/>
                    <w:tr2bl w:val="nil"/>
                  </w:tcBorders>
                  <w:noWrap/>
                  <w:vAlign w:val="center"/>
                </w:tcPr>
                <w:p w14:paraId="399EDE19">
                  <w:pPr>
                    <w:jc w:val="center"/>
                    <w:rPr>
                      <w:color w:val="000000"/>
                      <w:sz w:val="18"/>
                      <w:szCs w:val="18"/>
                    </w:rPr>
                  </w:pPr>
                </w:p>
              </w:tc>
            </w:tr>
            <w:tr w14:paraId="48EFE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vMerge w:val="continue"/>
                  <w:tcBorders>
                    <w:tl2br w:val="nil"/>
                    <w:tr2bl w:val="nil"/>
                  </w:tcBorders>
                  <w:noWrap/>
                  <w:vAlign w:val="center"/>
                </w:tcPr>
                <w:p w14:paraId="2134CAAF">
                  <w:pPr>
                    <w:jc w:val="center"/>
                    <w:rPr>
                      <w:color w:val="000000"/>
                      <w:sz w:val="18"/>
                      <w:szCs w:val="18"/>
                    </w:rPr>
                  </w:pPr>
                </w:p>
              </w:tc>
              <w:tc>
                <w:tcPr>
                  <w:tcW w:w="406" w:type="pct"/>
                  <w:tcBorders>
                    <w:tl2br w:val="nil"/>
                    <w:tr2bl w:val="nil"/>
                  </w:tcBorders>
                  <w:noWrap/>
                  <w:vAlign w:val="center"/>
                </w:tcPr>
                <w:p w14:paraId="5354E9C4">
                  <w:pPr>
                    <w:widowControl/>
                    <w:jc w:val="center"/>
                    <w:textAlignment w:val="center"/>
                    <w:rPr>
                      <w:color w:val="000000"/>
                      <w:sz w:val="18"/>
                      <w:szCs w:val="18"/>
                    </w:rPr>
                  </w:pPr>
                  <w:r>
                    <w:rPr>
                      <w:rFonts w:hint="eastAsia"/>
                      <w:color w:val="000000"/>
                      <w:kern w:val="0"/>
                      <w:sz w:val="18"/>
                      <w:szCs w:val="18"/>
                      <w:lang w:bidi="ar"/>
                    </w:rPr>
                    <w:t>热交联、焊接</w:t>
                  </w:r>
                </w:p>
              </w:tc>
              <w:tc>
                <w:tcPr>
                  <w:tcW w:w="561" w:type="pct"/>
                  <w:tcBorders>
                    <w:tl2br w:val="nil"/>
                    <w:tr2bl w:val="nil"/>
                  </w:tcBorders>
                  <w:noWrap/>
                  <w:vAlign w:val="center"/>
                </w:tcPr>
                <w:p w14:paraId="63ED0CBA">
                  <w:pPr>
                    <w:widowControl/>
                    <w:jc w:val="center"/>
                    <w:textAlignment w:val="center"/>
                    <w:rPr>
                      <w:color w:val="000000"/>
                      <w:sz w:val="18"/>
                      <w:szCs w:val="18"/>
                    </w:rPr>
                  </w:pPr>
                  <w:r>
                    <w:rPr>
                      <w:rFonts w:hint="eastAsia"/>
                      <w:color w:val="000000"/>
                      <w:kern w:val="0"/>
                      <w:sz w:val="18"/>
                      <w:szCs w:val="18"/>
                      <w:lang w:bidi="ar"/>
                    </w:rPr>
                    <w:t>管料受热废气（VOCs）</w:t>
                  </w:r>
                </w:p>
              </w:tc>
              <w:tc>
                <w:tcPr>
                  <w:tcW w:w="392" w:type="pct"/>
                  <w:tcBorders>
                    <w:tl2br w:val="nil"/>
                    <w:tr2bl w:val="nil"/>
                  </w:tcBorders>
                  <w:noWrap/>
                  <w:vAlign w:val="center"/>
                </w:tcPr>
                <w:p w14:paraId="461FCC61">
                  <w:pPr>
                    <w:widowControl/>
                    <w:jc w:val="center"/>
                    <w:textAlignment w:val="center"/>
                    <w:rPr>
                      <w:color w:val="000000"/>
                      <w:sz w:val="18"/>
                      <w:szCs w:val="18"/>
                    </w:rPr>
                  </w:pPr>
                  <w:r>
                    <w:rPr>
                      <w:rFonts w:hint="eastAsia"/>
                      <w:color w:val="000000"/>
                      <w:kern w:val="0"/>
                      <w:sz w:val="18"/>
                      <w:szCs w:val="18"/>
                      <w:lang w:val="en-US" w:eastAsia="zh-CN" w:bidi="ar"/>
                    </w:rPr>
                    <w:t>泄露</w:t>
                  </w:r>
                </w:p>
              </w:tc>
              <w:tc>
                <w:tcPr>
                  <w:tcW w:w="437" w:type="pct"/>
                  <w:tcBorders>
                    <w:tl2br w:val="nil"/>
                    <w:tr2bl w:val="nil"/>
                  </w:tcBorders>
                  <w:noWrap/>
                  <w:vAlign w:val="center"/>
                </w:tcPr>
                <w:p w14:paraId="6D13D117">
                  <w:pPr>
                    <w:widowControl/>
                    <w:jc w:val="center"/>
                    <w:textAlignment w:val="center"/>
                    <w:rPr>
                      <w:color w:val="000000"/>
                      <w:sz w:val="18"/>
                      <w:szCs w:val="18"/>
                    </w:rPr>
                  </w:pPr>
                  <w:r>
                    <w:rPr>
                      <w:rFonts w:hint="eastAsia"/>
                      <w:color w:val="000000"/>
                      <w:kern w:val="0"/>
                      <w:sz w:val="18"/>
                      <w:szCs w:val="18"/>
                      <w:lang w:bidi="ar"/>
                    </w:rPr>
                    <w:t>大气</w:t>
                  </w:r>
                </w:p>
              </w:tc>
              <w:tc>
                <w:tcPr>
                  <w:tcW w:w="2859" w:type="pct"/>
                  <w:vMerge w:val="continue"/>
                  <w:tcBorders>
                    <w:tl2br w:val="nil"/>
                    <w:tr2bl w:val="nil"/>
                  </w:tcBorders>
                  <w:noWrap/>
                  <w:vAlign w:val="center"/>
                </w:tcPr>
                <w:p w14:paraId="5CB44698">
                  <w:pPr>
                    <w:jc w:val="center"/>
                    <w:rPr>
                      <w:color w:val="000000"/>
                      <w:sz w:val="18"/>
                      <w:szCs w:val="18"/>
                    </w:rPr>
                  </w:pPr>
                </w:p>
              </w:tc>
            </w:tr>
            <w:tr w14:paraId="7D15B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tcBorders>
                    <w:tl2br w:val="nil"/>
                    <w:tr2bl w:val="nil"/>
                  </w:tcBorders>
                  <w:noWrap/>
                  <w:vAlign w:val="center"/>
                </w:tcPr>
                <w:p w14:paraId="4109ECCA">
                  <w:pPr>
                    <w:widowControl/>
                    <w:jc w:val="center"/>
                    <w:textAlignment w:val="center"/>
                    <w:rPr>
                      <w:color w:val="000000"/>
                      <w:sz w:val="18"/>
                      <w:szCs w:val="18"/>
                    </w:rPr>
                  </w:pPr>
                  <w:r>
                    <w:rPr>
                      <w:rFonts w:hint="eastAsia"/>
                      <w:color w:val="000000"/>
                      <w:kern w:val="0"/>
                      <w:sz w:val="18"/>
                      <w:szCs w:val="18"/>
                      <w:lang w:bidi="ar"/>
                    </w:rPr>
                    <w:t>实验室检测</w:t>
                  </w:r>
                </w:p>
              </w:tc>
              <w:tc>
                <w:tcPr>
                  <w:tcW w:w="406" w:type="pct"/>
                  <w:tcBorders>
                    <w:tl2br w:val="nil"/>
                    <w:tr2bl w:val="nil"/>
                  </w:tcBorders>
                  <w:noWrap/>
                  <w:vAlign w:val="center"/>
                </w:tcPr>
                <w:p w14:paraId="4904895C">
                  <w:pPr>
                    <w:widowControl/>
                    <w:jc w:val="center"/>
                    <w:textAlignment w:val="center"/>
                    <w:rPr>
                      <w:color w:val="000000"/>
                      <w:sz w:val="18"/>
                      <w:szCs w:val="18"/>
                    </w:rPr>
                  </w:pPr>
                  <w:r>
                    <w:rPr>
                      <w:rFonts w:hint="eastAsia"/>
                      <w:color w:val="000000"/>
                      <w:sz w:val="18"/>
                      <w:szCs w:val="18"/>
                    </w:rPr>
                    <w:t>检测</w:t>
                  </w:r>
                </w:p>
              </w:tc>
              <w:tc>
                <w:tcPr>
                  <w:tcW w:w="561" w:type="pct"/>
                  <w:tcBorders>
                    <w:tl2br w:val="nil"/>
                    <w:tr2bl w:val="nil"/>
                  </w:tcBorders>
                  <w:noWrap/>
                  <w:vAlign w:val="center"/>
                </w:tcPr>
                <w:p w14:paraId="1748A99D">
                  <w:pPr>
                    <w:widowControl/>
                    <w:jc w:val="center"/>
                    <w:textAlignment w:val="center"/>
                    <w:rPr>
                      <w:color w:val="000000"/>
                      <w:sz w:val="18"/>
                      <w:szCs w:val="18"/>
                    </w:rPr>
                  </w:pPr>
                  <w:r>
                    <w:rPr>
                      <w:rFonts w:hint="eastAsia"/>
                      <w:color w:val="000000"/>
                      <w:kern w:val="0"/>
                      <w:sz w:val="18"/>
                      <w:szCs w:val="18"/>
                      <w:lang w:bidi="ar"/>
                    </w:rPr>
                    <w:t>酸、碱、甲苯等</w:t>
                  </w:r>
                </w:p>
              </w:tc>
              <w:tc>
                <w:tcPr>
                  <w:tcW w:w="392" w:type="pct"/>
                  <w:tcBorders>
                    <w:tl2br w:val="nil"/>
                    <w:tr2bl w:val="nil"/>
                  </w:tcBorders>
                  <w:noWrap/>
                  <w:vAlign w:val="center"/>
                </w:tcPr>
                <w:p w14:paraId="7DC43AB4">
                  <w:pPr>
                    <w:widowControl/>
                    <w:jc w:val="center"/>
                    <w:textAlignment w:val="center"/>
                    <w:rPr>
                      <w:color w:val="000000"/>
                      <w:sz w:val="18"/>
                      <w:szCs w:val="18"/>
                    </w:rPr>
                  </w:pPr>
                  <w:r>
                    <w:rPr>
                      <w:rFonts w:hint="eastAsia"/>
                      <w:color w:val="000000"/>
                      <w:kern w:val="0"/>
                      <w:sz w:val="18"/>
                      <w:szCs w:val="18"/>
                      <w:lang w:bidi="ar"/>
                    </w:rPr>
                    <w:t>泄漏/火灾爆炸/中毒</w:t>
                  </w:r>
                </w:p>
              </w:tc>
              <w:tc>
                <w:tcPr>
                  <w:tcW w:w="437" w:type="pct"/>
                  <w:tcBorders>
                    <w:tl2br w:val="nil"/>
                    <w:tr2bl w:val="nil"/>
                  </w:tcBorders>
                  <w:noWrap/>
                  <w:vAlign w:val="center"/>
                </w:tcPr>
                <w:p w14:paraId="1A144567">
                  <w:pPr>
                    <w:widowControl/>
                    <w:jc w:val="center"/>
                    <w:textAlignment w:val="center"/>
                    <w:rPr>
                      <w:color w:val="000000"/>
                      <w:sz w:val="18"/>
                      <w:szCs w:val="18"/>
                    </w:rPr>
                  </w:pPr>
                  <w:r>
                    <w:rPr>
                      <w:rFonts w:hint="eastAsia"/>
                      <w:color w:val="000000"/>
                      <w:kern w:val="0"/>
                      <w:sz w:val="18"/>
                      <w:szCs w:val="18"/>
                      <w:lang w:bidi="ar"/>
                    </w:rPr>
                    <w:t>大气、地表水、地下水</w:t>
                  </w:r>
                </w:p>
              </w:tc>
              <w:tc>
                <w:tcPr>
                  <w:tcW w:w="2859" w:type="pct"/>
                  <w:vMerge w:val="continue"/>
                  <w:tcBorders>
                    <w:tl2br w:val="nil"/>
                    <w:tr2bl w:val="nil"/>
                  </w:tcBorders>
                  <w:noWrap/>
                  <w:vAlign w:val="center"/>
                </w:tcPr>
                <w:p w14:paraId="5074E70E">
                  <w:pPr>
                    <w:jc w:val="center"/>
                    <w:rPr>
                      <w:color w:val="000000"/>
                      <w:sz w:val="18"/>
                      <w:szCs w:val="18"/>
                    </w:rPr>
                  </w:pPr>
                </w:p>
              </w:tc>
            </w:tr>
            <w:tr w14:paraId="7E4F3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tcBorders>
                    <w:tl2br w:val="nil"/>
                    <w:tr2bl w:val="nil"/>
                  </w:tcBorders>
                  <w:noWrap/>
                  <w:vAlign w:val="center"/>
                </w:tcPr>
                <w:p w14:paraId="05680E75">
                  <w:pPr>
                    <w:widowControl/>
                    <w:jc w:val="center"/>
                    <w:textAlignment w:val="center"/>
                    <w:rPr>
                      <w:color w:val="000000"/>
                      <w:sz w:val="18"/>
                      <w:szCs w:val="18"/>
                    </w:rPr>
                  </w:pPr>
                  <w:r>
                    <w:rPr>
                      <w:rFonts w:hint="eastAsia"/>
                      <w:color w:val="000000"/>
                      <w:kern w:val="0"/>
                      <w:sz w:val="18"/>
                      <w:szCs w:val="18"/>
                      <w:lang w:bidi="ar"/>
                    </w:rPr>
                    <w:t>物料储存</w:t>
                  </w:r>
                </w:p>
              </w:tc>
              <w:tc>
                <w:tcPr>
                  <w:tcW w:w="406" w:type="pct"/>
                  <w:tcBorders>
                    <w:tl2br w:val="nil"/>
                    <w:tr2bl w:val="nil"/>
                  </w:tcBorders>
                  <w:noWrap/>
                  <w:vAlign w:val="center"/>
                </w:tcPr>
                <w:p w14:paraId="2147AE3A">
                  <w:pPr>
                    <w:widowControl/>
                    <w:jc w:val="center"/>
                    <w:textAlignment w:val="center"/>
                    <w:rPr>
                      <w:color w:val="000000"/>
                      <w:sz w:val="18"/>
                      <w:szCs w:val="18"/>
                    </w:rPr>
                  </w:pPr>
                  <w:r>
                    <w:rPr>
                      <w:rFonts w:hint="eastAsia"/>
                      <w:color w:val="000000"/>
                      <w:kern w:val="0"/>
                      <w:sz w:val="18"/>
                      <w:szCs w:val="18"/>
                      <w:lang w:bidi="ar"/>
                    </w:rPr>
                    <w:t>危险化学品柜</w:t>
                  </w:r>
                </w:p>
              </w:tc>
              <w:tc>
                <w:tcPr>
                  <w:tcW w:w="561" w:type="pct"/>
                  <w:tcBorders>
                    <w:tl2br w:val="nil"/>
                    <w:tr2bl w:val="nil"/>
                  </w:tcBorders>
                  <w:noWrap/>
                  <w:vAlign w:val="center"/>
                </w:tcPr>
                <w:p w14:paraId="1D5BE0FD">
                  <w:pPr>
                    <w:widowControl/>
                    <w:jc w:val="center"/>
                    <w:textAlignment w:val="center"/>
                    <w:rPr>
                      <w:color w:val="000000"/>
                      <w:sz w:val="18"/>
                      <w:szCs w:val="18"/>
                    </w:rPr>
                  </w:pPr>
                  <w:r>
                    <w:rPr>
                      <w:rFonts w:hint="eastAsia"/>
                      <w:color w:val="000000"/>
                      <w:kern w:val="0"/>
                      <w:sz w:val="18"/>
                      <w:szCs w:val="18"/>
                      <w:lang w:bidi="ar"/>
                    </w:rPr>
                    <w:t>上述风险物质</w:t>
                  </w:r>
                </w:p>
              </w:tc>
              <w:tc>
                <w:tcPr>
                  <w:tcW w:w="392" w:type="pct"/>
                  <w:tcBorders>
                    <w:tl2br w:val="nil"/>
                    <w:tr2bl w:val="nil"/>
                  </w:tcBorders>
                  <w:noWrap/>
                  <w:vAlign w:val="center"/>
                </w:tcPr>
                <w:p w14:paraId="5BBAC9F6">
                  <w:pPr>
                    <w:widowControl/>
                    <w:jc w:val="center"/>
                    <w:textAlignment w:val="center"/>
                    <w:rPr>
                      <w:color w:val="000000"/>
                      <w:sz w:val="18"/>
                      <w:szCs w:val="18"/>
                    </w:rPr>
                  </w:pPr>
                  <w:r>
                    <w:rPr>
                      <w:rFonts w:hint="eastAsia"/>
                      <w:color w:val="000000"/>
                      <w:kern w:val="0"/>
                      <w:sz w:val="18"/>
                      <w:szCs w:val="18"/>
                      <w:lang w:bidi="ar"/>
                    </w:rPr>
                    <w:t>泄漏/火灾</w:t>
                  </w:r>
                </w:p>
              </w:tc>
              <w:tc>
                <w:tcPr>
                  <w:tcW w:w="437" w:type="pct"/>
                  <w:tcBorders>
                    <w:tl2br w:val="nil"/>
                    <w:tr2bl w:val="nil"/>
                  </w:tcBorders>
                  <w:noWrap/>
                  <w:vAlign w:val="center"/>
                </w:tcPr>
                <w:p w14:paraId="0463C0C5">
                  <w:pPr>
                    <w:widowControl/>
                    <w:jc w:val="center"/>
                    <w:textAlignment w:val="center"/>
                    <w:rPr>
                      <w:color w:val="000000"/>
                      <w:sz w:val="18"/>
                      <w:szCs w:val="18"/>
                    </w:rPr>
                  </w:pPr>
                  <w:r>
                    <w:rPr>
                      <w:rFonts w:hint="eastAsia"/>
                      <w:color w:val="000000"/>
                      <w:kern w:val="0"/>
                      <w:sz w:val="18"/>
                      <w:szCs w:val="18"/>
                      <w:lang w:bidi="ar"/>
                    </w:rPr>
                    <w:t>大气、地表水、地下水</w:t>
                  </w:r>
                </w:p>
              </w:tc>
              <w:tc>
                <w:tcPr>
                  <w:tcW w:w="2859" w:type="pct"/>
                  <w:vMerge w:val="continue"/>
                  <w:tcBorders>
                    <w:tl2br w:val="nil"/>
                    <w:tr2bl w:val="nil"/>
                  </w:tcBorders>
                  <w:noWrap/>
                  <w:vAlign w:val="center"/>
                </w:tcPr>
                <w:p w14:paraId="652848E5">
                  <w:pPr>
                    <w:jc w:val="center"/>
                    <w:rPr>
                      <w:color w:val="000000"/>
                      <w:sz w:val="18"/>
                      <w:szCs w:val="18"/>
                    </w:rPr>
                  </w:pPr>
                </w:p>
              </w:tc>
            </w:tr>
            <w:tr w14:paraId="0816CC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tcBorders>
                    <w:tl2br w:val="nil"/>
                    <w:tr2bl w:val="nil"/>
                  </w:tcBorders>
                  <w:noWrap/>
                  <w:vAlign w:val="center"/>
                </w:tcPr>
                <w:p w14:paraId="1C7F05FC">
                  <w:pPr>
                    <w:widowControl/>
                    <w:jc w:val="center"/>
                    <w:textAlignment w:val="center"/>
                    <w:rPr>
                      <w:color w:val="000000"/>
                      <w:sz w:val="18"/>
                      <w:szCs w:val="18"/>
                    </w:rPr>
                  </w:pPr>
                  <w:r>
                    <w:rPr>
                      <w:rFonts w:hint="eastAsia"/>
                      <w:color w:val="000000"/>
                      <w:kern w:val="0"/>
                      <w:sz w:val="18"/>
                      <w:szCs w:val="18"/>
                      <w:lang w:bidi="ar"/>
                    </w:rPr>
                    <w:t>环保设施</w:t>
                  </w:r>
                </w:p>
              </w:tc>
              <w:tc>
                <w:tcPr>
                  <w:tcW w:w="406" w:type="pct"/>
                  <w:tcBorders>
                    <w:tl2br w:val="nil"/>
                    <w:tr2bl w:val="nil"/>
                  </w:tcBorders>
                  <w:noWrap/>
                  <w:vAlign w:val="center"/>
                </w:tcPr>
                <w:p w14:paraId="4FA40527">
                  <w:pPr>
                    <w:widowControl/>
                    <w:jc w:val="center"/>
                    <w:textAlignment w:val="center"/>
                    <w:rPr>
                      <w:color w:val="000000"/>
                      <w:sz w:val="18"/>
                      <w:szCs w:val="18"/>
                    </w:rPr>
                  </w:pPr>
                  <w:r>
                    <w:rPr>
                      <w:rFonts w:hint="eastAsia"/>
                      <w:color w:val="000000"/>
                      <w:kern w:val="0"/>
                      <w:sz w:val="18"/>
                      <w:szCs w:val="18"/>
                      <w:lang w:bidi="ar"/>
                    </w:rPr>
                    <w:t>废气处理装置</w:t>
                  </w:r>
                </w:p>
              </w:tc>
              <w:tc>
                <w:tcPr>
                  <w:tcW w:w="561" w:type="pct"/>
                  <w:tcBorders>
                    <w:tl2br w:val="nil"/>
                    <w:tr2bl w:val="nil"/>
                  </w:tcBorders>
                  <w:noWrap/>
                  <w:vAlign w:val="center"/>
                </w:tcPr>
                <w:p w14:paraId="4A875F95">
                  <w:pPr>
                    <w:widowControl/>
                    <w:jc w:val="center"/>
                    <w:textAlignment w:val="center"/>
                    <w:rPr>
                      <w:rFonts w:hint="default" w:eastAsia="宋体"/>
                      <w:color w:val="000000"/>
                      <w:sz w:val="18"/>
                      <w:szCs w:val="18"/>
                      <w:lang w:val="en-US" w:eastAsia="zh-CN"/>
                    </w:rPr>
                  </w:pPr>
                  <w:r>
                    <w:rPr>
                      <w:rFonts w:hint="eastAsia"/>
                      <w:color w:val="000000"/>
                      <w:kern w:val="0"/>
                      <w:sz w:val="18"/>
                      <w:szCs w:val="18"/>
                      <w:lang w:val="en-US" w:eastAsia="zh-CN" w:bidi="ar"/>
                    </w:rPr>
                    <w:t>废HEPA过滤器、废活性炭</w:t>
                  </w:r>
                </w:p>
              </w:tc>
              <w:tc>
                <w:tcPr>
                  <w:tcW w:w="392" w:type="pct"/>
                  <w:tcBorders>
                    <w:tl2br w:val="nil"/>
                    <w:tr2bl w:val="nil"/>
                  </w:tcBorders>
                  <w:noWrap/>
                  <w:vAlign w:val="center"/>
                </w:tcPr>
                <w:p w14:paraId="67972818">
                  <w:pPr>
                    <w:widowControl/>
                    <w:jc w:val="center"/>
                    <w:textAlignment w:val="center"/>
                    <w:rPr>
                      <w:color w:val="000000"/>
                      <w:sz w:val="18"/>
                      <w:szCs w:val="18"/>
                    </w:rPr>
                  </w:pPr>
                  <w:r>
                    <w:rPr>
                      <w:rFonts w:hint="eastAsia"/>
                      <w:color w:val="000000"/>
                      <w:kern w:val="0"/>
                      <w:sz w:val="18"/>
                      <w:szCs w:val="18"/>
                      <w:lang w:val="en-US" w:eastAsia="zh-CN" w:bidi="ar"/>
                    </w:rPr>
                    <w:t>泄露</w:t>
                  </w:r>
                </w:p>
              </w:tc>
              <w:tc>
                <w:tcPr>
                  <w:tcW w:w="437" w:type="pct"/>
                  <w:tcBorders>
                    <w:tl2br w:val="nil"/>
                    <w:tr2bl w:val="nil"/>
                  </w:tcBorders>
                  <w:noWrap/>
                  <w:vAlign w:val="center"/>
                </w:tcPr>
                <w:p w14:paraId="6C487BEB">
                  <w:pPr>
                    <w:widowControl/>
                    <w:jc w:val="center"/>
                    <w:textAlignment w:val="center"/>
                    <w:rPr>
                      <w:color w:val="000000"/>
                      <w:sz w:val="18"/>
                      <w:szCs w:val="18"/>
                    </w:rPr>
                  </w:pPr>
                  <w:r>
                    <w:rPr>
                      <w:rFonts w:hint="eastAsia"/>
                      <w:color w:val="000000"/>
                      <w:kern w:val="0"/>
                      <w:sz w:val="18"/>
                      <w:szCs w:val="18"/>
                      <w:lang w:bidi="ar"/>
                    </w:rPr>
                    <w:t>大气、地表水、地下水</w:t>
                  </w:r>
                </w:p>
              </w:tc>
              <w:tc>
                <w:tcPr>
                  <w:tcW w:w="2859" w:type="pct"/>
                  <w:vMerge w:val="continue"/>
                  <w:tcBorders>
                    <w:tl2br w:val="nil"/>
                    <w:tr2bl w:val="nil"/>
                  </w:tcBorders>
                  <w:noWrap/>
                  <w:vAlign w:val="center"/>
                </w:tcPr>
                <w:p w14:paraId="7240409D">
                  <w:pPr>
                    <w:jc w:val="center"/>
                    <w:rPr>
                      <w:color w:val="000000"/>
                      <w:sz w:val="18"/>
                      <w:szCs w:val="18"/>
                    </w:rPr>
                  </w:pPr>
                </w:p>
              </w:tc>
            </w:tr>
            <w:tr w14:paraId="577D2B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3" w:type="pct"/>
                  <w:tcBorders>
                    <w:tl2br w:val="nil"/>
                    <w:tr2bl w:val="nil"/>
                  </w:tcBorders>
                  <w:noWrap/>
                  <w:vAlign w:val="center"/>
                </w:tcPr>
                <w:p w14:paraId="0D57DE7B">
                  <w:pPr>
                    <w:widowControl/>
                    <w:jc w:val="center"/>
                    <w:textAlignment w:val="center"/>
                    <w:rPr>
                      <w:color w:val="000000"/>
                      <w:sz w:val="18"/>
                      <w:szCs w:val="18"/>
                    </w:rPr>
                  </w:pPr>
                  <w:r>
                    <w:rPr>
                      <w:rFonts w:hint="eastAsia"/>
                      <w:color w:val="000000"/>
                      <w:kern w:val="0"/>
                      <w:sz w:val="18"/>
                      <w:szCs w:val="18"/>
                      <w:lang w:bidi="ar"/>
                    </w:rPr>
                    <w:t>危废储存</w:t>
                  </w:r>
                </w:p>
              </w:tc>
              <w:tc>
                <w:tcPr>
                  <w:tcW w:w="406" w:type="pct"/>
                  <w:tcBorders>
                    <w:tl2br w:val="nil"/>
                    <w:tr2bl w:val="nil"/>
                  </w:tcBorders>
                  <w:noWrap/>
                  <w:vAlign w:val="center"/>
                </w:tcPr>
                <w:p w14:paraId="4E4B0AC3">
                  <w:pPr>
                    <w:widowControl/>
                    <w:jc w:val="center"/>
                    <w:textAlignment w:val="center"/>
                    <w:rPr>
                      <w:color w:val="000000"/>
                      <w:sz w:val="18"/>
                      <w:szCs w:val="18"/>
                    </w:rPr>
                  </w:pPr>
                  <w:r>
                    <w:rPr>
                      <w:rFonts w:hint="eastAsia"/>
                      <w:color w:val="000000"/>
                      <w:kern w:val="0"/>
                      <w:sz w:val="18"/>
                      <w:szCs w:val="18"/>
                      <w:lang w:bidi="ar"/>
                    </w:rPr>
                    <w:t>危废暂存间</w:t>
                  </w:r>
                </w:p>
              </w:tc>
              <w:tc>
                <w:tcPr>
                  <w:tcW w:w="561" w:type="pct"/>
                  <w:tcBorders>
                    <w:tl2br w:val="nil"/>
                    <w:tr2bl w:val="nil"/>
                  </w:tcBorders>
                  <w:noWrap/>
                  <w:vAlign w:val="center"/>
                </w:tcPr>
                <w:p w14:paraId="4F70E221">
                  <w:pPr>
                    <w:widowControl/>
                    <w:jc w:val="center"/>
                    <w:textAlignment w:val="center"/>
                    <w:rPr>
                      <w:color w:val="000000"/>
                      <w:sz w:val="18"/>
                      <w:szCs w:val="18"/>
                    </w:rPr>
                  </w:pPr>
                  <w:r>
                    <w:rPr>
                      <w:rFonts w:hint="eastAsia"/>
                      <w:color w:val="000000"/>
                      <w:kern w:val="0"/>
                      <w:sz w:val="18"/>
                      <w:szCs w:val="18"/>
                      <w:lang w:bidi="ar"/>
                    </w:rPr>
                    <w:t>实验室废物、废液、废润滑油等</w:t>
                  </w:r>
                </w:p>
              </w:tc>
              <w:tc>
                <w:tcPr>
                  <w:tcW w:w="392" w:type="pct"/>
                  <w:tcBorders>
                    <w:tl2br w:val="nil"/>
                    <w:tr2bl w:val="nil"/>
                  </w:tcBorders>
                  <w:noWrap/>
                  <w:vAlign w:val="center"/>
                </w:tcPr>
                <w:p w14:paraId="3A1242FC">
                  <w:pPr>
                    <w:widowControl/>
                    <w:jc w:val="center"/>
                    <w:textAlignment w:val="center"/>
                    <w:rPr>
                      <w:color w:val="000000"/>
                      <w:sz w:val="18"/>
                      <w:szCs w:val="18"/>
                    </w:rPr>
                  </w:pPr>
                  <w:r>
                    <w:rPr>
                      <w:rFonts w:hint="eastAsia"/>
                      <w:color w:val="000000"/>
                      <w:kern w:val="0"/>
                      <w:sz w:val="18"/>
                      <w:szCs w:val="18"/>
                      <w:lang w:bidi="ar"/>
                    </w:rPr>
                    <w:t>泄漏/火灾</w:t>
                  </w:r>
                </w:p>
              </w:tc>
              <w:tc>
                <w:tcPr>
                  <w:tcW w:w="437" w:type="pct"/>
                  <w:tcBorders>
                    <w:tl2br w:val="nil"/>
                    <w:tr2bl w:val="nil"/>
                  </w:tcBorders>
                  <w:noWrap/>
                  <w:vAlign w:val="center"/>
                </w:tcPr>
                <w:p w14:paraId="2800320B">
                  <w:pPr>
                    <w:widowControl/>
                    <w:jc w:val="center"/>
                    <w:textAlignment w:val="center"/>
                    <w:rPr>
                      <w:color w:val="000000"/>
                      <w:sz w:val="18"/>
                      <w:szCs w:val="18"/>
                    </w:rPr>
                  </w:pPr>
                  <w:r>
                    <w:rPr>
                      <w:rFonts w:hint="eastAsia"/>
                      <w:color w:val="000000"/>
                      <w:kern w:val="0"/>
                      <w:sz w:val="18"/>
                      <w:szCs w:val="18"/>
                      <w:lang w:bidi="ar"/>
                    </w:rPr>
                    <w:t>大气、地表水、地下水</w:t>
                  </w:r>
                </w:p>
              </w:tc>
              <w:tc>
                <w:tcPr>
                  <w:tcW w:w="2859" w:type="pct"/>
                  <w:vMerge w:val="continue"/>
                  <w:tcBorders>
                    <w:tl2br w:val="nil"/>
                    <w:tr2bl w:val="nil"/>
                  </w:tcBorders>
                  <w:noWrap/>
                  <w:vAlign w:val="center"/>
                </w:tcPr>
                <w:p w14:paraId="76507481">
                  <w:pPr>
                    <w:jc w:val="center"/>
                    <w:rPr>
                      <w:color w:val="000000"/>
                      <w:sz w:val="18"/>
                      <w:szCs w:val="18"/>
                    </w:rPr>
                  </w:pPr>
                </w:p>
              </w:tc>
            </w:tr>
          </w:tbl>
          <w:p w14:paraId="14101FCA">
            <w:pPr>
              <w:spacing w:line="360" w:lineRule="auto"/>
              <w:rPr>
                <w:szCs w:val="21"/>
              </w:rPr>
            </w:pPr>
          </w:p>
          <w:p w14:paraId="0A14A35C">
            <w:pPr>
              <w:spacing w:line="360" w:lineRule="auto"/>
              <w:ind w:firstLine="420" w:firstLineChars="200"/>
              <w:rPr>
                <w:szCs w:val="21"/>
              </w:rPr>
            </w:pPr>
            <w:r>
              <w:rPr>
                <w:rFonts w:hint="eastAsia"/>
                <w:szCs w:val="21"/>
              </w:rPr>
              <w:t>根据《建设项目环境风险评价技术导则》（HJ169-2018）附录B确定危险物质的临界量，定量分析危险物质数量与临界量的比值（Q），详见表</w:t>
            </w:r>
            <w:r>
              <w:rPr>
                <w:rFonts w:hint="eastAsia"/>
                <w:bCs/>
                <w:szCs w:val="21"/>
              </w:rPr>
              <w:t>下表</w:t>
            </w:r>
            <w:r>
              <w:rPr>
                <w:rFonts w:hint="eastAsia"/>
                <w:szCs w:val="21"/>
              </w:rPr>
              <w:t>：</w:t>
            </w:r>
          </w:p>
          <w:p w14:paraId="6B2E3D88">
            <w:pPr>
              <w:numPr>
                <w:ilvl w:val="0"/>
                <w:numId w:val="12"/>
              </w:numPr>
              <w:spacing w:line="360" w:lineRule="auto"/>
              <w:jc w:val="center"/>
              <w:rPr>
                <w:sz w:val="18"/>
                <w:szCs w:val="18"/>
              </w:rPr>
            </w:pPr>
            <w:r>
              <w:rPr>
                <w:rFonts w:hint="eastAsia" w:ascii="黑体" w:hAnsi="黑体" w:eastAsia="黑体" w:cs="黑体"/>
                <w:spacing w:val="-10"/>
                <w:szCs w:val="21"/>
              </w:rPr>
              <w:t xml:space="preserve"> 项目危险物质Q值计算一览表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71"/>
              <w:gridCol w:w="2244"/>
              <w:gridCol w:w="2282"/>
              <w:gridCol w:w="1782"/>
              <w:gridCol w:w="1322"/>
            </w:tblGrid>
            <w:tr w14:paraId="11808B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84" w:hRule="atLeast"/>
                <w:jc w:val="center"/>
              </w:trPr>
              <w:tc>
                <w:tcPr>
                  <w:tcW w:w="404" w:type="pct"/>
                  <w:tcBorders>
                    <w:tl2br w:val="nil"/>
                    <w:tr2bl w:val="nil"/>
                  </w:tcBorders>
                  <w:shd w:val="clear" w:color="auto" w:fill="auto"/>
                  <w:noWrap/>
                  <w:vAlign w:val="center"/>
                </w:tcPr>
                <w:p w14:paraId="5DB4BF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序号</w:t>
                  </w:r>
                </w:p>
              </w:tc>
              <w:tc>
                <w:tcPr>
                  <w:tcW w:w="1351" w:type="pct"/>
                  <w:tcBorders>
                    <w:tl2br w:val="nil"/>
                    <w:tr2bl w:val="nil"/>
                  </w:tcBorders>
                  <w:shd w:val="clear" w:color="auto" w:fill="auto"/>
                  <w:noWrap/>
                  <w:vAlign w:val="center"/>
                </w:tcPr>
                <w:p w14:paraId="00CA02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风险物质名称</w:t>
                  </w:r>
                </w:p>
              </w:tc>
              <w:tc>
                <w:tcPr>
                  <w:tcW w:w="1374" w:type="pct"/>
                  <w:tcBorders>
                    <w:tl2br w:val="nil"/>
                    <w:tr2bl w:val="nil"/>
                  </w:tcBorders>
                  <w:shd w:val="clear" w:color="auto" w:fill="auto"/>
                  <w:noWrap/>
                  <w:vAlign w:val="center"/>
                </w:tcPr>
                <w:p w14:paraId="017308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最大存在量q</w:t>
                  </w:r>
                  <w:r>
                    <w:rPr>
                      <w:rFonts w:hint="default" w:ascii="Times New Roman" w:hAnsi="Times New Roman" w:eastAsia="宋体" w:cs="Times New Roman"/>
                      <w:i w:val="0"/>
                      <w:iCs w:val="0"/>
                      <w:color w:val="000000"/>
                      <w:kern w:val="0"/>
                      <w:sz w:val="18"/>
                      <w:szCs w:val="18"/>
                      <w:u w:val="none"/>
                      <w:vertAlign w:val="subscript"/>
                      <w:lang w:val="en-US" w:eastAsia="zh-CN" w:bidi="ar"/>
                    </w:rPr>
                    <w:t>n</w:t>
                  </w:r>
                  <w:r>
                    <w:rPr>
                      <w:rFonts w:hint="default" w:ascii="Times New Roman" w:hAnsi="Times New Roman" w:eastAsia="宋体" w:cs="Times New Roman"/>
                      <w:i w:val="0"/>
                      <w:iCs w:val="0"/>
                      <w:color w:val="000000"/>
                      <w:kern w:val="0"/>
                      <w:sz w:val="18"/>
                      <w:szCs w:val="18"/>
                      <w:u w:val="none"/>
                      <w:lang w:val="en-US" w:eastAsia="zh-CN" w:bidi="ar"/>
                    </w:rPr>
                    <w:t>（t）</w:t>
                  </w:r>
                </w:p>
              </w:tc>
              <w:tc>
                <w:tcPr>
                  <w:tcW w:w="1073" w:type="pct"/>
                  <w:tcBorders>
                    <w:tl2br w:val="nil"/>
                    <w:tr2bl w:val="nil"/>
                  </w:tcBorders>
                  <w:shd w:val="clear" w:color="auto" w:fill="auto"/>
                  <w:noWrap/>
                  <w:vAlign w:val="center"/>
                </w:tcPr>
                <w:p w14:paraId="07F612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临界量Q</w:t>
                  </w:r>
                  <w:r>
                    <w:rPr>
                      <w:rFonts w:hint="default" w:ascii="Times New Roman" w:hAnsi="Times New Roman" w:eastAsia="宋体" w:cs="Times New Roman"/>
                      <w:i w:val="0"/>
                      <w:iCs w:val="0"/>
                      <w:color w:val="000000"/>
                      <w:kern w:val="0"/>
                      <w:sz w:val="18"/>
                      <w:szCs w:val="18"/>
                      <w:u w:val="none"/>
                      <w:vertAlign w:val="subscript"/>
                      <w:lang w:val="en-US" w:eastAsia="zh-CN" w:bidi="ar"/>
                    </w:rPr>
                    <w:t>n</w:t>
                  </w:r>
                  <w:r>
                    <w:rPr>
                      <w:rFonts w:hint="default" w:ascii="Times New Roman" w:hAnsi="Times New Roman" w:eastAsia="宋体" w:cs="Times New Roman"/>
                      <w:i w:val="0"/>
                      <w:iCs w:val="0"/>
                      <w:color w:val="000000"/>
                      <w:kern w:val="0"/>
                      <w:sz w:val="18"/>
                      <w:szCs w:val="18"/>
                      <w:u w:val="none"/>
                      <w:lang w:val="en-US" w:eastAsia="zh-CN" w:bidi="ar"/>
                    </w:rPr>
                    <w:t>（t）</w:t>
                  </w:r>
                </w:p>
              </w:tc>
              <w:tc>
                <w:tcPr>
                  <w:tcW w:w="796" w:type="pct"/>
                  <w:tcBorders>
                    <w:tl2br w:val="nil"/>
                    <w:tr2bl w:val="nil"/>
                  </w:tcBorders>
                  <w:shd w:val="clear" w:color="auto" w:fill="auto"/>
                  <w:noWrap/>
                  <w:vAlign w:val="center"/>
                </w:tcPr>
                <w:p w14:paraId="31E676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n</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n</w:t>
                  </w:r>
                </w:p>
              </w:tc>
            </w:tr>
            <w:tr w14:paraId="4CAC68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294A6E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351" w:type="pct"/>
                  <w:tcBorders>
                    <w:tl2br w:val="nil"/>
                    <w:tr2bl w:val="nil"/>
                  </w:tcBorders>
                  <w:shd w:val="clear" w:color="auto" w:fill="auto"/>
                  <w:noWrap/>
                  <w:vAlign w:val="center"/>
                </w:tcPr>
                <w:p w14:paraId="5C3F19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盐酸（氯化氢）</w:t>
                  </w:r>
                </w:p>
              </w:tc>
              <w:tc>
                <w:tcPr>
                  <w:tcW w:w="1374" w:type="pct"/>
                  <w:tcBorders>
                    <w:tl2br w:val="nil"/>
                    <w:tr2bl w:val="nil"/>
                  </w:tcBorders>
                  <w:shd w:val="clear" w:color="auto" w:fill="auto"/>
                  <w:noWrap/>
                  <w:vAlign w:val="center"/>
                </w:tcPr>
                <w:p w14:paraId="673038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0.005 </w:t>
                  </w:r>
                </w:p>
              </w:tc>
              <w:tc>
                <w:tcPr>
                  <w:tcW w:w="1073" w:type="pct"/>
                  <w:tcBorders>
                    <w:tl2br w:val="nil"/>
                    <w:tr2bl w:val="nil"/>
                  </w:tcBorders>
                  <w:shd w:val="clear" w:color="auto" w:fill="auto"/>
                  <w:noWrap/>
                  <w:vAlign w:val="center"/>
                </w:tcPr>
                <w:p w14:paraId="08C7A2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96" w:type="pct"/>
                  <w:tcBorders>
                    <w:tl2br w:val="nil"/>
                    <w:tr2bl w:val="nil"/>
                  </w:tcBorders>
                  <w:shd w:val="clear" w:color="auto" w:fill="auto"/>
                  <w:noWrap/>
                  <w:vAlign w:val="center"/>
                </w:tcPr>
                <w:p w14:paraId="6E52AA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r>
            <w:tr w14:paraId="5897EC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599C54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351" w:type="pct"/>
                  <w:tcBorders>
                    <w:tl2br w:val="nil"/>
                    <w:tr2bl w:val="nil"/>
                  </w:tcBorders>
                  <w:shd w:val="clear" w:color="auto" w:fill="auto"/>
                  <w:noWrap/>
                  <w:vAlign w:val="center"/>
                </w:tcPr>
                <w:p w14:paraId="7F86CA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氢氧化钠</w:t>
                  </w:r>
                </w:p>
              </w:tc>
              <w:tc>
                <w:tcPr>
                  <w:tcW w:w="1374" w:type="pct"/>
                  <w:tcBorders>
                    <w:tl2br w:val="nil"/>
                    <w:tr2bl w:val="nil"/>
                  </w:tcBorders>
                  <w:shd w:val="clear" w:color="auto" w:fill="auto"/>
                  <w:noWrap/>
                  <w:vAlign w:val="center"/>
                </w:tcPr>
                <w:p w14:paraId="006294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0.004 </w:t>
                  </w:r>
                </w:p>
              </w:tc>
              <w:tc>
                <w:tcPr>
                  <w:tcW w:w="1073" w:type="pct"/>
                  <w:tcBorders>
                    <w:tl2br w:val="nil"/>
                    <w:tr2bl w:val="nil"/>
                  </w:tcBorders>
                  <w:shd w:val="clear" w:color="auto" w:fill="auto"/>
                  <w:noWrap/>
                  <w:vAlign w:val="center"/>
                </w:tcPr>
                <w:p w14:paraId="1C105A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96" w:type="pct"/>
                  <w:tcBorders>
                    <w:tl2br w:val="nil"/>
                    <w:tr2bl w:val="nil"/>
                  </w:tcBorders>
                  <w:shd w:val="clear" w:color="auto" w:fill="auto"/>
                  <w:noWrap/>
                  <w:vAlign w:val="center"/>
                </w:tcPr>
                <w:p w14:paraId="39F82D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r>
            <w:tr w14:paraId="393D20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43EA8F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351" w:type="pct"/>
                  <w:tcBorders>
                    <w:tl2br w:val="nil"/>
                    <w:tr2bl w:val="nil"/>
                  </w:tcBorders>
                  <w:shd w:val="clear" w:color="auto" w:fill="auto"/>
                  <w:noWrap/>
                  <w:vAlign w:val="center"/>
                </w:tcPr>
                <w:p w14:paraId="73835C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氢氧化钾</w:t>
                  </w:r>
                </w:p>
              </w:tc>
              <w:tc>
                <w:tcPr>
                  <w:tcW w:w="1374" w:type="pct"/>
                  <w:tcBorders>
                    <w:tl2br w:val="nil"/>
                    <w:tr2bl w:val="nil"/>
                  </w:tcBorders>
                  <w:shd w:val="clear" w:color="auto" w:fill="auto"/>
                  <w:noWrap/>
                  <w:vAlign w:val="center"/>
                </w:tcPr>
                <w:p w14:paraId="0DCE8C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1073" w:type="pct"/>
                  <w:tcBorders>
                    <w:tl2br w:val="nil"/>
                    <w:tr2bl w:val="nil"/>
                  </w:tcBorders>
                  <w:shd w:val="clear" w:color="auto" w:fill="auto"/>
                  <w:noWrap/>
                  <w:vAlign w:val="center"/>
                </w:tcPr>
                <w:p w14:paraId="71997C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96" w:type="pct"/>
                  <w:tcBorders>
                    <w:tl2br w:val="nil"/>
                    <w:tr2bl w:val="nil"/>
                  </w:tcBorders>
                  <w:shd w:val="clear" w:color="auto" w:fill="auto"/>
                  <w:noWrap/>
                  <w:vAlign w:val="center"/>
                </w:tcPr>
                <w:p w14:paraId="5A0925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4FBF45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0F662C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351" w:type="pct"/>
                  <w:tcBorders>
                    <w:tl2br w:val="nil"/>
                    <w:tr2bl w:val="nil"/>
                  </w:tcBorders>
                  <w:shd w:val="clear" w:color="auto" w:fill="auto"/>
                  <w:noWrap/>
                  <w:vAlign w:val="center"/>
                </w:tcPr>
                <w:p w14:paraId="5763FC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2-氯乙醇</w:t>
                  </w:r>
                </w:p>
              </w:tc>
              <w:tc>
                <w:tcPr>
                  <w:tcW w:w="1374" w:type="pct"/>
                  <w:tcBorders>
                    <w:tl2br w:val="nil"/>
                    <w:tr2bl w:val="nil"/>
                  </w:tcBorders>
                  <w:shd w:val="clear" w:color="auto" w:fill="auto"/>
                  <w:noWrap/>
                  <w:vAlign w:val="center"/>
                </w:tcPr>
                <w:p w14:paraId="5AF53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073" w:type="pct"/>
                  <w:tcBorders>
                    <w:tl2br w:val="nil"/>
                    <w:tr2bl w:val="nil"/>
                  </w:tcBorders>
                  <w:shd w:val="clear" w:color="auto" w:fill="auto"/>
                  <w:noWrap/>
                  <w:vAlign w:val="center"/>
                </w:tcPr>
                <w:p w14:paraId="6B0D2E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796" w:type="pct"/>
                  <w:tcBorders>
                    <w:tl2br w:val="nil"/>
                    <w:tr2bl w:val="nil"/>
                  </w:tcBorders>
                  <w:shd w:val="clear" w:color="auto" w:fill="auto"/>
                  <w:noWrap/>
                  <w:vAlign w:val="center"/>
                </w:tcPr>
                <w:p w14:paraId="214F9D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r>
            <w:tr w14:paraId="67D32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1357D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51" w:type="pct"/>
                  <w:tcBorders>
                    <w:tl2br w:val="nil"/>
                    <w:tr2bl w:val="nil"/>
                  </w:tcBorders>
                  <w:shd w:val="clear" w:color="auto" w:fill="auto"/>
                  <w:noWrap/>
                  <w:vAlign w:val="center"/>
                </w:tcPr>
                <w:p w14:paraId="12BBDB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硫酸</w:t>
                  </w:r>
                </w:p>
              </w:tc>
              <w:tc>
                <w:tcPr>
                  <w:tcW w:w="1374" w:type="pct"/>
                  <w:tcBorders>
                    <w:tl2br w:val="nil"/>
                    <w:tr2bl w:val="nil"/>
                  </w:tcBorders>
                  <w:shd w:val="clear" w:color="auto" w:fill="auto"/>
                  <w:noWrap/>
                  <w:vAlign w:val="center"/>
                </w:tcPr>
                <w:p w14:paraId="66900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0.009 </w:t>
                  </w:r>
                </w:p>
              </w:tc>
              <w:tc>
                <w:tcPr>
                  <w:tcW w:w="1073" w:type="pct"/>
                  <w:tcBorders>
                    <w:tl2br w:val="nil"/>
                    <w:tr2bl w:val="nil"/>
                  </w:tcBorders>
                  <w:shd w:val="clear" w:color="auto" w:fill="auto"/>
                  <w:noWrap/>
                  <w:vAlign w:val="center"/>
                </w:tcPr>
                <w:p w14:paraId="3B2464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96" w:type="pct"/>
                  <w:tcBorders>
                    <w:tl2br w:val="nil"/>
                    <w:tr2bl w:val="nil"/>
                  </w:tcBorders>
                  <w:shd w:val="clear" w:color="auto" w:fill="auto"/>
                  <w:noWrap/>
                  <w:vAlign w:val="center"/>
                </w:tcPr>
                <w:p w14:paraId="49AF2B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r>
            <w:tr w14:paraId="0F3B0F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2C7CC5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1351" w:type="pct"/>
                  <w:tcBorders>
                    <w:tl2br w:val="nil"/>
                    <w:tr2bl w:val="nil"/>
                  </w:tcBorders>
                  <w:shd w:val="clear" w:color="auto" w:fill="auto"/>
                  <w:noWrap/>
                  <w:vAlign w:val="center"/>
                </w:tcPr>
                <w:p w14:paraId="4F90D7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无水乙醚</w:t>
                  </w:r>
                </w:p>
              </w:tc>
              <w:tc>
                <w:tcPr>
                  <w:tcW w:w="1374" w:type="pct"/>
                  <w:tcBorders>
                    <w:tl2br w:val="nil"/>
                    <w:tr2bl w:val="nil"/>
                  </w:tcBorders>
                  <w:shd w:val="clear" w:color="auto" w:fill="auto"/>
                  <w:noWrap/>
                  <w:vAlign w:val="center"/>
                </w:tcPr>
                <w:p w14:paraId="10913D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073" w:type="pct"/>
                  <w:tcBorders>
                    <w:tl2br w:val="nil"/>
                    <w:tr2bl w:val="nil"/>
                  </w:tcBorders>
                  <w:shd w:val="clear" w:color="auto" w:fill="auto"/>
                  <w:noWrap/>
                  <w:vAlign w:val="center"/>
                </w:tcPr>
                <w:p w14:paraId="1D17C2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96" w:type="pct"/>
                  <w:tcBorders>
                    <w:tl2br w:val="nil"/>
                    <w:tr2bl w:val="nil"/>
                  </w:tcBorders>
                  <w:shd w:val="clear" w:color="auto" w:fill="auto"/>
                  <w:noWrap/>
                  <w:vAlign w:val="center"/>
                </w:tcPr>
                <w:p w14:paraId="3CD76E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6C67A1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1F79C5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1351" w:type="pct"/>
                  <w:tcBorders>
                    <w:tl2br w:val="nil"/>
                    <w:tr2bl w:val="nil"/>
                  </w:tcBorders>
                  <w:shd w:val="clear" w:color="auto" w:fill="auto"/>
                  <w:noWrap/>
                  <w:vAlign w:val="center"/>
                </w:tcPr>
                <w:p w14:paraId="4F2471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甲苯</w:t>
                  </w:r>
                </w:p>
              </w:tc>
              <w:tc>
                <w:tcPr>
                  <w:tcW w:w="1374" w:type="pct"/>
                  <w:tcBorders>
                    <w:tl2br w:val="nil"/>
                    <w:tr2bl w:val="nil"/>
                  </w:tcBorders>
                  <w:shd w:val="clear" w:color="auto" w:fill="auto"/>
                  <w:noWrap/>
                  <w:vAlign w:val="center"/>
                </w:tcPr>
                <w:p w14:paraId="59D26F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0.004 </w:t>
                  </w:r>
                </w:p>
              </w:tc>
              <w:tc>
                <w:tcPr>
                  <w:tcW w:w="1073" w:type="pct"/>
                  <w:tcBorders>
                    <w:tl2br w:val="nil"/>
                    <w:tr2bl w:val="nil"/>
                  </w:tcBorders>
                  <w:shd w:val="clear" w:color="auto" w:fill="auto"/>
                  <w:noWrap/>
                  <w:vAlign w:val="center"/>
                </w:tcPr>
                <w:p w14:paraId="464DC6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796" w:type="pct"/>
                  <w:tcBorders>
                    <w:tl2br w:val="nil"/>
                    <w:tr2bl w:val="nil"/>
                  </w:tcBorders>
                  <w:shd w:val="clear" w:color="auto" w:fill="auto"/>
                  <w:noWrap/>
                  <w:vAlign w:val="center"/>
                </w:tcPr>
                <w:p w14:paraId="0E5575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5EF88A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7F0646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351" w:type="pct"/>
                  <w:tcBorders>
                    <w:tl2br w:val="nil"/>
                    <w:tr2bl w:val="nil"/>
                  </w:tcBorders>
                  <w:shd w:val="clear" w:color="auto" w:fill="auto"/>
                  <w:noWrap/>
                  <w:vAlign w:val="center"/>
                </w:tcPr>
                <w:p w14:paraId="35DC7C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氯仿（三氯甲烷）</w:t>
                  </w:r>
                </w:p>
              </w:tc>
              <w:tc>
                <w:tcPr>
                  <w:tcW w:w="1374" w:type="pct"/>
                  <w:tcBorders>
                    <w:tl2br w:val="nil"/>
                    <w:tr2bl w:val="nil"/>
                  </w:tcBorders>
                  <w:shd w:val="clear" w:color="auto" w:fill="auto"/>
                  <w:noWrap/>
                  <w:vAlign w:val="center"/>
                </w:tcPr>
                <w:p w14:paraId="163D81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073" w:type="pct"/>
                  <w:tcBorders>
                    <w:tl2br w:val="nil"/>
                    <w:tr2bl w:val="nil"/>
                  </w:tcBorders>
                  <w:shd w:val="clear" w:color="auto" w:fill="auto"/>
                  <w:noWrap/>
                  <w:vAlign w:val="center"/>
                </w:tcPr>
                <w:p w14:paraId="226196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96" w:type="pct"/>
                  <w:tcBorders>
                    <w:tl2br w:val="nil"/>
                    <w:tr2bl w:val="nil"/>
                  </w:tcBorders>
                  <w:shd w:val="clear" w:color="auto" w:fill="auto"/>
                  <w:noWrap/>
                  <w:vAlign w:val="center"/>
                </w:tcPr>
                <w:p w14:paraId="334669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783E0A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5C9A0B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1351" w:type="pct"/>
                  <w:tcBorders>
                    <w:tl2br w:val="nil"/>
                    <w:tr2bl w:val="nil"/>
                  </w:tcBorders>
                  <w:shd w:val="clear" w:color="auto" w:fill="auto"/>
                  <w:noWrap/>
                  <w:vAlign w:val="center"/>
                </w:tcPr>
                <w:p w14:paraId="57A280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高氯酸</w:t>
                  </w:r>
                </w:p>
              </w:tc>
              <w:tc>
                <w:tcPr>
                  <w:tcW w:w="1374" w:type="pct"/>
                  <w:tcBorders>
                    <w:tl2br w:val="nil"/>
                    <w:tr2bl w:val="nil"/>
                  </w:tcBorders>
                  <w:shd w:val="clear" w:color="auto" w:fill="auto"/>
                  <w:noWrap/>
                  <w:vAlign w:val="center"/>
                </w:tcPr>
                <w:p w14:paraId="439598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1073" w:type="pct"/>
                  <w:tcBorders>
                    <w:tl2br w:val="nil"/>
                    <w:tr2bl w:val="nil"/>
                  </w:tcBorders>
                  <w:shd w:val="clear" w:color="auto" w:fill="auto"/>
                  <w:noWrap/>
                  <w:vAlign w:val="center"/>
                </w:tcPr>
                <w:p w14:paraId="68BD0B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96" w:type="pct"/>
                  <w:tcBorders>
                    <w:tl2br w:val="nil"/>
                    <w:tr2bl w:val="nil"/>
                  </w:tcBorders>
                  <w:shd w:val="clear" w:color="auto" w:fill="auto"/>
                  <w:noWrap/>
                  <w:vAlign w:val="center"/>
                </w:tcPr>
                <w:p w14:paraId="2D8567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111179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15E4E3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51" w:type="pct"/>
                  <w:tcBorders>
                    <w:tl2br w:val="nil"/>
                    <w:tr2bl w:val="nil"/>
                  </w:tcBorders>
                  <w:shd w:val="clear" w:color="auto" w:fill="auto"/>
                  <w:noWrap/>
                  <w:vAlign w:val="center"/>
                </w:tcPr>
                <w:p w14:paraId="64E1CF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过氧化氢</w:t>
                  </w:r>
                </w:p>
              </w:tc>
              <w:tc>
                <w:tcPr>
                  <w:tcW w:w="1374" w:type="pct"/>
                  <w:tcBorders>
                    <w:tl2br w:val="nil"/>
                    <w:tr2bl w:val="nil"/>
                  </w:tcBorders>
                  <w:shd w:val="clear" w:color="auto" w:fill="auto"/>
                  <w:noWrap/>
                  <w:vAlign w:val="center"/>
                </w:tcPr>
                <w:p w14:paraId="60AC97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0.006 </w:t>
                  </w:r>
                </w:p>
              </w:tc>
              <w:tc>
                <w:tcPr>
                  <w:tcW w:w="1073" w:type="pct"/>
                  <w:tcBorders>
                    <w:tl2br w:val="nil"/>
                    <w:tr2bl w:val="nil"/>
                  </w:tcBorders>
                  <w:shd w:val="clear" w:color="auto" w:fill="auto"/>
                  <w:noWrap/>
                  <w:vAlign w:val="center"/>
                </w:tcPr>
                <w:p w14:paraId="7B2F65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796" w:type="pct"/>
                  <w:tcBorders>
                    <w:tl2br w:val="nil"/>
                    <w:tr2bl w:val="nil"/>
                  </w:tcBorders>
                  <w:shd w:val="clear" w:color="auto" w:fill="auto"/>
                  <w:noWrap/>
                  <w:vAlign w:val="center"/>
                </w:tcPr>
                <w:p w14:paraId="3EFA56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6C7104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6ADB4A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1351" w:type="pct"/>
                  <w:tcBorders>
                    <w:tl2br w:val="nil"/>
                    <w:tr2bl w:val="nil"/>
                  </w:tcBorders>
                  <w:shd w:val="clear" w:color="auto" w:fill="auto"/>
                  <w:noWrap/>
                  <w:vAlign w:val="center"/>
                </w:tcPr>
                <w:p w14:paraId="3DC7A1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硝酸</w:t>
                  </w:r>
                </w:p>
              </w:tc>
              <w:tc>
                <w:tcPr>
                  <w:tcW w:w="1374" w:type="pct"/>
                  <w:tcBorders>
                    <w:tl2br w:val="nil"/>
                    <w:tr2bl w:val="nil"/>
                  </w:tcBorders>
                  <w:shd w:val="clear" w:color="auto" w:fill="auto"/>
                  <w:noWrap/>
                  <w:vAlign w:val="center"/>
                </w:tcPr>
                <w:p w14:paraId="57E6F1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1073" w:type="pct"/>
                  <w:tcBorders>
                    <w:tl2br w:val="nil"/>
                    <w:tr2bl w:val="nil"/>
                  </w:tcBorders>
                  <w:shd w:val="clear" w:color="auto" w:fill="auto"/>
                  <w:noWrap/>
                  <w:vAlign w:val="center"/>
                </w:tcPr>
                <w:p w14:paraId="20A992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796" w:type="pct"/>
                  <w:tcBorders>
                    <w:tl2br w:val="nil"/>
                    <w:tr2bl w:val="nil"/>
                  </w:tcBorders>
                  <w:shd w:val="clear" w:color="auto" w:fill="auto"/>
                  <w:noWrap/>
                  <w:vAlign w:val="center"/>
                </w:tcPr>
                <w:p w14:paraId="0626C3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 </w:t>
                  </w:r>
                </w:p>
              </w:tc>
            </w:tr>
            <w:tr w14:paraId="61DF67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04" w:type="pct"/>
                  <w:tcBorders>
                    <w:tl2br w:val="nil"/>
                    <w:tr2bl w:val="nil"/>
                  </w:tcBorders>
                  <w:shd w:val="clear" w:color="auto" w:fill="auto"/>
                  <w:noWrap/>
                  <w:vAlign w:val="center"/>
                </w:tcPr>
                <w:p w14:paraId="1B31EF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351" w:type="pct"/>
                  <w:tcBorders>
                    <w:tl2br w:val="nil"/>
                    <w:tr2bl w:val="nil"/>
                  </w:tcBorders>
                  <w:shd w:val="clear" w:color="auto" w:fill="auto"/>
                  <w:noWrap/>
                  <w:vAlign w:val="center"/>
                </w:tcPr>
                <w:p w14:paraId="00602D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1374" w:type="pct"/>
                  <w:tcBorders>
                    <w:tl2br w:val="nil"/>
                    <w:tr2bl w:val="nil"/>
                  </w:tcBorders>
                  <w:shd w:val="clear" w:color="auto" w:fill="auto"/>
                  <w:noWrap/>
                  <w:vAlign w:val="center"/>
                </w:tcPr>
                <w:p w14:paraId="2566A5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8.643</w:t>
                  </w:r>
                </w:p>
              </w:tc>
              <w:tc>
                <w:tcPr>
                  <w:tcW w:w="1073" w:type="pct"/>
                  <w:tcBorders>
                    <w:tl2br w:val="nil"/>
                    <w:tr2bl w:val="nil"/>
                  </w:tcBorders>
                  <w:shd w:val="clear" w:color="auto" w:fill="auto"/>
                  <w:noWrap/>
                  <w:vAlign w:val="center"/>
                </w:tcPr>
                <w:p w14:paraId="247D1F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796" w:type="pct"/>
                  <w:tcBorders>
                    <w:tl2br w:val="nil"/>
                    <w:tr2bl w:val="nil"/>
                  </w:tcBorders>
                  <w:shd w:val="clear" w:color="auto" w:fill="auto"/>
                  <w:noWrap/>
                  <w:vAlign w:val="center"/>
                </w:tcPr>
                <w:p w14:paraId="72738D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0.173</w:t>
                  </w:r>
                </w:p>
              </w:tc>
            </w:tr>
            <w:tr w14:paraId="4B4ECF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4" w:hRule="atLeast"/>
                <w:jc w:val="center"/>
              </w:trPr>
              <w:tc>
                <w:tcPr>
                  <w:tcW w:w="404" w:type="pct"/>
                  <w:tcBorders>
                    <w:tl2br w:val="nil"/>
                    <w:tr2bl w:val="nil"/>
                  </w:tcBorders>
                  <w:shd w:val="clear" w:color="auto" w:fill="auto"/>
                  <w:noWrap/>
                  <w:vAlign w:val="center"/>
                </w:tcPr>
                <w:p w14:paraId="52BD7EC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合计</w:t>
                  </w:r>
                </w:p>
              </w:tc>
              <w:tc>
                <w:tcPr>
                  <w:tcW w:w="2725" w:type="pct"/>
                  <w:gridSpan w:val="2"/>
                  <w:tcBorders>
                    <w:tl2br w:val="nil"/>
                    <w:tr2bl w:val="nil"/>
                  </w:tcBorders>
                  <w:shd w:val="clear" w:color="auto" w:fill="auto"/>
                  <w:noWrap/>
                  <w:vAlign w:val="center"/>
                </w:tcPr>
                <w:p w14:paraId="732804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Q=（q</w:t>
                  </w:r>
                  <w:r>
                    <w:rPr>
                      <w:rFonts w:hint="default" w:ascii="Times New Roman" w:hAnsi="Times New Roman" w:eastAsia="宋体" w:cs="Times New Roman"/>
                      <w:i w:val="0"/>
                      <w:iCs w:val="0"/>
                      <w:color w:val="000000"/>
                      <w:kern w:val="0"/>
                      <w:sz w:val="18"/>
                      <w:szCs w:val="18"/>
                      <w:u w:val="none"/>
                      <w:vertAlign w:val="subscript"/>
                      <w:lang w:val="en-US" w:eastAsia="zh-CN" w:bidi="ar"/>
                    </w:rPr>
                    <w:t>1</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1</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n</w:t>
                  </w:r>
                  <w:r>
                    <w:rPr>
                      <w:rFonts w:hint="default" w:ascii="Times New Roman" w:hAnsi="Times New Roman" w:eastAsia="宋体" w:cs="Times New Roman"/>
                      <w:i w:val="0"/>
                      <w:iCs w:val="0"/>
                      <w:color w:val="000000"/>
                      <w:kern w:val="0"/>
                      <w:sz w:val="18"/>
                      <w:szCs w:val="18"/>
                      <w:u w:val="none"/>
                      <w:lang w:val="en-US" w:eastAsia="zh-CN" w:bidi="ar"/>
                    </w:rPr>
                    <w:t>/Q</w:t>
                  </w:r>
                  <w:r>
                    <w:rPr>
                      <w:rFonts w:hint="default" w:ascii="Times New Roman" w:hAnsi="Times New Roman" w:eastAsia="宋体" w:cs="Times New Roman"/>
                      <w:i w:val="0"/>
                      <w:iCs w:val="0"/>
                      <w:color w:val="000000"/>
                      <w:kern w:val="0"/>
                      <w:sz w:val="18"/>
                      <w:szCs w:val="18"/>
                      <w:u w:val="none"/>
                      <w:vertAlign w:val="subscript"/>
                      <w:lang w:val="en-US" w:eastAsia="zh-CN" w:bidi="ar"/>
                    </w:rPr>
                    <w:t>n</w:t>
                  </w:r>
                  <w:r>
                    <w:rPr>
                      <w:rFonts w:hint="default" w:ascii="Times New Roman" w:hAnsi="Times New Roman" w:eastAsia="宋体" w:cs="Times New Roman"/>
                      <w:i w:val="0"/>
                      <w:iCs w:val="0"/>
                      <w:color w:val="000000"/>
                      <w:kern w:val="0"/>
                      <w:sz w:val="18"/>
                      <w:szCs w:val="18"/>
                      <w:u w:val="none"/>
                      <w:lang w:val="en-US" w:eastAsia="zh-CN" w:bidi="ar"/>
                    </w:rPr>
                    <w:t>）</w:t>
                  </w:r>
                </w:p>
              </w:tc>
              <w:tc>
                <w:tcPr>
                  <w:tcW w:w="1073" w:type="pct"/>
                  <w:tcBorders>
                    <w:tl2br w:val="nil"/>
                    <w:tr2bl w:val="nil"/>
                  </w:tcBorders>
                  <w:shd w:val="clear" w:color="auto" w:fill="auto"/>
                  <w:noWrap/>
                  <w:vAlign w:val="center"/>
                </w:tcPr>
                <w:p w14:paraId="431DED2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Q值≈</w:t>
                  </w:r>
                </w:p>
              </w:tc>
              <w:tc>
                <w:tcPr>
                  <w:tcW w:w="796" w:type="pct"/>
                  <w:tcBorders>
                    <w:tl2br w:val="nil"/>
                    <w:tr2bl w:val="nil"/>
                  </w:tcBorders>
                  <w:shd w:val="clear" w:color="auto" w:fill="auto"/>
                  <w:noWrap/>
                  <w:vAlign w:val="center"/>
                </w:tcPr>
                <w:p w14:paraId="1849BF8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lang w:val="en-US"/>
                    </w:rPr>
                  </w:pPr>
                  <w:r>
                    <w:rPr>
                      <w:rFonts w:hint="eastAsia" w:cs="Times New Roman"/>
                      <w:b/>
                      <w:bCs/>
                      <w:i w:val="0"/>
                      <w:iCs w:val="0"/>
                      <w:color w:val="000000"/>
                      <w:kern w:val="0"/>
                      <w:sz w:val="18"/>
                      <w:szCs w:val="18"/>
                      <w:u w:val="none"/>
                      <w:lang w:val="en-US" w:eastAsia="zh-CN" w:bidi="ar"/>
                    </w:rPr>
                    <w:t>0.177</w:t>
                  </w:r>
                </w:p>
              </w:tc>
            </w:tr>
          </w:tbl>
          <w:p w14:paraId="6A5330E7">
            <w:pPr>
              <w:ind w:firstLine="420" w:firstLineChars="200"/>
              <w:rPr>
                <w:szCs w:val="21"/>
              </w:rPr>
            </w:pPr>
          </w:p>
          <w:p w14:paraId="5C9ED1EF">
            <w:pPr>
              <w:ind w:firstLine="420" w:firstLineChars="200"/>
              <w:rPr>
                <w:sz w:val="18"/>
                <w:szCs w:val="18"/>
              </w:rPr>
            </w:pPr>
            <w:r>
              <w:rPr>
                <w:rFonts w:hint="eastAsia"/>
                <w:szCs w:val="21"/>
              </w:rPr>
              <w:t>综上，本项目涉及的有毒有害和易燃易爆等危险物质Q值&lt;1，即未超过临界量。</w:t>
            </w:r>
          </w:p>
          <w:p w14:paraId="336A2EDE">
            <w:pPr>
              <w:numPr>
                <w:ilvl w:val="0"/>
                <w:numId w:val="20"/>
              </w:numPr>
              <w:spacing w:line="360" w:lineRule="auto"/>
              <w:rPr>
                <w:b/>
                <w:bCs/>
              </w:rPr>
            </w:pPr>
            <w:r>
              <w:rPr>
                <w:rFonts w:hint="eastAsia"/>
                <w:b/>
                <w:bCs/>
              </w:rPr>
              <w:t>风险防范措施</w:t>
            </w:r>
          </w:p>
          <w:p w14:paraId="10D19F0C">
            <w:pPr>
              <w:pStyle w:val="10"/>
              <w:snapToGrid w:val="0"/>
              <w:spacing w:line="360" w:lineRule="auto"/>
              <w:ind w:firstLine="460" w:firstLineChars="200"/>
              <w:rPr>
                <w:rFonts w:ascii="Times New Roman" w:hAnsi="Times New Roman" w:cs="Times New Roman"/>
                <w:sz w:val="24"/>
                <w:szCs w:val="24"/>
              </w:rPr>
            </w:pPr>
            <w:r>
              <w:rPr>
                <w:rFonts w:hint="eastAsia" w:ascii="Times New Roman" w:hAnsi="Times New Roman" w:cs="Times New Roman"/>
                <w:sz w:val="21"/>
                <w:szCs w:val="21"/>
              </w:rPr>
              <w:t>为使环境风险减小到最低限度，必须加</w:t>
            </w:r>
            <w:r>
              <w:rPr>
                <w:rFonts w:hint="eastAsia" w:ascii="Times New Roman" w:hAnsi="Times New Roman" w:cs="Times New Roman"/>
                <w:sz w:val="24"/>
                <w:szCs w:val="24"/>
              </w:rPr>
              <w:t>强劳动安全卫生管理，制定完备、有效的安全防范措施，尽可能降低该项目环境风险事故发生的概率。结合本项目风险情况，主要采取以下防范措施：</w:t>
            </w:r>
          </w:p>
          <w:p w14:paraId="6E88E9B0">
            <w:pPr>
              <w:pStyle w:val="10"/>
              <w:snapToGrid w:val="0"/>
              <w:spacing w:line="360" w:lineRule="auto"/>
              <w:ind w:firstLine="0"/>
              <w:rPr>
                <w:rFonts w:ascii="Times New Roman" w:hAnsi="Times New Roman" w:cs="Times New Roman"/>
                <w:sz w:val="21"/>
                <w:szCs w:val="21"/>
              </w:rPr>
            </w:pPr>
            <w:r>
              <w:rPr>
                <w:rFonts w:hint="eastAsia" w:ascii="Times New Roman" w:hAnsi="Times New Roman" w:cs="Times New Roman"/>
                <w:b/>
                <w:bCs/>
                <w:sz w:val="21"/>
                <w:szCs w:val="21"/>
              </w:rPr>
              <w:t>（1）总图布置安全措施</w:t>
            </w:r>
          </w:p>
          <w:p w14:paraId="013AC3AB">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在总图布置上，严格执行《建筑设计防火规范》，结合场地自然环境，根据生产流程和火灾危险分类，按照功能分区要求进行集中布置。根据规范要求满足建构筑物间的防火间距，确保消防车道畅通。</w:t>
            </w:r>
          </w:p>
          <w:p w14:paraId="5E11A8BE">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（2）运输、输送过程的风险控制措施</w:t>
            </w:r>
          </w:p>
          <w:p w14:paraId="6AE6B072">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要求运输途中司机进行安全及环保教育；由具有运输资质单位的专用车辆运输；运输前先检查包装是否完整、密封，运输过程中要确保包装桶不泄漏、不倒塌、不坠落、不损坏；运输时严禁与酸类、氧化剂、食品及食品添加剂混运；运输车辆配备泄漏应急处理设备；运输途中防曝晒、雨淋，防高温。</w:t>
            </w:r>
          </w:p>
          <w:p w14:paraId="20036B76">
            <w:pPr>
              <w:pStyle w:val="10"/>
              <w:snapToGrid w:val="0"/>
              <w:spacing w:line="360" w:lineRule="auto"/>
              <w:ind w:firstLine="0"/>
              <w:rPr>
                <w:rFonts w:ascii="Times New Roman" w:hAnsi="Times New Roman" w:cs="Times New Roman"/>
                <w:sz w:val="21"/>
                <w:szCs w:val="21"/>
              </w:rPr>
            </w:pPr>
            <w:r>
              <w:rPr>
                <w:rFonts w:hint="eastAsia" w:ascii="Times New Roman" w:hAnsi="Times New Roman" w:cs="Times New Roman"/>
                <w:b/>
                <w:bCs/>
                <w:sz w:val="21"/>
                <w:szCs w:val="21"/>
              </w:rPr>
              <w:t>（3）储存、使用过程的风险控制措施</w:t>
            </w:r>
          </w:p>
          <w:p w14:paraId="7AF20C1A">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储存原料仓库，按照防火间距标准布置，对仓库及时检查；生产区、危废仓库严禁吸烟和使用明火，防止火源进入；设置明显标志；根据市场需求，制定生产计划，严格按计划采购、随用随购，严格控制储存量；安全设施、消防器材齐备；制定各种操作规范，加强监督管理，严格安全、环保检查制度，避免环境事件的发生。</w:t>
            </w:r>
          </w:p>
          <w:p w14:paraId="69D29783">
            <w:pPr>
              <w:pStyle w:val="10"/>
              <w:snapToGrid w:val="0"/>
              <w:spacing w:line="360" w:lineRule="auto"/>
              <w:ind w:firstLine="0"/>
              <w:rPr>
                <w:rFonts w:ascii="Times New Roman" w:hAnsi="Times New Roman" w:cs="Times New Roman"/>
                <w:sz w:val="21"/>
                <w:szCs w:val="21"/>
              </w:rPr>
            </w:pPr>
            <w:r>
              <w:rPr>
                <w:rFonts w:hint="eastAsia" w:ascii="Times New Roman" w:hAnsi="Times New Roman" w:cs="Times New Roman"/>
                <w:b/>
                <w:bCs/>
                <w:sz w:val="21"/>
                <w:szCs w:val="21"/>
              </w:rPr>
              <w:t>（4）大气环境风险防范措施</w:t>
            </w:r>
          </w:p>
          <w:p w14:paraId="214EE3FB">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为确保处理效率，在车间设备检修期间，末端处理系统也应同时进行检修，日常应有专人负责进行维护。</w:t>
            </w:r>
          </w:p>
          <w:p w14:paraId="4B2FA4E6">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建议项目废气治理装置设置生产装置与废气治理装置的联控系统。生产期间废气治理装置先于生产装置启动，保证生产装置废气能够得以有效收集、治理；一旦废气收集风机发生事故，装置立即自动报警，并启动应急停车程序，对环保设施进行检修，查实事故原因做好相应记录。</w:t>
            </w:r>
          </w:p>
          <w:p w14:paraId="6A093AB6">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（5）泄漏风险防范措施</w:t>
            </w:r>
          </w:p>
          <w:p w14:paraId="67290114">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通过在危废仓库内建有堵截泄漏的裙脚，地面采取防腐防渗措施并设置导流沟等，能够及时收集、处置泄漏物料，避免泄漏物料进入周边地表水、土壤及地下水。</w:t>
            </w:r>
          </w:p>
          <w:p w14:paraId="03319418">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（6）火灾和爆炸风险防范措施</w:t>
            </w:r>
          </w:p>
          <w:p w14:paraId="4B68AC3B">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划定禁火区，设有明显警示标志，输配电线、灯具、火灾事故照明和疏散指示标志均应符合安全要求；严禁未安装灭火星装置的车辆出入生产装置区。</w:t>
            </w:r>
          </w:p>
          <w:p w14:paraId="580F7018">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加强设备的维护，生产设备、电线线路等进行日常检修和维护，针对危废仓库设置危险介质浓度报警探头和应急排风口，在废气处理设施风机总进口处加装阻火器，防止发生火灾、爆炸。</w:t>
            </w:r>
          </w:p>
          <w:p w14:paraId="1894CE82">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企业应当合理规划应急疏散通道，当发生火灾爆炸以及由此引发的次生污染事故等污染较严重的风险事故时，确保厂内及周边人员尽快撤离事故点，保障人员生命安全。</w:t>
            </w:r>
          </w:p>
          <w:p w14:paraId="06BFEC21">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（7）应急联动</w:t>
            </w:r>
          </w:p>
          <w:p w14:paraId="0F3F1150">
            <w:pPr>
              <w:pStyle w:val="10"/>
              <w:snapToGrid w:val="0"/>
              <w:spacing w:line="360" w:lineRule="auto"/>
              <w:ind w:firstLine="460" w:firstLineChars="200"/>
              <w:rPr>
                <w:rFonts w:ascii="Times New Roman" w:hAnsi="Times New Roman" w:cs="Times New Roman"/>
                <w:sz w:val="21"/>
                <w:szCs w:val="21"/>
              </w:rPr>
            </w:pPr>
            <w:r>
              <w:rPr>
                <w:rFonts w:hint="eastAsia" w:ascii="Times New Roman" w:hAnsi="Times New Roman" w:cs="Times New Roman"/>
                <w:sz w:val="21"/>
                <w:szCs w:val="21"/>
              </w:rPr>
              <w:t>由于事故触发具有不确定性，厂内环境风险防控系统应纳入区域环境风险防控体系，落实风险防控设施，与区域风险防控体系做好衔接。极端事故风险防控及应急处置应按分级响应要求及时启动园区/区域环境风险防范措施，与区域环境风险防控设施及管理有效联动，有效防控环境风险。</w:t>
            </w:r>
          </w:p>
          <w:p w14:paraId="30F5EB27">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（8）应急预案编制</w:t>
            </w:r>
          </w:p>
          <w:p w14:paraId="41021BB5">
            <w:pPr>
              <w:adjustRightInd w:val="0"/>
              <w:snapToGrid w:val="0"/>
              <w:spacing w:line="360" w:lineRule="auto"/>
              <w:ind w:firstLine="420" w:firstLineChars="200"/>
              <w:rPr>
                <w:szCs w:val="21"/>
              </w:rPr>
            </w:pPr>
            <w:r>
              <w:rPr>
                <w:rFonts w:hint="eastAsia"/>
                <w:szCs w:val="21"/>
              </w:rPr>
              <w:t>制定风险事故应急预案的目的是为了在发生风险事故时，能以最快的速度发挥最大的效能，有序的实施救援，尽快控制事态的发展，降低事故造成的危害，减少事故造成的损失。</w:t>
            </w:r>
          </w:p>
          <w:p w14:paraId="7A51EE39">
            <w:pPr>
              <w:adjustRightInd w:val="0"/>
              <w:snapToGrid w:val="0"/>
              <w:spacing w:line="360" w:lineRule="auto"/>
              <w:ind w:firstLine="420" w:firstLineChars="200"/>
              <w:rPr>
                <w:szCs w:val="21"/>
              </w:rPr>
            </w:pPr>
            <w:r>
              <w:rPr>
                <w:rFonts w:hint="eastAsia"/>
                <w:szCs w:val="21"/>
              </w:rPr>
              <w:t>本项目应当按照《浙江省环境保护厅关于公布2018年度突发环境事件应急预案备案重点行业目录（指导性意见）的通知》（浙环办函〔2018〕46号）和《关于印发&lt;企业事业单位突发环境事件应急预案备案管理办法(试行)&gt;的通知》（环发〔</w:t>
            </w:r>
            <w:r>
              <w:rPr>
                <w:szCs w:val="21"/>
              </w:rPr>
              <w:t>2015</w:t>
            </w:r>
            <w:r>
              <w:rPr>
                <w:rFonts w:hint="eastAsia"/>
                <w:szCs w:val="21"/>
              </w:rPr>
              <w:t>〕4号）的相关要求编制有针对性的突发环境事件应急预案，完善各类应急措施、物资等。</w:t>
            </w:r>
          </w:p>
          <w:p w14:paraId="12B07EA5">
            <w:pPr>
              <w:pStyle w:val="10"/>
              <w:snapToGrid w:val="0"/>
              <w:spacing w:line="360" w:lineRule="auto"/>
              <w:ind w:firstLine="0"/>
              <w:rPr>
                <w:rFonts w:ascii="Times New Roman" w:hAnsi="Times New Roman" w:cs="Times New Roman"/>
                <w:b/>
                <w:bCs/>
                <w:sz w:val="21"/>
                <w:szCs w:val="21"/>
              </w:rPr>
            </w:pPr>
            <w:r>
              <w:rPr>
                <w:rFonts w:hint="eastAsia" w:ascii="Times New Roman" w:hAnsi="Times New Roman" w:cs="Times New Roman"/>
                <w:b/>
                <w:bCs/>
                <w:sz w:val="21"/>
                <w:szCs w:val="21"/>
              </w:rPr>
              <w:t>（9）环保设施环境风险源分析和识别</w:t>
            </w:r>
          </w:p>
          <w:p w14:paraId="20A28644">
            <w:pPr>
              <w:spacing w:line="360" w:lineRule="auto"/>
              <w:ind w:firstLine="420" w:firstLineChars="200"/>
              <w:rPr>
                <w:szCs w:val="21"/>
              </w:rPr>
            </w:pPr>
            <w:r>
              <w:rPr>
                <w:rFonts w:hint="eastAsia"/>
                <w:szCs w:val="21"/>
              </w:rPr>
              <w:t>根据《浙江省应急管理厅 浙江省生态环境厅关于加强工业企业环保设施安全生产工作的指导意见》（浙应急基础〔2022〕143号）中相关要求，企业不得采用淘汰的设备和工艺；在设计阶段，企业应委托有相应资质设计单位对环保设施进行设计，自行开展或组织环保、安全生产有关专家参与设计审查。在建设和验收阶段，严格按照设计方案和施工技术标准施工，组织环保设施竣工验收，形成书面报告。已建成的重点环保设施且未进行正规设计的，要委托第三方单位开展设计诊断，落实整改措施，实行销号闭环管理。生态环境部门、应急管理部门会对企业开展环保、安全风险辨识和隐患排查治理，定期组织安全环保联合检查，严厉打击企业违反环境保护和安全生产法律法规的行为。</w:t>
            </w:r>
          </w:p>
          <w:p w14:paraId="117D1546">
            <w:pPr>
              <w:pStyle w:val="10"/>
              <w:spacing w:line="360" w:lineRule="auto"/>
              <w:ind w:firstLine="0"/>
              <w:rPr>
                <w:b/>
                <w:bCs/>
                <w:sz w:val="21"/>
                <w:szCs w:val="16"/>
              </w:rPr>
            </w:pPr>
            <w:r>
              <w:rPr>
                <w:rFonts w:hint="eastAsia" w:ascii="Times New Roman" w:hAnsi="Times New Roman" w:cs="Times New Roman"/>
                <w:b/>
                <w:sz w:val="21"/>
                <w:szCs w:val="21"/>
              </w:rPr>
              <w:t>3、</w:t>
            </w:r>
            <w:r>
              <w:rPr>
                <w:rFonts w:hint="eastAsia"/>
                <w:b/>
                <w:bCs/>
                <w:sz w:val="21"/>
                <w:szCs w:val="16"/>
              </w:rPr>
              <w:t>环境风险分析结论</w:t>
            </w:r>
          </w:p>
          <w:p w14:paraId="6B062E14">
            <w:pPr>
              <w:adjustRightInd w:val="0"/>
              <w:snapToGrid w:val="0"/>
              <w:spacing w:line="360" w:lineRule="auto"/>
              <w:ind w:firstLine="420" w:firstLineChars="200"/>
              <w:rPr>
                <w:rFonts w:eastAsiaTheme="minorEastAsia"/>
                <w:b/>
                <w:bCs/>
                <w:szCs w:val="21"/>
              </w:rPr>
            </w:pPr>
            <w:r>
              <w:rPr>
                <w:rFonts w:hint="eastAsia"/>
                <w:szCs w:val="21"/>
              </w:rPr>
              <w:t>项目落实环境风险防范措施及应急要求的情况下，本项目环境风险可控。</w:t>
            </w:r>
          </w:p>
          <w:p w14:paraId="6202E695">
            <w:pPr>
              <w:spacing w:line="360" w:lineRule="auto"/>
              <w:rPr>
                <w:b/>
                <w:bCs/>
                <w:sz w:val="22"/>
                <w:szCs w:val="28"/>
              </w:rPr>
            </w:pPr>
            <w:r>
              <w:rPr>
                <w:rFonts w:hint="eastAsia"/>
                <w:b/>
                <w:bCs/>
                <w:sz w:val="22"/>
                <w:szCs w:val="28"/>
              </w:rPr>
              <w:t>4.2.7 环保投资估算</w:t>
            </w:r>
          </w:p>
          <w:p w14:paraId="723AC654">
            <w:pPr>
              <w:pStyle w:val="22"/>
              <w:widowControl w:val="0"/>
              <w:adjustRightInd w:val="0"/>
              <w:snapToGrid w:val="0"/>
              <w:spacing w:before="0" w:beforeAutospacing="0" w:after="0" w:afterAutospacing="0" w:line="360" w:lineRule="auto"/>
              <w:ind w:firstLine="420" w:firstLineChars="200"/>
              <w:jc w:val="both"/>
              <w:rPr>
                <w:rFonts w:ascii="Times New Roman" w:hAnsi="Times New Roman"/>
                <w:sz w:val="21"/>
                <w:szCs w:val="16"/>
                <w:lang w:bidi="ar"/>
              </w:rPr>
            </w:pPr>
            <w:r>
              <w:rPr>
                <w:rFonts w:hint="eastAsia" w:ascii="Times New Roman" w:hAnsi="Times New Roman"/>
                <w:sz w:val="21"/>
                <w:szCs w:val="16"/>
                <w:lang w:bidi="ar"/>
              </w:rPr>
              <w:t>该项目总投资</w:t>
            </w:r>
            <w:r>
              <w:rPr>
                <w:rFonts w:hint="eastAsia" w:ascii="Times New Roman" w:hAnsi="Times New Roman"/>
                <w:bCs/>
                <w:sz w:val="21"/>
                <w:szCs w:val="16"/>
                <w:lang w:bidi="ar"/>
              </w:rPr>
              <w:t>为1464.91</w:t>
            </w:r>
            <w:r>
              <w:rPr>
                <w:rFonts w:hint="eastAsia" w:ascii="Times New Roman" w:hAnsi="Times New Roman"/>
                <w:sz w:val="21"/>
                <w:szCs w:val="16"/>
                <w:lang w:bidi="ar"/>
              </w:rPr>
              <w:t>万元，</w:t>
            </w:r>
            <w:r>
              <w:rPr>
                <w:rFonts w:hint="eastAsia" w:ascii="Times New Roman" w:hAnsi="Times New Roman"/>
                <w:sz w:val="21"/>
                <w:szCs w:val="16"/>
              </w:rPr>
              <w:t>其中环保投资30万元，占总投资额的2.05%。项目</w:t>
            </w:r>
            <w:r>
              <w:rPr>
                <w:rFonts w:hint="eastAsia" w:ascii="Times New Roman" w:hAnsi="Times New Roman"/>
                <w:sz w:val="21"/>
                <w:szCs w:val="16"/>
                <w:lang w:bidi="ar"/>
              </w:rPr>
              <w:t>环保投资估算具体见</w:t>
            </w:r>
            <w:r>
              <w:rPr>
                <w:rFonts w:hint="eastAsia"/>
                <w:bCs/>
                <w:sz w:val="21"/>
                <w:szCs w:val="18"/>
              </w:rPr>
              <w:t>下表</w:t>
            </w:r>
            <w:r>
              <w:rPr>
                <w:rFonts w:hint="eastAsia" w:ascii="Times New Roman" w:hAnsi="Times New Roman"/>
                <w:sz w:val="21"/>
                <w:szCs w:val="16"/>
                <w:lang w:bidi="ar"/>
              </w:rPr>
              <w:t>：</w:t>
            </w:r>
          </w:p>
          <w:p w14:paraId="0C9C20D6">
            <w:pPr>
              <w:numPr>
                <w:ilvl w:val="0"/>
                <w:numId w:val="12"/>
              </w:numPr>
              <w:spacing w:line="360" w:lineRule="auto"/>
              <w:jc w:val="center"/>
              <w:rPr>
                <w:rFonts w:hint="eastAsia" w:ascii="黑体" w:hAnsi="黑体" w:eastAsia="黑体" w:cs="黑体"/>
                <w:szCs w:val="21"/>
              </w:rPr>
            </w:pPr>
            <w:r>
              <w:rPr>
                <w:rFonts w:hint="eastAsia" w:ascii="黑体" w:hAnsi="黑体" w:eastAsia="黑体" w:cs="黑体"/>
                <w:spacing w:val="-10"/>
                <w:szCs w:val="21"/>
              </w:rPr>
              <w:t xml:space="preserve"> 项目环保设施与投资概算一览表</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299"/>
              <w:gridCol w:w="4718"/>
              <w:gridCol w:w="1142"/>
              <w:gridCol w:w="1142"/>
            </w:tblGrid>
            <w:tr w14:paraId="103FE3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tcBorders>
                    <w:tl2br w:val="nil"/>
                    <w:tr2bl w:val="nil"/>
                  </w:tcBorders>
                  <w:vAlign w:val="center"/>
                </w:tcPr>
                <w:p w14:paraId="0E7DA94E">
                  <w:pPr>
                    <w:widowControl/>
                    <w:jc w:val="center"/>
                    <w:textAlignment w:val="center"/>
                    <w:rPr>
                      <w:color w:val="000000"/>
                      <w:sz w:val="18"/>
                      <w:szCs w:val="18"/>
                    </w:rPr>
                  </w:pPr>
                  <w:r>
                    <w:rPr>
                      <w:rFonts w:hint="eastAsia"/>
                      <w:color w:val="000000"/>
                      <w:kern w:val="0"/>
                      <w:sz w:val="18"/>
                      <w:szCs w:val="18"/>
                      <w:lang w:bidi="ar"/>
                    </w:rPr>
                    <w:t>项目</w:t>
                  </w:r>
                </w:p>
              </w:tc>
              <w:tc>
                <w:tcPr>
                  <w:tcW w:w="2840" w:type="pct"/>
                  <w:tcBorders>
                    <w:tl2br w:val="nil"/>
                    <w:tr2bl w:val="nil"/>
                  </w:tcBorders>
                  <w:vAlign w:val="center"/>
                </w:tcPr>
                <w:p w14:paraId="2C5ACCCB">
                  <w:pPr>
                    <w:widowControl/>
                    <w:jc w:val="center"/>
                    <w:textAlignment w:val="center"/>
                    <w:rPr>
                      <w:color w:val="000000"/>
                      <w:sz w:val="18"/>
                      <w:szCs w:val="18"/>
                    </w:rPr>
                  </w:pPr>
                  <w:r>
                    <w:rPr>
                      <w:rFonts w:hint="eastAsia"/>
                      <w:color w:val="000000"/>
                      <w:kern w:val="0"/>
                      <w:sz w:val="18"/>
                      <w:szCs w:val="18"/>
                      <w:lang w:bidi="ar"/>
                    </w:rPr>
                    <w:t>环保措施名称</w:t>
                  </w:r>
                </w:p>
              </w:tc>
              <w:tc>
                <w:tcPr>
                  <w:tcW w:w="688" w:type="pct"/>
                  <w:tcBorders>
                    <w:tl2br w:val="nil"/>
                    <w:tr2bl w:val="nil"/>
                  </w:tcBorders>
                  <w:vAlign w:val="center"/>
                </w:tcPr>
                <w:p w14:paraId="53010277">
                  <w:pPr>
                    <w:widowControl/>
                    <w:jc w:val="center"/>
                    <w:textAlignment w:val="center"/>
                    <w:rPr>
                      <w:color w:val="000000"/>
                      <w:sz w:val="18"/>
                      <w:szCs w:val="18"/>
                    </w:rPr>
                  </w:pPr>
                  <w:r>
                    <w:rPr>
                      <w:rFonts w:hint="eastAsia"/>
                      <w:color w:val="000000"/>
                      <w:kern w:val="0"/>
                      <w:sz w:val="18"/>
                      <w:szCs w:val="18"/>
                      <w:lang w:bidi="ar"/>
                    </w:rPr>
                    <w:t>投资(万元)</w:t>
                  </w:r>
                </w:p>
              </w:tc>
              <w:tc>
                <w:tcPr>
                  <w:tcW w:w="688" w:type="pct"/>
                  <w:tcBorders>
                    <w:tl2br w:val="nil"/>
                    <w:tr2bl w:val="nil"/>
                  </w:tcBorders>
                  <w:vAlign w:val="center"/>
                </w:tcPr>
                <w:p w14:paraId="286EC7DE">
                  <w:pPr>
                    <w:widowControl/>
                    <w:jc w:val="center"/>
                    <w:textAlignment w:val="center"/>
                    <w:rPr>
                      <w:color w:val="000000"/>
                      <w:sz w:val="18"/>
                      <w:szCs w:val="18"/>
                    </w:rPr>
                  </w:pPr>
                  <w:r>
                    <w:rPr>
                      <w:rFonts w:hint="eastAsia"/>
                      <w:color w:val="000000"/>
                      <w:kern w:val="0"/>
                      <w:sz w:val="18"/>
                      <w:szCs w:val="18"/>
                      <w:lang w:bidi="ar"/>
                    </w:rPr>
                    <w:t>备注</w:t>
                  </w:r>
                </w:p>
              </w:tc>
            </w:tr>
            <w:tr w14:paraId="640964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tcBorders>
                    <w:tl2br w:val="nil"/>
                    <w:tr2bl w:val="nil"/>
                  </w:tcBorders>
                  <w:vAlign w:val="center"/>
                </w:tcPr>
                <w:p w14:paraId="58E41371">
                  <w:pPr>
                    <w:widowControl/>
                    <w:jc w:val="center"/>
                    <w:textAlignment w:val="center"/>
                    <w:rPr>
                      <w:color w:val="000000"/>
                      <w:sz w:val="18"/>
                      <w:szCs w:val="18"/>
                    </w:rPr>
                  </w:pPr>
                  <w:r>
                    <w:rPr>
                      <w:rFonts w:hint="eastAsia"/>
                      <w:color w:val="000000"/>
                      <w:kern w:val="0"/>
                      <w:sz w:val="18"/>
                      <w:szCs w:val="18"/>
                      <w:lang w:bidi="ar"/>
                    </w:rPr>
                    <w:t>废气</w:t>
                  </w:r>
                </w:p>
              </w:tc>
              <w:tc>
                <w:tcPr>
                  <w:tcW w:w="2840" w:type="pct"/>
                  <w:tcBorders>
                    <w:tl2br w:val="nil"/>
                    <w:tr2bl w:val="nil"/>
                  </w:tcBorders>
                  <w:vAlign w:val="center"/>
                </w:tcPr>
                <w:p w14:paraId="1965B7D0">
                  <w:pPr>
                    <w:widowControl/>
                    <w:jc w:val="center"/>
                    <w:textAlignment w:val="center"/>
                    <w:rPr>
                      <w:color w:val="000000"/>
                      <w:sz w:val="18"/>
                      <w:szCs w:val="18"/>
                    </w:rPr>
                  </w:pPr>
                  <w:r>
                    <w:rPr>
                      <w:rFonts w:hint="eastAsia"/>
                      <w:color w:val="000000"/>
                      <w:sz w:val="18"/>
                      <w:szCs w:val="18"/>
                      <w:lang w:val="en-US" w:eastAsia="zh-CN"/>
                    </w:rPr>
                    <w:t>通风系统及1套</w:t>
                  </w:r>
                  <w:r>
                    <w:rPr>
                      <w:rFonts w:hint="eastAsia"/>
                      <w:color w:val="000000"/>
                      <w:sz w:val="18"/>
                      <w:szCs w:val="18"/>
                    </w:rPr>
                    <w:t>二级生物安全柜</w:t>
                  </w:r>
                </w:p>
              </w:tc>
              <w:tc>
                <w:tcPr>
                  <w:tcW w:w="688" w:type="pct"/>
                  <w:tcBorders>
                    <w:tl2br w:val="nil"/>
                    <w:tr2bl w:val="nil"/>
                  </w:tcBorders>
                  <w:vAlign w:val="center"/>
                </w:tcPr>
                <w:p w14:paraId="72A9B3F8">
                  <w:pPr>
                    <w:widowControl/>
                    <w:jc w:val="center"/>
                    <w:textAlignment w:val="center"/>
                    <w:rPr>
                      <w:color w:val="000000"/>
                      <w:sz w:val="18"/>
                      <w:szCs w:val="18"/>
                    </w:rPr>
                  </w:pPr>
                  <w:r>
                    <w:rPr>
                      <w:rFonts w:hint="eastAsia"/>
                      <w:color w:val="000000"/>
                      <w:kern w:val="0"/>
                      <w:sz w:val="18"/>
                      <w:szCs w:val="18"/>
                      <w:lang w:bidi="ar"/>
                    </w:rPr>
                    <w:t>15</w:t>
                  </w:r>
                </w:p>
              </w:tc>
              <w:tc>
                <w:tcPr>
                  <w:tcW w:w="688" w:type="pct"/>
                  <w:tcBorders>
                    <w:tl2br w:val="nil"/>
                    <w:tr2bl w:val="nil"/>
                  </w:tcBorders>
                  <w:vAlign w:val="center"/>
                </w:tcPr>
                <w:p w14:paraId="665A1E2B">
                  <w:pPr>
                    <w:widowControl/>
                    <w:jc w:val="center"/>
                    <w:textAlignment w:val="center"/>
                    <w:rPr>
                      <w:color w:val="000000"/>
                      <w:sz w:val="18"/>
                      <w:szCs w:val="18"/>
                    </w:rPr>
                  </w:pPr>
                  <w:r>
                    <w:rPr>
                      <w:rFonts w:hint="eastAsia"/>
                      <w:color w:val="000000"/>
                      <w:kern w:val="0"/>
                      <w:sz w:val="18"/>
                      <w:szCs w:val="18"/>
                      <w:lang w:bidi="ar"/>
                    </w:rPr>
                    <w:t>新增</w:t>
                  </w:r>
                </w:p>
              </w:tc>
            </w:tr>
            <w:tr w14:paraId="161253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tcBorders>
                    <w:tl2br w:val="nil"/>
                    <w:tr2bl w:val="nil"/>
                  </w:tcBorders>
                  <w:vAlign w:val="center"/>
                </w:tcPr>
                <w:p w14:paraId="1DA63FA9">
                  <w:pPr>
                    <w:widowControl/>
                    <w:jc w:val="center"/>
                    <w:textAlignment w:val="center"/>
                    <w:rPr>
                      <w:color w:val="000000"/>
                      <w:sz w:val="18"/>
                      <w:szCs w:val="18"/>
                    </w:rPr>
                  </w:pPr>
                  <w:r>
                    <w:rPr>
                      <w:rFonts w:hint="eastAsia"/>
                      <w:color w:val="000000"/>
                      <w:kern w:val="0"/>
                      <w:sz w:val="18"/>
                      <w:szCs w:val="18"/>
                      <w:lang w:bidi="ar"/>
                    </w:rPr>
                    <w:t>废水</w:t>
                  </w:r>
                </w:p>
              </w:tc>
              <w:tc>
                <w:tcPr>
                  <w:tcW w:w="2840" w:type="pct"/>
                  <w:tcBorders>
                    <w:tl2br w:val="nil"/>
                    <w:tr2bl w:val="nil"/>
                  </w:tcBorders>
                  <w:vAlign w:val="center"/>
                </w:tcPr>
                <w:p w14:paraId="0A44009C">
                  <w:pPr>
                    <w:widowControl/>
                    <w:jc w:val="center"/>
                    <w:textAlignment w:val="center"/>
                    <w:rPr>
                      <w:color w:val="000000"/>
                      <w:sz w:val="18"/>
                      <w:szCs w:val="18"/>
                    </w:rPr>
                  </w:pPr>
                  <w:r>
                    <w:rPr>
                      <w:rFonts w:hint="eastAsia"/>
                      <w:color w:val="000000"/>
                      <w:kern w:val="0"/>
                      <w:sz w:val="18"/>
                      <w:szCs w:val="18"/>
                      <w:lang w:bidi="ar"/>
                    </w:rPr>
                    <w:t>/</w:t>
                  </w:r>
                </w:p>
              </w:tc>
              <w:tc>
                <w:tcPr>
                  <w:tcW w:w="688" w:type="pct"/>
                  <w:tcBorders>
                    <w:tl2br w:val="nil"/>
                    <w:tr2bl w:val="nil"/>
                  </w:tcBorders>
                  <w:vAlign w:val="center"/>
                </w:tcPr>
                <w:p w14:paraId="58318420">
                  <w:pPr>
                    <w:widowControl/>
                    <w:jc w:val="center"/>
                    <w:textAlignment w:val="center"/>
                    <w:rPr>
                      <w:color w:val="000000"/>
                      <w:sz w:val="18"/>
                      <w:szCs w:val="18"/>
                    </w:rPr>
                  </w:pPr>
                  <w:r>
                    <w:rPr>
                      <w:rFonts w:hint="eastAsia"/>
                      <w:color w:val="000000"/>
                      <w:sz w:val="18"/>
                      <w:szCs w:val="18"/>
                    </w:rPr>
                    <w:t>/</w:t>
                  </w:r>
                </w:p>
              </w:tc>
              <w:tc>
                <w:tcPr>
                  <w:tcW w:w="688" w:type="pct"/>
                  <w:tcBorders>
                    <w:tl2br w:val="nil"/>
                    <w:tr2bl w:val="nil"/>
                  </w:tcBorders>
                  <w:vAlign w:val="center"/>
                </w:tcPr>
                <w:p w14:paraId="00D60165">
                  <w:pPr>
                    <w:widowControl/>
                    <w:jc w:val="center"/>
                    <w:textAlignment w:val="center"/>
                    <w:rPr>
                      <w:color w:val="000000"/>
                      <w:sz w:val="18"/>
                      <w:szCs w:val="18"/>
                    </w:rPr>
                  </w:pPr>
                  <w:r>
                    <w:rPr>
                      <w:rFonts w:hint="eastAsia"/>
                      <w:color w:val="000000"/>
                      <w:kern w:val="0"/>
                      <w:sz w:val="18"/>
                      <w:szCs w:val="18"/>
                      <w:lang w:bidi="ar"/>
                    </w:rPr>
                    <w:t>新增</w:t>
                  </w:r>
                </w:p>
              </w:tc>
            </w:tr>
            <w:tr w14:paraId="23BFCB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vMerge w:val="restart"/>
                  <w:tcBorders>
                    <w:tl2br w:val="nil"/>
                    <w:tr2bl w:val="nil"/>
                  </w:tcBorders>
                  <w:vAlign w:val="center"/>
                </w:tcPr>
                <w:p w14:paraId="2A1EB3DB">
                  <w:pPr>
                    <w:widowControl/>
                    <w:jc w:val="center"/>
                    <w:textAlignment w:val="center"/>
                    <w:rPr>
                      <w:color w:val="000000"/>
                      <w:sz w:val="18"/>
                      <w:szCs w:val="18"/>
                    </w:rPr>
                  </w:pPr>
                  <w:r>
                    <w:rPr>
                      <w:rFonts w:hint="eastAsia"/>
                      <w:color w:val="000000"/>
                      <w:kern w:val="0"/>
                      <w:sz w:val="18"/>
                      <w:szCs w:val="18"/>
                      <w:lang w:bidi="ar"/>
                    </w:rPr>
                    <w:t>固体废物</w:t>
                  </w:r>
                </w:p>
              </w:tc>
              <w:tc>
                <w:tcPr>
                  <w:tcW w:w="2840" w:type="pct"/>
                  <w:tcBorders>
                    <w:tl2br w:val="nil"/>
                    <w:tr2bl w:val="nil"/>
                  </w:tcBorders>
                  <w:vAlign w:val="center"/>
                </w:tcPr>
                <w:p w14:paraId="3D112513">
                  <w:pPr>
                    <w:widowControl/>
                    <w:jc w:val="center"/>
                    <w:textAlignment w:val="center"/>
                    <w:rPr>
                      <w:color w:val="000000"/>
                      <w:sz w:val="18"/>
                      <w:szCs w:val="18"/>
                    </w:rPr>
                  </w:pPr>
                  <w:r>
                    <w:rPr>
                      <w:rFonts w:hint="eastAsia"/>
                      <w:color w:val="000000"/>
                      <w:kern w:val="0"/>
                      <w:sz w:val="18"/>
                      <w:szCs w:val="18"/>
                      <w:lang w:bidi="ar"/>
                    </w:rPr>
                    <w:t>修建1间一般固体废物暂存仓库</w:t>
                  </w:r>
                </w:p>
              </w:tc>
              <w:tc>
                <w:tcPr>
                  <w:tcW w:w="688" w:type="pct"/>
                  <w:tcBorders>
                    <w:tl2br w:val="nil"/>
                    <w:tr2bl w:val="nil"/>
                  </w:tcBorders>
                  <w:vAlign w:val="center"/>
                </w:tcPr>
                <w:p w14:paraId="0CECCD77">
                  <w:pPr>
                    <w:widowControl/>
                    <w:jc w:val="center"/>
                    <w:textAlignment w:val="center"/>
                    <w:rPr>
                      <w:color w:val="000000"/>
                      <w:sz w:val="18"/>
                      <w:szCs w:val="18"/>
                    </w:rPr>
                  </w:pPr>
                  <w:r>
                    <w:rPr>
                      <w:rFonts w:hint="eastAsia"/>
                      <w:color w:val="000000"/>
                      <w:kern w:val="0"/>
                      <w:sz w:val="18"/>
                      <w:szCs w:val="18"/>
                      <w:lang w:bidi="ar"/>
                    </w:rPr>
                    <w:t>5</w:t>
                  </w:r>
                </w:p>
              </w:tc>
              <w:tc>
                <w:tcPr>
                  <w:tcW w:w="688" w:type="pct"/>
                  <w:tcBorders>
                    <w:tl2br w:val="nil"/>
                    <w:tr2bl w:val="nil"/>
                  </w:tcBorders>
                  <w:vAlign w:val="center"/>
                </w:tcPr>
                <w:p w14:paraId="1B088250">
                  <w:pPr>
                    <w:widowControl/>
                    <w:jc w:val="center"/>
                    <w:textAlignment w:val="center"/>
                    <w:rPr>
                      <w:color w:val="000000"/>
                      <w:sz w:val="18"/>
                      <w:szCs w:val="18"/>
                    </w:rPr>
                  </w:pPr>
                  <w:r>
                    <w:rPr>
                      <w:rFonts w:hint="eastAsia"/>
                      <w:color w:val="000000"/>
                      <w:kern w:val="0"/>
                      <w:sz w:val="18"/>
                      <w:szCs w:val="18"/>
                      <w:lang w:bidi="ar"/>
                    </w:rPr>
                    <w:t>新增</w:t>
                  </w:r>
                </w:p>
              </w:tc>
            </w:tr>
            <w:tr w14:paraId="59A0E6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vMerge w:val="continue"/>
                  <w:tcBorders>
                    <w:tl2br w:val="nil"/>
                    <w:tr2bl w:val="nil"/>
                  </w:tcBorders>
                  <w:vAlign w:val="center"/>
                </w:tcPr>
                <w:p w14:paraId="4F893C9E">
                  <w:pPr>
                    <w:jc w:val="center"/>
                    <w:rPr>
                      <w:color w:val="000000"/>
                      <w:sz w:val="18"/>
                      <w:szCs w:val="18"/>
                    </w:rPr>
                  </w:pPr>
                </w:p>
              </w:tc>
              <w:tc>
                <w:tcPr>
                  <w:tcW w:w="2840" w:type="pct"/>
                  <w:tcBorders>
                    <w:tl2br w:val="nil"/>
                    <w:tr2bl w:val="nil"/>
                  </w:tcBorders>
                  <w:vAlign w:val="center"/>
                </w:tcPr>
                <w:p w14:paraId="051A33E7">
                  <w:pPr>
                    <w:widowControl/>
                    <w:jc w:val="center"/>
                    <w:textAlignment w:val="center"/>
                    <w:rPr>
                      <w:color w:val="000000"/>
                      <w:sz w:val="18"/>
                      <w:szCs w:val="18"/>
                    </w:rPr>
                  </w:pPr>
                  <w:r>
                    <w:rPr>
                      <w:rFonts w:hint="eastAsia"/>
                      <w:color w:val="000000"/>
                      <w:kern w:val="0"/>
                      <w:sz w:val="18"/>
                      <w:szCs w:val="18"/>
                      <w:lang w:bidi="ar"/>
                    </w:rPr>
                    <w:t>修建1间危险废物暂存间</w:t>
                  </w:r>
                </w:p>
              </w:tc>
              <w:tc>
                <w:tcPr>
                  <w:tcW w:w="688" w:type="pct"/>
                  <w:tcBorders>
                    <w:tl2br w:val="nil"/>
                    <w:tr2bl w:val="nil"/>
                  </w:tcBorders>
                  <w:vAlign w:val="center"/>
                </w:tcPr>
                <w:p w14:paraId="1F85FD24">
                  <w:pPr>
                    <w:widowControl/>
                    <w:jc w:val="center"/>
                    <w:textAlignment w:val="center"/>
                    <w:rPr>
                      <w:color w:val="000000"/>
                      <w:sz w:val="18"/>
                      <w:szCs w:val="18"/>
                    </w:rPr>
                  </w:pPr>
                  <w:r>
                    <w:rPr>
                      <w:color w:val="000000"/>
                      <w:kern w:val="0"/>
                      <w:sz w:val="18"/>
                      <w:szCs w:val="18"/>
                      <w:lang w:bidi="ar"/>
                    </w:rPr>
                    <w:t>5</w:t>
                  </w:r>
                </w:p>
              </w:tc>
              <w:tc>
                <w:tcPr>
                  <w:tcW w:w="688" w:type="pct"/>
                  <w:tcBorders>
                    <w:tl2br w:val="nil"/>
                    <w:tr2bl w:val="nil"/>
                  </w:tcBorders>
                  <w:vAlign w:val="center"/>
                </w:tcPr>
                <w:p w14:paraId="4844AD5A">
                  <w:pPr>
                    <w:widowControl/>
                    <w:jc w:val="center"/>
                    <w:textAlignment w:val="center"/>
                    <w:rPr>
                      <w:color w:val="000000"/>
                      <w:sz w:val="18"/>
                      <w:szCs w:val="18"/>
                    </w:rPr>
                  </w:pPr>
                  <w:r>
                    <w:rPr>
                      <w:rFonts w:hint="eastAsia"/>
                      <w:color w:val="000000"/>
                      <w:kern w:val="0"/>
                      <w:sz w:val="18"/>
                      <w:szCs w:val="18"/>
                      <w:lang w:bidi="ar"/>
                    </w:rPr>
                    <w:t>新增</w:t>
                  </w:r>
                </w:p>
              </w:tc>
            </w:tr>
            <w:tr w14:paraId="063520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82" w:type="pct"/>
                  <w:tcBorders>
                    <w:tl2br w:val="nil"/>
                    <w:tr2bl w:val="nil"/>
                  </w:tcBorders>
                  <w:vAlign w:val="center"/>
                </w:tcPr>
                <w:p w14:paraId="4FC1507F">
                  <w:pPr>
                    <w:widowControl/>
                    <w:jc w:val="center"/>
                    <w:textAlignment w:val="center"/>
                    <w:rPr>
                      <w:color w:val="000000"/>
                      <w:sz w:val="18"/>
                      <w:szCs w:val="18"/>
                    </w:rPr>
                  </w:pPr>
                  <w:r>
                    <w:rPr>
                      <w:rFonts w:hint="eastAsia"/>
                      <w:color w:val="000000"/>
                      <w:kern w:val="0"/>
                      <w:sz w:val="18"/>
                      <w:szCs w:val="18"/>
                      <w:lang w:bidi="ar"/>
                    </w:rPr>
                    <w:t>噪声治理</w:t>
                  </w:r>
                </w:p>
              </w:tc>
              <w:tc>
                <w:tcPr>
                  <w:tcW w:w="2840" w:type="pct"/>
                  <w:tcBorders>
                    <w:tl2br w:val="nil"/>
                    <w:tr2bl w:val="nil"/>
                  </w:tcBorders>
                  <w:vAlign w:val="center"/>
                </w:tcPr>
                <w:p w14:paraId="2353D476">
                  <w:pPr>
                    <w:widowControl/>
                    <w:jc w:val="center"/>
                    <w:textAlignment w:val="center"/>
                    <w:rPr>
                      <w:color w:val="000000"/>
                      <w:sz w:val="18"/>
                      <w:szCs w:val="18"/>
                    </w:rPr>
                  </w:pPr>
                  <w:r>
                    <w:rPr>
                      <w:rFonts w:hint="eastAsia"/>
                      <w:color w:val="000000"/>
                      <w:kern w:val="0"/>
                      <w:sz w:val="18"/>
                      <w:szCs w:val="18"/>
                      <w:lang w:bidi="ar"/>
                    </w:rPr>
                    <w:t>隔声降噪装置</w:t>
                  </w:r>
                </w:p>
              </w:tc>
              <w:tc>
                <w:tcPr>
                  <w:tcW w:w="688" w:type="pct"/>
                  <w:tcBorders>
                    <w:tl2br w:val="nil"/>
                    <w:tr2bl w:val="nil"/>
                  </w:tcBorders>
                  <w:vAlign w:val="center"/>
                </w:tcPr>
                <w:p w14:paraId="1F090041">
                  <w:pPr>
                    <w:widowControl/>
                    <w:jc w:val="center"/>
                    <w:textAlignment w:val="center"/>
                    <w:rPr>
                      <w:color w:val="000000"/>
                      <w:sz w:val="18"/>
                      <w:szCs w:val="18"/>
                    </w:rPr>
                  </w:pPr>
                  <w:r>
                    <w:rPr>
                      <w:rFonts w:hint="eastAsia"/>
                      <w:color w:val="000000"/>
                      <w:kern w:val="0"/>
                      <w:sz w:val="18"/>
                      <w:szCs w:val="18"/>
                      <w:lang w:bidi="ar"/>
                    </w:rPr>
                    <w:t>5</w:t>
                  </w:r>
                </w:p>
              </w:tc>
              <w:tc>
                <w:tcPr>
                  <w:tcW w:w="688" w:type="pct"/>
                  <w:tcBorders>
                    <w:tl2br w:val="nil"/>
                    <w:tr2bl w:val="nil"/>
                  </w:tcBorders>
                  <w:vAlign w:val="center"/>
                </w:tcPr>
                <w:p w14:paraId="5F0E5E9F">
                  <w:pPr>
                    <w:widowControl/>
                    <w:jc w:val="center"/>
                    <w:textAlignment w:val="center"/>
                    <w:rPr>
                      <w:color w:val="000000"/>
                      <w:sz w:val="18"/>
                      <w:szCs w:val="18"/>
                    </w:rPr>
                  </w:pPr>
                  <w:r>
                    <w:rPr>
                      <w:rFonts w:hint="eastAsia"/>
                      <w:color w:val="000000"/>
                      <w:kern w:val="0"/>
                      <w:sz w:val="18"/>
                      <w:szCs w:val="18"/>
                      <w:lang w:bidi="ar"/>
                    </w:rPr>
                    <w:t>新增</w:t>
                  </w:r>
                </w:p>
              </w:tc>
            </w:tr>
            <w:tr w14:paraId="54B04D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623" w:type="pct"/>
                  <w:gridSpan w:val="2"/>
                  <w:tcBorders>
                    <w:tl2br w:val="nil"/>
                    <w:tr2bl w:val="nil"/>
                  </w:tcBorders>
                  <w:vAlign w:val="center"/>
                </w:tcPr>
                <w:p w14:paraId="4A3DE392">
                  <w:pPr>
                    <w:widowControl/>
                    <w:jc w:val="center"/>
                    <w:textAlignment w:val="center"/>
                    <w:rPr>
                      <w:color w:val="000000"/>
                      <w:sz w:val="18"/>
                      <w:szCs w:val="18"/>
                    </w:rPr>
                  </w:pPr>
                  <w:r>
                    <w:rPr>
                      <w:rFonts w:hint="eastAsia"/>
                      <w:color w:val="000000"/>
                      <w:kern w:val="0"/>
                      <w:sz w:val="18"/>
                      <w:szCs w:val="18"/>
                      <w:lang w:bidi="ar"/>
                    </w:rPr>
                    <w:t>环保投资合计</w:t>
                  </w:r>
                </w:p>
              </w:tc>
              <w:tc>
                <w:tcPr>
                  <w:tcW w:w="688" w:type="pct"/>
                  <w:tcBorders>
                    <w:tl2br w:val="nil"/>
                    <w:tr2bl w:val="nil"/>
                  </w:tcBorders>
                  <w:vAlign w:val="center"/>
                </w:tcPr>
                <w:p w14:paraId="227AB378">
                  <w:pPr>
                    <w:widowControl/>
                    <w:jc w:val="center"/>
                    <w:textAlignment w:val="center"/>
                    <w:rPr>
                      <w:color w:val="000000"/>
                      <w:sz w:val="18"/>
                      <w:szCs w:val="18"/>
                    </w:rPr>
                  </w:pPr>
                  <w:r>
                    <w:rPr>
                      <w:rFonts w:hint="eastAsia"/>
                      <w:color w:val="000000"/>
                      <w:kern w:val="0"/>
                      <w:sz w:val="18"/>
                      <w:szCs w:val="18"/>
                      <w:lang w:bidi="ar"/>
                    </w:rPr>
                    <w:t>30</w:t>
                  </w:r>
                </w:p>
              </w:tc>
              <w:tc>
                <w:tcPr>
                  <w:tcW w:w="688" w:type="pct"/>
                  <w:tcBorders>
                    <w:tl2br w:val="nil"/>
                    <w:tr2bl w:val="nil"/>
                  </w:tcBorders>
                  <w:vAlign w:val="center"/>
                </w:tcPr>
                <w:p w14:paraId="24A9829B">
                  <w:pPr>
                    <w:widowControl/>
                    <w:jc w:val="center"/>
                    <w:textAlignment w:val="center"/>
                    <w:rPr>
                      <w:color w:val="000000"/>
                      <w:sz w:val="18"/>
                      <w:szCs w:val="18"/>
                    </w:rPr>
                  </w:pPr>
                  <w:r>
                    <w:rPr>
                      <w:color w:val="000000"/>
                      <w:kern w:val="0"/>
                      <w:sz w:val="18"/>
                      <w:szCs w:val="18"/>
                      <w:lang w:bidi="ar"/>
                    </w:rPr>
                    <w:t>/</w:t>
                  </w:r>
                </w:p>
              </w:tc>
            </w:tr>
            <w:tr w14:paraId="268CEF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623" w:type="pct"/>
                  <w:gridSpan w:val="2"/>
                  <w:tcBorders>
                    <w:tl2br w:val="nil"/>
                    <w:tr2bl w:val="nil"/>
                  </w:tcBorders>
                  <w:vAlign w:val="center"/>
                </w:tcPr>
                <w:p w14:paraId="79C820DD">
                  <w:pPr>
                    <w:widowControl/>
                    <w:jc w:val="center"/>
                    <w:textAlignment w:val="center"/>
                    <w:rPr>
                      <w:color w:val="000000"/>
                      <w:sz w:val="18"/>
                      <w:szCs w:val="18"/>
                    </w:rPr>
                  </w:pPr>
                  <w:r>
                    <w:rPr>
                      <w:rFonts w:hint="eastAsia"/>
                      <w:color w:val="000000"/>
                      <w:kern w:val="0"/>
                      <w:sz w:val="18"/>
                      <w:szCs w:val="18"/>
                      <w:lang w:bidi="ar"/>
                    </w:rPr>
                    <w:t>占项目总投资的百分比</w:t>
                  </w:r>
                </w:p>
              </w:tc>
              <w:tc>
                <w:tcPr>
                  <w:tcW w:w="688" w:type="pct"/>
                  <w:tcBorders>
                    <w:tl2br w:val="nil"/>
                    <w:tr2bl w:val="nil"/>
                  </w:tcBorders>
                  <w:vAlign w:val="center"/>
                </w:tcPr>
                <w:p w14:paraId="11DC280E">
                  <w:pPr>
                    <w:widowControl/>
                    <w:jc w:val="center"/>
                    <w:textAlignment w:val="center"/>
                    <w:rPr>
                      <w:color w:val="000000"/>
                      <w:sz w:val="18"/>
                      <w:szCs w:val="18"/>
                    </w:rPr>
                  </w:pPr>
                  <w:r>
                    <w:rPr>
                      <w:rFonts w:hint="eastAsia"/>
                      <w:color w:val="000000"/>
                      <w:kern w:val="0"/>
                      <w:sz w:val="18"/>
                      <w:szCs w:val="18"/>
                      <w:lang w:bidi="ar"/>
                    </w:rPr>
                    <w:t>2.05</w:t>
                  </w:r>
                  <w:r>
                    <w:rPr>
                      <w:color w:val="000000"/>
                      <w:kern w:val="0"/>
                      <w:sz w:val="18"/>
                      <w:szCs w:val="18"/>
                      <w:lang w:bidi="ar"/>
                    </w:rPr>
                    <w:t>%</w:t>
                  </w:r>
                </w:p>
              </w:tc>
              <w:tc>
                <w:tcPr>
                  <w:tcW w:w="688" w:type="pct"/>
                  <w:tcBorders>
                    <w:tl2br w:val="nil"/>
                    <w:tr2bl w:val="nil"/>
                  </w:tcBorders>
                  <w:vAlign w:val="center"/>
                </w:tcPr>
                <w:p w14:paraId="0DD6AAEC">
                  <w:pPr>
                    <w:widowControl/>
                    <w:jc w:val="center"/>
                    <w:textAlignment w:val="center"/>
                    <w:rPr>
                      <w:color w:val="000000"/>
                      <w:sz w:val="18"/>
                      <w:szCs w:val="18"/>
                    </w:rPr>
                  </w:pPr>
                  <w:r>
                    <w:rPr>
                      <w:color w:val="000000"/>
                      <w:kern w:val="0"/>
                      <w:sz w:val="18"/>
                      <w:szCs w:val="18"/>
                      <w:lang w:bidi="ar"/>
                    </w:rPr>
                    <w:t>/</w:t>
                  </w:r>
                </w:p>
              </w:tc>
            </w:tr>
          </w:tbl>
          <w:p w14:paraId="1BAFFF68">
            <w:pPr>
              <w:spacing w:line="360" w:lineRule="auto"/>
            </w:pPr>
            <w:r>
              <w:rPr>
                <w:rFonts w:hint="eastAsia"/>
                <w:b/>
                <w:bCs/>
              </w:rPr>
              <w:t>4.2.8 全厂污染源强汇总</w:t>
            </w:r>
          </w:p>
          <w:p w14:paraId="789C6FF0">
            <w:pPr>
              <w:spacing w:line="360" w:lineRule="auto"/>
              <w:ind w:firstLine="420" w:firstLineChars="200"/>
            </w:pPr>
            <w:r>
              <w:rPr>
                <w:rFonts w:hint="eastAsia"/>
              </w:rPr>
              <w:t>本项目污染源源强汇总如</w:t>
            </w:r>
            <w:r>
              <w:rPr>
                <w:rFonts w:hint="eastAsia"/>
                <w:bCs/>
                <w:szCs w:val="21"/>
              </w:rPr>
              <w:t>下表</w:t>
            </w:r>
            <w:r>
              <w:rPr>
                <w:rFonts w:hint="eastAsia"/>
              </w:rPr>
              <w:t>。</w:t>
            </w:r>
          </w:p>
          <w:p w14:paraId="2F7051DB">
            <w:pPr>
              <w:numPr>
                <w:ilvl w:val="0"/>
                <w:numId w:val="12"/>
              </w:numPr>
              <w:spacing w:line="360" w:lineRule="auto"/>
              <w:jc w:val="center"/>
              <w:rPr>
                <w:rFonts w:hint="eastAsia" w:ascii="黑体" w:hAnsi="黑体" w:eastAsia="黑体" w:cs="黑体"/>
                <w:szCs w:val="21"/>
              </w:rPr>
            </w:pPr>
            <w:r>
              <w:rPr>
                <w:rFonts w:hint="eastAsia" w:ascii="黑体" w:hAnsi="黑体" w:eastAsia="黑体" w:cs="黑体"/>
                <w:spacing w:val="-10"/>
                <w:szCs w:val="21"/>
              </w:rPr>
              <w:t xml:space="preserve"> 项目污染源源强汇总一览表  单位：</w:t>
            </w:r>
            <w:r>
              <w:rPr>
                <w:rFonts w:hint="eastAsia" w:ascii="黑体" w:hAnsi="黑体" w:eastAsia="黑体" w:cs="黑体"/>
                <w:spacing w:val="-10"/>
                <w:szCs w:val="21"/>
                <w:lang w:val="en-US" w:eastAsia="zh-CN"/>
              </w:rPr>
              <w:t>t</w:t>
            </w:r>
            <w:r>
              <w:rPr>
                <w:rFonts w:hint="eastAsia" w:ascii="黑体" w:hAnsi="黑体" w:eastAsia="黑体" w:cs="黑体"/>
                <w:spacing w:val="-10"/>
                <w:szCs w:val="21"/>
              </w:rPr>
              <w:t>/a</w:t>
            </w:r>
          </w:p>
          <w:tbl>
            <w:tblPr>
              <w:tblStyle w:val="26"/>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85"/>
              <w:gridCol w:w="1977"/>
              <w:gridCol w:w="2008"/>
              <w:gridCol w:w="1568"/>
              <w:gridCol w:w="1158"/>
              <w:gridCol w:w="1005"/>
            </w:tblGrid>
            <w:tr w14:paraId="411BE3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551E19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序号</w:t>
                  </w:r>
                </w:p>
              </w:tc>
              <w:tc>
                <w:tcPr>
                  <w:tcW w:w="1190" w:type="pct"/>
                  <w:tcBorders>
                    <w:tl2br w:val="nil"/>
                    <w:tr2bl w:val="nil"/>
                  </w:tcBorders>
                  <w:shd w:val="clear" w:color="auto" w:fill="auto"/>
                  <w:noWrap/>
                  <w:vAlign w:val="center"/>
                </w:tcPr>
                <w:p w14:paraId="30C3DD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类别</w:t>
                  </w:r>
                </w:p>
              </w:tc>
              <w:tc>
                <w:tcPr>
                  <w:tcW w:w="1209" w:type="pct"/>
                  <w:tcBorders>
                    <w:tl2br w:val="nil"/>
                    <w:tr2bl w:val="nil"/>
                  </w:tcBorders>
                  <w:shd w:val="clear" w:color="auto" w:fill="auto"/>
                  <w:noWrap/>
                  <w:vAlign w:val="center"/>
                </w:tcPr>
                <w:p w14:paraId="1C9975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污染物名称</w:t>
                  </w:r>
                </w:p>
              </w:tc>
              <w:tc>
                <w:tcPr>
                  <w:tcW w:w="944" w:type="pct"/>
                  <w:tcBorders>
                    <w:tl2br w:val="nil"/>
                    <w:tr2bl w:val="nil"/>
                  </w:tcBorders>
                  <w:shd w:val="clear" w:color="auto" w:fill="auto"/>
                  <w:noWrap/>
                  <w:vAlign w:val="center"/>
                </w:tcPr>
                <w:p w14:paraId="59D82D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产生量</w:t>
                  </w:r>
                </w:p>
              </w:tc>
              <w:tc>
                <w:tcPr>
                  <w:tcW w:w="697" w:type="pct"/>
                  <w:tcBorders>
                    <w:tl2br w:val="nil"/>
                    <w:tr2bl w:val="nil"/>
                  </w:tcBorders>
                  <w:shd w:val="clear" w:color="auto" w:fill="auto"/>
                  <w:noWrap/>
                  <w:vAlign w:val="center"/>
                </w:tcPr>
                <w:p w14:paraId="73DCB2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削减量</w:t>
                  </w:r>
                </w:p>
              </w:tc>
              <w:tc>
                <w:tcPr>
                  <w:tcW w:w="605" w:type="pct"/>
                  <w:tcBorders>
                    <w:tl2br w:val="nil"/>
                    <w:tr2bl w:val="nil"/>
                  </w:tcBorders>
                  <w:shd w:val="clear" w:color="auto" w:fill="auto"/>
                  <w:noWrap/>
                  <w:vAlign w:val="center"/>
                </w:tcPr>
                <w:p w14:paraId="109BA8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排放量</w:t>
                  </w:r>
                </w:p>
              </w:tc>
            </w:tr>
            <w:tr w14:paraId="08C2AE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57C071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1190" w:type="pct"/>
                  <w:tcBorders>
                    <w:tl2br w:val="nil"/>
                    <w:tr2bl w:val="nil"/>
                  </w:tcBorders>
                  <w:shd w:val="clear" w:color="auto" w:fill="auto"/>
                  <w:noWrap/>
                  <w:vAlign w:val="center"/>
                </w:tcPr>
                <w:p w14:paraId="2A2426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废气</w:t>
                  </w:r>
                </w:p>
              </w:tc>
              <w:tc>
                <w:tcPr>
                  <w:tcW w:w="1209" w:type="pct"/>
                  <w:tcBorders>
                    <w:tl2br w:val="nil"/>
                    <w:tr2bl w:val="nil"/>
                  </w:tcBorders>
                  <w:shd w:val="clear" w:color="auto" w:fill="auto"/>
                  <w:noWrap/>
                  <w:vAlign w:val="center"/>
                </w:tcPr>
                <w:p w14:paraId="3E7106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非甲烷总烃</w:t>
                  </w:r>
                </w:p>
              </w:tc>
              <w:tc>
                <w:tcPr>
                  <w:tcW w:w="944" w:type="pct"/>
                  <w:tcBorders>
                    <w:tl2br w:val="nil"/>
                    <w:tr2bl w:val="nil"/>
                  </w:tcBorders>
                  <w:shd w:val="clear" w:color="auto" w:fill="auto"/>
                  <w:noWrap/>
                  <w:vAlign w:val="center"/>
                </w:tcPr>
                <w:p w14:paraId="45B564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0.159 </w:t>
                  </w:r>
                </w:p>
              </w:tc>
              <w:tc>
                <w:tcPr>
                  <w:tcW w:w="697" w:type="pct"/>
                  <w:tcBorders>
                    <w:tl2br w:val="nil"/>
                    <w:tr2bl w:val="nil"/>
                  </w:tcBorders>
                  <w:shd w:val="clear" w:color="auto" w:fill="auto"/>
                  <w:noWrap/>
                  <w:vAlign w:val="center"/>
                </w:tcPr>
                <w:p w14:paraId="5CE931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0.067 </w:t>
                  </w:r>
                </w:p>
              </w:tc>
              <w:tc>
                <w:tcPr>
                  <w:tcW w:w="605" w:type="pct"/>
                  <w:tcBorders>
                    <w:tl2br w:val="nil"/>
                    <w:tr2bl w:val="nil"/>
                  </w:tcBorders>
                  <w:shd w:val="clear" w:color="auto" w:fill="auto"/>
                  <w:noWrap/>
                  <w:vAlign w:val="center"/>
                </w:tcPr>
                <w:p w14:paraId="551207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0.092 </w:t>
                  </w:r>
                </w:p>
              </w:tc>
            </w:tr>
            <w:tr w14:paraId="20C7D9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5E6D15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w:t>
                  </w:r>
                </w:p>
              </w:tc>
              <w:tc>
                <w:tcPr>
                  <w:tcW w:w="1190" w:type="pct"/>
                  <w:vMerge w:val="restart"/>
                  <w:tcBorders>
                    <w:tl2br w:val="nil"/>
                    <w:tr2bl w:val="nil"/>
                  </w:tcBorders>
                  <w:shd w:val="clear" w:color="auto" w:fill="auto"/>
                  <w:vAlign w:val="center"/>
                </w:tcPr>
                <w:p w14:paraId="56D772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废水</w:t>
                  </w:r>
                </w:p>
              </w:tc>
              <w:tc>
                <w:tcPr>
                  <w:tcW w:w="1209" w:type="pct"/>
                  <w:tcBorders>
                    <w:tl2br w:val="nil"/>
                    <w:tr2bl w:val="nil"/>
                  </w:tcBorders>
                  <w:shd w:val="clear" w:color="auto" w:fill="auto"/>
                  <w:noWrap/>
                  <w:vAlign w:val="center"/>
                </w:tcPr>
                <w:p w14:paraId="2DDCE2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废水量</w:t>
                  </w:r>
                </w:p>
              </w:tc>
              <w:tc>
                <w:tcPr>
                  <w:tcW w:w="944" w:type="pct"/>
                  <w:tcBorders>
                    <w:tl2br w:val="nil"/>
                    <w:tr2bl w:val="nil"/>
                  </w:tcBorders>
                  <w:shd w:val="clear" w:color="auto" w:fill="auto"/>
                  <w:noWrap/>
                  <w:vAlign w:val="center"/>
                </w:tcPr>
                <w:p w14:paraId="2845BF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821.4</w:t>
                  </w:r>
                </w:p>
              </w:tc>
              <w:tc>
                <w:tcPr>
                  <w:tcW w:w="697" w:type="pct"/>
                  <w:tcBorders>
                    <w:tl2br w:val="nil"/>
                    <w:tr2bl w:val="nil"/>
                  </w:tcBorders>
                  <w:shd w:val="clear" w:color="auto" w:fill="auto"/>
                  <w:noWrap/>
                  <w:vAlign w:val="center"/>
                </w:tcPr>
                <w:p w14:paraId="250AFF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c>
                <w:tcPr>
                  <w:tcW w:w="605" w:type="pct"/>
                  <w:tcBorders>
                    <w:tl2br w:val="nil"/>
                    <w:tr2bl w:val="nil"/>
                  </w:tcBorders>
                  <w:shd w:val="clear" w:color="auto" w:fill="auto"/>
                  <w:noWrap/>
                  <w:vAlign w:val="center"/>
                </w:tcPr>
                <w:p w14:paraId="2FBA82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821.4</w:t>
                  </w:r>
                </w:p>
              </w:tc>
            </w:tr>
            <w:tr w14:paraId="7AC9B3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4" w:hRule="atLeast"/>
                <w:jc w:val="center"/>
              </w:trPr>
              <w:tc>
                <w:tcPr>
                  <w:tcW w:w="352" w:type="pct"/>
                  <w:tcBorders>
                    <w:tl2br w:val="nil"/>
                    <w:tr2bl w:val="nil"/>
                  </w:tcBorders>
                  <w:shd w:val="clear" w:color="auto" w:fill="auto"/>
                  <w:noWrap/>
                  <w:vAlign w:val="center"/>
                </w:tcPr>
                <w:p w14:paraId="3590DF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c>
                <w:tcPr>
                  <w:tcW w:w="1190" w:type="pct"/>
                  <w:vMerge w:val="continue"/>
                  <w:tcBorders>
                    <w:tl2br w:val="nil"/>
                    <w:tr2bl w:val="nil"/>
                  </w:tcBorders>
                  <w:shd w:val="clear" w:color="auto" w:fill="auto"/>
                  <w:vAlign w:val="center"/>
                </w:tcPr>
                <w:p w14:paraId="17770835">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5A3401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COD</w:t>
                  </w:r>
                  <w:r>
                    <w:rPr>
                      <w:rFonts w:hint="default" w:ascii="Times New Roman" w:hAnsi="Times New Roman" w:eastAsia="宋体" w:cs="Times New Roman"/>
                      <w:i w:val="0"/>
                      <w:iCs w:val="0"/>
                      <w:color w:val="auto"/>
                      <w:kern w:val="0"/>
                      <w:sz w:val="18"/>
                      <w:szCs w:val="18"/>
                      <w:u w:val="none"/>
                      <w:vertAlign w:val="subscript"/>
                      <w:lang w:val="en-US" w:eastAsia="zh-CN" w:bidi="ar"/>
                    </w:rPr>
                    <w:t>Cr</w:t>
                  </w:r>
                </w:p>
              </w:tc>
              <w:tc>
                <w:tcPr>
                  <w:tcW w:w="944" w:type="pct"/>
                  <w:tcBorders>
                    <w:tl2br w:val="nil"/>
                    <w:tr2bl w:val="nil"/>
                  </w:tcBorders>
                  <w:shd w:val="clear" w:color="auto" w:fill="auto"/>
                  <w:noWrap/>
                  <w:vAlign w:val="center"/>
                </w:tcPr>
                <w:p w14:paraId="4F5305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0.262</w:t>
                  </w:r>
                </w:p>
              </w:tc>
              <w:tc>
                <w:tcPr>
                  <w:tcW w:w="697" w:type="pct"/>
                  <w:tcBorders>
                    <w:tl2br w:val="nil"/>
                    <w:tr2bl w:val="nil"/>
                  </w:tcBorders>
                  <w:shd w:val="clear" w:color="auto" w:fill="auto"/>
                  <w:noWrap/>
                  <w:vAlign w:val="center"/>
                </w:tcPr>
                <w:p w14:paraId="4FCC77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0.2</w:t>
                  </w:r>
                  <w:r>
                    <w:rPr>
                      <w:rFonts w:hint="eastAsia" w:cs="Times New Roman"/>
                      <w:i w:val="0"/>
                      <w:iCs w:val="0"/>
                      <w:color w:val="auto"/>
                      <w:kern w:val="0"/>
                      <w:sz w:val="18"/>
                      <w:szCs w:val="18"/>
                      <w:u w:val="none"/>
                      <w:lang w:val="en-US" w:eastAsia="zh-CN" w:bidi="ar"/>
                    </w:rPr>
                    <w:t>33</w:t>
                  </w:r>
                </w:p>
              </w:tc>
              <w:tc>
                <w:tcPr>
                  <w:tcW w:w="605" w:type="pct"/>
                  <w:tcBorders>
                    <w:tl2br w:val="nil"/>
                    <w:tr2bl w:val="nil"/>
                  </w:tcBorders>
                  <w:shd w:val="clear" w:color="auto" w:fill="auto"/>
                  <w:noWrap/>
                  <w:vAlign w:val="center"/>
                </w:tcPr>
                <w:p w14:paraId="02F9DD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0.029</w:t>
                  </w:r>
                </w:p>
              </w:tc>
            </w:tr>
            <w:tr w14:paraId="0221B6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4" w:hRule="atLeast"/>
                <w:jc w:val="center"/>
              </w:trPr>
              <w:tc>
                <w:tcPr>
                  <w:tcW w:w="352" w:type="pct"/>
                  <w:tcBorders>
                    <w:tl2br w:val="nil"/>
                    <w:tr2bl w:val="nil"/>
                  </w:tcBorders>
                  <w:shd w:val="clear" w:color="auto" w:fill="auto"/>
                  <w:noWrap/>
                  <w:vAlign w:val="center"/>
                </w:tcPr>
                <w:p w14:paraId="46169D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w:t>
                  </w:r>
                </w:p>
              </w:tc>
              <w:tc>
                <w:tcPr>
                  <w:tcW w:w="1190" w:type="pct"/>
                  <w:vMerge w:val="continue"/>
                  <w:tcBorders>
                    <w:tl2br w:val="nil"/>
                    <w:tr2bl w:val="nil"/>
                  </w:tcBorders>
                  <w:shd w:val="clear" w:color="auto" w:fill="auto"/>
                  <w:vAlign w:val="center"/>
                </w:tcPr>
                <w:p w14:paraId="7CC8FB34">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0A5075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NH</w:t>
                  </w:r>
                  <w:r>
                    <w:rPr>
                      <w:rFonts w:hint="default" w:ascii="Times New Roman" w:hAnsi="Times New Roman" w:eastAsia="宋体" w:cs="Times New Roman"/>
                      <w:i w:val="0"/>
                      <w:iCs w:val="0"/>
                      <w:color w:val="auto"/>
                      <w:kern w:val="0"/>
                      <w:sz w:val="18"/>
                      <w:szCs w:val="18"/>
                      <w:u w:val="none"/>
                      <w:vertAlign w:val="subscript"/>
                      <w:lang w:val="en-US" w:eastAsia="zh-CN" w:bidi="ar"/>
                    </w:rPr>
                    <w:t>3</w:t>
                  </w:r>
                  <w:r>
                    <w:rPr>
                      <w:rFonts w:hint="default" w:ascii="Times New Roman" w:hAnsi="Times New Roman" w:eastAsia="宋体" w:cs="Times New Roman"/>
                      <w:i w:val="0"/>
                      <w:iCs w:val="0"/>
                      <w:color w:val="auto"/>
                      <w:kern w:val="0"/>
                      <w:sz w:val="18"/>
                      <w:szCs w:val="18"/>
                      <w:u w:val="none"/>
                      <w:lang w:val="en-US" w:eastAsia="zh-CN" w:bidi="ar"/>
                    </w:rPr>
                    <w:t>-N</w:t>
                  </w:r>
                </w:p>
              </w:tc>
              <w:tc>
                <w:tcPr>
                  <w:tcW w:w="944" w:type="pct"/>
                  <w:tcBorders>
                    <w:tl2br w:val="nil"/>
                    <w:tr2bl w:val="nil"/>
                  </w:tcBorders>
                  <w:shd w:val="clear" w:color="auto" w:fill="auto"/>
                  <w:noWrap/>
                  <w:vAlign w:val="center"/>
                </w:tcPr>
                <w:p w14:paraId="4F9BA5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0.022</w:t>
                  </w:r>
                </w:p>
              </w:tc>
              <w:tc>
                <w:tcPr>
                  <w:tcW w:w="697" w:type="pct"/>
                  <w:tcBorders>
                    <w:tl2br w:val="nil"/>
                    <w:tr2bl w:val="nil"/>
                  </w:tcBorders>
                  <w:shd w:val="clear" w:color="auto" w:fill="auto"/>
                  <w:noWrap/>
                  <w:vAlign w:val="center"/>
                </w:tcPr>
                <w:p w14:paraId="5235F9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0.021</w:t>
                  </w:r>
                </w:p>
              </w:tc>
              <w:tc>
                <w:tcPr>
                  <w:tcW w:w="605" w:type="pct"/>
                  <w:tcBorders>
                    <w:tl2br w:val="nil"/>
                    <w:tr2bl w:val="nil"/>
                  </w:tcBorders>
                  <w:shd w:val="clear" w:color="auto" w:fill="auto"/>
                  <w:noWrap/>
                  <w:vAlign w:val="center"/>
                </w:tcPr>
                <w:p w14:paraId="7E4CF7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0.001</w:t>
                  </w:r>
                </w:p>
              </w:tc>
            </w:tr>
            <w:tr w14:paraId="557813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0DFC64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w:t>
                  </w:r>
                </w:p>
              </w:tc>
              <w:tc>
                <w:tcPr>
                  <w:tcW w:w="1190" w:type="pct"/>
                  <w:vMerge w:val="continue"/>
                  <w:tcBorders>
                    <w:tl2br w:val="nil"/>
                    <w:tr2bl w:val="nil"/>
                  </w:tcBorders>
                  <w:shd w:val="clear" w:color="auto" w:fill="auto"/>
                  <w:vAlign w:val="center"/>
                </w:tcPr>
                <w:p w14:paraId="3752EB2E">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18970A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LAS</w:t>
                  </w:r>
                </w:p>
              </w:tc>
              <w:tc>
                <w:tcPr>
                  <w:tcW w:w="944" w:type="pct"/>
                  <w:tcBorders>
                    <w:tl2br w:val="nil"/>
                    <w:tr2bl w:val="nil"/>
                  </w:tcBorders>
                  <w:shd w:val="clear" w:color="auto" w:fill="auto"/>
                  <w:noWrap/>
                  <w:vAlign w:val="center"/>
                </w:tcPr>
                <w:p w14:paraId="7BABDC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少量</w:t>
                  </w:r>
                </w:p>
              </w:tc>
              <w:tc>
                <w:tcPr>
                  <w:tcW w:w="697" w:type="pct"/>
                  <w:tcBorders>
                    <w:tl2br w:val="nil"/>
                    <w:tr2bl w:val="nil"/>
                  </w:tcBorders>
                  <w:shd w:val="clear" w:color="auto" w:fill="auto"/>
                  <w:noWrap/>
                  <w:vAlign w:val="center"/>
                </w:tcPr>
                <w:p w14:paraId="70A6C1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少量</w:t>
                  </w:r>
                </w:p>
              </w:tc>
              <w:tc>
                <w:tcPr>
                  <w:tcW w:w="605" w:type="pct"/>
                  <w:tcBorders>
                    <w:tl2br w:val="nil"/>
                    <w:tr2bl w:val="nil"/>
                  </w:tcBorders>
                  <w:shd w:val="clear" w:color="auto" w:fill="auto"/>
                  <w:noWrap/>
                  <w:vAlign w:val="center"/>
                </w:tcPr>
                <w:p w14:paraId="7EF4BA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少量</w:t>
                  </w:r>
                </w:p>
              </w:tc>
            </w:tr>
            <w:tr w14:paraId="3D5FE8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4545C6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c>
                <w:tcPr>
                  <w:tcW w:w="1190" w:type="pct"/>
                  <w:vMerge w:val="restart"/>
                  <w:tcBorders>
                    <w:tl2br w:val="nil"/>
                    <w:tr2bl w:val="nil"/>
                  </w:tcBorders>
                  <w:shd w:val="clear" w:color="auto" w:fill="auto"/>
                  <w:noWrap/>
                  <w:vAlign w:val="center"/>
                </w:tcPr>
                <w:p w14:paraId="2C1500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固体废物</w:t>
                  </w:r>
                </w:p>
              </w:tc>
              <w:tc>
                <w:tcPr>
                  <w:tcW w:w="1209" w:type="pct"/>
                  <w:tcBorders>
                    <w:tl2br w:val="nil"/>
                    <w:tr2bl w:val="nil"/>
                  </w:tcBorders>
                  <w:shd w:val="clear" w:color="auto" w:fill="auto"/>
                  <w:noWrap/>
                  <w:vAlign w:val="center"/>
                </w:tcPr>
                <w:p w14:paraId="1A31B6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废边角料</w:t>
                  </w:r>
                </w:p>
              </w:tc>
              <w:tc>
                <w:tcPr>
                  <w:tcW w:w="944" w:type="pct"/>
                  <w:tcBorders>
                    <w:tl2br w:val="nil"/>
                    <w:tr2bl w:val="nil"/>
                  </w:tcBorders>
                  <w:shd w:val="clear" w:color="auto" w:fill="auto"/>
                  <w:vAlign w:val="center"/>
                </w:tcPr>
                <w:p w14:paraId="571638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0.2</w:t>
                  </w:r>
                </w:p>
              </w:tc>
              <w:tc>
                <w:tcPr>
                  <w:tcW w:w="697" w:type="pct"/>
                  <w:tcBorders>
                    <w:tl2br w:val="nil"/>
                    <w:tr2bl w:val="nil"/>
                  </w:tcBorders>
                  <w:shd w:val="clear" w:color="auto" w:fill="auto"/>
                  <w:vAlign w:val="center"/>
                </w:tcPr>
                <w:p w14:paraId="2CCC66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0.2</w:t>
                  </w:r>
                </w:p>
              </w:tc>
              <w:tc>
                <w:tcPr>
                  <w:tcW w:w="605" w:type="pct"/>
                  <w:tcBorders>
                    <w:tl2br w:val="nil"/>
                    <w:tr2bl w:val="nil"/>
                  </w:tcBorders>
                  <w:shd w:val="clear" w:color="auto" w:fill="auto"/>
                  <w:noWrap/>
                  <w:vAlign w:val="center"/>
                </w:tcPr>
                <w:p w14:paraId="010930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46D49B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77964E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w:t>
                  </w:r>
                </w:p>
              </w:tc>
              <w:tc>
                <w:tcPr>
                  <w:tcW w:w="1190" w:type="pct"/>
                  <w:vMerge w:val="continue"/>
                  <w:tcBorders>
                    <w:tl2br w:val="nil"/>
                    <w:tr2bl w:val="nil"/>
                  </w:tcBorders>
                  <w:shd w:val="clear" w:color="auto" w:fill="auto"/>
                  <w:noWrap/>
                  <w:vAlign w:val="center"/>
                </w:tcPr>
                <w:p w14:paraId="11414D3B">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5314E4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废包装材料</w:t>
                  </w:r>
                </w:p>
              </w:tc>
              <w:tc>
                <w:tcPr>
                  <w:tcW w:w="944" w:type="pct"/>
                  <w:tcBorders>
                    <w:tl2br w:val="nil"/>
                    <w:tr2bl w:val="nil"/>
                  </w:tcBorders>
                  <w:shd w:val="clear" w:color="auto" w:fill="auto"/>
                  <w:vAlign w:val="center"/>
                </w:tcPr>
                <w:p w14:paraId="0DC9F4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0.4</w:t>
                  </w:r>
                </w:p>
              </w:tc>
              <w:tc>
                <w:tcPr>
                  <w:tcW w:w="697" w:type="pct"/>
                  <w:tcBorders>
                    <w:tl2br w:val="nil"/>
                    <w:tr2bl w:val="nil"/>
                  </w:tcBorders>
                  <w:shd w:val="clear" w:color="auto" w:fill="auto"/>
                  <w:vAlign w:val="center"/>
                </w:tcPr>
                <w:p w14:paraId="4686A1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0.4</w:t>
                  </w:r>
                </w:p>
              </w:tc>
              <w:tc>
                <w:tcPr>
                  <w:tcW w:w="605" w:type="pct"/>
                  <w:tcBorders>
                    <w:tl2br w:val="nil"/>
                    <w:tr2bl w:val="nil"/>
                  </w:tcBorders>
                  <w:shd w:val="clear" w:color="auto" w:fill="auto"/>
                  <w:noWrap/>
                  <w:vAlign w:val="center"/>
                </w:tcPr>
                <w:p w14:paraId="63E5DD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2EA1E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1665EF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w:t>
                  </w:r>
                </w:p>
              </w:tc>
              <w:tc>
                <w:tcPr>
                  <w:tcW w:w="1190" w:type="pct"/>
                  <w:vMerge w:val="continue"/>
                  <w:tcBorders>
                    <w:tl2br w:val="nil"/>
                    <w:tr2bl w:val="nil"/>
                  </w:tcBorders>
                  <w:shd w:val="clear" w:color="auto" w:fill="auto"/>
                  <w:noWrap/>
                  <w:vAlign w:val="center"/>
                </w:tcPr>
                <w:p w14:paraId="15603496">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396D44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废反渗透膜</w:t>
                  </w:r>
                </w:p>
              </w:tc>
              <w:tc>
                <w:tcPr>
                  <w:tcW w:w="944" w:type="pct"/>
                  <w:tcBorders>
                    <w:tl2br w:val="nil"/>
                    <w:tr2bl w:val="nil"/>
                  </w:tcBorders>
                  <w:shd w:val="clear" w:color="auto" w:fill="auto"/>
                  <w:vAlign w:val="center"/>
                </w:tcPr>
                <w:p w14:paraId="1D744B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97" w:type="pct"/>
                  <w:tcBorders>
                    <w:tl2br w:val="nil"/>
                    <w:tr2bl w:val="nil"/>
                  </w:tcBorders>
                  <w:shd w:val="clear" w:color="auto" w:fill="auto"/>
                  <w:vAlign w:val="center"/>
                </w:tcPr>
                <w:p w14:paraId="109FC4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05" w:type="pct"/>
                  <w:tcBorders>
                    <w:tl2br w:val="nil"/>
                    <w:tr2bl w:val="nil"/>
                  </w:tcBorders>
                  <w:shd w:val="clear" w:color="auto" w:fill="auto"/>
                  <w:noWrap/>
                  <w:vAlign w:val="center"/>
                </w:tcPr>
                <w:p w14:paraId="216257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2803FA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6C5E4E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1190" w:type="pct"/>
                  <w:vMerge w:val="continue"/>
                  <w:tcBorders>
                    <w:tl2br w:val="nil"/>
                    <w:tr2bl w:val="nil"/>
                  </w:tcBorders>
                  <w:shd w:val="clear" w:color="auto" w:fill="auto"/>
                  <w:noWrap/>
                  <w:vAlign w:val="center"/>
                </w:tcPr>
                <w:p w14:paraId="1E73C886">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38B396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实验室废物</w:t>
                  </w:r>
                </w:p>
              </w:tc>
              <w:tc>
                <w:tcPr>
                  <w:tcW w:w="944" w:type="pct"/>
                  <w:tcBorders>
                    <w:tl2br w:val="nil"/>
                    <w:tr2bl w:val="nil"/>
                  </w:tcBorders>
                  <w:shd w:val="clear" w:color="auto" w:fill="auto"/>
                  <w:vAlign w:val="center"/>
                </w:tcPr>
                <w:p w14:paraId="6C72CF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0.02</w:t>
                  </w:r>
                </w:p>
              </w:tc>
              <w:tc>
                <w:tcPr>
                  <w:tcW w:w="697" w:type="pct"/>
                  <w:tcBorders>
                    <w:tl2br w:val="nil"/>
                    <w:tr2bl w:val="nil"/>
                  </w:tcBorders>
                  <w:shd w:val="clear" w:color="auto" w:fill="auto"/>
                  <w:vAlign w:val="center"/>
                </w:tcPr>
                <w:p w14:paraId="34F260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0.02</w:t>
                  </w:r>
                </w:p>
              </w:tc>
              <w:tc>
                <w:tcPr>
                  <w:tcW w:w="605" w:type="pct"/>
                  <w:tcBorders>
                    <w:tl2br w:val="nil"/>
                    <w:tr2bl w:val="nil"/>
                  </w:tcBorders>
                  <w:shd w:val="clear" w:color="auto" w:fill="auto"/>
                  <w:noWrap/>
                  <w:vAlign w:val="center"/>
                </w:tcPr>
                <w:p w14:paraId="18DDDB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7D790E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725FEF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w:t>
                  </w:r>
                </w:p>
              </w:tc>
              <w:tc>
                <w:tcPr>
                  <w:tcW w:w="1190" w:type="pct"/>
                  <w:vMerge w:val="continue"/>
                  <w:tcBorders>
                    <w:tl2br w:val="nil"/>
                    <w:tr2bl w:val="nil"/>
                  </w:tcBorders>
                  <w:shd w:val="clear" w:color="auto" w:fill="auto"/>
                  <w:noWrap/>
                  <w:vAlign w:val="center"/>
                </w:tcPr>
                <w:p w14:paraId="136FAE35">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63D4ACE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废一次性耗材</w:t>
                  </w:r>
                </w:p>
              </w:tc>
              <w:tc>
                <w:tcPr>
                  <w:tcW w:w="944" w:type="pct"/>
                  <w:tcBorders>
                    <w:tl2br w:val="nil"/>
                    <w:tr2bl w:val="nil"/>
                  </w:tcBorders>
                  <w:shd w:val="clear" w:color="auto" w:fill="auto"/>
                  <w:vAlign w:val="center"/>
                </w:tcPr>
                <w:p w14:paraId="001F56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0.05</w:t>
                  </w:r>
                </w:p>
              </w:tc>
              <w:tc>
                <w:tcPr>
                  <w:tcW w:w="697" w:type="pct"/>
                  <w:tcBorders>
                    <w:tl2br w:val="nil"/>
                    <w:tr2bl w:val="nil"/>
                  </w:tcBorders>
                  <w:shd w:val="clear" w:color="auto" w:fill="auto"/>
                  <w:vAlign w:val="center"/>
                </w:tcPr>
                <w:p w14:paraId="6EBB3E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0.05</w:t>
                  </w:r>
                </w:p>
              </w:tc>
              <w:tc>
                <w:tcPr>
                  <w:tcW w:w="605" w:type="pct"/>
                  <w:tcBorders>
                    <w:tl2br w:val="nil"/>
                    <w:tr2bl w:val="nil"/>
                  </w:tcBorders>
                  <w:shd w:val="clear" w:color="auto" w:fill="auto"/>
                  <w:noWrap/>
                  <w:vAlign w:val="center"/>
                </w:tcPr>
                <w:p w14:paraId="3298C7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1403B7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7E5C12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11</w:t>
                  </w:r>
                </w:p>
              </w:tc>
              <w:tc>
                <w:tcPr>
                  <w:tcW w:w="1190" w:type="pct"/>
                  <w:vMerge w:val="continue"/>
                  <w:tcBorders>
                    <w:tl2br w:val="nil"/>
                    <w:tr2bl w:val="nil"/>
                  </w:tcBorders>
                  <w:shd w:val="clear" w:color="auto" w:fill="auto"/>
                  <w:noWrap/>
                  <w:vAlign w:val="center"/>
                </w:tcPr>
                <w:p w14:paraId="200FA9B6">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3BFDBB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废抹布</w:t>
                  </w:r>
                </w:p>
              </w:tc>
              <w:tc>
                <w:tcPr>
                  <w:tcW w:w="944" w:type="pct"/>
                  <w:tcBorders>
                    <w:tl2br w:val="nil"/>
                    <w:tr2bl w:val="nil"/>
                  </w:tcBorders>
                  <w:shd w:val="clear" w:color="auto" w:fill="auto"/>
                  <w:vAlign w:val="center"/>
                </w:tcPr>
                <w:p w14:paraId="682D0E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0.005</w:t>
                  </w:r>
                </w:p>
              </w:tc>
              <w:tc>
                <w:tcPr>
                  <w:tcW w:w="697" w:type="pct"/>
                  <w:tcBorders>
                    <w:tl2br w:val="nil"/>
                    <w:tr2bl w:val="nil"/>
                  </w:tcBorders>
                  <w:shd w:val="clear" w:color="auto" w:fill="auto"/>
                  <w:vAlign w:val="center"/>
                </w:tcPr>
                <w:p w14:paraId="26F2EC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0.005</w:t>
                  </w:r>
                </w:p>
              </w:tc>
              <w:tc>
                <w:tcPr>
                  <w:tcW w:w="605" w:type="pct"/>
                  <w:tcBorders>
                    <w:tl2br w:val="nil"/>
                    <w:tr2bl w:val="nil"/>
                  </w:tcBorders>
                  <w:shd w:val="clear" w:color="auto" w:fill="auto"/>
                  <w:noWrap/>
                  <w:vAlign w:val="center"/>
                </w:tcPr>
                <w:p w14:paraId="64DDA8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174869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3906B6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1190" w:type="pct"/>
                  <w:vMerge w:val="continue"/>
                  <w:tcBorders>
                    <w:tl2br w:val="nil"/>
                    <w:tr2bl w:val="nil"/>
                  </w:tcBorders>
                  <w:shd w:val="clear" w:color="auto" w:fill="auto"/>
                  <w:noWrap/>
                  <w:vAlign w:val="center"/>
                </w:tcPr>
                <w:p w14:paraId="07CB3BBF">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1D1DF8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废洁净服</w:t>
                  </w:r>
                </w:p>
              </w:tc>
              <w:tc>
                <w:tcPr>
                  <w:tcW w:w="944" w:type="pct"/>
                  <w:tcBorders>
                    <w:tl2br w:val="nil"/>
                    <w:tr2bl w:val="nil"/>
                  </w:tcBorders>
                  <w:shd w:val="clear" w:color="auto" w:fill="auto"/>
                  <w:noWrap/>
                  <w:vAlign w:val="center"/>
                </w:tcPr>
                <w:p w14:paraId="6BFFE2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97" w:type="pct"/>
                  <w:tcBorders>
                    <w:tl2br w:val="nil"/>
                    <w:tr2bl w:val="nil"/>
                  </w:tcBorders>
                  <w:shd w:val="clear" w:color="auto" w:fill="auto"/>
                  <w:noWrap/>
                  <w:vAlign w:val="center"/>
                </w:tcPr>
                <w:p w14:paraId="1544CA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05" w:type="pct"/>
                  <w:tcBorders>
                    <w:tl2br w:val="nil"/>
                    <w:tr2bl w:val="nil"/>
                  </w:tcBorders>
                  <w:shd w:val="clear" w:color="auto" w:fill="auto"/>
                  <w:noWrap/>
                  <w:vAlign w:val="center"/>
                </w:tcPr>
                <w:p w14:paraId="4AF43C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38BB67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2417BF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13</w:t>
                  </w:r>
                </w:p>
              </w:tc>
              <w:tc>
                <w:tcPr>
                  <w:tcW w:w="1190" w:type="pct"/>
                  <w:vMerge w:val="continue"/>
                  <w:tcBorders>
                    <w:tl2br w:val="nil"/>
                    <w:tr2bl w:val="nil"/>
                  </w:tcBorders>
                  <w:shd w:val="clear" w:color="auto" w:fill="auto"/>
                  <w:noWrap/>
                  <w:vAlign w:val="center"/>
                </w:tcPr>
                <w:p w14:paraId="632426A5">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242F67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实验室废液</w:t>
                  </w:r>
                </w:p>
              </w:tc>
              <w:tc>
                <w:tcPr>
                  <w:tcW w:w="944" w:type="pct"/>
                  <w:tcBorders>
                    <w:tl2br w:val="nil"/>
                    <w:tr2bl w:val="nil"/>
                  </w:tcBorders>
                  <w:shd w:val="clear" w:color="auto" w:fill="auto"/>
                  <w:noWrap/>
                  <w:vAlign w:val="center"/>
                </w:tcPr>
                <w:p w14:paraId="151519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0.4</w:t>
                  </w:r>
                </w:p>
              </w:tc>
              <w:tc>
                <w:tcPr>
                  <w:tcW w:w="697" w:type="pct"/>
                  <w:tcBorders>
                    <w:tl2br w:val="nil"/>
                    <w:tr2bl w:val="nil"/>
                  </w:tcBorders>
                  <w:shd w:val="clear" w:color="auto" w:fill="auto"/>
                  <w:noWrap/>
                  <w:vAlign w:val="center"/>
                </w:tcPr>
                <w:p w14:paraId="79C73D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0.4</w:t>
                  </w:r>
                </w:p>
              </w:tc>
              <w:tc>
                <w:tcPr>
                  <w:tcW w:w="605" w:type="pct"/>
                  <w:tcBorders>
                    <w:tl2br w:val="nil"/>
                    <w:tr2bl w:val="nil"/>
                  </w:tcBorders>
                  <w:shd w:val="clear" w:color="auto" w:fill="auto"/>
                  <w:noWrap/>
                  <w:vAlign w:val="center"/>
                </w:tcPr>
                <w:p w14:paraId="544F42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19A67E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2FB1C2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w:t>
                  </w:r>
                </w:p>
              </w:tc>
              <w:tc>
                <w:tcPr>
                  <w:tcW w:w="1190" w:type="pct"/>
                  <w:vMerge w:val="continue"/>
                  <w:tcBorders>
                    <w:tl2br w:val="nil"/>
                    <w:tr2bl w:val="nil"/>
                  </w:tcBorders>
                  <w:shd w:val="clear" w:color="auto" w:fill="auto"/>
                  <w:noWrap/>
                  <w:vAlign w:val="center"/>
                </w:tcPr>
                <w:p w14:paraId="4F431B2D">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200DA1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沾染化学品包装</w:t>
                  </w:r>
                </w:p>
              </w:tc>
              <w:tc>
                <w:tcPr>
                  <w:tcW w:w="944" w:type="pct"/>
                  <w:tcBorders>
                    <w:tl2br w:val="nil"/>
                    <w:tr2bl w:val="nil"/>
                  </w:tcBorders>
                  <w:shd w:val="clear" w:color="auto" w:fill="auto"/>
                  <w:noWrap/>
                  <w:vAlign w:val="center"/>
                </w:tcPr>
                <w:p w14:paraId="30FED2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w:t>
                  </w:r>
                </w:p>
              </w:tc>
              <w:tc>
                <w:tcPr>
                  <w:tcW w:w="697" w:type="pct"/>
                  <w:tcBorders>
                    <w:tl2br w:val="nil"/>
                    <w:tr2bl w:val="nil"/>
                  </w:tcBorders>
                  <w:shd w:val="clear" w:color="auto" w:fill="auto"/>
                  <w:noWrap/>
                  <w:vAlign w:val="center"/>
                </w:tcPr>
                <w:p w14:paraId="7953FB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w:t>
                  </w:r>
                </w:p>
              </w:tc>
              <w:tc>
                <w:tcPr>
                  <w:tcW w:w="605" w:type="pct"/>
                  <w:tcBorders>
                    <w:tl2br w:val="nil"/>
                    <w:tr2bl w:val="nil"/>
                  </w:tcBorders>
                  <w:shd w:val="clear" w:color="auto" w:fill="auto"/>
                  <w:noWrap/>
                  <w:vAlign w:val="center"/>
                </w:tcPr>
                <w:p w14:paraId="4BE22C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220C24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43B1E1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w:t>
                  </w:r>
                </w:p>
              </w:tc>
              <w:tc>
                <w:tcPr>
                  <w:tcW w:w="1190" w:type="pct"/>
                  <w:vMerge w:val="continue"/>
                  <w:tcBorders>
                    <w:tl2br w:val="nil"/>
                    <w:tr2bl w:val="nil"/>
                  </w:tcBorders>
                  <w:shd w:val="clear" w:color="auto" w:fill="auto"/>
                  <w:noWrap/>
                  <w:vAlign w:val="center"/>
                </w:tcPr>
                <w:p w14:paraId="396F8EA8">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1846F7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废HEPA过滤器</w:t>
                  </w:r>
                </w:p>
              </w:tc>
              <w:tc>
                <w:tcPr>
                  <w:tcW w:w="944" w:type="pct"/>
                  <w:tcBorders>
                    <w:tl2br w:val="nil"/>
                    <w:tr2bl w:val="nil"/>
                  </w:tcBorders>
                  <w:shd w:val="clear" w:color="auto" w:fill="auto"/>
                  <w:noWrap/>
                  <w:vAlign w:val="center"/>
                </w:tcPr>
                <w:p w14:paraId="3DB15A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0.05</w:t>
                  </w:r>
                </w:p>
              </w:tc>
              <w:tc>
                <w:tcPr>
                  <w:tcW w:w="697" w:type="pct"/>
                  <w:tcBorders>
                    <w:tl2br w:val="nil"/>
                    <w:tr2bl w:val="nil"/>
                  </w:tcBorders>
                  <w:shd w:val="clear" w:color="auto" w:fill="auto"/>
                  <w:noWrap/>
                  <w:vAlign w:val="center"/>
                </w:tcPr>
                <w:p w14:paraId="380285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0.05</w:t>
                  </w:r>
                </w:p>
              </w:tc>
              <w:tc>
                <w:tcPr>
                  <w:tcW w:w="605" w:type="pct"/>
                  <w:tcBorders>
                    <w:tl2br w:val="nil"/>
                    <w:tr2bl w:val="nil"/>
                  </w:tcBorders>
                  <w:shd w:val="clear" w:color="auto" w:fill="auto"/>
                  <w:noWrap/>
                  <w:vAlign w:val="center"/>
                </w:tcPr>
                <w:p w14:paraId="0D984B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35C05C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302676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w:t>
                  </w:r>
                </w:p>
              </w:tc>
              <w:tc>
                <w:tcPr>
                  <w:tcW w:w="1190" w:type="pct"/>
                  <w:vMerge w:val="continue"/>
                  <w:tcBorders>
                    <w:tl2br w:val="nil"/>
                    <w:tr2bl w:val="nil"/>
                  </w:tcBorders>
                  <w:shd w:val="clear" w:color="auto" w:fill="auto"/>
                  <w:noWrap/>
                  <w:vAlign w:val="center"/>
                </w:tcPr>
                <w:p w14:paraId="7CB5C87E">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4B13FE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废活性炭</w:t>
                  </w:r>
                </w:p>
              </w:tc>
              <w:tc>
                <w:tcPr>
                  <w:tcW w:w="944" w:type="pct"/>
                  <w:tcBorders>
                    <w:tl2br w:val="nil"/>
                    <w:tr2bl w:val="nil"/>
                  </w:tcBorders>
                  <w:shd w:val="clear" w:color="auto" w:fill="auto"/>
                  <w:noWrap/>
                  <w:vAlign w:val="center"/>
                </w:tcPr>
                <w:p w14:paraId="14E72E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eastAsia" w:cs="Times New Roman"/>
                      <w:i w:val="0"/>
                      <w:iCs w:val="0"/>
                      <w:color w:val="auto"/>
                      <w:kern w:val="0"/>
                      <w:sz w:val="18"/>
                      <w:szCs w:val="18"/>
                      <w:u w:val="none"/>
                      <w:lang w:val="en-US" w:eastAsia="zh-CN" w:bidi="ar"/>
                    </w:rPr>
                    <w:t>8</w:t>
                  </w:r>
                </w:p>
              </w:tc>
              <w:tc>
                <w:tcPr>
                  <w:tcW w:w="697" w:type="pct"/>
                  <w:tcBorders>
                    <w:tl2br w:val="nil"/>
                    <w:tr2bl w:val="nil"/>
                  </w:tcBorders>
                  <w:shd w:val="clear" w:color="auto" w:fill="auto"/>
                  <w:noWrap/>
                  <w:vAlign w:val="center"/>
                </w:tcPr>
                <w:p w14:paraId="6578AE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eastAsia" w:cs="Times New Roman"/>
                      <w:i w:val="0"/>
                      <w:iCs w:val="0"/>
                      <w:color w:val="auto"/>
                      <w:kern w:val="0"/>
                      <w:sz w:val="18"/>
                      <w:szCs w:val="18"/>
                      <w:u w:val="none"/>
                      <w:lang w:val="en-US" w:eastAsia="zh-CN" w:bidi="ar"/>
                    </w:rPr>
                    <w:t>8</w:t>
                  </w:r>
                </w:p>
              </w:tc>
              <w:tc>
                <w:tcPr>
                  <w:tcW w:w="605" w:type="pct"/>
                  <w:tcBorders>
                    <w:tl2br w:val="nil"/>
                    <w:tr2bl w:val="nil"/>
                  </w:tcBorders>
                  <w:shd w:val="clear" w:color="auto" w:fill="auto"/>
                  <w:noWrap/>
                  <w:vAlign w:val="center"/>
                </w:tcPr>
                <w:p w14:paraId="3893B0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586760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7592E4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w:t>
                  </w:r>
                </w:p>
              </w:tc>
              <w:tc>
                <w:tcPr>
                  <w:tcW w:w="1190" w:type="pct"/>
                  <w:vMerge w:val="continue"/>
                  <w:tcBorders>
                    <w:tl2br w:val="nil"/>
                    <w:tr2bl w:val="nil"/>
                  </w:tcBorders>
                  <w:shd w:val="clear" w:color="auto" w:fill="auto"/>
                  <w:noWrap/>
                  <w:vAlign w:val="center"/>
                </w:tcPr>
                <w:p w14:paraId="1F293547">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2E8B28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废润滑油</w:t>
                  </w:r>
                </w:p>
              </w:tc>
              <w:tc>
                <w:tcPr>
                  <w:tcW w:w="944" w:type="pct"/>
                  <w:tcBorders>
                    <w:tl2br w:val="nil"/>
                    <w:tr2bl w:val="nil"/>
                  </w:tcBorders>
                  <w:shd w:val="clear" w:color="auto" w:fill="auto"/>
                  <w:noWrap/>
                  <w:vAlign w:val="center"/>
                </w:tcPr>
                <w:p w14:paraId="692E8C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0.006</w:t>
                  </w:r>
                </w:p>
              </w:tc>
              <w:tc>
                <w:tcPr>
                  <w:tcW w:w="697" w:type="pct"/>
                  <w:tcBorders>
                    <w:tl2br w:val="nil"/>
                    <w:tr2bl w:val="nil"/>
                  </w:tcBorders>
                  <w:shd w:val="clear" w:color="auto" w:fill="auto"/>
                  <w:noWrap/>
                  <w:vAlign w:val="center"/>
                </w:tcPr>
                <w:p w14:paraId="2E4046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0.006</w:t>
                  </w:r>
                </w:p>
              </w:tc>
              <w:tc>
                <w:tcPr>
                  <w:tcW w:w="605" w:type="pct"/>
                  <w:tcBorders>
                    <w:tl2br w:val="nil"/>
                    <w:tr2bl w:val="nil"/>
                  </w:tcBorders>
                  <w:shd w:val="clear" w:color="auto" w:fill="auto"/>
                  <w:noWrap/>
                  <w:vAlign w:val="center"/>
                </w:tcPr>
                <w:p w14:paraId="3AB6AD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4EC649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76671F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w:t>
                  </w:r>
                </w:p>
              </w:tc>
              <w:tc>
                <w:tcPr>
                  <w:tcW w:w="1190" w:type="pct"/>
                  <w:vMerge w:val="continue"/>
                  <w:tcBorders>
                    <w:tl2br w:val="nil"/>
                    <w:tr2bl w:val="nil"/>
                  </w:tcBorders>
                  <w:shd w:val="clear" w:color="auto" w:fill="auto"/>
                  <w:noWrap/>
                  <w:vAlign w:val="center"/>
                </w:tcPr>
                <w:p w14:paraId="51AB4F99">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51DBE4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废油桶</w:t>
                  </w:r>
                </w:p>
              </w:tc>
              <w:tc>
                <w:tcPr>
                  <w:tcW w:w="944" w:type="pct"/>
                  <w:tcBorders>
                    <w:tl2br w:val="nil"/>
                    <w:tr2bl w:val="nil"/>
                  </w:tcBorders>
                  <w:shd w:val="clear" w:color="auto" w:fill="auto"/>
                  <w:noWrap/>
                  <w:vAlign w:val="center"/>
                </w:tcPr>
                <w:p w14:paraId="32FCBE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0.002</w:t>
                  </w:r>
                </w:p>
              </w:tc>
              <w:tc>
                <w:tcPr>
                  <w:tcW w:w="697" w:type="pct"/>
                  <w:tcBorders>
                    <w:tl2br w:val="nil"/>
                    <w:tr2bl w:val="nil"/>
                  </w:tcBorders>
                  <w:shd w:val="clear" w:color="auto" w:fill="auto"/>
                  <w:noWrap/>
                  <w:vAlign w:val="center"/>
                </w:tcPr>
                <w:p w14:paraId="507B7E5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0.002</w:t>
                  </w:r>
                </w:p>
              </w:tc>
              <w:tc>
                <w:tcPr>
                  <w:tcW w:w="605" w:type="pct"/>
                  <w:tcBorders>
                    <w:tl2br w:val="nil"/>
                    <w:tr2bl w:val="nil"/>
                  </w:tcBorders>
                  <w:shd w:val="clear" w:color="auto" w:fill="auto"/>
                  <w:noWrap/>
                  <w:vAlign w:val="center"/>
                </w:tcPr>
                <w:p w14:paraId="047037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r w14:paraId="6CBC92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352" w:type="pct"/>
                  <w:tcBorders>
                    <w:tl2br w:val="nil"/>
                    <w:tr2bl w:val="nil"/>
                  </w:tcBorders>
                  <w:shd w:val="clear" w:color="auto" w:fill="auto"/>
                  <w:noWrap/>
                  <w:vAlign w:val="center"/>
                </w:tcPr>
                <w:p w14:paraId="587671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19</w:t>
                  </w:r>
                </w:p>
              </w:tc>
              <w:tc>
                <w:tcPr>
                  <w:tcW w:w="1190" w:type="pct"/>
                  <w:vMerge w:val="continue"/>
                  <w:tcBorders>
                    <w:tl2br w:val="nil"/>
                    <w:tr2bl w:val="nil"/>
                  </w:tcBorders>
                  <w:shd w:val="clear" w:color="auto" w:fill="auto"/>
                  <w:noWrap/>
                  <w:vAlign w:val="center"/>
                </w:tcPr>
                <w:p w14:paraId="5D995263">
                  <w:pPr>
                    <w:jc w:val="center"/>
                    <w:rPr>
                      <w:rFonts w:hint="default" w:ascii="Times New Roman" w:hAnsi="Times New Roman" w:eastAsia="宋体" w:cs="Times New Roman"/>
                      <w:i w:val="0"/>
                      <w:iCs w:val="0"/>
                      <w:color w:val="auto"/>
                      <w:sz w:val="18"/>
                      <w:szCs w:val="18"/>
                      <w:u w:val="none"/>
                    </w:rPr>
                  </w:pPr>
                </w:p>
              </w:tc>
              <w:tc>
                <w:tcPr>
                  <w:tcW w:w="1209" w:type="pct"/>
                  <w:tcBorders>
                    <w:tl2br w:val="nil"/>
                    <w:tr2bl w:val="nil"/>
                  </w:tcBorders>
                  <w:shd w:val="clear" w:color="auto" w:fill="auto"/>
                  <w:noWrap/>
                  <w:vAlign w:val="center"/>
                </w:tcPr>
                <w:p w14:paraId="356D99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生活垃圾</w:t>
                  </w:r>
                </w:p>
              </w:tc>
              <w:tc>
                <w:tcPr>
                  <w:tcW w:w="944" w:type="pct"/>
                  <w:tcBorders>
                    <w:tl2br w:val="nil"/>
                    <w:tr2bl w:val="nil"/>
                  </w:tcBorders>
                  <w:shd w:val="clear" w:color="auto" w:fill="auto"/>
                  <w:noWrap/>
                  <w:vAlign w:val="center"/>
                </w:tcPr>
                <w:p w14:paraId="17B544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7.5</w:t>
                  </w:r>
                </w:p>
              </w:tc>
              <w:tc>
                <w:tcPr>
                  <w:tcW w:w="697" w:type="pct"/>
                  <w:tcBorders>
                    <w:tl2br w:val="nil"/>
                    <w:tr2bl w:val="nil"/>
                  </w:tcBorders>
                  <w:shd w:val="clear" w:color="auto" w:fill="auto"/>
                  <w:noWrap/>
                  <w:vAlign w:val="center"/>
                </w:tcPr>
                <w:p w14:paraId="0F98ED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7.5</w:t>
                  </w:r>
                </w:p>
              </w:tc>
              <w:tc>
                <w:tcPr>
                  <w:tcW w:w="605" w:type="pct"/>
                  <w:tcBorders>
                    <w:tl2br w:val="nil"/>
                    <w:tr2bl w:val="nil"/>
                  </w:tcBorders>
                  <w:shd w:val="clear" w:color="auto" w:fill="auto"/>
                  <w:noWrap/>
                  <w:vAlign w:val="center"/>
                </w:tcPr>
                <w:p w14:paraId="1986C8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w:t>
                  </w:r>
                </w:p>
              </w:tc>
            </w:tr>
          </w:tbl>
          <w:p w14:paraId="4D2FFE91">
            <w:pPr>
              <w:spacing w:line="360" w:lineRule="auto"/>
            </w:pPr>
          </w:p>
        </w:tc>
      </w:tr>
    </w:tbl>
    <w:p w14:paraId="23E91A4B">
      <w:pPr>
        <w:pStyle w:val="22"/>
        <w:jc w:val="center"/>
        <w:outlineLvl w:val="0"/>
        <w:rPr>
          <w:rFonts w:ascii="Times New Roman" w:hAnsi="Times New Roman" w:eastAsia="黑体"/>
          <w:snapToGrid w:val="0"/>
          <w:sz w:val="30"/>
          <w:szCs w:val="30"/>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767ECB0">
      <w:pPr>
        <w:pStyle w:val="22"/>
        <w:jc w:val="center"/>
        <w:outlineLvl w:val="0"/>
        <w:rPr>
          <w:rFonts w:ascii="Times New Roman" w:hAnsi="Times New Roman" w:eastAsia="黑体"/>
          <w:snapToGrid w:val="0"/>
          <w:sz w:val="30"/>
          <w:szCs w:val="30"/>
        </w:rPr>
      </w:pPr>
      <w:r>
        <w:rPr>
          <w:rFonts w:hint="eastAsia" w:ascii="Times New Roman" w:hAnsi="Times New Roman" w:eastAsia="黑体"/>
          <w:snapToGrid w:val="0"/>
          <w:sz w:val="30"/>
          <w:szCs w:val="30"/>
        </w:rPr>
        <w:t>五、</w:t>
      </w:r>
      <w:bookmarkStart w:id="60" w:name="_Hlk54167917"/>
      <w:r>
        <w:rPr>
          <w:rFonts w:hint="eastAsia" w:ascii="Times New Roman" w:hAnsi="Times New Roman" w:eastAsia="黑体"/>
          <w:snapToGrid w:val="0"/>
          <w:sz w:val="30"/>
          <w:szCs w:val="30"/>
          <w:lang w:val="en-US" w:eastAsia="zh-CN"/>
        </w:rPr>
        <w:t>生态</w:t>
      </w:r>
      <w:r>
        <w:rPr>
          <w:rFonts w:hint="eastAsia" w:ascii="Times New Roman" w:hAnsi="Times New Roman" w:eastAsia="黑体"/>
          <w:snapToGrid w:val="0"/>
          <w:sz w:val="30"/>
          <w:szCs w:val="30"/>
        </w:rPr>
        <w:t>环境保护措施监督检查清单</w:t>
      </w:r>
      <w:bookmarkEnd w:id="54"/>
      <w:bookmarkEnd w:id="55"/>
      <w:bookmarkEnd w:id="56"/>
      <w:bookmarkEnd w:id="57"/>
      <w:bookmarkEnd w:id="58"/>
      <w:bookmarkEnd w:id="60"/>
    </w:p>
    <w:tbl>
      <w:tblPr>
        <w:tblStyle w:val="26"/>
        <w:tblW w:w="8964" w:type="dxa"/>
        <w:tblInd w:w="96"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94"/>
        <w:gridCol w:w="1776"/>
        <w:gridCol w:w="1680"/>
        <w:gridCol w:w="2952"/>
        <w:gridCol w:w="1762"/>
      </w:tblGrid>
      <w:tr w14:paraId="79C38E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13C480BC">
            <w:pPr>
              <w:widowControl/>
              <w:jc w:val="center"/>
              <w:textAlignment w:val="center"/>
              <w:rPr>
                <w:color w:val="000000"/>
                <w:szCs w:val="21"/>
              </w:rPr>
            </w:pPr>
            <w:r>
              <w:rPr>
                <w:rFonts w:hint="eastAsia"/>
                <w:color w:val="000000"/>
                <w:kern w:val="0"/>
                <w:szCs w:val="21"/>
                <w:lang w:bidi="ar"/>
              </w:rPr>
              <w:t>内容/要素</w:t>
            </w:r>
          </w:p>
        </w:tc>
        <w:tc>
          <w:tcPr>
            <w:tcW w:w="1776" w:type="dxa"/>
            <w:tcBorders>
              <w:tl2br w:val="nil"/>
              <w:tr2bl w:val="nil"/>
            </w:tcBorders>
            <w:noWrap/>
            <w:vAlign w:val="center"/>
          </w:tcPr>
          <w:p w14:paraId="30CF42AA">
            <w:pPr>
              <w:widowControl/>
              <w:jc w:val="center"/>
              <w:textAlignment w:val="center"/>
              <w:rPr>
                <w:color w:val="000000"/>
                <w:szCs w:val="21"/>
              </w:rPr>
            </w:pPr>
            <w:r>
              <w:rPr>
                <w:rFonts w:hint="eastAsia"/>
                <w:color w:val="000000"/>
                <w:kern w:val="0"/>
                <w:szCs w:val="21"/>
                <w:lang w:bidi="ar"/>
              </w:rPr>
              <w:t>排放口（编号、名称）/污染源</w:t>
            </w:r>
          </w:p>
        </w:tc>
        <w:tc>
          <w:tcPr>
            <w:tcW w:w="1680" w:type="dxa"/>
            <w:tcBorders>
              <w:tl2br w:val="nil"/>
              <w:tr2bl w:val="nil"/>
            </w:tcBorders>
            <w:noWrap/>
            <w:vAlign w:val="center"/>
          </w:tcPr>
          <w:p w14:paraId="7A8A5D97">
            <w:pPr>
              <w:widowControl/>
              <w:jc w:val="center"/>
              <w:textAlignment w:val="center"/>
              <w:rPr>
                <w:color w:val="000000"/>
                <w:szCs w:val="21"/>
              </w:rPr>
            </w:pPr>
            <w:r>
              <w:rPr>
                <w:rFonts w:hint="eastAsia"/>
                <w:color w:val="000000"/>
                <w:kern w:val="0"/>
                <w:szCs w:val="21"/>
                <w:lang w:bidi="ar"/>
              </w:rPr>
              <w:t>污染源项目</w:t>
            </w:r>
          </w:p>
        </w:tc>
        <w:tc>
          <w:tcPr>
            <w:tcW w:w="2952" w:type="dxa"/>
            <w:tcBorders>
              <w:tl2br w:val="nil"/>
              <w:tr2bl w:val="nil"/>
            </w:tcBorders>
            <w:noWrap/>
            <w:vAlign w:val="center"/>
          </w:tcPr>
          <w:p w14:paraId="4F59DC25">
            <w:pPr>
              <w:widowControl/>
              <w:jc w:val="center"/>
              <w:textAlignment w:val="center"/>
              <w:rPr>
                <w:color w:val="000000"/>
                <w:szCs w:val="21"/>
              </w:rPr>
            </w:pPr>
            <w:r>
              <w:rPr>
                <w:rFonts w:hint="eastAsia"/>
                <w:color w:val="000000"/>
                <w:kern w:val="0"/>
                <w:szCs w:val="21"/>
                <w:lang w:val="en-US" w:eastAsia="zh-CN" w:bidi="ar"/>
              </w:rPr>
              <w:t>生态</w:t>
            </w:r>
            <w:r>
              <w:rPr>
                <w:rFonts w:hint="eastAsia"/>
                <w:color w:val="000000"/>
                <w:kern w:val="0"/>
                <w:szCs w:val="21"/>
                <w:lang w:bidi="ar"/>
              </w:rPr>
              <w:t>环境保护措施</w:t>
            </w:r>
          </w:p>
        </w:tc>
        <w:tc>
          <w:tcPr>
            <w:tcW w:w="1762" w:type="dxa"/>
            <w:tcBorders>
              <w:tl2br w:val="nil"/>
              <w:tr2bl w:val="nil"/>
            </w:tcBorders>
            <w:noWrap/>
            <w:vAlign w:val="center"/>
          </w:tcPr>
          <w:p w14:paraId="29FB6765">
            <w:pPr>
              <w:widowControl/>
              <w:jc w:val="center"/>
              <w:textAlignment w:val="center"/>
              <w:rPr>
                <w:color w:val="000000"/>
                <w:szCs w:val="21"/>
              </w:rPr>
            </w:pPr>
            <w:r>
              <w:rPr>
                <w:rFonts w:hint="eastAsia"/>
                <w:color w:val="000000"/>
                <w:kern w:val="0"/>
                <w:szCs w:val="21"/>
                <w:lang w:bidi="ar"/>
              </w:rPr>
              <w:t>执行标准</w:t>
            </w:r>
          </w:p>
        </w:tc>
      </w:tr>
      <w:tr w14:paraId="4CCD30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794" w:type="dxa"/>
            <w:vMerge w:val="restart"/>
            <w:tcBorders>
              <w:tl2br w:val="nil"/>
              <w:tr2bl w:val="nil"/>
            </w:tcBorders>
            <w:noWrap/>
            <w:vAlign w:val="center"/>
          </w:tcPr>
          <w:p w14:paraId="586D7B07">
            <w:pPr>
              <w:jc w:val="center"/>
              <w:rPr>
                <w:rFonts w:hint="eastAsia" w:eastAsia="宋体"/>
                <w:color w:val="000000"/>
                <w:szCs w:val="21"/>
                <w:lang w:val="en-US" w:eastAsia="zh-CN"/>
              </w:rPr>
            </w:pPr>
            <w:r>
              <w:rPr>
                <w:rFonts w:hint="eastAsia"/>
                <w:color w:val="000000"/>
                <w:szCs w:val="21"/>
                <w:lang w:val="en-US" w:eastAsia="zh-CN"/>
              </w:rPr>
              <w:t>环境空气</w:t>
            </w:r>
          </w:p>
        </w:tc>
        <w:tc>
          <w:tcPr>
            <w:tcW w:w="1776" w:type="dxa"/>
            <w:tcBorders>
              <w:tl2br w:val="nil"/>
              <w:tr2bl w:val="nil"/>
            </w:tcBorders>
            <w:noWrap/>
            <w:vAlign w:val="center"/>
          </w:tcPr>
          <w:p w14:paraId="2609F5EA">
            <w:pPr>
              <w:widowControl/>
              <w:jc w:val="center"/>
              <w:textAlignment w:val="center"/>
              <w:rPr>
                <w:color w:val="000000"/>
                <w:szCs w:val="21"/>
              </w:rPr>
            </w:pPr>
            <w:r>
              <w:rPr>
                <w:rFonts w:hint="eastAsia"/>
                <w:color w:val="000000"/>
                <w:kern w:val="0"/>
                <w:szCs w:val="21"/>
                <w:lang w:val="en-US" w:eastAsia="zh-CN" w:bidi="ar"/>
              </w:rPr>
              <w:t>DA001</w:t>
            </w:r>
          </w:p>
        </w:tc>
        <w:tc>
          <w:tcPr>
            <w:tcW w:w="1680" w:type="dxa"/>
            <w:vMerge w:val="restart"/>
            <w:tcBorders>
              <w:tl2br w:val="nil"/>
              <w:tr2bl w:val="nil"/>
            </w:tcBorders>
            <w:noWrap/>
            <w:vAlign w:val="center"/>
          </w:tcPr>
          <w:p w14:paraId="4BB77D79">
            <w:pPr>
              <w:widowControl/>
              <w:jc w:val="both"/>
              <w:textAlignment w:val="center"/>
              <w:rPr>
                <w:color w:val="000000"/>
                <w:kern w:val="0"/>
                <w:szCs w:val="21"/>
                <w:lang w:bidi="ar"/>
              </w:rPr>
            </w:pPr>
            <w:r>
              <w:rPr>
                <w:rFonts w:hint="eastAsia"/>
                <w:kern w:val="0"/>
                <w:sz w:val="21"/>
                <w:szCs w:val="21"/>
                <w:lang w:val="en-US" w:eastAsia="zh-CN" w:bidi="ar"/>
              </w:rPr>
              <w:t>苯胺类、甲苯、</w:t>
            </w:r>
            <w:r>
              <w:rPr>
                <w:rFonts w:hint="eastAsia"/>
                <w:kern w:val="0"/>
                <w:sz w:val="21"/>
                <w:szCs w:val="21"/>
                <w:lang w:bidi="ar"/>
              </w:rPr>
              <w:t>硫酸雾、氯化氢</w:t>
            </w:r>
            <w:r>
              <w:rPr>
                <w:rFonts w:hint="eastAsia"/>
                <w:kern w:val="0"/>
                <w:sz w:val="21"/>
                <w:szCs w:val="21"/>
                <w:lang w:eastAsia="zh-CN" w:bidi="ar"/>
              </w:rPr>
              <w:t>、</w:t>
            </w:r>
            <w:r>
              <w:rPr>
                <w:rFonts w:hint="eastAsia"/>
                <w:kern w:val="0"/>
                <w:sz w:val="21"/>
                <w:szCs w:val="21"/>
                <w:lang w:val="en-US" w:eastAsia="zh-CN" w:bidi="ar"/>
              </w:rPr>
              <w:t>非甲烷总烃</w:t>
            </w:r>
          </w:p>
        </w:tc>
        <w:tc>
          <w:tcPr>
            <w:tcW w:w="2952" w:type="dxa"/>
            <w:vMerge w:val="restart"/>
            <w:tcBorders>
              <w:tl2br w:val="nil"/>
              <w:tr2bl w:val="nil"/>
            </w:tcBorders>
            <w:noWrap/>
            <w:vAlign w:val="center"/>
          </w:tcPr>
          <w:p w14:paraId="0A7B7E9C">
            <w:pPr>
              <w:widowControl/>
              <w:jc w:val="both"/>
              <w:textAlignment w:val="center"/>
              <w:rPr>
                <w:color w:val="000000"/>
                <w:kern w:val="0"/>
                <w:szCs w:val="21"/>
                <w:lang w:bidi="ar"/>
              </w:rPr>
            </w:pPr>
            <w:r>
              <w:rPr>
                <w:rFonts w:hint="eastAsia"/>
                <w:color w:val="000000"/>
                <w:kern w:val="0"/>
                <w:szCs w:val="21"/>
                <w:lang w:val="en-US" w:eastAsia="zh-CN" w:bidi="ar"/>
              </w:rPr>
              <w:t>危废、化学品</w:t>
            </w:r>
            <w:r>
              <w:rPr>
                <w:rFonts w:hint="eastAsia"/>
                <w:color w:val="000000"/>
                <w:kern w:val="0"/>
                <w:szCs w:val="21"/>
                <w:lang w:bidi="ar"/>
              </w:rPr>
              <w:t>密闭储存；</w:t>
            </w:r>
            <w:r>
              <w:rPr>
                <w:rFonts w:hint="eastAsia"/>
                <w:szCs w:val="21"/>
                <w:lang w:val="en-US" w:eastAsia="zh-CN"/>
              </w:rPr>
              <w:t>化学品仓库和危废仓库采用密闭洁净车间整体收集，经过一级活性炭吸附后，通过15 m高排气筒（DA001）排放。部分车间采用密闭洁净车间整体收集，经过一级活性炭吸附后，通过15 m高排气筒（DA002~DA004）有组织排放。阳性对照室废气，经过通风橱收集后，经过1套高效HEPA过滤器后，通过15 m高排气筒（DA005）有组织排放。主要生产车间（万级洁净车间）的组装、包装等区域，采用车间通风系统无组织排放。</w:t>
            </w:r>
          </w:p>
        </w:tc>
        <w:tc>
          <w:tcPr>
            <w:tcW w:w="1762" w:type="dxa"/>
            <w:vMerge w:val="restart"/>
            <w:tcBorders>
              <w:tl2br w:val="nil"/>
              <w:tr2bl w:val="nil"/>
            </w:tcBorders>
            <w:noWrap/>
            <w:vAlign w:val="center"/>
          </w:tcPr>
          <w:p w14:paraId="18A951E5">
            <w:pPr>
              <w:jc w:val="both"/>
              <w:rPr>
                <w:color w:val="000000"/>
                <w:szCs w:val="21"/>
              </w:rPr>
            </w:pPr>
            <w:r>
              <w:rPr>
                <w:rFonts w:hint="eastAsia"/>
                <w:color w:val="000000"/>
                <w:kern w:val="0"/>
                <w:szCs w:val="21"/>
                <w:lang w:bidi="ar"/>
              </w:rPr>
              <w:t>《大气污染物综合排放标准》</w:t>
            </w:r>
            <w:r>
              <w:rPr>
                <w:rFonts w:hint="eastAsia"/>
                <w:color w:val="000000"/>
                <w:kern w:val="0"/>
                <w:szCs w:val="21"/>
                <w:lang w:val="en-US" w:eastAsia="zh-CN" w:bidi="ar"/>
              </w:rPr>
              <w:t>(</w:t>
            </w:r>
            <w:r>
              <w:rPr>
                <w:color w:val="000000"/>
                <w:kern w:val="0"/>
                <w:szCs w:val="21"/>
                <w:lang w:bidi="ar"/>
              </w:rPr>
              <w:t>GB16297-1996</w:t>
            </w:r>
            <w:r>
              <w:rPr>
                <w:rFonts w:hint="eastAsia"/>
                <w:color w:val="000000"/>
                <w:kern w:val="0"/>
                <w:szCs w:val="21"/>
                <w:lang w:val="en-US" w:eastAsia="zh-CN" w:bidi="ar"/>
              </w:rPr>
              <w:t>)</w:t>
            </w:r>
            <w:r>
              <w:rPr>
                <w:rFonts w:hint="eastAsia"/>
                <w:color w:val="000000"/>
                <w:kern w:val="0"/>
                <w:szCs w:val="21"/>
                <w:lang w:bidi="ar"/>
              </w:rPr>
              <w:t>表2二级标准；</w:t>
            </w:r>
          </w:p>
        </w:tc>
      </w:tr>
      <w:tr w14:paraId="79D6F8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794" w:type="dxa"/>
            <w:vMerge w:val="continue"/>
            <w:tcBorders>
              <w:tl2br w:val="nil"/>
              <w:tr2bl w:val="nil"/>
            </w:tcBorders>
            <w:noWrap/>
            <w:vAlign w:val="center"/>
          </w:tcPr>
          <w:p w14:paraId="756AA9F4">
            <w:pPr>
              <w:widowControl/>
              <w:jc w:val="center"/>
              <w:textAlignment w:val="center"/>
            </w:pPr>
          </w:p>
        </w:tc>
        <w:tc>
          <w:tcPr>
            <w:tcW w:w="1776" w:type="dxa"/>
            <w:tcBorders>
              <w:tl2br w:val="nil"/>
              <w:tr2bl w:val="nil"/>
            </w:tcBorders>
            <w:noWrap/>
            <w:vAlign w:val="center"/>
          </w:tcPr>
          <w:p w14:paraId="79F4297D">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DA002</w:t>
            </w:r>
          </w:p>
        </w:tc>
        <w:tc>
          <w:tcPr>
            <w:tcW w:w="1680" w:type="dxa"/>
            <w:vMerge w:val="continue"/>
            <w:tcBorders>
              <w:tl2br w:val="nil"/>
              <w:tr2bl w:val="nil"/>
            </w:tcBorders>
            <w:noWrap/>
            <w:vAlign w:val="center"/>
          </w:tcPr>
          <w:p w14:paraId="2884946F">
            <w:pPr>
              <w:widowControl/>
              <w:jc w:val="center"/>
              <w:textAlignment w:val="center"/>
              <w:rPr>
                <w:rFonts w:hint="eastAsia"/>
                <w:color w:val="000000"/>
                <w:kern w:val="0"/>
                <w:szCs w:val="21"/>
                <w:lang w:val="en-US" w:eastAsia="zh-CN" w:bidi="ar"/>
              </w:rPr>
            </w:pPr>
          </w:p>
        </w:tc>
        <w:tc>
          <w:tcPr>
            <w:tcW w:w="2952" w:type="dxa"/>
            <w:vMerge w:val="continue"/>
            <w:tcBorders>
              <w:tl2br w:val="nil"/>
              <w:tr2bl w:val="nil"/>
            </w:tcBorders>
            <w:noWrap/>
            <w:vAlign w:val="center"/>
          </w:tcPr>
          <w:p w14:paraId="131A386F">
            <w:pPr>
              <w:widowControl/>
              <w:jc w:val="center"/>
              <w:textAlignment w:val="center"/>
              <w:rPr>
                <w:rFonts w:hint="eastAsia"/>
                <w:color w:val="000000"/>
                <w:kern w:val="0"/>
                <w:szCs w:val="21"/>
                <w:lang w:val="en-US" w:eastAsia="zh-CN" w:bidi="ar"/>
              </w:rPr>
            </w:pPr>
          </w:p>
        </w:tc>
        <w:tc>
          <w:tcPr>
            <w:tcW w:w="1762" w:type="dxa"/>
            <w:vMerge w:val="continue"/>
            <w:tcBorders>
              <w:tl2br w:val="nil"/>
              <w:tr2bl w:val="nil"/>
            </w:tcBorders>
            <w:noWrap/>
            <w:vAlign w:val="center"/>
          </w:tcPr>
          <w:p w14:paraId="0F38E5A8">
            <w:pPr>
              <w:widowControl/>
              <w:jc w:val="center"/>
              <w:textAlignment w:val="center"/>
              <w:rPr>
                <w:rFonts w:hint="eastAsia"/>
                <w:color w:val="000000"/>
                <w:kern w:val="0"/>
                <w:szCs w:val="21"/>
                <w:lang w:val="en-US" w:eastAsia="zh-CN" w:bidi="ar"/>
              </w:rPr>
            </w:pPr>
          </w:p>
        </w:tc>
      </w:tr>
      <w:tr w14:paraId="1660CE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794" w:type="dxa"/>
            <w:vMerge w:val="continue"/>
            <w:tcBorders>
              <w:tl2br w:val="nil"/>
              <w:tr2bl w:val="nil"/>
            </w:tcBorders>
            <w:noWrap/>
            <w:vAlign w:val="center"/>
          </w:tcPr>
          <w:p w14:paraId="7B319631">
            <w:pPr>
              <w:widowControl/>
              <w:jc w:val="center"/>
              <w:textAlignment w:val="center"/>
              <w:rPr>
                <w:rFonts w:hint="eastAsia"/>
                <w:color w:val="000000"/>
                <w:kern w:val="0"/>
                <w:szCs w:val="21"/>
                <w:lang w:val="en-US" w:eastAsia="zh-CN" w:bidi="ar"/>
              </w:rPr>
            </w:pPr>
          </w:p>
        </w:tc>
        <w:tc>
          <w:tcPr>
            <w:tcW w:w="1776" w:type="dxa"/>
            <w:tcBorders>
              <w:tl2br w:val="nil"/>
              <w:tr2bl w:val="nil"/>
            </w:tcBorders>
            <w:noWrap/>
            <w:vAlign w:val="center"/>
          </w:tcPr>
          <w:p w14:paraId="3F54B0FA">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DA003</w:t>
            </w:r>
          </w:p>
        </w:tc>
        <w:tc>
          <w:tcPr>
            <w:tcW w:w="1680" w:type="dxa"/>
            <w:vMerge w:val="continue"/>
            <w:tcBorders>
              <w:tl2br w:val="nil"/>
              <w:tr2bl w:val="nil"/>
            </w:tcBorders>
            <w:noWrap/>
            <w:vAlign w:val="center"/>
          </w:tcPr>
          <w:p w14:paraId="7FF8C012">
            <w:pPr>
              <w:widowControl/>
              <w:jc w:val="center"/>
              <w:textAlignment w:val="center"/>
              <w:rPr>
                <w:rFonts w:hint="eastAsia"/>
                <w:color w:val="000000"/>
                <w:kern w:val="0"/>
                <w:szCs w:val="21"/>
                <w:lang w:val="en-US" w:eastAsia="zh-CN" w:bidi="ar"/>
              </w:rPr>
            </w:pPr>
          </w:p>
        </w:tc>
        <w:tc>
          <w:tcPr>
            <w:tcW w:w="2952" w:type="dxa"/>
            <w:vMerge w:val="continue"/>
            <w:tcBorders>
              <w:tl2br w:val="nil"/>
              <w:tr2bl w:val="nil"/>
            </w:tcBorders>
            <w:noWrap/>
            <w:vAlign w:val="center"/>
          </w:tcPr>
          <w:p w14:paraId="78180B7B">
            <w:pPr>
              <w:widowControl/>
              <w:jc w:val="center"/>
              <w:textAlignment w:val="center"/>
              <w:rPr>
                <w:rFonts w:hint="eastAsia"/>
                <w:color w:val="000000"/>
                <w:kern w:val="0"/>
                <w:szCs w:val="21"/>
                <w:lang w:val="en-US" w:eastAsia="zh-CN" w:bidi="ar"/>
              </w:rPr>
            </w:pPr>
          </w:p>
        </w:tc>
        <w:tc>
          <w:tcPr>
            <w:tcW w:w="1762" w:type="dxa"/>
            <w:vMerge w:val="continue"/>
            <w:tcBorders>
              <w:tl2br w:val="nil"/>
              <w:tr2bl w:val="nil"/>
            </w:tcBorders>
            <w:noWrap/>
            <w:vAlign w:val="center"/>
          </w:tcPr>
          <w:p w14:paraId="25E114CB">
            <w:pPr>
              <w:widowControl/>
              <w:jc w:val="center"/>
              <w:textAlignment w:val="center"/>
              <w:rPr>
                <w:rFonts w:hint="eastAsia"/>
                <w:color w:val="000000"/>
                <w:kern w:val="0"/>
                <w:szCs w:val="21"/>
                <w:lang w:val="en-US" w:eastAsia="zh-CN" w:bidi="ar"/>
              </w:rPr>
            </w:pPr>
          </w:p>
        </w:tc>
      </w:tr>
      <w:tr w14:paraId="0B5E8D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794" w:type="dxa"/>
            <w:vMerge w:val="continue"/>
            <w:tcBorders>
              <w:tl2br w:val="nil"/>
              <w:tr2bl w:val="nil"/>
            </w:tcBorders>
            <w:noWrap/>
            <w:vAlign w:val="center"/>
          </w:tcPr>
          <w:p w14:paraId="461939C2">
            <w:pPr>
              <w:widowControl/>
              <w:jc w:val="center"/>
              <w:textAlignment w:val="center"/>
              <w:rPr>
                <w:rFonts w:hint="eastAsia"/>
                <w:color w:val="000000"/>
                <w:kern w:val="0"/>
                <w:szCs w:val="21"/>
                <w:lang w:val="en-US" w:eastAsia="zh-CN" w:bidi="ar"/>
              </w:rPr>
            </w:pPr>
          </w:p>
        </w:tc>
        <w:tc>
          <w:tcPr>
            <w:tcW w:w="1776" w:type="dxa"/>
            <w:tcBorders>
              <w:tl2br w:val="nil"/>
              <w:tr2bl w:val="nil"/>
            </w:tcBorders>
            <w:noWrap/>
            <w:vAlign w:val="center"/>
          </w:tcPr>
          <w:p w14:paraId="507F7E63">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DA004</w:t>
            </w:r>
          </w:p>
        </w:tc>
        <w:tc>
          <w:tcPr>
            <w:tcW w:w="1680" w:type="dxa"/>
            <w:tcBorders>
              <w:tl2br w:val="nil"/>
              <w:tr2bl w:val="nil"/>
            </w:tcBorders>
            <w:noWrap/>
            <w:vAlign w:val="center"/>
          </w:tcPr>
          <w:p w14:paraId="5A93BCD1">
            <w:pPr>
              <w:widowControl/>
              <w:jc w:val="center"/>
              <w:textAlignment w:val="center"/>
              <w:rPr>
                <w:rFonts w:hint="eastAsia"/>
                <w:color w:val="000000"/>
                <w:kern w:val="0"/>
                <w:szCs w:val="21"/>
                <w:lang w:val="en-US" w:eastAsia="zh-CN" w:bidi="ar"/>
              </w:rPr>
            </w:pPr>
            <w:r>
              <w:rPr>
                <w:rFonts w:hint="eastAsia"/>
                <w:kern w:val="0"/>
                <w:sz w:val="21"/>
                <w:szCs w:val="21"/>
                <w:lang w:val="en-US" w:eastAsia="zh-CN" w:bidi="ar"/>
              </w:rPr>
              <w:t>非甲烷总烃</w:t>
            </w:r>
          </w:p>
        </w:tc>
        <w:tc>
          <w:tcPr>
            <w:tcW w:w="2952" w:type="dxa"/>
            <w:vMerge w:val="continue"/>
            <w:tcBorders>
              <w:tl2br w:val="nil"/>
              <w:tr2bl w:val="nil"/>
            </w:tcBorders>
            <w:noWrap/>
            <w:vAlign w:val="center"/>
          </w:tcPr>
          <w:p w14:paraId="73BDA077">
            <w:pPr>
              <w:widowControl/>
              <w:jc w:val="center"/>
              <w:textAlignment w:val="center"/>
              <w:rPr>
                <w:rFonts w:hint="eastAsia"/>
                <w:color w:val="000000"/>
                <w:kern w:val="0"/>
                <w:szCs w:val="21"/>
                <w:lang w:val="en-US" w:eastAsia="zh-CN" w:bidi="ar"/>
              </w:rPr>
            </w:pPr>
          </w:p>
        </w:tc>
        <w:tc>
          <w:tcPr>
            <w:tcW w:w="1762" w:type="dxa"/>
            <w:vMerge w:val="continue"/>
            <w:tcBorders>
              <w:tl2br w:val="nil"/>
              <w:tr2bl w:val="nil"/>
            </w:tcBorders>
            <w:noWrap/>
            <w:vAlign w:val="center"/>
          </w:tcPr>
          <w:p w14:paraId="12FA8543">
            <w:pPr>
              <w:widowControl/>
              <w:jc w:val="center"/>
              <w:textAlignment w:val="center"/>
              <w:rPr>
                <w:rFonts w:hint="eastAsia"/>
                <w:color w:val="000000"/>
                <w:kern w:val="0"/>
                <w:szCs w:val="21"/>
                <w:lang w:val="en-US" w:eastAsia="zh-CN" w:bidi="ar"/>
              </w:rPr>
            </w:pPr>
          </w:p>
        </w:tc>
      </w:tr>
      <w:tr w14:paraId="69DDD8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794" w:type="dxa"/>
            <w:vMerge w:val="continue"/>
            <w:tcBorders>
              <w:tl2br w:val="nil"/>
              <w:tr2bl w:val="nil"/>
            </w:tcBorders>
            <w:noWrap/>
            <w:vAlign w:val="center"/>
          </w:tcPr>
          <w:p w14:paraId="0F078FCD">
            <w:pPr>
              <w:widowControl/>
              <w:jc w:val="center"/>
              <w:textAlignment w:val="center"/>
              <w:rPr>
                <w:rFonts w:hint="eastAsia"/>
                <w:color w:val="000000"/>
                <w:kern w:val="0"/>
                <w:szCs w:val="21"/>
                <w:lang w:val="en-US" w:eastAsia="zh-CN" w:bidi="ar"/>
              </w:rPr>
            </w:pPr>
          </w:p>
        </w:tc>
        <w:tc>
          <w:tcPr>
            <w:tcW w:w="1776" w:type="dxa"/>
            <w:tcBorders>
              <w:tl2br w:val="nil"/>
              <w:tr2bl w:val="nil"/>
            </w:tcBorders>
            <w:noWrap/>
            <w:vAlign w:val="center"/>
          </w:tcPr>
          <w:p w14:paraId="0D779A8D">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DA005</w:t>
            </w:r>
          </w:p>
        </w:tc>
        <w:tc>
          <w:tcPr>
            <w:tcW w:w="1680" w:type="dxa"/>
            <w:tcBorders>
              <w:tl2br w:val="nil"/>
              <w:tr2bl w:val="nil"/>
            </w:tcBorders>
            <w:noWrap/>
            <w:vAlign w:val="center"/>
          </w:tcPr>
          <w:p w14:paraId="0E22E6DA">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微生物气溶胶</w:t>
            </w:r>
          </w:p>
        </w:tc>
        <w:tc>
          <w:tcPr>
            <w:tcW w:w="2952" w:type="dxa"/>
            <w:vMerge w:val="continue"/>
            <w:tcBorders>
              <w:tl2br w:val="nil"/>
              <w:tr2bl w:val="nil"/>
            </w:tcBorders>
            <w:noWrap/>
            <w:vAlign w:val="center"/>
          </w:tcPr>
          <w:p w14:paraId="5FACA0A5">
            <w:pPr>
              <w:widowControl/>
              <w:jc w:val="center"/>
              <w:textAlignment w:val="center"/>
              <w:rPr>
                <w:rFonts w:hint="eastAsia"/>
                <w:color w:val="000000"/>
                <w:kern w:val="0"/>
                <w:szCs w:val="21"/>
                <w:lang w:val="en-US" w:eastAsia="zh-CN" w:bidi="ar"/>
              </w:rPr>
            </w:pPr>
          </w:p>
        </w:tc>
        <w:tc>
          <w:tcPr>
            <w:tcW w:w="1762" w:type="dxa"/>
            <w:tcBorders>
              <w:tl2br w:val="nil"/>
              <w:tr2bl w:val="nil"/>
            </w:tcBorders>
            <w:noWrap/>
            <w:vAlign w:val="center"/>
          </w:tcPr>
          <w:p w14:paraId="604076EF">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w:t>
            </w:r>
          </w:p>
        </w:tc>
      </w:tr>
      <w:tr w14:paraId="0FE6D4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794" w:type="dxa"/>
            <w:vMerge w:val="continue"/>
            <w:tcBorders>
              <w:tl2br w:val="nil"/>
              <w:tr2bl w:val="nil"/>
            </w:tcBorders>
            <w:noWrap/>
            <w:vAlign w:val="center"/>
          </w:tcPr>
          <w:p w14:paraId="024C4084">
            <w:pPr>
              <w:widowControl/>
              <w:jc w:val="both"/>
              <w:textAlignment w:val="center"/>
            </w:pPr>
          </w:p>
        </w:tc>
        <w:tc>
          <w:tcPr>
            <w:tcW w:w="1776" w:type="dxa"/>
            <w:tcBorders>
              <w:tl2br w:val="nil"/>
              <w:tr2bl w:val="nil"/>
            </w:tcBorders>
            <w:noWrap/>
            <w:vAlign w:val="center"/>
          </w:tcPr>
          <w:p w14:paraId="70B00A34">
            <w:pPr>
              <w:widowControl/>
              <w:jc w:val="center"/>
              <w:textAlignment w:val="center"/>
              <w:rPr>
                <w:color w:val="000000"/>
                <w:kern w:val="0"/>
                <w:szCs w:val="21"/>
                <w:lang w:bidi="ar"/>
              </w:rPr>
            </w:pPr>
            <w:r>
              <w:rPr>
                <w:rFonts w:hint="eastAsia"/>
                <w:color w:val="000000"/>
                <w:kern w:val="0"/>
                <w:szCs w:val="21"/>
                <w:lang w:bidi="ar"/>
              </w:rPr>
              <w:t>无组织（厂界）</w:t>
            </w:r>
          </w:p>
        </w:tc>
        <w:tc>
          <w:tcPr>
            <w:tcW w:w="1680" w:type="dxa"/>
            <w:tcBorders>
              <w:tl2br w:val="nil"/>
              <w:tr2bl w:val="nil"/>
            </w:tcBorders>
            <w:noWrap/>
            <w:vAlign w:val="center"/>
          </w:tcPr>
          <w:p w14:paraId="1D6AE622">
            <w:pPr>
              <w:widowControl/>
              <w:jc w:val="both"/>
              <w:textAlignment w:val="center"/>
              <w:rPr>
                <w:color w:val="000000"/>
                <w:kern w:val="0"/>
                <w:szCs w:val="21"/>
                <w:lang w:bidi="ar"/>
              </w:rPr>
            </w:pPr>
            <w:r>
              <w:rPr>
                <w:rFonts w:hint="eastAsia"/>
                <w:kern w:val="0"/>
                <w:sz w:val="21"/>
                <w:szCs w:val="21"/>
                <w:lang w:val="en-US" w:eastAsia="zh-CN" w:bidi="ar"/>
              </w:rPr>
              <w:t>苯胺类、甲苯、</w:t>
            </w:r>
            <w:r>
              <w:rPr>
                <w:rFonts w:hint="eastAsia"/>
                <w:kern w:val="0"/>
                <w:sz w:val="21"/>
                <w:szCs w:val="21"/>
                <w:lang w:bidi="ar"/>
              </w:rPr>
              <w:t>硫酸雾、氯化氢</w:t>
            </w:r>
            <w:r>
              <w:rPr>
                <w:rFonts w:hint="eastAsia"/>
                <w:kern w:val="0"/>
                <w:sz w:val="21"/>
                <w:szCs w:val="21"/>
                <w:lang w:eastAsia="zh-CN" w:bidi="ar"/>
              </w:rPr>
              <w:t>、</w:t>
            </w:r>
            <w:r>
              <w:rPr>
                <w:rFonts w:hint="eastAsia"/>
                <w:kern w:val="0"/>
                <w:sz w:val="21"/>
                <w:szCs w:val="21"/>
                <w:lang w:val="en-US" w:eastAsia="zh-CN" w:bidi="ar"/>
              </w:rPr>
              <w:t>非甲烷总烃</w:t>
            </w:r>
          </w:p>
        </w:tc>
        <w:tc>
          <w:tcPr>
            <w:tcW w:w="2952" w:type="dxa"/>
            <w:vMerge w:val="continue"/>
            <w:tcBorders>
              <w:tl2br w:val="nil"/>
              <w:tr2bl w:val="nil"/>
            </w:tcBorders>
            <w:noWrap/>
            <w:vAlign w:val="center"/>
          </w:tcPr>
          <w:p w14:paraId="0641BFDF">
            <w:pPr>
              <w:widowControl/>
              <w:jc w:val="both"/>
              <w:textAlignment w:val="center"/>
              <w:rPr>
                <w:color w:val="000000"/>
                <w:kern w:val="0"/>
                <w:szCs w:val="21"/>
                <w:lang w:bidi="ar"/>
              </w:rPr>
            </w:pPr>
          </w:p>
        </w:tc>
        <w:tc>
          <w:tcPr>
            <w:tcW w:w="1762" w:type="dxa"/>
            <w:tcBorders>
              <w:tl2br w:val="nil"/>
              <w:tr2bl w:val="nil"/>
            </w:tcBorders>
            <w:noWrap/>
            <w:vAlign w:val="center"/>
          </w:tcPr>
          <w:p w14:paraId="1C96703A">
            <w:pPr>
              <w:widowControl/>
              <w:jc w:val="both"/>
              <w:textAlignment w:val="center"/>
              <w:rPr>
                <w:color w:val="000000"/>
                <w:kern w:val="0"/>
                <w:szCs w:val="21"/>
                <w:lang w:bidi="ar"/>
              </w:rPr>
            </w:pPr>
            <w:r>
              <w:rPr>
                <w:rFonts w:hint="eastAsia"/>
                <w:color w:val="000000"/>
                <w:kern w:val="0"/>
                <w:szCs w:val="21"/>
                <w:lang w:bidi="ar"/>
              </w:rPr>
              <w:t>《大气污染物综合排放标准》</w:t>
            </w:r>
            <w:r>
              <w:rPr>
                <w:rFonts w:hint="eastAsia"/>
                <w:color w:val="000000"/>
                <w:kern w:val="0"/>
                <w:szCs w:val="21"/>
                <w:lang w:val="en-US" w:eastAsia="zh-CN" w:bidi="ar"/>
              </w:rPr>
              <w:t>(</w:t>
            </w:r>
            <w:r>
              <w:rPr>
                <w:color w:val="000000"/>
                <w:kern w:val="0"/>
                <w:szCs w:val="21"/>
                <w:lang w:bidi="ar"/>
              </w:rPr>
              <w:t>GB16297-1996</w:t>
            </w:r>
            <w:r>
              <w:rPr>
                <w:rFonts w:hint="eastAsia"/>
                <w:color w:val="000000"/>
                <w:kern w:val="0"/>
                <w:szCs w:val="21"/>
                <w:lang w:val="en-US" w:eastAsia="zh-CN" w:bidi="ar"/>
              </w:rPr>
              <w:t>)</w:t>
            </w:r>
            <w:r>
              <w:rPr>
                <w:rFonts w:hint="eastAsia"/>
                <w:color w:val="000000"/>
                <w:kern w:val="0"/>
                <w:szCs w:val="21"/>
                <w:lang w:bidi="ar"/>
              </w:rPr>
              <w:t>表2</w:t>
            </w:r>
          </w:p>
        </w:tc>
      </w:tr>
      <w:tr w14:paraId="55967E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794" w:type="dxa"/>
            <w:vMerge w:val="continue"/>
            <w:tcBorders>
              <w:tl2br w:val="nil"/>
              <w:tr2bl w:val="nil"/>
            </w:tcBorders>
            <w:noWrap/>
            <w:vAlign w:val="center"/>
          </w:tcPr>
          <w:p w14:paraId="5E14CD89">
            <w:pPr>
              <w:widowControl/>
              <w:jc w:val="center"/>
              <w:textAlignment w:val="center"/>
            </w:pPr>
          </w:p>
        </w:tc>
        <w:tc>
          <w:tcPr>
            <w:tcW w:w="1776" w:type="dxa"/>
            <w:tcBorders>
              <w:tl2br w:val="nil"/>
              <w:tr2bl w:val="nil"/>
            </w:tcBorders>
            <w:noWrap/>
            <w:vAlign w:val="center"/>
          </w:tcPr>
          <w:p w14:paraId="12386510">
            <w:pPr>
              <w:widowControl/>
              <w:jc w:val="center"/>
              <w:textAlignment w:val="center"/>
              <w:rPr>
                <w:rFonts w:hint="eastAsia" w:eastAsia="宋体"/>
                <w:color w:val="000000"/>
                <w:kern w:val="0"/>
                <w:szCs w:val="21"/>
                <w:lang w:val="en-US" w:eastAsia="zh-CN" w:bidi="ar"/>
              </w:rPr>
            </w:pPr>
            <w:r>
              <w:rPr>
                <w:rFonts w:hint="eastAsia"/>
                <w:color w:val="000000"/>
                <w:kern w:val="0"/>
                <w:szCs w:val="21"/>
                <w:lang w:val="en-US" w:eastAsia="zh-CN" w:bidi="ar"/>
              </w:rPr>
              <w:t>无组织（厂区内）</w:t>
            </w:r>
          </w:p>
        </w:tc>
        <w:tc>
          <w:tcPr>
            <w:tcW w:w="1680" w:type="dxa"/>
            <w:tcBorders>
              <w:tl2br w:val="nil"/>
              <w:tr2bl w:val="nil"/>
            </w:tcBorders>
            <w:noWrap/>
            <w:vAlign w:val="center"/>
          </w:tcPr>
          <w:p w14:paraId="1DA1EB08">
            <w:pPr>
              <w:widowControl/>
              <w:jc w:val="center"/>
              <w:textAlignment w:val="center"/>
              <w:rPr>
                <w:rFonts w:hint="default" w:eastAsia="宋体"/>
                <w:color w:val="000000"/>
                <w:kern w:val="0"/>
                <w:szCs w:val="21"/>
                <w:lang w:val="en-US" w:eastAsia="zh-CN" w:bidi="ar"/>
              </w:rPr>
            </w:pPr>
            <w:r>
              <w:rPr>
                <w:rFonts w:hint="eastAsia"/>
                <w:color w:val="000000"/>
                <w:kern w:val="0"/>
                <w:szCs w:val="21"/>
                <w:lang w:val="en-US" w:eastAsia="zh-CN" w:bidi="ar"/>
              </w:rPr>
              <w:t>非甲烷总烃</w:t>
            </w:r>
          </w:p>
        </w:tc>
        <w:tc>
          <w:tcPr>
            <w:tcW w:w="2952" w:type="dxa"/>
            <w:vMerge w:val="continue"/>
            <w:tcBorders>
              <w:tl2br w:val="nil"/>
              <w:tr2bl w:val="nil"/>
            </w:tcBorders>
            <w:noWrap/>
            <w:vAlign w:val="center"/>
          </w:tcPr>
          <w:p w14:paraId="1B9B2685">
            <w:pPr>
              <w:widowControl/>
              <w:jc w:val="center"/>
              <w:textAlignment w:val="center"/>
              <w:rPr>
                <w:color w:val="000000"/>
                <w:kern w:val="0"/>
                <w:szCs w:val="21"/>
                <w:lang w:bidi="ar"/>
              </w:rPr>
            </w:pPr>
          </w:p>
        </w:tc>
        <w:tc>
          <w:tcPr>
            <w:tcW w:w="1762" w:type="dxa"/>
            <w:tcBorders>
              <w:tl2br w:val="nil"/>
              <w:tr2bl w:val="nil"/>
            </w:tcBorders>
            <w:noWrap/>
            <w:vAlign w:val="center"/>
          </w:tcPr>
          <w:p w14:paraId="7079CF52">
            <w:pPr>
              <w:widowControl/>
              <w:jc w:val="center"/>
              <w:textAlignment w:val="center"/>
              <w:rPr>
                <w:rFonts w:hint="default" w:eastAsia="宋体"/>
                <w:color w:val="000000"/>
                <w:kern w:val="0"/>
                <w:szCs w:val="21"/>
                <w:lang w:val="en-US" w:eastAsia="zh-CN" w:bidi="ar"/>
              </w:rPr>
            </w:pPr>
            <w:r>
              <w:rPr>
                <w:rFonts w:hint="eastAsia"/>
                <w:color w:val="auto"/>
                <w:kern w:val="0"/>
                <w:szCs w:val="21"/>
                <w:lang w:bidi="ar"/>
              </w:rPr>
              <w:t>《挥发性有机物无组织排放控制标准》(GB37822-2019)</w:t>
            </w:r>
            <w:r>
              <w:rPr>
                <w:rFonts w:hint="eastAsia"/>
                <w:color w:val="auto"/>
                <w:kern w:val="0"/>
                <w:szCs w:val="21"/>
                <w:lang w:val="en-US" w:eastAsia="zh-CN" w:bidi="ar"/>
              </w:rPr>
              <w:t>附录A</w:t>
            </w:r>
          </w:p>
        </w:tc>
      </w:tr>
      <w:tr w14:paraId="470161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4A176029">
            <w:pPr>
              <w:widowControl/>
              <w:jc w:val="center"/>
              <w:textAlignment w:val="center"/>
              <w:rPr>
                <w:color w:val="000000"/>
                <w:szCs w:val="21"/>
              </w:rPr>
            </w:pPr>
            <w:r>
              <w:rPr>
                <w:rFonts w:hint="eastAsia"/>
                <w:color w:val="000000"/>
                <w:kern w:val="0"/>
                <w:szCs w:val="21"/>
                <w:lang w:bidi="ar"/>
              </w:rPr>
              <w:t>地表水环境</w:t>
            </w:r>
          </w:p>
        </w:tc>
        <w:tc>
          <w:tcPr>
            <w:tcW w:w="1776" w:type="dxa"/>
            <w:tcBorders>
              <w:tl2br w:val="nil"/>
              <w:tr2bl w:val="nil"/>
            </w:tcBorders>
            <w:noWrap/>
            <w:vAlign w:val="center"/>
          </w:tcPr>
          <w:p w14:paraId="75A20976">
            <w:pPr>
              <w:widowControl/>
              <w:jc w:val="center"/>
              <w:textAlignment w:val="center"/>
              <w:rPr>
                <w:color w:val="000000"/>
                <w:szCs w:val="21"/>
              </w:rPr>
            </w:pPr>
            <w:r>
              <w:rPr>
                <w:color w:val="000000"/>
                <w:kern w:val="0"/>
                <w:szCs w:val="21"/>
                <w:lang w:bidi="ar"/>
              </w:rPr>
              <w:t>DW001</w:t>
            </w:r>
          </w:p>
        </w:tc>
        <w:tc>
          <w:tcPr>
            <w:tcW w:w="1680" w:type="dxa"/>
            <w:tcBorders>
              <w:tl2br w:val="nil"/>
              <w:tr2bl w:val="nil"/>
            </w:tcBorders>
            <w:noWrap/>
            <w:vAlign w:val="center"/>
          </w:tcPr>
          <w:p w14:paraId="6A230E7C">
            <w:pPr>
              <w:jc w:val="center"/>
              <w:rPr>
                <w:color w:val="000000"/>
                <w:szCs w:val="21"/>
              </w:rPr>
            </w:pPr>
            <w:r>
              <w:rPr>
                <w:color w:val="000000"/>
                <w:kern w:val="0"/>
                <w:szCs w:val="21"/>
                <w:lang w:bidi="ar"/>
              </w:rPr>
              <w:t>COD</w:t>
            </w:r>
            <w:r>
              <w:rPr>
                <w:color w:val="000000"/>
                <w:kern w:val="0"/>
                <w:szCs w:val="21"/>
                <w:vertAlign w:val="subscript"/>
                <w:lang w:bidi="ar"/>
              </w:rPr>
              <w:t>Cr</w:t>
            </w:r>
            <w:r>
              <w:rPr>
                <w:rFonts w:hint="eastAsia"/>
                <w:color w:val="000000"/>
                <w:kern w:val="0"/>
                <w:szCs w:val="21"/>
                <w:lang w:bidi="ar"/>
              </w:rPr>
              <w:t>、NH</w:t>
            </w:r>
            <w:r>
              <w:rPr>
                <w:color w:val="000000"/>
                <w:kern w:val="0"/>
                <w:szCs w:val="21"/>
                <w:vertAlign w:val="subscript"/>
                <w:lang w:bidi="ar"/>
              </w:rPr>
              <w:t>3</w:t>
            </w:r>
            <w:r>
              <w:rPr>
                <w:rFonts w:hint="eastAsia"/>
                <w:color w:val="000000"/>
                <w:kern w:val="0"/>
                <w:szCs w:val="21"/>
                <w:lang w:bidi="ar"/>
              </w:rPr>
              <w:t>-N、LAS</w:t>
            </w:r>
          </w:p>
        </w:tc>
        <w:tc>
          <w:tcPr>
            <w:tcW w:w="2952" w:type="dxa"/>
            <w:tcBorders>
              <w:tl2br w:val="nil"/>
              <w:tr2bl w:val="nil"/>
            </w:tcBorders>
            <w:noWrap/>
            <w:vAlign w:val="center"/>
          </w:tcPr>
          <w:p w14:paraId="0EE8A797">
            <w:pPr>
              <w:widowControl/>
              <w:jc w:val="both"/>
              <w:textAlignment w:val="center"/>
              <w:rPr>
                <w:color w:val="000000"/>
                <w:szCs w:val="21"/>
              </w:rPr>
            </w:pPr>
            <w:r>
              <w:rPr>
                <w:rFonts w:hint="eastAsia"/>
                <w:color w:val="000000"/>
                <w:kern w:val="0"/>
                <w:szCs w:val="21"/>
                <w:lang w:bidi="ar"/>
              </w:rPr>
              <w:t>生活污水经化粪池预处理、与生产废水纳管至余杭污水处理厂集中处理。</w:t>
            </w:r>
          </w:p>
        </w:tc>
        <w:tc>
          <w:tcPr>
            <w:tcW w:w="1762" w:type="dxa"/>
            <w:tcBorders>
              <w:tl2br w:val="nil"/>
              <w:tr2bl w:val="nil"/>
            </w:tcBorders>
            <w:noWrap/>
            <w:vAlign w:val="center"/>
          </w:tcPr>
          <w:p w14:paraId="0E297E97">
            <w:pPr>
              <w:widowControl/>
              <w:jc w:val="both"/>
              <w:textAlignment w:val="center"/>
              <w:rPr>
                <w:rFonts w:hint="eastAsia" w:eastAsia="宋体"/>
                <w:color w:val="000000"/>
                <w:szCs w:val="21"/>
                <w:lang w:eastAsia="zh-CN"/>
              </w:rPr>
            </w:pPr>
            <w:r>
              <w:rPr>
                <w:rFonts w:hint="eastAsia"/>
                <w:color w:val="000000"/>
                <w:kern w:val="0"/>
                <w:szCs w:val="21"/>
                <w:lang w:bidi="ar"/>
              </w:rPr>
              <w:t>《污水综合排放标准》</w:t>
            </w:r>
            <w:r>
              <w:rPr>
                <w:rFonts w:hint="eastAsia"/>
                <w:color w:val="000000"/>
                <w:kern w:val="0"/>
                <w:szCs w:val="21"/>
                <w:lang w:val="en-US" w:eastAsia="zh-CN" w:bidi="ar"/>
              </w:rPr>
              <w:t>(</w:t>
            </w:r>
            <w:r>
              <w:rPr>
                <w:color w:val="000000"/>
                <w:kern w:val="0"/>
                <w:szCs w:val="21"/>
                <w:lang w:bidi="ar"/>
              </w:rPr>
              <w:t>GB8978-1996</w:t>
            </w:r>
            <w:r>
              <w:rPr>
                <w:rFonts w:hint="eastAsia"/>
                <w:color w:val="000000"/>
                <w:kern w:val="0"/>
                <w:szCs w:val="21"/>
                <w:lang w:val="en-US" w:eastAsia="zh-CN" w:bidi="ar"/>
              </w:rPr>
              <w:t>)</w:t>
            </w:r>
            <w:r>
              <w:rPr>
                <w:rFonts w:hint="eastAsia"/>
                <w:color w:val="000000"/>
                <w:kern w:val="0"/>
                <w:szCs w:val="21"/>
                <w:lang w:bidi="ar"/>
              </w:rPr>
              <w:t>三级标准</w:t>
            </w:r>
            <w:r>
              <w:rPr>
                <w:rFonts w:hint="eastAsia"/>
                <w:color w:val="000000"/>
                <w:kern w:val="0"/>
                <w:szCs w:val="21"/>
                <w:lang w:eastAsia="zh-CN" w:bidi="ar"/>
              </w:rPr>
              <w:t>；</w:t>
            </w:r>
            <w:r>
              <w:rPr>
                <w:rFonts w:hint="eastAsia"/>
                <w:szCs w:val="21"/>
              </w:rPr>
              <w:t>《工业企业废水氮、磷污染物间接排放</w:t>
            </w:r>
            <w:r>
              <w:rPr>
                <w:rFonts w:hint="eastAsia"/>
                <w:szCs w:val="21"/>
                <w:lang w:val="en-US" w:eastAsia="zh-CN"/>
              </w:rPr>
              <w:t>标准</w:t>
            </w:r>
            <w:r>
              <w:rPr>
                <w:rFonts w:hint="eastAsia"/>
                <w:szCs w:val="21"/>
              </w:rPr>
              <w:t>》</w:t>
            </w:r>
            <w:r>
              <w:rPr>
                <w:rFonts w:hint="eastAsia"/>
                <w:szCs w:val="21"/>
                <w:lang w:val="en-US" w:eastAsia="zh-CN"/>
              </w:rPr>
              <w:t>(</w:t>
            </w:r>
            <w:r>
              <w:rPr>
                <w:szCs w:val="21"/>
              </w:rPr>
              <w:t>DB33/887-20</w:t>
            </w:r>
            <w:r>
              <w:rPr>
                <w:rFonts w:hint="eastAsia"/>
                <w:szCs w:val="21"/>
                <w:lang w:val="en-US" w:eastAsia="zh-CN"/>
              </w:rPr>
              <w:t>25)</w:t>
            </w:r>
          </w:p>
        </w:tc>
      </w:tr>
      <w:tr w14:paraId="0FE3DF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250539C9">
            <w:pPr>
              <w:widowControl/>
              <w:jc w:val="center"/>
              <w:textAlignment w:val="center"/>
              <w:rPr>
                <w:color w:val="000000"/>
                <w:szCs w:val="21"/>
              </w:rPr>
            </w:pPr>
            <w:r>
              <w:rPr>
                <w:rFonts w:hint="eastAsia"/>
                <w:color w:val="000000"/>
                <w:kern w:val="0"/>
                <w:szCs w:val="21"/>
                <w:lang w:bidi="ar"/>
              </w:rPr>
              <w:t>声环境</w:t>
            </w:r>
          </w:p>
        </w:tc>
        <w:tc>
          <w:tcPr>
            <w:tcW w:w="1776" w:type="dxa"/>
            <w:tcBorders>
              <w:tl2br w:val="nil"/>
              <w:tr2bl w:val="nil"/>
            </w:tcBorders>
            <w:noWrap/>
            <w:vAlign w:val="center"/>
          </w:tcPr>
          <w:p w14:paraId="78C3E257">
            <w:pPr>
              <w:widowControl/>
              <w:jc w:val="center"/>
              <w:textAlignment w:val="center"/>
              <w:rPr>
                <w:color w:val="000000"/>
                <w:szCs w:val="21"/>
              </w:rPr>
            </w:pPr>
            <w:r>
              <w:rPr>
                <w:rFonts w:hint="eastAsia"/>
                <w:color w:val="000000"/>
                <w:kern w:val="0"/>
                <w:szCs w:val="21"/>
                <w:lang w:bidi="ar"/>
              </w:rPr>
              <w:t>噪声</w:t>
            </w:r>
          </w:p>
        </w:tc>
        <w:tc>
          <w:tcPr>
            <w:tcW w:w="1680" w:type="dxa"/>
            <w:tcBorders>
              <w:tl2br w:val="nil"/>
              <w:tr2bl w:val="nil"/>
            </w:tcBorders>
            <w:noWrap/>
            <w:vAlign w:val="center"/>
          </w:tcPr>
          <w:p w14:paraId="5E44AAE0">
            <w:pPr>
              <w:widowControl/>
              <w:jc w:val="center"/>
              <w:textAlignment w:val="center"/>
              <w:rPr>
                <w:color w:val="000000"/>
                <w:szCs w:val="21"/>
              </w:rPr>
            </w:pPr>
            <w:r>
              <w:rPr>
                <w:color w:val="000000"/>
                <w:kern w:val="0"/>
                <w:szCs w:val="21"/>
                <w:lang w:bidi="ar"/>
              </w:rPr>
              <w:t>Leq(A)</w:t>
            </w:r>
          </w:p>
        </w:tc>
        <w:tc>
          <w:tcPr>
            <w:tcW w:w="2952" w:type="dxa"/>
            <w:tcBorders>
              <w:tl2br w:val="nil"/>
              <w:tr2bl w:val="nil"/>
            </w:tcBorders>
            <w:noWrap/>
            <w:vAlign w:val="center"/>
          </w:tcPr>
          <w:p w14:paraId="1837313E">
            <w:pPr>
              <w:widowControl/>
              <w:jc w:val="both"/>
              <w:textAlignment w:val="center"/>
              <w:rPr>
                <w:color w:val="000000"/>
                <w:szCs w:val="21"/>
              </w:rPr>
            </w:pPr>
            <w:r>
              <w:rPr>
                <w:rFonts w:hint="eastAsia"/>
                <w:color w:val="000000"/>
                <w:kern w:val="0"/>
                <w:szCs w:val="21"/>
                <w:lang w:bidi="ar"/>
              </w:rPr>
              <w:t>①在设计和设备采购阶段，选用先进的低噪设备。②对高噪声设备设置隔声、减震等降噪措施。③在厂房内部合理布置相关的生产设备。④平时生产中需要加强对各设备的维修、保养，确保设备处于良好的运转状态，杜绝因设备不正常运转而产生的高噪音现象。⑤加强日常运营管理，生产作业时尽量关好门窗。</w:t>
            </w:r>
          </w:p>
        </w:tc>
        <w:tc>
          <w:tcPr>
            <w:tcW w:w="1762" w:type="dxa"/>
            <w:tcBorders>
              <w:tl2br w:val="nil"/>
              <w:tr2bl w:val="nil"/>
            </w:tcBorders>
            <w:noWrap/>
            <w:vAlign w:val="center"/>
          </w:tcPr>
          <w:p w14:paraId="7CA4340C">
            <w:pPr>
              <w:widowControl/>
              <w:jc w:val="both"/>
              <w:textAlignment w:val="center"/>
              <w:rPr>
                <w:color w:val="000000"/>
                <w:szCs w:val="21"/>
              </w:rPr>
            </w:pPr>
            <w:r>
              <w:rPr>
                <w:rFonts w:hint="eastAsia"/>
                <w:color w:val="000000"/>
                <w:kern w:val="0"/>
                <w:szCs w:val="21"/>
                <w:lang w:bidi="ar"/>
              </w:rPr>
              <w:t>《工业企业厂界环境噪声排放标准》(GB12348-2008)</w:t>
            </w:r>
            <w:r>
              <w:rPr>
                <w:rFonts w:hint="eastAsia"/>
                <w:color w:val="000000"/>
                <w:kern w:val="0"/>
                <w:szCs w:val="21"/>
                <w:lang w:val="en-US" w:eastAsia="zh-CN" w:bidi="ar"/>
              </w:rPr>
              <w:t>2</w:t>
            </w:r>
            <w:r>
              <w:rPr>
                <w:rFonts w:hint="eastAsia"/>
                <w:color w:val="000000"/>
                <w:kern w:val="0"/>
                <w:szCs w:val="21"/>
                <w:lang w:bidi="ar"/>
              </w:rPr>
              <w:t>类标准</w:t>
            </w:r>
          </w:p>
        </w:tc>
      </w:tr>
      <w:tr w14:paraId="19CDEF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2AC4EA4B">
            <w:pPr>
              <w:widowControl/>
              <w:jc w:val="center"/>
              <w:textAlignment w:val="center"/>
              <w:rPr>
                <w:color w:val="000000"/>
                <w:szCs w:val="21"/>
              </w:rPr>
            </w:pPr>
            <w:r>
              <w:rPr>
                <w:rFonts w:hint="eastAsia"/>
                <w:color w:val="000000"/>
                <w:kern w:val="0"/>
                <w:szCs w:val="21"/>
                <w:lang w:bidi="ar"/>
              </w:rPr>
              <w:t>固体废物</w:t>
            </w:r>
          </w:p>
        </w:tc>
        <w:tc>
          <w:tcPr>
            <w:tcW w:w="8170" w:type="dxa"/>
            <w:gridSpan w:val="4"/>
            <w:tcBorders>
              <w:tl2br w:val="nil"/>
              <w:tr2bl w:val="nil"/>
            </w:tcBorders>
            <w:vAlign w:val="center"/>
          </w:tcPr>
          <w:p w14:paraId="5018F0D5">
            <w:pPr>
              <w:widowControl/>
              <w:jc w:val="both"/>
              <w:textAlignment w:val="center"/>
              <w:rPr>
                <w:color w:val="000000"/>
                <w:szCs w:val="21"/>
              </w:rPr>
            </w:pPr>
            <w:r>
              <w:rPr>
                <w:rFonts w:hint="eastAsia"/>
                <w:color w:val="000000"/>
                <w:kern w:val="0"/>
                <w:szCs w:val="21"/>
                <w:lang w:bidi="ar"/>
              </w:rPr>
              <w:t>一般工业固体废物分类收集后委托处置；危险废物规范化收集暂存后委托有资质单位处置；生活垃圾收集后由环卫部门统一清运。</w:t>
            </w:r>
          </w:p>
        </w:tc>
      </w:tr>
      <w:tr w14:paraId="670DAC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6A10AF03">
            <w:pPr>
              <w:widowControl/>
              <w:jc w:val="center"/>
              <w:textAlignment w:val="center"/>
              <w:rPr>
                <w:color w:val="000000"/>
                <w:szCs w:val="21"/>
              </w:rPr>
            </w:pPr>
            <w:r>
              <w:rPr>
                <w:rFonts w:hint="eastAsia"/>
                <w:color w:val="000000"/>
                <w:kern w:val="0"/>
                <w:szCs w:val="21"/>
                <w:lang w:bidi="ar"/>
              </w:rPr>
              <w:t>土壤及地下水污染防治措施</w:t>
            </w:r>
          </w:p>
        </w:tc>
        <w:tc>
          <w:tcPr>
            <w:tcW w:w="8170" w:type="dxa"/>
            <w:gridSpan w:val="4"/>
            <w:tcBorders>
              <w:tl2br w:val="nil"/>
              <w:tr2bl w:val="nil"/>
            </w:tcBorders>
            <w:noWrap/>
            <w:vAlign w:val="center"/>
          </w:tcPr>
          <w:p w14:paraId="2E08E5F3">
            <w:pPr>
              <w:widowControl/>
              <w:jc w:val="both"/>
              <w:textAlignment w:val="center"/>
              <w:rPr>
                <w:color w:val="000000"/>
                <w:kern w:val="0"/>
                <w:szCs w:val="21"/>
                <w:lang w:bidi="ar"/>
              </w:rPr>
            </w:pPr>
            <w:r>
              <w:rPr>
                <w:rFonts w:hint="eastAsia"/>
                <w:color w:val="000000"/>
                <w:kern w:val="0"/>
                <w:szCs w:val="21"/>
                <w:lang w:bidi="ar"/>
              </w:rPr>
              <w:t>①日常营运过程中应注意原料、危险废物等包装的完好性和密封性，降低其转运、贮存过程发生泄漏的隐患；</w:t>
            </w:r>
          </w:p>
          <w:p w14:paraId="1512242E">
            <w:pPr>
              <w:widowControl/>
              <w:jc w:val="both"/>
              <w:textAlignment w:val="center"/>
              <w:rPr>
                <w:color w:val="000000"/>
                <w:szCs w:val="21"/>
              </w:rPr>
            </w:pPr>
            <w:r>
              <w:rPr>
                <w:rFonts w:hint="eastAsia"/>
                <w:color w:val="000000"/>
                <w:kern w:val="0"/>
                <w:szCs w:val="21"/>
                <w:lang w:bidi="ar"/>
              </w:rPr>
              <w:t>②整个厂区地面进行硬化处理，按照防渗标准要求设置防渗区，建立防渗设施的检漏系统，防止污染物的跑、冒、滴、漏，将污染物泄漏的环境风险事故降到最低限度。</w:t>
            </w:r>
          </w:p>
        </w:tc>
      </w:tr>
      <w:tr w14:paraId="208831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447D8500">
            <w:pPr>
              <w:widowControl/>
              <w:jc w:val="center"/>
              <w:textAlignment w:val="center"/>
              <w:rPr>
                <w:color w:val="000000"/>
                <w:szCs w:val="21"/>
              </w:rPr>
            </w:pPr>
            <w:r>
              <w:rPr>
                <w:rFonts w:hint="eastAsia"/>
                <w:color w:val="000000"/>
                <w:kern w:val="0"/>
                <w:szCs w:val="21"/>
                <w:lang w:bidi="ar"/>
              </w:rPr>
              <w:t>环境风险防范</w:t>
            </w:r>
          </w:p>
        </w:tc>
        <w:tc>
          <w:tcPr>
            <w:tcW w:w="8170" w:type="dxa"/>
            <w:gridSpan w:val="4"/>
            <w:tcBorders>
              <w:tl2br w:val="nil"/>
              <w:tr2bl w:val="nil"/>
            </w:tcBorders>
            <w:noWrap/>
            <w:vAlign w:val="center"/>
          </w:tcPr>
          <w:p w14:paraId="22483C56">
            <w:pPr>
              <w:widowControl/>
              <w:jc w:val="both"/>
              <w:textAlignment w:val="center"/>
              <w:rPr>
                <w:color w:val="000000"/>
                <w:szCs w:val="21"/>
              </w:rPr>
            </w:pPr>
            <w:r>
              <w:rPr>
                <w:rFonts w:hint="eastAsia"/>
                <w:color w:val="000000"/>
                <w:kern w:val="0"/>
                <w:szCs w:val="21"/>
                <w:lang w:bidi="ar"/>
              </w:rPr>
              <w:t>加大安全、环保设施的投入，在强化安全、环保教育，提高安全、环保意识的同时，企业保证预警、监控设施到位，配备救护设备；按照国家、地方和相关部门的要求，及时组织修订应急预案；企业应根据实际情况，不断充实和完善应急预案的各项措施，并定期组织演练。</w:t>
            </w:r>
          </w:p>
        </w:tc>
      </w:tr>
      <w:tr w14:paraId="67AC47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0F9E71CF">
            <w:pPr>
              <w:widowControl/>
              <w:jc w:val="center"/>
              <w:textAlignment w:val="center"/>
              <w:rPr>
                <w:color w:val="000000"/>
                <w:szCs w:val="21"/>
              </w:rPr>
            </w:pPr>
            <w:r>
              <w:rPr>
                <w:rFonts w:hint="eastAsia"/>
                <w:color w:val="000000"/>
                <w:kern w:val="0"/>
                <w:szCs w:val="21"/>
                <w:lang w:bidi="ar"/>
              </w:rPr>
              <w:t>生态保护措施</w:t>
            </w:r>
          </w:p>
        </w:tc>
        <w:tc>
          <w:tcPr>
            <w:tcW w:w="8170" w:type="dxa"/>
            <w:gridSpan w:val="4"/>
            <w:tcBorders>
              <w:tl2br w:val="nil"/>
              <w:tr2bl w:val="nil"/>
            </w:tcBorders>
            <w:noWrap/>
            <w:vAlign w:val="center"/>
          </w:tcPr>
          <w:p w14:paraId="5B3E926C">
            <w:pPr>
              <w:widowControl/>
              <w:jc w:val="both"/>
              <w:textAlignment w:val="center"/>
              <w:rPr>
                <w:color w:val="000000"/>
                <w:szCs w:val="21"/>
              </w:rPr>
            </w:pPr>
            <w:r>
              <w:rPr>
                <w:rFonts w:hint="eastAsia"/>
                <w:color w:val="000000"/>
                <w:kern w:val="0"/>
                <w:szCs w:val="21"/>
                <w:lang w:bidi="ar"/>
              </w:rPr>
              <w:t>无</w:t>
            </w:r>
          </w:p>
        </w:tc>
      </w:tr>
      <w:tr w14:paraId="16F95C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94" w:type="dxa"/>
            <w:tcBorders>
              <w:tl2br w:val="nil"/>
              <w:tr2bl w:val="nil"/>
            </w:tcBorders>
            <w:noWrap/>
            <w:vAlign w:val="center"/>
          </w:tcPr>
          <w:p w14:paraId="6FD10F74">
            <w:pPr>
              <w:widowControl/>
              <w:jc w:val="center"/>
              <w:textAlignment w:val="center"/>
              <w:rPr>
                <w:color w:val="000000"/>
                <w:szCs w:val="21"/>
              </w:rPr>
            </w:pPr>
            <w:r>
              <w:rPr>
                <w:rFonts w:hint="eastAsia"/>
                <w:color w:val="000000"/>
                <w:kern w:val="0"/>
                <w:szCs w:val="21"/>
                <w:lang w:bidi="ar"/>
              </w:rPr>
              <w:t>其他环境管理要求</w:t>
            </w:r>
          </w:p>
        </w:tc>
        <w:tc>
          <w:tcPr>
            <w:tcW w:w="8170" w:type="dxa"/>
            <w:gridSpan w:val="4"/>
            <w:tcBorders>
              <w:tl2br w:val="nil"/>
              <w:tr2bl w:val="nil"/>
            </w:tcBorders>
            <w:noWrap/>
            <w:vAlign w:val="center"/>
          </w:tcPr>
          <w:p w14:paraId="71FAA989">
            <w:pPr>
              <w:widowControl/>
              <w:jc w:val="both"/>
              <w:textAlignment w:val="center"/>
              <w:rPr>
                <w:color w:val="000000"/>
                <w:szCs w:val="21"/>
              </w:rPr>
            </w:pPr>
            <w:r>
              <w:rPr>
                <w:rFonts w:hint="eastAsia"/>
                <w:color w:val="000000"/>
                <w:kern w:val="0"/>
                <w:szCs w:val="21"/>
                <w:lang w:bidi="ar"/>
              </w:rPr>
              <w:t>1、竣工环境保护验收</w:t>
            </w:r>
            <w:r>
              <w:rPr>
                <w:color w:val="000000"/>
                <w:kern w:val="0"/>
                <w:szCs w:val="21"/>
                <w:lang w:bidi="ar"/>
              </w:rPr>
              <w:br w:type="textWrapping"/>
            </w:r>
            <w:r>
              <w:rPr>
                <w:rFonts w:hint="eastAsia"/>
                <w:color w:val="000000"/>
                <w:kern w:val="0"/>
                <w:szCs w:val="21"/>
                <w:lang w:bidi="ar"/>
              </w:rPr>
              <w:t>根据《建设项目环境保护管理条例》和《建设项目竣工环境保护验收暂行办法》，本项目建设完成后需由企业组织对配套建设的环保设施进行自主验收，编制验收报告，公开相关信息，接受社会监督，确保建设项目需要配套建设的环保设施与主体工程同时投产或者使用，并对验收内容、结论和所公开信息的真实性、准确性和完整性负责，不得在验收过程中弄虚作假。</w:t>
            </w:r>
            <w:r>
              <w:rPr>
                <w:color w:val="000000"/>
                <w:kern w:val="0"/>
                <w:szCs w:val="21"/>
                <w:lang w:bidi="ar"/>
              </w:rPr>
              <w:br w:type="textWrapping"/>
            </w:r>
            <w:r>
              <w:rPr>
                <w:rFonts w:hint="eastAsia"/>
                <w:color w:val="000000"/>
                <w:kern w:val="0"/>
                <w:szCs w:val="21"/>
                <w:lang w:bidi="ar"/>
              </w:rPr>
              <w:t>2、排污许可证管理</w:t>
            </w:r>
            <w:r>
              <w:rPr>
                <w:color w:val="000000"/>
                <w:kern w:val="0"/>
                <w:szCs w:val="21"/>
                <w:lang w:bidi="ar"/>
              </w:rPr>
              <w:br w:type="textWrapping"/>
            </w:r>
            <w:r>
              <w:rPr>
                <w:rFonts w:hint="eastAsia"/>
                <w:color w:val="000000"/>
                <w:kern w:val="0"/>
                <w:szCs w:val="21"/>
                <w:lang w:bidi="ar"/>
              </w:rPr>
              <w:t>本项目主要为二类工业项目，根据《固定污染源排污许可分类管理名录（2019年版）》，应实施排污许可管理“</w:t>
            </w:r>
            <w:r>
              <w:rPr>
                <w:rFonts w:hint="eastAsia"/>
                <w:color w:val="000000"/>
                <w:kern w:val="0"/>
                <w:szCs w:val="21"/>
                <w:lang w:val="en-US" w:eastAsia="zh-CN" w:bidi="ar"/>
              </w:rPr>
              <w:t>登记</w:t>
            </w:r>
            <w:r>
              <w:rPr>
                <w:rFonts w:hint="eastAsia"/>
                <w:color w:val="000000"/>
                <w:kern w:val="0"/>
                <w:szCs w:val="21"/>
                <w:lang w:bidi="ar"/>
              </w:rPr>
              <w:t>管理”</w:t>
            </w:r>
            <w:r>
              <w:rPr>
                <w:rFonts w:hint="eastAsia"/>
                <w:color w:val="000000"/>
                <w:kern w:val="0"/>
                <w:szCs w:val="21"/>
                <w:lang w:eastAsia="zh-CN" w:bidi="ar"/>
              </w:rPr>
              <w:t>，</w:t>
            </w:r>
            <w:r>
              <w:rPr>
                <w:rFonts w:hint="eastAsia"/>
                <w:color w:val="000000"/>
                <w:kern w:val="0"/>
                <w:szCs w:val="21"/>
                <w:lang w:val="en-US" w:eastAsia="zh-CN" w:bidi="ar"/>
              </w:rPr>
              <w:t>不需要申请取得排污许可证，应当在全国排污许可证管理信息平台填报排污登记表，登记基本信息、污染物排放去向、执行的污染物排放标准以</w:t>
            </w:r>
            <w:r>
              <w:rPr>
                <w:rFonts w:hint="eastAsia"/>
                <w:color w:val="000000"/>
                <w:kern w:val="0"/>
                <w:szCs w:val="21"/>
                <w:highlight w:val="none"/>
                <w:lang w:val="en-US" w:eastAsia="zh-CN" w:bidi="ar"/>
              </w:rPr>
              <w:t>及采取的</w:t>
            </w:r>
            <w:r>
              <w:rPr>
                <w:rFonts w:hint="eastAsia"/>
                <w:color w:val="000000"/>
                <w:kern w:val="0"/>
                <w:szCs w:val="21"/>
                <w:lang w:val="en-US" w:eastAsia="zh-CN" w:bidi="ar"/>
              </w:rPr>
              <w:t>污染防治措施等信息。</w:t>
            </w:r>
            <w:r>
              <w:rPr>
                <w:color w:val="000000"/>
                <w:kern w:val="0"/>
                <w:szCs w:val="21"/>
                <w:lang w:bidi="ar"/>
              </w:rPr>
              <w:br w:type="textWrapping"/>
            </w:r>
            <w:r>
              <w:rPr>
                <w:rFonts w:hint="eastAsia"/>
                <w:color w:val="000000"/>
                <w:kern w:val="0"/>
                <w:szCs w:val="21"/>
                <w:lang w:bidi="ar"/>
              </w:rPr>
              <w:t>3、日常管理</w:t>
            </w:r>
            <w:r>
              <w:rPr>
                <w:color w:val="000000"/>
                <w:kern w:val="0"/>
                <w:szCs w:val="21"/>
                <w:lang w:bidi="ar"/>
              </w:rPr>
              <w:br w:type="textWrapping"/>
            </w:r>
            <w:r>
              <w:rPr>
                <w:rFonts w:hint="eastAsia"/>
                <w:color w:val="000000"/>
                <w:kern w:val="0"/>
                <w:szCs w:val="21"/>
                <w:lang w:bidi="ar"/>
              </w:rPr>
              <w:t>①落实监测监控制度，按照监测要求开展废水、废气、噪声监测；</w:t>
            </w:r>
            <w:r>
              <w:rPr>
                <w:color w:val="000000"/>
                <w:kern w:val="0"/>
                <w:szCs w:val="21"/>
                <w:lang w:bidi="ar"/>
              </w:rPr>
              <w:br w:type="textWrapping"/>
            </w:r>
            <w:r>
              <w:rPr>
                <w:rFonts w:hint="eastAsia"/>
                <w:color w:val="000000"/>
                <w:kern w:val="0"/>
                <w:szCs w:val="21"/>
                <w:lang w:bidi="ar"/>
              </w:rPr>
              <w:t>②应建立环境管理台账制度，设置专人开展台账记录、整理、维护等管理工作，包括污染治理设施运行管理信息、危险废物管理信息、监测记录信息等。台账记录频次和内容须满足排污许可证环境管理要求，台账保存期限不得少于5年。</w:t>
            </w:r>
          </w:p>
        </w:tc>
      </w:tr>
    </w:tbl>
    <w:p w14:paraId="3B6CD15C">
      <w:pPr>
        <w:pStyle w:val="22"/>
        <w:rPr>
          <w:rFonts w:ascii="Times New Roman" w:hAnsi="Times New Roman"/>
          <w:snapToGrid w:val="0"/>
          <w:sz w:val="21"/>
          <w:szCs w:val="21"/>
        </w:rPr>
      </w:pPr>
    </w:p>
    <w:p w14:paraId="763D51DC">
      <w:pPr>
        <w:pStyle w:val="22"/>
        <w:jc w:val="both"/>
        <w:outlineLvl w:val="0"/>
        <w:rPr>
          <w:rFonts w:ascii="Times New Roman" w:hAnsi="Times New Roman" w:eastAsia="黑体"/>
          <w:snapToGrid w:val="0"/>
          <w:sz w:val="30"/>
          <w:szCs w:val="30"/>
        </w:rPr>
      </w:pPr>
      <w:r>
        <w:rPr>
          <w:rFonts w:ascii="Times New Roman" w:hAnsi="Times New Roman"/>
          <w:snapToGrid w:val="0"/>
        </w:rPr>
        <w:br w:type="page"/>
      </w:r>
      <w:bookmarkStart w:id="61" w:name="_Toc23291"/>
      <w:bookmarkStart w:id="62" w:name="_Toc9762"/>
      <w:bookmarkStart w:id="63" w:name="_Toc32065"/>
      <w:bookmarkStart w:id="64" w:name="_Toc12233"/>
      <w:bookmarkStart w:id="65" w:name="_Toc6124"/>
      <w:r>
        <w:rPr>
          <w:rFonts w:hint="eastAsia" w:ascii="Times New Roman" w:hAnsi="Times New Roman" w:eastAsia="黑体"/>
          <w:snapToGrid w:val="0"/>
          <w:sz w:val="30"/>
          <w:szCs w:val="30"/>
        </w:rPr>
        <w:t>六、结论</w:t>
      </w:r>
      <w:bookmarkEnd w:id="61"/>
      <w:bookmarkEnd w:id="62"/>
      <w:bookmarkEnd w:id="63"/>
      <w:bookmarkEnd w:id="64"/>
      <w:bookmarkEnd w:id="65"/>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11B7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4376A7F5">
            <w:pPr>
              <w:spacing w:line="360" w:lineRule="auto"/>
              <w:ind w:firstLine="420" w:firstLineChars="200"/>
              <w:rPr>
                <w:rFonts w:hint="eastAsia" w:ascii="宋体" w:hAnsi="宋体" w:cs="宋体"/>
                <w:bCs/>
                <w:szCs w:val="21"/>
              </w:rPr>
            </w:pPr>
            <w:r>
              <w:rPr>
                <w:rFonts w:hint="eastAsia" w:ascii="宋体" w:hAnsi="宋体" w:cs="宋体"/>
              </w:rPr>
              <w:t>综合分析，项目选址符合《杭州市生态环境分区管控动态更新方案》要求；</w:t>
            </w:r>
            <w:r>
              <w:rPr>
                <w:rFonts w:hint="eastAsia" w:ascii="宋体" w:hAnsi="宋体" w:cs="宋体"/>
                <w:szCs w:val="21"/>
              </w:rPr>
              <w:t>项目经采取环评提出的各项环保措施后，</w:t>
            </w:r>
            <w:r>
              <w:rPr>
                <w:rFonts w:hint="eastAsia" w:ascii="宋体" w:hAnsi="宋体" w:cs="宋体"/>
                <w:bCs/>
                <w:szCs w:val="21"/>
              </w:rPr>
              <w:t>排放的污染物符合国家、省规定的污染物排放相应标准，符合总量控制指标要求；</w:t>
            </w:r>
            <w:r>
              <w:rPr>
                <w:rFonts w:hint="eastAsia" w:ascii="宋体" w:hAnsi="宋体" w:cs="宋体"/>
                <w:szCs w:val="21"/>
              </w:rPr>
              <w:t>符合国家和地方产业政策以及区域规划等要求。企业采取必要的风险防范对策和应急措施后，项目环境风险能够控制在可接受范围内</w:t>
            </w:r>
            <w:r>
              <w:rPr>
                <w:rFonts w:hint="eastAsia" w:ascii="宋体" w:hAnsi="宋体" w:cs="宋体"/>
                <w:bCs/>
                <w:szCs w:val="21"/>
              </w:rPr>
              <w:t>。</w:t>
            </w:r>
          </w:p>
          <w:p w14:paraId="0B4DC1C6">
            <w:pPr>
              <w:spacing w:line="360" w:lineRule="auto"/>
              <w:ind w:firstLine="420" w:firstLineChars="200"/>
              <w:rPr>
                <w:sz w:val="24"/>
              </w:rPr>
            </w:pPr>
            <w:r>
              <w:rPr>
                <w:rFonts w:hint="eastAsia" w:ascii="宋体" w:hAnsi="宋体" w:cs="宋体"/>
                <w:szCs w:val="21"/>
              </w:rPr>
              <w:t>从环保审批原则及建设项目其他要求符合性的角度分析，在全面落实本报告提出的各项污染防治措施、风险防范措施，并确保污染物稳定达标排放的前提下，从</w:t>
            </w:r>
            <w:r>
              <w:rPr>
                <w:rFonts w:hint="eastAsia" w:ascii="宋体" w:hAnsi="宋体" w:cs="宋体"/>
                <w:szCs w:val="21"/>
                <w:lang w:val="en-US" w:eastAsia="zh-CN"/>
              </w:rPr>
              <w:t>生态</w:t>
            </w:r>
            <w:r>
              <w:rPr>
                <w:rFonts w:hint="eastAsia" w:ascii="宋体" w:hAnsi="宋体" w:cs="宋体"/>
                <w:szCs w:val="21"/>
              </w:rPr>
              <w:t>环境保护的角度看，项目在建设地点实施是可行的</w:t>
            </w:r>
            <w:r>
              <w:rPr>
                <w:rFonts w:hint="eastAsia" w:ascii="宋体" w:hAnsi="宋体" w:cs="宋体"/>
                <w:sz w:val="18"/>
                <w:szCs w:val="18"/>
              </w:rPr>
              <w:t>。</w:t>
            </w:r>
          </w:p>
        </w:tc>
      </w:tr>
    </w:tbl>
    <w:p w14:paraId="030CFCFC">
      <w:pPr>
        <w:pStyle w:val="22"/>
        <w:adjustRightInd w:val="0"/>
        <w:snapToGrid w:val="0"/>
        <w:spacing w:before="0" w:beforeAutospacing="0" w:after="0" w:afterAutospacing="0" w:line="648" w:lineRule="auto"/>
        <w:outlineLvl w:val="0"/>
        <w:rPr>
          <w:rFonts w:ascii="Times New Roman" w:hAnsi="Times New Roman" w:eastAsia="黑体"/>
          <w:snapToGrid w:val="0"/>
          <w:sz w:val="32"/>
          <w:szCs w:val="32"/>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bookmarkStart w:id="66" w:name="_Toc15836"/>
      <w:bookmarkStart w:id="67" w:name="_Toc21914"/>
      <w:bookmarkStart w:id="68" w:name="_Toc16048"/>
      <w:bookmarkStart w:id="69" w:name="_Toc21238"/>
    </w:p>
    <w:p w14:paraId="099F1B2F">
      <w:pPr>
        <w:pStyle w:val="22"/>
        <w:adjustRightInd w:val="0"/>
        <w:snapToGrid w:val="0"/>
        <w:spacing w:before="0" w:beforeAutospacing="0" w:after="0" w:afterAutospacing="0" w:line="480" w:lineRule="auto"/>
        <w:outlineLvl w:val="0"/>
        <w:rPr>
          <w:rFonts w:ascii="Times New Roman" w:hAnsi="Times New Roman" w:eastAsia="黑体"/>
          <w:snapToGrid w:val="0"/>
          <w:sz w:val="32"/>
          <w:szCs w:val="32"/>
        </w:rPr>
      </w:pPr>
      <w:bookmarkStart w:id="70" w:name="_Toc515"/>
      <w:r>
        <w:rPr>
          <w:rFonts w:hint="eastAsia" w:ascii="Times New Roman" w:hAnsi="Times New Roman" w:eastAsia="黑体"/>
          <w:snapToGrid w:val="0"/>
          <w:sz w:val="32"/>
          <w:szCs w:val="32"/>
        </w:rPr>
        <w:t>附表</w:t>
      </w:r>
      <w:bookmarkEnd w:id="66"/>
      <w:bookmarkEnd w:id="67"/>
      <w:bookmarkEnd w:id="68"/>
      <w:bookmarkEnd w:id="69"/>
      <w:bookmarkEnd w:id="70"/>
    </w:p>
    <w:p w14:paraId="1FD39F28">
      <w:pPr>
        <w:pStyle w:val="22"/>
        <w:adjustRightInd w:val="0"/>
        <w:snapToGrid w:val="0"/>
        <w:spacing w:before="0" w:beforeAutospacing="0" w:after="0" w:afterAutospacing="0" w:line="360" w:lineRule="auto"/>
        <w:jc w:val="center"/>
        <w:rPr>
          <w:rFonts w:hint="eastAsia" w:ascii="黑体" w:hAnsi="黑体" w:eastAsia="黑体" w:cs="黑体"/>
          <w:snapToGrid w:val="0"/>
          <w:szCs w:val="24"/>
        </w:rPr>
      </w:pPr>
      <w:bookmarkStart w:id="71" w:name="_Toc20676"/>
      <w:bookmarkStart w:id="72" w:name="_Toc2522"/>
      <w:bookmarkStart w:id="73" w:name="_Toc236"/>
      <w:bookmarkStart w:id="74" w:name="_Toc12464"/>
      <w:bookmarkStart w:id="75" w:name="_Toc23033"/>
      <w:r>
        <w:rPr>
          <w:rFonts w:hint="eastAsia" w:ascii="黑体" w:hAnsi="黑体" w:eastAsia="黑体" w:cs="黑体"/>
          <w:snapToGrid w:val="0"/>
          <w:szCs w:val="24"/>
        </w:rPr>
        <w:t>建设项目污染物排放量汇总表</w:t>
      </w:r>
      <w:bookmarkEnd w:id="71"/>
      <w:bookmarkEnd w:id="72"/>
      <w:bookmarkEnd w:id="73"/>
      <w:bookmarkEnd w:id="74"/>
      <w:bookmarkEnd w:id="75"/>
      <w:r>
        <w:rPr>
          <w:rFonts w:hint="eastAsia" w:ascii="黑体" w:hAnsi="黑体" w:eastAsia="黑体" w:cs="黑体"/>
          <w:szCs w:val="24"/>
        </w:rPr>
        <w:t xml:space="preserve">  单位：t/a</w:t>
      </w:r>
    </w:p>
    <w:tbl>
      <w:tblPr>
        <w:tblStyle w:val="26"/>
        <w:tblW w:w="1351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36"/>
        <w:gridCol w:w="2148"/>
        <w:gridCol w:w="2184"/>
        <w:gridCol w:w="1704"/>
        <w:gridCol w:w="1260"/>
        <w:gridCol w:w="1092"/>
        <w:gridCol w:w="1272"/>
        <w:gridCol w:w="1944"/>
        <w:gridCol w:w="1272"/>
      </w:tblGrid>
      <w:tr w14:paraId="6C4C4B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4" w:hRule="atLeast"/>
          <w:jc w:val="center"/>
        </w:trPr>
        <w:tc>
          <w:tcPr>
            <w:tcW w:w="636" w:type="dxa"/>
            <w:tcBorders>
              <w:tl2br w:val="nil"/>
              <w:tr2bl w:val="nil"/>
            </w:tcBorders>
            <w:shd w:val="clear" w:color="auto" w:fill="auto"/>
            <w:vAlign w:val="center"/>
          </w:tcPr>
          <w:p w14:paraId="458B56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分类/项目</w:t>
            </w:r>
          </w:p>
        </w:tc>
        <w:tc>
          <w:tcPr>
            <w:tcW w:w="2148" w:type="dxa"/>
            <w:tcBorders>
              <w:tl2br w:val="nil"/>
              <w:tr2bl w:val="nil"/>
            </w:tcBorders>
            <w:shd w:val="clear" w:color="auto" w:fill="auto"/>
            <w:vAlign w:val="center"/>
          </w:tcPr>
          <w:p w14:paraId="1013A4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污染物名称</w:t>
            </w:r>
          </w:p>
        </w:tc>
        <w:tc>
          <w:tcPr>
            <w:tcW w:w="2184" w:type="dxa"/>
            <w:tcBorders>
              <w:tl2br w:val="nil"/>
              <w:tr2bl w:val="nil"/>
            </w:tcBorders>
            <w:shd w:val="clear" w:color="auto" w:fill="auto"/>
            <w:vAlign w:val="center"/>
          </w:tcPr>
          <w:p w14:paraId="769353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现有工程排放量（固体废物产生量）①</w:t>
            </w:r>
          </w:p>
        </w:tc>
        <w:tc>
          <w:tcPr>
            <w:tcW w:w="1704" w:type="dxa"/>
            <w:tcBorders>
              <w:tl2br w:val="nil"/>
              <w:tr2bl w:val="nil"/>
            </w:tcBorders>
            <w:shd w:val="clear" w:color="auto" w:fill="auto"/>
            <w:vAlign w:val="center"/>
          </w:tcPr>
          <w:p w14:paraId="5BFD69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现有工程许可排放量②</w:t>
            </w:r>
          </w:p>
        </w:tc>
        <w:tc>
          <w:tcPr>
            <w:tcW w:w="1260" w:type="dxa"/>
            <w:tcBorders>
              <w:tl2br w:val="nil"/>
              <w:tr2bl w:val="nil"/>
            </w:tcBorders>
            <w:shd w:val="clear" w:color="auto" w:fill="auto"/>
            <w:vAlign w:val="center"/>
          </w:tcPr>
          <w:p w14:paraId="7916BC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在建工程排放量（固体废物产生量）③</w:t>
            </w:r>
          </w:p>
        </w:tc>
        <w:tc>
          <w:tcPr>
            <w:tcW w:w="1092" w:type="dxa"/>
            <w:tcBorders>
              <w:tl2br w:val="nil"/>
              <w:tr2bl w:val="nil"/>
            </w:tcBorders>
            <w:shd w:val="clear" w:color="auto" w:fill="auto"/>
            <w:vAlign w:val="center"/>
          </w:tcPr>
          <w:p w14:paraId="4161E7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本项目排放量（固体废物产生量）④</w:t>
            </w:r>
          </w:p>
        </w:tc>
        <w:tc>
          <w:tcPr>
            <w:tcW w:w="1272" w:type="dxa"/>
            <w:tcBorders>
              <w:tl2br w:val="nil"/>
              <w:tr2bl w:val="nil"/>
            </w:tcBorders>
            <w:shd w:val="clear" w:color="auto" w:fill="auto"/>
            <w:vAlign w:val="center"/>
          </w:tcPr>
          <w:p w14:paraId="212324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以新带老削减量（新建项目不填）⑤</w:t>
            </w:r>
          </w:p>
        </w:tc>
        <w:tc>
          <w:tcPr>
            <w:tcW w:w="1944" w:type="dxa"/>
            <w:tcBorders>
              <w:tl2br w:val="nil"/>
              <w:tr2bl w:val="nil"/>
            </w:tcBorders>
            <w:shd w:val="clear" w:color="auto" w:fill="auto"/>
            <w:vAlign w:val="center"/>
          </w:tcPr>
          <w:p w14:paraId="267543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本项目建成后全厂排放量（固体废物产生量）⑥</w:t>
            </w:r>
          </w:p>
        </w:tc>
        <w:tc>
          <w:tcPr>
            <w:tcW w:w="1272" w:type="dxa"/>
            <w:tcBorders>
              <w:tl2br w:val="nil"/>
              <w:tr2bl w:val="nil"/>
            </w:tcBorders>
            <w:shd w:val="clear" w:color="auto" w:fill="auto"/>
            <w:vAlign w:val="center"/>
          </w:tcPr>
          <w:p w14:paraId="49C67B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变化量⑦</w:t>
            </w:r>
          </w:p>
        </w:tc>
      </w:tr>
      <w:tr w14:paraId="2C044B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0" w:type="auto"/>
            <w:tcBorders>
              <w:tl2br w:val="nil"/>
              <w:tr2bl w:val="nil"/>
            </w:tcBorders>
            <w:shd w:val="clear" w:color="auto" w:fill="auto"/>
            <w:noWrap/>
            <w:vAlign w:val="center"/>
          </w:tcPr>
          <w:p w14:paraId="6E920E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w:t>
            </w:r>
          </w:p>
        </w:tc>
        <w:tc>
          <w:tcPr>
            <w:tcW w:w="0" w:type="auto"/>
            <w:tcBorders>
              <w:tl2br w:val="nil"/>
              <w:tr2bl w:val="nil"/>
            </w:tcBorders>
            <w:shd w:val="clear" w:color="auto" w:fill="auto"/>
            <w:noWrap/>
            <w:vAlign w:val="center"/>
          </w:tcPr>
          <w:p w14:paraId="4F7283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0" w:type="auto"/>
            <w:tcBorders>
              <w:tl2br w:val="nil"/>
              <w:tr2bl w:val="nil"/>
            </w:tcBorders>
            <w:shd w:val="clear" w:color="auto" w:fill="auto"/>
            <w:noWrap/>
            <w:vAlign w:val="center"/>
          </w:tcPr>
          <w:p w14:paraId="0DB80B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0" w:type="auto"/>
            <w:tcBorders>
              <w:tl2br w:val="nil"/>
              <w:tr2bl w:val="nil"/>
            </w:tcBorders>
            <w:shd w:val="clear" w:color="auto" w:fill="auto"/>
            <w:noWrap/>
            <w:vAlign w:val="center"/>
          </w:tcPr>
          <w:p w14:paraId="594D0C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0" w:type="auto"/>
            <w:tcBorders>
              <w:tl2br w:val="nil"/>
              <w:tr2bl w:val="nil"/>
            </w:tcBorders>
            <w:shd w:val="clear" w:color="auto" w:fill="auto"/>
            <w:noWrap/>
            <w:vAlign w:val="center"/>
          </w:tcPr>
          <w:p w14:paraId="41DEA4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5E8BF5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0.092</w:t>
            </w:r>
          </w:p>
        </w:tc>
        <w:tc>
          <w:tcPr>
            <w:tcW w:w="0" w:type="auto"/>
            <w:tcBorders>
              <w:tl2br w:val="nil"/>
              <w:tr2bl w:val="nil"/>
            </w:tcBorders>
            <w:shd w:val="clear" w:color="auto" w:fill="auto"/>
            <w:noWrap/>
            <w:vAlign w:val="center"/>
          </w:tcPr>
          <w:p w14:paraId="08E67B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0" w:type="auto"/>
            <w:tcBorders>
              <w:tl2br w:val="nil"/>
              <w:tr2bl w:val="nil"/>
            </w:tcBorders>
            <w:shd w:val="clear" w:color="auto" w:fill="auto"/>
            <w:noWrap/>
            <w:vAlign w:val="center"/>
          </w:tcPr>
          <w:p w14:paraId="49F182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0.092</w:t>
            </w:r>
          </w:p>
        </w:tc>
        <w:tc>
          <w:tcPr>
            <w:tcW w:w="0" w:type="auto"/>
            <w:tcBorders>
              <w:tl2br w:val="nil"/>
              <w:tr2bl w:val="nil"/>
            </w:tcBorders>
            <w:shd w:val="clear" w:color="auto" w:fill="auto"/>
            <w:noWrap/>
            <w:vAlign w:val="center"/>
          </w:tcPr>
          <w:p w14:paraId="0EFE84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+0.077</w:t>
            </w:r>
          </w:p>
        </w:tc>
      </w:tr>
      <w:tr w14:paraId="5B1409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restart"/>
            <w:tcBorders>
              <w:tl2br w:val="nil"/>
              <w:tr2bl w:val="nil"/>
            </w:tcBorders>
            <w:shd w:val="clear" w:color="auto" w:fill="auto"/>
            <w:vAlign w:val="center"/>
          </w:tcPr>
          <w:p w14:paraId="0DC8CE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w:t>
            </w:r>
          </w:p>
        </w:tc>
        <w:tc>
          <w:tcPr>
            <w:tcW w:w="0" w:type="auto"/>
            <w:tcBorders>
              <w:tl2br w:val="nil"/>
              <w:tr2bl w:val="nil"/>
            </w:tcBorders>
            <w:shd w:val="clear" w:color="auto" w:fill="auto"/>
            <w:noWrap/>
            <w:vAlign w:val="center"/>
          </w:tcPr>
          <w:p w14:paraId="5C3691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废水量</w:t>
            </w:r>
          </w:p>
        </w:tc>
        <w:tc>
          <w:tcPr>
            <w:tcW w:w="0" w:type="auto"/>
            <w:tcBorders>
              <w:tl2br w:val="nil"/>
              <w:tr2bl w:val="nil"/>
            </w:tcBorders>
            <w:shd w:val="clear" w:color="auto" w:fill="auto"/>
            <w:noWrap/>
            <w:vAlign w:val="center"/>
          </w:tcPr>
          <w:p w14:paraId="4ADA92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0" w:type="auto"/>
            <w:tcBorders>
              <w:tl2br w:val="nil"/>
              <w:tr2bl w:val="nil"/>
            </w:tcBorders>
            <w:shd w:val="clear" w:color="auto" w:fill="auto"/>
            <w:noWrap/>
            <w:vAlign w:val="center"/>
          </w:tcPr>
          <w:p w14:paraId="1E9ECD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0" w:type="auto"/>
            <w:tcBorders>
              <w:tl2br w:val="nil"/>
              <w:tr2bl w:val="nil"/>
            </w:tcBorders>
            <w:shd w:val="clear" w:color="auto" w:fill="auto"/>
            <w:noWrap/>
            <w:vAlign w:val="center"/>
          </w:tcPr>
          <w:p w14:paraId="6BE28B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304CD8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821.4</w:t>
            </w:r>
          </w:p>
        </w:tc>
        <w:tc>
          <w:tcPr>
            <w:tcW w:w="0" w:type="auto"/>
            <w:tcBorders>
              <w:tl2br w:val="nil"/>
              <w:tr2bl w:val="nil"/>
            </w:tcBorders>
            <w:shd w:val="clear" w:color="auto" w:fill="auto"/>
            <w:noWrap/>
            <w:vAlign w:val="center"/>
          </w:tcPr>
          <w:p w14:paraId="1C466D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814.9</w:t>
            </w:r>
          </w:p>
        </w:tc>
        <w:tc>
          <w:tcPr>
            <w:tcW w:w="0" w:type="auto"/>
            <w:tcBorders>
              <w:tl2br w:val="nil"/>
              <w:tr2bl w:val="nil"/>
            </w:tcBorders>
            <w:shd w:val="clear" w:color="auto" w:fill="auto"/>
            <w:noWrap/>
            <w:vAlign w:val="center"/>
          </w:tcPr>
          <w:p w14:paraId="2120CC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821.4</w:t>
            </w:r>
          </w:p>
        </w:tc>
        <w:tc>
          <w:tcPr>
            <w:tcW w:w="0" w:type="auto"/>
            <w:tcBorders>
              <w:tl2br w:val="nil"/>
              <w:tr2bl w:val="nil"/>
            </w:tcBorders>
            <w:shd w:val="clear" w:color="auto" w:fill="auto"/>
            <w:noWrap/>
            <w:vAlign w:val="center"/>
          </w:tcPr>
          <w:p w14:paraId="7BBC59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w:t>
            </w:r>
          </w:p>
        </w:tc>
      </w:tr>
      <w:tr w14:paraId="70F6A3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01C1D458">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12090C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COD</w:t>
            </w:r>
            <w:r>
              <w:rPr>
                <w:rFonts w:hint="default" w:ascii="Times New Roman" w:hAnsi="Times New Roman" w:eastAsia="宋体" w:cs="Times New Roman"/>
                <w:i w:val="0"/>
                <w:iCs w:val="0"/>
                <w:color w:val="000000"/>
                <w:kern w:val="0"/>
                <w:sz w:val="18"/>
                <w:szCs w:val="18"/>
                <w:u w:val="none"/>
                <w:vertAlign w:val="subscript"/>
                <w:lang w:val="en-US" w:eastAsia="zh-CN" w:bidi="ar"/>
              </w:rPr>
              <w:t>Cr</w:t>
            </w:r>
          </w:p>
        </w:tc>
        <w:tc>
          <w:tcPr>
            <w:tcW w:w="0" w:type="auto"/>
            <w:tcBorders>
              <w:tl2br w:val="nil"/>
              <w:tr2bl w:val="nil"/>
            </w:tcBorders>
            <w:shd w:val="clear" w:color="auto" w:fill="auto"/>
            <w:noWrap/>
            <w:vAlign w:val="center"/>
          </w:tcPr>
          <w:p w14:paraId="15FFD1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p>
        </w:tc>
        <w:tc>
          <w:tcPr>
            <w:tcW w:w="0" w:type="auto"/>
            <w:tcBorders>
              <w:tl2br w:val="nil"/>
              <w:tr2bl w:val="nil"/>
            </w:tcBorders>
            <w:shd w:val="clear" w:color="auto" w:fill="auto"/>
            <w:noWrap/>
            <w:vAlign w:val="center"/>
          </w:tcPr>
          <w:p w14:paraId="35F2C2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p>
        </w:tc>
        <w:tc>
          <w:tcPr>
            <w:tcW w:w="0" w:type="auto"/>
            <w:tcBorders>
              <w:tl2br w:val="nil"/>
              <w:tr2bl w:val="nil"/>
            </w:tcBorders>
            <w:shd w:val="clear" w:color="auto" w:fill="auto"/>
            <w:noWrap/>
            <w:vAlign w:val="center"/>
          </w:tcPr>
          <w:p w14:paraId="1B385E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19157E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u w:val="none"/>
                <w:lang w:val="en-US" w:eastAsia="zh-CN" w:bidi="ar"/>
              </w:rPr>
              <w:t>0.029</w:t>
            </w:r>
          </w:p>
        </w:tc>
        <w:tc>
          <w:tcPr>
            <w:tcW w:w="0" w:type="auto"/>
            <w:tcBorders>
              <w:tl2br w:val="nil"/>
              <w:tr2bl w:val="nil"/>
            </w:tcBorders>
            <w:shd w:val="clear" w:color="auto" w:fill="auto"/>
            <w:noWrap/>
            <w:vAlign w:val="center"/>
          </w:tcPr>
          <w:p w14:paraId="7F581B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0.041</w:t>
            </w:r>
          </w:p>
        </w:tc>
        <w:tc>
          <w:tcPr>
            <w:tcW w:w="0" w:type="auto"/>
            <w:tcBorders>
              <w:tl2br w:val="nil"/>
              <w:tr2bl w:val="nil"/>
            </w:tcBorders>
            <w:shd w:val="clear" w:color="auto" w:fill="auto"/>
            <w:noWrap/>
            <w:vAlign w:val="center"/>
          </w:tcPr>
          <w:p w14:paraId="46B263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eastAsia" w:cs="Times New Roman"/>
                <w:i w:val="0"/>
                <w:iCs w:val="0"/>
                <w:color w:val="000000"/>
                <w:kern w:val="0"/>
                <w:sz w:val="18"/>
                <w:szCs w:val="18"/>
                <w:highlight w:val="none"/>
                <w:u w:val="none"/>
                <w:lang w:val="en-US" w:eastAsia="zh-CN" w:bidi="ar"/>
              </w:rPr>
              <w:t>0.029</w:t>
            </w:r>
          </w:p>
        </w:tc>
        <w:tc>
          <w:tcPr>
            <w:tcW w:w="0" w:type="auto"/>
            <w:tcBorders>
              <w:tl2br w:val="nil"/>
              <w:tr2bl w:val="nil"/>
            </w:tcBorders>
            <w:shd w:val="clear" w:color="auto" w:fill="auto"/>
            <w:noWrap/>
            <w:vAlign w:val="center"/>
          </w:tcPr>
          <w:p w14:paraId="692DBA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12</w:t>
            </w:r>
          </w:p>
        </w:tc>
      </w:tr>
      <w:tr w14:paraId="009D86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68DBCF87">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334C21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c>
          <w:tcPr>
            <w:tcW w:w="0" w:type="auto"/>
            <w:tcBorders>
              <w:tl2br w:val="nil"/>
              <w:tr2bl w:val="nil"/>
            </w:tcBorders>
            <w:shd w:val="clear" w:color="auto" w:fill="auto"/>
            <w:noWrap/>
            <w:vAlign w:val="center"/>
          </w:tcPr>
          <w:p w14:paraId="0BB34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0" w:type="auto"/>
            <w:tcBorders>
              <w:tl2br w:val="nil"/>
              <w:tr2bl w:val="nil"/>
            </w:tcBorders>
            <w:shd w:val="clear" w:color="auto" w:fill="auto"/>
            <w:noWrap/>
            <w:vAlign w:val="center"/>
          </w:tcPr>
          <w:p w14:paraId="5353CD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0" w:type="auto"/>
            <w:tcBorders>
              <w:tl2br w:val="nil"/>
              <w:tr2bl w:val="nil"/>
            </w:tcBorders>
            <w:shd w:val="clear" w:color="auto" w:fill="auto"/>
            <w:noWrap/>
            <w:vAlign w:val="center"/>
          </w:tcPr>
          <w:p w14:paraId="11D30B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2B186F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0" w:type="auto"/>
            <w:tcBorders>
              <w:tl2br w:val="nil"/>
              <w:tr2bl w:val="nil"/>
            </w:tcBorders>
            <w:shd w:val="clear" w:color="auto" w:fill="auto"/>
            <w:noWrap/>
            <w:vAlign w:val="center"/>
          </w:tcPr>
          <w:p w14:paraId="090394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0" w:type="auto"/>
            <w:tcBorders>
              <w:tl2br w:val="nil"/>
              <w:tr2bl w:val="nil"/>
            </w:tcBorders>
            <w:shd w:val="clear" w:color="auto" w:fill="auto"/>
            <w:noWrap/>
            <w:vAlign w:val="center"/>
          </w:tcPr>
          <w:p w14:paraId="333C3F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0" w:type="auto"/>
            <w:tcBorders>
              <w:tl2br w:val="nil"/>
              <w:tr2bl w:val="nil"/>
            </w:tcBorders>
            <w:shd w:val="clear" w:color="auto" w:fill="auto"/>
            <w:noWrap/>
            <w:vAlign w:val="center"/>
          </w:tcPr>
          <w:p w14:paraId="2A7028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-0.004</w:t>
            </w:r>
          </w:p>
        </w:tc>
      </w:tr>
      <w:tr w14:paraId="0A61D2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636" w:type="dxa"/>
            <w:vMerge w:val="restart"/>
            <w:tcBorders>
              <w:tl2br w:val="nil"/>
              <w:tr2bl w:val="nil"/>
            </w:tcBorders>
            <w:shd w:val="clear" w:color="auto" w:fill="auto"/>
            <w:vAlign w:val="center"/>
          </w:tcPr>
          <w:p w14:paraId="759574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一般工业固体废物</w:t>
            </w:r>
          </w:p>
        </w:tc>
        <w:tc>
          <w:tcPr>
            <w:tcW w:w="0" w:type="auto"/>
            <w:tcBorders>
              <w:tl2br w:val="nil"/>
              <w:tr2bl w:val="nil"/>
            </w:tcBorders>
            <w:shd w:val="clear" w:color="auto" w:fill="auto"/>
            <w:noWrap/>
            <w:vAlign w:val="center"/>
          </w:tcPr>
          <w:p w14:paraId="6AA31B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废边角料</w:t>
            </w:r>
          </w:p>
        </w:tc>
        <w:tc>
          <w:tcPr>
            <w:tcW w:w="0" w:type="auto"/>
            <w:tcBorders>
              <w:tl2br w:val="nil"/>
              <w:tr2bl w:val="nil"/>
            </w:tcBorders>
            <w:shd w:val="clear" w:color="auto" w:fill="auto"/>
            <w:noWrap/>
            <w:vAlign w:val="center"/>
          </w:tcPr>
          <w:p w14:paraId="747B86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w:t>
            </w:r>
            <w:r>
              <w:rPr>
                <w:rFonts w:hint="eastAsia" w:cs="Times New Roman"/>
                <w:i w:val="0"/>
                <w:iCs w:val="0"/>
                <w:color w:val="000000"/>
                <w:kern w:val="0"/>
                <w:sz w:val="18"/>
                <w:szCs w:val="18"/>
                <w:u w:val="none"/>
                <w:lang w:val="en-US" w:eastAsia="zh-CN" w:bidi="ar"/>
              </w:rPr>
              <w:t>0.05</w:t>
            </w: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206F8B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w:t>
            </w:r>
            <w:r>
              <w:rPr>
                <w:rFonts w:hint="eastAsia" w:cs="Times New Roman"/>
                <w:i w:val="0"/>
                <w:iCs w:val="0"/>
                <w:color w:val="000000"/>
                <w:kern w:val="0"/>
                <w:sz w:val="18"/>
                <w:szCs w:val="18"/>
                <w:u w:val="none"/>
                <w:lang w:val="en-US" w:eastAsia="zh-CN" w:bidi="ar"/>
              </w:rPr>
              <w:t>0.05</w:t>
            </w: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6DC955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6AACB5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(0.2)</w:t>
            </w:r>
          </w:p>
        </w:tc>
        <w:tc>
          <w:tcPr>
            <w:tcW w:w="0" w:type="auto"/>
            <w:tcBorders>
              <w:tl2br w:val="nil"/>
              <w:tr2bl w:val="nil"/>
            </w:tcBorders>
            <w:shd w:val="clear" w:color="auto" w:fill="auto"/>
            <w:noWrap/>
            <w:vAlign w:val="center"/>
          </w:tcPr>
          <w:p w14:paraId="1BE3F4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w:t>
            </w:r>
            <w:r>
              <w:rPr>
                <w:rFonts w:hint="eastAsia" w:cs="Times New Roman"/>
                <w:i w:val="0"/>
                <w:iCs w:val="0"/>
                <w:color w:val="000000"/>
                <w:kern w:val="0"/>
                <w:sz w:val="18"/>
                <w:szCs w:val="18"/>
                <w:u w:val="none"/>
                <w:lang w:val="en-US" w:eastAsia="zh-CN" w:bidi="ar"/>
              </w:rPr>
              <w:t>0.05</w:t>
            </w: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6DAECD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(0.2)</w:t>
            </w:r>
          </w:p>
        </w:tc>
        <w:tc>
          <w:tcPr>
            <w:tcW w:w="0" w:type="auto"/>
            <w:tcBorders>
              <w:tl2br w:val="nil"/>
              <w:tr2bl w:val="nil"/>
            </w:tcBorders>
            <w:shd w:val="clear" w:color="auto" w:fill="auto"/>
            <w:noWrap/>
            <w:vAlign w:val="center"/>
          </w:tcPr>
          <w:p w14:paraId="3D00CD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0.15</w:t>
            </w:r>
          </w:p>
        </w:tc>
      </w:tr>
      <w:tr w14:paraId="58AC2D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73D2DE22">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4B316C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废包装材料</w:t>
            </w:r>
          </w:p>
        </w:tc>
        <w:tc>
          <w:tcPr>
            <w:tcW w:w="0" w:type="auto"/>
            <w:tcBorders>
              <w:tl2br w:val="nil"/>
              <w:tr2bl w:val="nil"/>
            </w:tcBorders>
            <w:shd w:val="clear" w:color="auto" w:fill="auto"/>
            <w:noWrap/>
            <w:vAlign w:val="center"/>
          </w:tcPr>
          <w:p w14:paraId="59D45B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(0.1)</w:t>
            </w:r>
          </w:p>
        </w:tc>
        <w:tc>
          <w:tcPr>
            <w:tcW w:w="0" w:type="auto"/>
            <w:tcBorders>
              <w:tl2br w:val="nil"/>
              <w:tr2bl w:val="nil"/>
            </w:tcBorders>
            <w:shd w:val="clear" w:color="auto" w:fill="auto"/>
            <w:noWrap/>
            <w:vAlign w:val="center"/>
          </w:tcPr>
          <w:p w14:paraId="372D48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(0.1)</w:t>
            </w:r>
          </w:p>
        </w:tc>
        <w:tc>
          <w:tcPr>
            <w:tcW w:w="0" w:type="auto"/>
            <w:tcBorders>
              <w:tl2br w:val="nil"/>
              <w:tr2bl w:val="nil"/>
            </w:tcBorders>
            <w:shd w:val="clear" w:color="auto" w:fill="auto"/>
            <w:noWrap/>
            <w:vAlign w:val="center"/>
          </w:tcPr>
          <w:p w14:paraId="02FC17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3D0C98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(0.4)</w:t>
            </w:r>
          </w:p>
        </w:tc>
        <w:tc>
          <w:tcPr>
            <w:tcW w:w="0" w:type="auto"/>
            <w:tcBorders>
              <w:tl2br w:val="nil"/>
              <w:tr2bl w:val="nil"/>
            </w:tcBorders>
            <w:shd w:val="clear" w:color="auto" w:fill="auto"/>
            <w:noWrap/>
            <w:vAlign w:val="center"/>
          </w:tcPr>
          <w:p w14:paraId="6E842D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(0.1)</w:t>
            </w:r>
          </w:p>
        </w:tc>
        <w:tc>
          <w:tcPr>
            <w:tcW w:w="0" w:type="auto"/>
            <w:tcBorders>
              <w:tl2br w:val="nil"/>
              <w:tr2bl w:val="nil"/>
            </w:tcBorders>
            <w:shd w:val="clear" w:color="auto" w:fill="auto"/>
            <w:noWrap/>
            <w:vAlign w:val="center"/>
          </w:tcPr>
          <w:p w14:paraId="2654E0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(0.4)</w:t>
            </w:r>
          </w:p>
        </w:tc>
        <w:tc>
          <w:tcPr>
            <w:tcW w:w="0" w:type="auto"/>
            <w:tcBorders>
              <w:tl2br w:val="nil"/>
              <w:tr2bl w:val="nil"/>
            </w:tcBorders>
            <w:shd w:val="clear" w:color="auto" w:fill="auto"/>
            <w:noWrap/>
            <w:vAlign w:val="center"/>
          </w:tcPr>
          <w:p w14:paraId="3B7294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w:t>
            </w:r>
          </w:p>
        </w:tc>
      </w:tr>
      <w:tr w14:paraId="03E0D3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1B141509">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081377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废反渗透膜</w:t>
            </w:r>
          </w:p>
        </w:tc>
        <w:tc>
          <w:tcPr>
            <w:tcW w:w="0" w:type="auto"/>
            <w:tcBorders>
              <w:tl2br w:val="nil"/>
              <w:tr2bl w:val="nil"/>
            </w:tcBorders>
            <w:shd w:val="clear" w:color="auto" w:fill="auto"/>
            <w:noWrap/>
            <w:vAlign w:val="center"/>
          </w:tcPr>
          <w:p w14:paraId="0A3C9B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6750AA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510A38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5851A6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5B0F71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566DE0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3070F0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568813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restart"/>
            <w:tcBorders>
              <w:tl2br w:val="nil"/>
              <w:tr2bl w:val="nil"/>
            </w:tcBorders>
            <w:shd w:val="clear" w:color="auto" w:fill="auto"/>
            <w:vAlign w:val="center"/>
          </w:tcPr>
          <w:p w14:paraId="50BA7F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危险废物</w:t>
            </w:r>
          </w:p>
        </w:tc>
        <w:tc>
          <w:tcPr>
            <w:tcW w:w="0" w:type="auto"/>
            <w:tcBorders>
              <w:tl2br w:val="nil"/>
              <w:tr2bl w:val="nil"/>
            </w:tcBorders>
            <w:shd w:val="clear" w:color="auto" w:fill="auto"/>
            <w:noWrap/>
            <w:vAlign w:val="center"/>
          </w:tcPr>
          <w:p w14:paraId="282AF6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实验室废物</w:t>
            </w:r>
          </w:p>
        </w:tc>
        <w:tc>
          <w:tcPr>
            <w:tcW w:w="0" w:type="auto"/>
            <w:tcBorders>
              <w:tl2br w:val="nil"/>
              <w:tr2bl w:val="nil"/>
            </w:tcBorders>
            <w:shd w:val="clear" w:color="auto" w:fill="auto"/>
            <w:noWrap/>
            <w:vAlign w:val="center"/>
          </w:tcPr>
          <w:p w14:paraId="3ECAA3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05F1F0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558522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1A463B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3F0495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1C3427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5A21DA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62D341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502196E2">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30D127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废一次性耗材</w:t>
            </w:r>
          </w:p>
        </w:tc>
        <w:tc>
          <w:tcPr>
            <w:tcW w:w="0" w:type="auto"/>
            <w:tcBorders>
              <w:tl2br w:val="nil"/>
              <w:tr2bl w:val="nil"/>
            </w:tcBorders>
            <w:shd w:val="clear" w:color="auto" w:fill="auto"/>
            <w:noWrap/>
            <w:vAlign w:val="center"/>
          </w:tcPr>
          <w:p w14:paraId="53155A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2B17D4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11E1F0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679338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42EA1F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0413EE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190910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427BBA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502F1F12">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3BE326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废抹布</w:t>
            </w:r>
          </w:p>
        </w:tc>
        <w:tc>
          <w:tcPr>
            <w:tcW w:w="0" w:type="auto"/>
            <w:tcBorders>
              <w:tl2br w:val="nil"/>
              <w:tr2bl w:val="nil"/>
            </w:tcBorders>
            <w:shd w:val="clear" w:color="auto" w:fill="auto"/>
            <w:noWrap/>
            <w:vAlign w:val="center"/>
          </w:tcPr>
          <w:p w14:paraId="57E5AC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(0.005)</w:t>
            </w:r>
          </w:p>
        </w:tc>
        <w:tc>
          <w:tcPr>
            <w:tcW w:w="0" w:type="auto"/>
            <w:tcBorders>
              <w:tl2br w:val="nil"/>
              <w:tr2bl w:val="nil"/>
            </w:tcBorders>
            <w:shd w:val="clear" w:color="auto" w:fill="auto"/>
            <w:noWrap/>
            <w:vAlign w:val="center"/>
          </w:tcPr>
          <w:p w14:paraId="01466F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(0.005)</w:t>
            </w:r>
          </w:p>
        </w:tc>
        <w:tc>
          <w:tcPr>
            <w:tcW w:w="0" w:type="auto"/>
            <w:tcBorders>
              <w:tl2br w:val="nil"/>
              <w:tr2bl w:val="nil"/>
            </w:tcBorders>
            <w:shd w:val="clear" w:color="auto" w:fill="auto"/>
            <w:noWrap/>
            <w:vAlign w:val="center"/>
          </w:tcPr>
          <w:p w14:paraId="2E614F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0B4422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(0.005)</w:t>
            </w:r>
          </w:p>
        </w:tc>
        <w:tc>
          <w:tcPr>
            <w:tcW w:w="0" w:type="auto"/>
            <w:tcBorders>
              <w:tl2br w:val="nil"/>
              <w:tr2bl w:val="nil"/>
            </w:tcBorders>
            <w:shd w:val="clear" w:color="auto" w:fill="auto"/>
            <w:noWrap/>
            <w:vAlign w:val="center"/>
          </w:tcPr>
          <w:p w14:paraId="6A02FD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(0.005)</w:t>
            </w:r>
          </w:p>
        </w:tc>
        <w:tc>
          <w:tcPr>
            <w:tcW w:w="0" w:type="auto"/>
            <w:tcBorders>
              <w:tl2br w:val="nil"/>
              <w:tr2bl w:val="nil"/>
            </w:tcBorders>
            <w:shd w:val="clear" w:color="auto" w:fill="auto"/>
            <w:noWrap/>
            <w:vAlign w:val="center"/>
          </w:tcPr>
          <w:p w14:paraId="21F2C9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(0.005)</w:t>
            </w:r>
          </w:p>
        </w:tc>
        <w:tc>
          <w:tcPr>
            <w:tcW w:w="0" w:type="auto"/>
            <w:tcBorders>
              <w:tl2br w:val="nil"/>
              <w:tr2bl w:val="nil"/>
            </w:tcBorders>
            <w:shd w:val="clear" w:color="auto" w:fill="auto"/>
            <w:noWrap/>
            <w:vAlign w:val="center"/>
          </w:tcPr>
          <w:p w14:paraId="4BC8D6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6D43A4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52CC2FA5">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7429B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废洁净服</w:t>
            </w:r>
          </w:p>
        </w:tc>
        <w:tc>
          <w:tcPr>
            <w:tcW w:w="0" w:type="auto"/>
            <w:tcBorders>
              <w:tl2br w:val="nil"/>
              <w:tr2bl w:val="nil"/>
            </w:tcBorders>
            <w:shd w:val="clear" w:color="auto" w:fill="auto"/>
            <w:noWrap/>
            <w:vAlign w:val="center"/>
          </w:tcPr>
          <w:p w14:paraId="0BA4F9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0AFC10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26FD22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720619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28AC92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05C7FC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(0.01)</w:t>
            </w:r>
          </w:p>
        </w:tc>
        <w:tc>
          <w:tcPr>
            <w:tcW w:w="0" w:type="auto"/>
            <w:tcBorders>
              <w:tl2br w:val="nil"/>
              <w:tr2bl w:val="nil"/>
            </w:tcBorders>
            <w:shd w:val="clear" w:color="auto" w:fill="auto"/>
            <w:noWrap/>
            <w:vAlign w:val="center"/>
          </w:tcPr>
          <w:p w14:paraId="267B67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55B4D6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386BE2A8">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5B7F0B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实验室废液</w:t>
            </w:r>
          </w:p>
        </w:tc>
        <w:tc>
          <w:tcPr>
            <w:tcW w:w="0" w:type="auto"/>
            <w:tcBorders>
              <w:tl2br w:val="nil"/>
              <w:tr2bl w:val="nil"/>
            </w:tcBorders>
            <w:shd w:val="clear" w:color="auto" w:fill="auto"/>
            <w:noWrap/>
            <w:vAlign w:val="center"/>
          </w:tcPr>
          <w:p w14:paraId="1492D7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(11.1)</w:t>
            </w:r>
          </w:p>
        </w:tc>
        <w:tc>
          <w:tcPr>
            <w:tcW w:w="0" w:type="auto"/>
            <w:tcBorders>
              <w:tl2br w:val="nil"/>
              <w:tr2bl w:val="nil"/>
            </w:tcBorders>
            <w:shd w:val="clear" w:color="auto" w:fill="auto"/>
            <w:noWrap/>
            <w:vAlign w:val="center"/>
          </w:tcPr>
          <w:p w14:paraId="6BA78E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(11.1)</w:t>
            </w:r>
          </w:p>
        </w:tc>
        <w:tc>
          <w:tcPr>
            <w:tcW w:w="0" w:type="auto"/>
            <w:tcBorders>
              <w:tl2br w:val="nil"/>
              <w:tr2bl w:val="nil"/>
            </w:tcBorders>
            <w:shd w:val="clear" w:color="auto" w:fill="auto"/>
            <w:noWrap/>
            <w:vAlign w:val="center"/>
          </w:tcPr>
          <w:p w14:paraId="5C4069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0FE466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(0.4)</w:t>
            </w:r>
          </w:p>
        </w:tc>
        <w:tc>
          <w:tcPr>
            <w:tcW w:w="0" w:type="auto"/>
            <w:tcBorders>
              <w:tl2br w:val="nil"/>
              <w:tr2bl w:val="nil"/>
            </w:tcBorders>
            <w:shd w:val="clear" w:color="auto" w:fill="auto"/>
            <w:noWrap/>
            <w:vAlign w:val="center"/>
          </w:tcPr>
          <w:p w14:paraId="2DCF70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(11.1)</w:t>
            </w:r>
          </w:p>
        </w:tc>
        <w:tc>
          <w:tcPr>
            <w:tcW w:w="0" w:type="auto"/>
            <w:tcBorders>
              <w:tl2br w:val="nil"/>
              <w:tr2bl w:val="nil"/>
            </w:tcBorders>
            <w:shd w:val="clear" w:color="auto" w:fill="auto"/>
            <w:noWrap/>
            <w:vAlign w:val="center"/>
          </w:tcPr>
          <w:p w14:paraId="633C93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(0.4)</w:t>
            </w:r>
          </w:p>
        </w:tc>
        <w:tc>
          <w:tcPr>
            <w:tcW w:w="0" w:type="auto"/>
            <w:tcBorders>
              <w:tl2br w:val="nil"/>
              <w:tr2bl w:val="nil"/>
            </w:tcBorders>
            <w:shd w:val="clear" w:color="auto" w:fill="auto"/>
            <w:noWrap/>
            <w:vAlign w:val="center"/>
          </w:tcPr>
          <w:p w14:paraId="1BE980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r>
      <w:tr w14:paraId="6EB7C5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5E3870B3">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12693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沾染化学品包装</w:t>
            </w:r>
          </w:p>
        </w:tc>
        <w:tc>
          <w:tcPr>
            <w:tcW w:w="0" w:type="auto"/>
            <w:tcBorders>
              <w:tl2br w:val="nil"/>
              <w:tr2bl w:val="nil"/>
            </w:tcBorders>
            <w:shd w:val="clear" w:color="auto" w:fill="auto"/>
            <w:noWrap/>
            <w:vAlign w:val="center"/>
          </w:tcPr>
          <w:p w14:paraId="25C720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765DBA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028C59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2D39E8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(0.1)</w:t>
            </w:r>
          </w:p>
        </w:tc>
        <w:tc>
          <w:tcPr>
            <w:tcW w:w="0" w:type="auto"/>
            <w:tcBorders>
              <w:tl2br w:val="nil"/>
              <w:tr2bl w:val="nil"/>
            </w:tcBorders>
            <w:shd w:val="clear" w:color="auto" w:fill="auto"/>
            <w:noWrap/>
            <w:vAlign w:val="center"/>
          </w:tcPr>
          <w:p w14:paraId="2A763B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(0.02)</w:t>
            </w:r>
          </w:p>
        </w:tc>
        <w:tc>
          <w:tcPr>
            <w:tcW w:w="0" w:type="auto"/>
            <w:tcBorders>
              <w:tl2br w:val="nil"/>
              <w:tr2bl w:val="nil"/>
            </w:tcBorders>
            <w:shd w:val="clear" w:color="auto" w:fill="auto"/>
            <w:noWrap/>
            <w:vAlign w:val="center"/>
          </w:tcPr>
          <w:p w14:paraId="44E59A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(0.1)</w:t>
            </w:r>
          </w:p>
        </w:tc>
        <w:tc>
          <w:tcPr>
            <w:tcW w:w="0" w:type="auto"/>
            <w:tcBorders>
              <w:tl2br w:val="nil"/>
              <w:tr2bl w:val="nil"/>
            </w:tcBorders>
            <w:shd w:val="clear" w:color="auto" w:fill="auto"/>
            <w:noWrap/>
            <w:vAlign w:val="center"/>
          </w:tcPr>
          <w:p w14:paraId="104CF7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r>
      <w:tr w14:paraId="366BAF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6A4ECD78">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6E0BCC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废HEPA过滤器</w:t>
            </w:r>
          </w:p>
        </w:tc>
        <w:tc>
          <w:tcPr>
            <w:tcW w:w="0" w:type="auto"/>
            <w:tcBorders>
              <w:tl2br w:val="nil"/>
              <w:tr2bl w:val="nil"/>
            </w:tcBorders>
            <w:shd w:val="clear" w:color="auto" w:fill="auto"/>
            <w:noWrap/>
            <w:vAlign w:val="center"/>
          </w:tcPr>
          <w:p w14:paraId="631B5C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5C72A5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45567E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2B3453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1A80D7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54F98B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(0.05)</w:t>
            </w:r>
          </w:p>
        </w:tc>
        <w:tc>
          <w:tcPr>
            <w:tcW w:w="0" w:type="auto"/>
            <w:tcBorders>
              <w:tl2br w:val="nil"/>
              <w:tr2bl w:val="nil"/>
            </w:tcBorders>
            <w:shd w:val="clear" w:color="auto" w:fill="auto"/>
            <w:noWrap/>
            <w:vAlign w:val="center"/>
          </w:tcPr>
          <w:p w14:paraId="0846AA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1DF378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498BC9E3">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5E9378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废活性炭</w:t>
            </w:r>
          </w:p>
        </w:tc>
        <w:tc>
          <w:tcPr>
            <w:tcW w:w="0" w:type="auto"/>
            <w:tcBorders>
              <w:tl2br w:val="nil"/>
              <w:tr2bl w:val="nil"/>
            </w:tcBorders>
            <w:shd w:val="clear" w:color="auto" w:fill="auto"/>
            <w:noWrap/>
            <w:vAlign w:val="center"/>
          </w:tcPr>
          <w:p w14:paraId="146BB5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(1.562)</w:t>
            </w:r>
          </w:p>
        </w:tc>
        <w:tc>
          <w:tcPr>
            <w:tcW w:w="0" w:type="auto"/>
            <w:tcBorders>
              <w:tl2br w:val="nil"/>
              <w:tr2bl w:val="nil"/>
            </w:tcBorders>
            <w:shd w:val="clear" w:color="auto" w:fill="auto"/>
            <w:noWrap/>
            <w:vAlign w:val="center"/>
          </w:tcPr>
          <w:p w14:paraId="5EDC69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(1.562)</w:t>
            </w:r>
          </w:p>
        </w:tc>
        <w:tc>
          <w:tcPr>
            <w:tcW w:w="0" w:type="auto"/>
            <w:tcBorders>
              <w:tl2br w:val="nil"/>
              <w:tr2bl w:val="nil"/>
            </w:tcBorders>
            <w:shd w:val="clear" w:color="auto" w:fill="auto"/>
            <w:noWrap/>
            <w:vAlign w:val="center"/>
          </w:tcPr>
          <w:p w14:paraId="5493C3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4F83FA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w:t>
            </w:r>
            <w:r>
              <w:rPr>
                <w:rFonts w:hint="eastAsia" w:cs="Times New Roman"/>
                <w:i w:val="0"/>
                <w:iCs w:val="0"/>
                <w:color w:val="000000"/>
                <w:kern w:val="0"/>
                <w:sz w:val="18"/>
                <w:szCs w:val="18"/>
                <w:u w:val="none"/>
                <w:lang w:val="en-US" w:eastAsia="zh-CN" w:bidi="ar"/>
              </w:rPr>
              <w:t>8</w:t>
            </w: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1B7950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(1.562)</w:t>
            </w:r>
          </w:p>
        </w:tc>
        <w:tc>
          <w:tcPr>
            <w:tcW w:w="0" w:type="auto"/>
            <w:tcBorders>
              <w:tl2br w:val="nil"/>
              <w:tr2bl w:val="nil"/>
            </w:tcBorders>
            <w:shd w:val="clear" w:color="auto" w:fill="auto"/>
            <w:noWrap/>
            <w:vAlign w:val="center"/>
          </w:tcPr>
          <w:p w14:paraId="2D35DF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w:t>
            </w:r>
            <w:r>
              <w:rPr>
                <w:rFonts w:hint="eastAsia" w:cs="Times New Roman"/>
                <w:i w:val="0"/>
                <w:iCs w:val="0"/>
                <w:color w:val="000000"/>
                <w:kern w:val="0"/>
                <w:sz w:val="18"/>
                <w:szCs w:val="18"/>
                <w:u w:val="none"/>
                <w:lang w:val="en-US" w:eastAsia="zh-CN" w:bidi="ar"/>
              </w:rPr>
              <w:t>8</w:t>
            </w: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547960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r>
              <w:rPr>
                <w:rFonts w:hint="eastAsia" w:cs="Times New Roman"/>
                <w:i w:val="0"/>
                <w:iCs w:val="0"/>
                <w:color w:val="000000"/>
                <w:kern w:val="0"/>
                <w:sz w:val="18"/>
                <w:szCs w:val="18"/>
                <w:u w:val="none"/>
                <w:lang w:val="en-US" w:eastAsia="zh-CN" w:bidi="ar"/>
              </w:rPr>
              <w:t>6</w:t>
            </w:r>
            <w:r>
              <w:rPr>
                <w:rFonts w:hint="default" w:ascii="Times New Roman" w:hAnsi="Times New Roman" w:eastAsia="宋体" w:cs="Times New Roman"/>
                <w:i w:val="0"/>
                <w:iCs w:val="0"/>
                <w:color w:val="000000"/>
                <w:kern w:val="0"/>
                <w:sz w:val="18"/>
                <w:szCs w:val="18"/>
                <w:u w:val="none"/>
                <w:lang w:val="en-US" w:eastAsia="zh-CN" w:bidi="ar"/>
              </w:rPr>
              <w:t>.438</w:t>
            </w:r>
          </w:p>
        </w:tc>
      </w:tr>
      <w:tr w14:paraId="2A4BBA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490DE3D3">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704A7F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废润滑油</w:t>
            </w:r>
          </w:p>
        </w:tc>
        <w:tc>
          <w:tcPr>
            <w:tcW w:w="0" w:type="auto"/>
            <w:tcBorders>
              <w:tl2br w:val="nil"/>
              <w:tr2bl w:val="nil"/>
            </w:tcBorders>
            <w:shd w:val="clear" w:color="auto" w:fill="auto"/>
            <w:noWrap/>
            <w:vAlign w:val="center"/>
          </w:tcPr>
          <w:p w14:paraId="624BC0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(0.006)</w:t>
            </w:r>
          </w:p>
        </w:tc>
        <w:tc>
          <w:tcPr>
            <w:tcW w:w="0" w:type="auto"/>
            <w:tcBorders>
              <w:tl2br w:val="nil"/>
              <w:tr2bl w:val="nil"/>
            </w:tcBorders>
            <w:shd w:val="clear" w:color="auto" w:fill="auto"/>
            <w:noWrap/>
            <w:vAlign w:val="center"/>
          </w:tcPr>
          <w:p w14:paraId="4E3EDD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(0.006)</w:t>
            </w:r>
          </w:p>
        </w:tc>
        <w:tc>
          <w:tcPr>
            <w:tcW w:w="0" w:type="auto"/>
            <w:tcBorders>
              <w:tl2br w:val="nil"/>
              <w:tr2bl w:val="nil"/>
            </w:tcBorders>
            <w:shd w:val="clear" w:color="auto" w:fill="auto"/>
            <w:noWrap/>
            <w:vAlign w:val="center"/>
          </w:tcPr>
          <w:p w14:paraId="0AC56B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6F4A38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(0.006)</w:t>
            </w:r>
          </w:p>
        </w:tc>
        <w:tc>
          <w:tcPr>
            <w:tcW w:w="0" w:type="auto"/>
            <w:tcBorders>
              <w:tl2br w:val="nil"/>
              <w:tr2bl w:val="nil"/>
            </w:tcBorders>
            <w:shd w:val="clear" w:color="auto" w:fill="auto"/>
            <w:noWrap/>
            <w:vAlign w:val="center"/>
          </w:tcPr>
          <w:p w14:paraId="54EF9A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(0.006)</w:t>
            </w:r>
          </w:p>
        </w:tc>
        <w:tc>
          <w:tcPr>
            <w:tcW w:w="0" w:type="auto"/>
            <w:tcBorders>
              <w:tl2br w:val="nil"/>
              <w:tr2bl w:val="nil"/>
            </w:tcBorders>
            <w:shd w:val="clear" w:color="auto" w:fill="auto"/>
            <w:noWrap/>
            <w:vAlign w:val="center"/>
          </w:tcPr>
          <w:p w14:paraId="0E9589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(0.006)</w:t>
            </w:r>
          </w:p>
        </w:tc>
        <w:tc>
          <w:tcPr>
            <w:tcW w:w="0" w:type="auto"/>
            <w:tcBorders>
              <w:tl2br w:val="nil"/>
              <w:tr2bl w:val="nil"/>
            </w:tcBorders>
            <w:shd w:val="clear" w:color="auto" w:fill="auto"/>
            <w:noWrap/>
            <w:vAlign w:val="center"/>
          </w:tcPr>
          <w:p w14:paraId="4C7E62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2A1E23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36" w:type="dxa"/>
            <w:vMerge w:val="continue"/>
            <w:tcBorders>
              <w:tl2br w:val="nil"/>
              <w:tr2bl w:val="nil"/>
            </w:tcBorders>
            <w:shd w:val="clear" w:color="auto" w:fill="auto"/>
            <w:vAlign w:val="center"/>
          </w:tcPr>
          <w:p w14:paraId="5BA076D8">
            <w:pPr>
              <w:jc w:val="center"/>
              <w:rPr>
                <w:rFonts w:hint="default" w:ascii="Times New Roman" w:hAnsi="Times New Roman" w:eastAsia="宋体" w:cs="Times New Roman"/>
                <w:i w:val="0"/>
                <w:iCs w:val="0"/>
                <w:color w:val="000000"/>
                <w:sz w:val="18"/>
                <w:szCs w:val="18"/>
                <w:u w:val="none"/>
              </w:rPr>
            </w:pPr>
          </w:p>
        </w:tc>
        <w:tc>
          <w:tcPr>
            <w:tcW w:w="0" w:type="auto"/>
            <w:tcBorders>
              <w:tl2br w:val="nil"/>
              <w:tr2bl w:val="nil"/>
            </w:tcBorders>
            <w:shd w:val="clear" w:color="auto" w:fill="auto"/>
            <w:noWrap/>
            <w:vAlign w:val="center"/>
          </w:tcPr>
          <w:p w14:paraId="268AB7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废油桶</w:t>
            </w:r>
          </w:p>
        </w:tc>
        <w:tc>
          <w:tcPr>
            <w:tcW w:w="0" w:type="auto"/>
            <w:tcBorders>
              <w:tl2br w:val="nil"/>
              <w:tr2bl w:val="nil"/>
            </w:tcBorders>
            <w:shd w:val="clear" w:color="auto" w:fill="auto"/>
            <w:noWrap/>
            <w:vAlign w:val="center"/>
          </w:tcPr>
          <w:p w14:paraId="50A9A6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(0.002)</w:t>
            </w:r>
          </w:p>
        </w:tc>
        <w:tc>
          <w:tcPr>
            <w:tcW w:w="0" w:type="auto"/>
            <w:tcBorders>
              <w:tl2br w:val="nil"/>
              <w:tr2bl w:val="nil"/>
            </w:tcBorders>
            <w:shd w:val="clear" w:color="auto" w:fill="auto"/>
            <w:noWrap/>
            <w:vAlign w:val="center"/>
          </w:tcPr>
          <w:p w14:paraId="4CE096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(0.002)</w:t>
            </w:r>
          </w:p>
        </w:tc>
        <w:tc>
          <w:tcPr>
            <w:tcW w:w="0" w:type="auto"/>
            <w:tcBorders>
              <w:tl2br w:val="nil"/>
              <w:tr2bl w:val="nil"/>
            </w:tcBorders>
            <w:shd w:val="clear" w:color="auto" w:fill="auto"/>
            <w:noWrap/>
            <w:vAlign w:val="center"/>
          </w:tcPr>
          <w:p w14:paraId="7933FA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201242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(0.002)</w:t>
            </w:r>
          </w:p>
        </w:tc>
        <w:tc>
          <w:tcPr>
            <w:tcW w:w="0" w:type="auto"/>
            <w:tcBorders>
              <w:tl2br w:val="nil"/>
              <w:tr2bl w:val="nil"/>
            </w:tcBorders>
            <w:shd w:val="clear" w:color="auto" w:fill="auto"/>
            <w:noWrap/>
            <w:vAlign w:val="center"/>
          </w:tcPr>
          <w:p w14:paraId="3045D7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(0.002)</w:t>
            </w:r>
          </w:p>
        </w:tc>
        <w:tc>
          <w:tcPr>
            <w:tcW w:w="0" w:type="auto"/>
            <w:tcBorders>
              <w:tl2br w:val="nil"/>
              <w:tr2bl w:val="nil"/>
            </w:tcBorders>
            <w:shd w:val="clear" w:color="auto" w:fill="auto"/>
            <w:noWrap/>
            <w:vAlign w:val="center"/>
          </w:tcPr>
          <w:p w14:paraId="7EBA29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(0.002)</w:t>
            </w:r>
          </w:p>
        </w:tc>
        <w:tc>
          <w:tcPr>
            <w:tcW w:w="0" w:type="auto"/>
            <w:tcBorders>
              <w:tl2br w:val="nil"/>
              <w:tr2bl w:val="nil"/>
            </w:tcBorders>
            <w:shd w:val="clear" w:color="auto" w:fill="auto"/>
            <w:noWrap/>
            <w:vAlign w:val="center"/>
          </w:tcPr>
          <w:p w14:paraId="1B7D99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w:t>
            </w:r>
          </w:p>
        </w:tc>
      </w:tr>
      <w:tr w14:paraId="531DD1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0" w:type="auto"/>
            <w:tcBorders>
              <w:tl2br w:val="nil"/>
              <w:tr2bl w:val="nil"/>
            </w:tcBorders>
            <w:shd w:val="clear" w:color="auto" w:fill="auto"/>
            <w:noWrap/>
            <w:vAlign w:val="center"/>
          </w:tcPr>
          <w:p w14:paraId="6111DD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7E417B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生活垃圾</w:t>
            </w:r>
          </w:p>
        </w:tc>
        <w:tc>
          <w:tcPr>
            <w:tcW w:w="0" w:type="auto"/>
            <w:tcBorders>
              <w:tl2br w:val="nil"/>
              <w:tr2bl w:val="nil"/>
            </w:tcBorders>
            <w:shd w:val="clear" w:color="auto" w:fill="auto"/>
            <w:noWrap/>
            <w:vAlign w:val="center"/>
          </w:tcPr>
          <w:p w14:paraId="26E148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093346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195E95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794708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(7.5)</w:t>
            </w:r>
          </w:p>
        </w:tc>
        <w:tc>
          <w:tcPr>
            <w:tcW w:w="0" w:type="auto"/>
            <w:tcBorders>
              <w:tl2br w:val="nil"/>
              <w:tr2bl w:val="nil"/>
            </w:tcBorders>
            <w:shd w:val="clear" w:color="auto" w:fill="auto"/>
            <w:noWrap/>
            <w:vAlign w:val="center"/>
          </w:tcPr>
          <w:p w14:paraId="568AD3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0" w:type="auto"/>
            <w:tcBorders>
              <w:tl2br w:val="nil"/>
              <w:tr2bl w:val="nil"/>
            </w:tcBorders>
            <w:shd w:val="clear" w:color="auto" w:fill="auto"/>
            <w:noWrap/>
            <w:vAlign w:val="center"/>
          </w:tcPr>
          <w:p w14:paraId="07B75A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 (7.5)</w:t>
            </w:r>
          </w:p>
        </w:tc>
        <w:tc>
          <w:tcPr>
            <w:tcW w:w="0" w:type="auto"/>
            <w:tcBorders>
              <w:tl2br w:val="nil"/>
              <w:tr2bl w:val="nil"/>
            </w:tcBorders>
            <w:shd w:val="clear" w:color="auto" w:fill="auto"/>
            <w:noWrap/>
            <w:vAlign w:val="center"/>
          </w:tcPr>
          <w:p w14:paraId="687388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r>
    </w:tbl>
    <w:p w14:paraId="40ABFC7C">
      <w:pPr>
        <w:pStyle w:val="37"/>
        <w:spacing w:before="192" w:beforeLines="80" w:after="24"/>
        <w:jc w:val="left"/>
      </w:pPr>
      <w:r>
        <w:rPr>
          <w:rFonts w:hint="eastAsia" w:ascii="Times New Roman"/>
          <w:snapToGrid w:val="0"/>
          <w:kern w:val="21"/>
          <w:szCs w:val="21"/>
        </w:rPr>
        <w:t>注：</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hAnsi="宋体" w:cs="宋体"/>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hAnsi="宋体" w:cs="宋体"/>
          <w:szCs w:val="21"/>
        </w:rPr>
        <w:t>①</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hint="eastAsia" w:hAnsi="宋体" w:cs="宋体"/>
          <w:szCs w:val="21"/>
        </w:rPr>
        <w:t>③</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hint="eastAsia" w:hAnsi="宋体" w:cs="宋体"/>
          <w:szCs w:val="21"/>
        </w:rPr>
        <w:t>④</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hint="eastAsia" w:hAnsi="宋体" w:cs="宋体"/>
          <w:szCs w:val="21"/>
        </w:rPr>
        <w:t>⑤</w:t>
      </w:r>
      <w:r>
        <w:rPr>
          <w:rFonts w:ascii="Times New Roman"/>
          <w:snapToGrid w:val="0"/>
          <w:spacing w:val="-16"/>
          <w:kern w:val="21"/>
          <w:szCs w:val="21"/>
        </w:rPr>
        <w:fldChar w:fldCharType="end"/>
      </w:r>
      <w:r>
        <w:rPr>
          <w:rFonts w:hint="eastAsia"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hint="eastAsia" w:hAnsi="宋体" w:cs="宋体"/>
          <w:szCs w:val="21"/>
        </w:rPr>
        <w:t>⑦</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hAnsi="宋体" w:cs="宋体"/>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hAnsi="宋体" w:cs="宋体"/>
          <w:szCs w:val="21"/>
        </w:rPr>
        <w:t>①</w:t>
      </w:r>
      <w:r>
        <w:rPr>
          <w:rFonts w:ascii="Times New Roman"/>
          <w:snapToGrid w:val="0"/>
          <w:spacing w:val="-6"/>
          <w:kern w:val="21"/>
          <w:szCs w:val="21"/>
        </w:rPr>
        <w:fldChar w:fldCharType="end"/>
      </w:r>
    </w:p>
    <w:sectPr>
      <w:type w:val="continuous"/>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43FF2">
    <w:pPr>
      <w:pStyle w:val="2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3412A">
    <w:pPr>
      <w:pStyle w:val="20"/>
      <w:framePr w:wrap="around" w:vAnchor="text" w:hAnchor="margin" w:xAlign="center" w:y="1"/>
    </w:pPr>
    <w:r>
      <w:fldChar w:fldCharType="begin"/>
    </w:r>
    <w:r>
      <w:rPr>
        <w:rStyle w:val="30"/>
      </w:rPr>
      <w:instrText xml:space="preserve">PAGE  </w:instrText>
    </w:r>
    <w:r>
      <w:fldChar w:fldCharType="separate"/>
    </w:r>
    <w:r>
      <w:rPr>
        <w:rStyle w:val="30"/>
      </w:rPr>
      <w:t>19</w:t>
    </w:r>
    <w:r>
      <w:fldChar w:fldCharType="end"/>
    </w:r>
  </w:p>
  <w:p w14:paraId="4A887522">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32318">
    <w:pPr>
      <w:pStyle w:val="20"/>
      <w:framePr w:wrap="around" w:vAnchor="text" w:hAnchor="margin" w:xAlign="outside" w:y="1"/>
      <w:rPr>
        <w:rFonts w:hint="eastAsia" w:ascii="宋体" w:hAnsi="宋体"/>
        <w:sz w:val="28"/>
        <w:szCs w:val="28"/>
      </w:rPr>
    </w:pPr>
    <w:r>
      <w:rPr>
        <w:rStyle w:val="30"/>
        <w:rFonts w:hint="eastAsia" w:ascii="宋体" w:hAnsi="宋体"/>
        <w:sz w:val="28"/>
        <w:szCs w:val="28"/>
      </w:rPr>
      <w:t>—</w:t>
    </w:r>
    <w:r>
      <w:rPr>
        <w:rStyle w:val="30"/>
        <w:rFonts w:hint="eastAsia" w:ascii="宋体" w:hAnsi="宋体"/>
        <w:sz w:val="20"/>
      </w:rPr>
      <w:t xml:space="preserve">  </w:t>
    </w:r>
    <w:r>
      <w:rPr>
        <w:rStyle w:val="30"/>
        <w:rFonts w:ascii="宋体" w:hAnsi="宋体"/>
        <w:sz w:val="26"/>
        <w:szCs w:val="26"/>
      </w:rPr>
      <w:fldChar w:fldCharType="begin"/>
    </w:r>
    <w:r>
      <w:rPr>
        <w:rStyle w:val="30"/>
        <w:rFonts w:ascii="宋体" w:hAnsi="宋体"/>
        <w:sz w:val="26"/>
        <w:szCs w:val="26"/>
      </w:rPr>
      <w:instrText xml:space="preserve">PAGE  </w:instrText>
    </w:r>
    <w:r>
      <w:rPr>
        <w:rStyle w:val="30"/>
        <w:rFonts w:ascii="宋体" w:hAnsi="宋体"/>
        <w:sz w:val="26"/>
        <w:szCs w:val="26"/>
      </w:rPr>
      <w:fldChar w:fldCharType="separate"/>
    </w:r>
    <w:r>
      <w:rPr>
        <w:rStyle w:val="30"/>
        <w:rFonts w:ascii="宋体" w:hAnsi="宋体"/>
        <w:sz w:val="26"/>
        <w:szCs w:val="26"/>
      </w:rPr>
      <w:t>18</w:t>
    </w:r>
    <w:r>
      <w:rPr>
        <w:rStyle w:val="30"/>
        <w:rFonts w:ascii="宋体" w:hAnsi="宋体"/>
        <w:sz w:val="26"/>
        <w:szCs w:val="26"/>
      </w:rPr>
      <w:fldChar w:fldCharType="end"/>
    </w:r>
    <w:r>
      <w:rPr>
        <w:rStyle w:val="30"/>
        <w:rFonts w:hint="eastAsia" w:ascii="宋体" w:hAnsi="宋体"/>
        <w:sz w:val="20"/>
      </w:rPr>
      <w:t xml:space="preserve">  </w:t>
    </w:r>
    <w:r>
      <w:rPr>
        <w:rStyle w:val="30"/>
        <w:rFonts w:hint="eastAsia" w:ascii="宋体" w:hAnsi="宋体"/>
        <w:sz w:val="28"/>
        <w:szCs w:val="28"/>
      </w:rPr>
      <w:t>—</w:t>
    </w:r>
  </w:p>
  <w:p w14:paraId="77B13896">
    <w:pPr>
      <w:pStyle w:val="20"/>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95C25">
    <w:pPr>
      <w:pStyle w:val="20"/>
      <w:framePr w:wrap="around" w:vAnchor="text" w:hAnchor="margin" w:xAlign="outside" w:y="1"/>
      <w:rPr>
        <w:rFonts w:hint="eastAsia" w:ascii="宋体" w:hAnsi="宋体"/>
        <w:sz w:val="28"/>
        <w:szCs w:val="28"/>
      </w:rPr>
    </w:pPr>
    <w:r>
      <w:rPr>
        <w:rStyle w:val="30"/>
        <w:rFonts w:hint="eastAsia" w:ascii="宋体" w:hAnsi="宋体"/>
        <w:sz w:val="28"/>
        <w:szCs w:val="28"/>
      </w:rPr>
      <w:t>—</w:t>
    </w:r>
    <w:r>
      <w:rPr>
        <w:rStyle w:val="30"/>
        <w:rFonts w:hint="eastAsia" w:ascii="宋体" w:hAnsi="宋体"/>
        <w:sz w:val="20"/>
      </w:rPr>
      <w:t xml:space="preserve">  </w:t>
    </w:r>
    <w:r>
      <w:rPr>
        <w:rStyle w:val="30"/>
        <w:rFonts w:ascii="宋体" w:hAnsi="宋体"/>
        <w:sz w:val="26"/>
        <w:szCs w:val="26"/>
      </w:rPr>
      <w:fldChar w:fldCharType="begin"/>
    </w:r>
    <w:r>
      <w:rPr>
        <w:rStyle w:val="30"/>
        <w:rFonts w:ascii="宋体" w:hAnsi="宋体"/>
        <w:sz w:val="26"/>
        <w:szCs w:val="26"/>
      </w:rPr>
      <w:instrText xml:space="preserve">PAGE  </w:instrText>
    </w:r>
    <w:r>
      <w:rPr>
        <w:rStyle w:val="30"/>
        <w:rFonts w:ascii="宋体" w:hAnsi="宋体"/>
        <w:sz w:val="26"/>
        <w:szCs w:val="26"/>
      </w:rPr>
      <w:fldChar w:fldCharType="separate"/>
    </w:r>
    <w:r>
      <w:rPr>
        <w:rStyle w:val="30"/>
        <w:rFonts w:ascii="宋体" w:hAnsi="宋体"/>
        <w:sz w:val="26"/>
        <w:szCs w:val="26"/>
      </w:rPr>
      <w:t>76</w:t>
    </w:r>
    <w:r>
      <w:rPr>
        <w:rStyle w:val="30"/>
        <w:rFonts w:ascii="宋体" w:hAnsi="宋体"/>
        <w:sz w:val="26"/>
        <w:szCs w:val="26"/>
      </w:rPr>
      <w:fldChar w:fldCharType="end"/>
    </w:r>
    <w:r>
      <w:rPr>
        <w:rStyle w:val="30"/>
        <w:rFonts w:hint="eastAsia" w:ascii="宋体" w:hAnsi="宋体"/>
        <w:sz w:val="20"/>
      </w:rPr>
      <w:t xml:space="preserve">  </w:t>
    </w:r>
    <w:r>
      <w:rPr>
        <w:rStyle w:val="30"/>
        <w:rFonts w:hint="eastAsia" w:ascii="宋体" w:hAnsi="宋体"/>
        <w:sz w:val="28"/>
        <w:szCs w:val="28"/>
      </w:rPr>
      <w:t>—</w:t>
    </w:r>
  </w:p>
  <w:p w14:paraId="03DFDA3E">
    <w:pPr>
      <w:pStyle w:val="20"/>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AE427">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E04F6"/>
    <w:multiLevelType w:val="singleLevel"/>
    <w:tmpl w:val="8B2E04F6"/>
    <w:lvl w:ilvl="0" w:tentative="0">
      <w:start w:val="1"/>
      <w:numFmt w:val="decimal"/>
      <w:suff w:val="nothing"/>
      <w:lvlText w:val="（%1）"/>
      <w:lvlJc w:val="left"/>
    </w:lvl>
  </w:abstractNum>
  <w:abstractNum w:abstractNumId="1">
    <w:nsid w:val="A8D93FD3"/>
    <w:multiLevelType w:val="singleLevel"/>
    <w:tmpl w:val="A8D93FD3"/>
    <w:lvl w:ilvl="0" w:tentative="0">
      <w:start w:val="1"/>
      <w:numFmt w:val="decimal"/>
      <w:suff w:val="nothing"/>
      <w:lvlText w:val="（%1）"/>
      <w:lvlJc w:val="left"/>
    </w:lvl>
  </w:abstractNum>
  <w:abstractNum w:abstractNumId="2">
    <w:nsid w:val="BBC5DF5E"/>
    <w:multiLevelType w:val="singleLevel"/>
    <w:tmpl w:val="BBC5DF5E"/>
    <w:lvl w:ilvl="0" w:tentative="0">
      <w:start w:val="1"/>
      <w:numFmt w:val="decimal"/>
      <w:suff w:val="nothing"/>
      <w:lvlText w:val="（%1）"/>
      <w:lvlJc w:val="left"/>
    </w:lvl>
  </w:abstractNum>
  <w:abstractNum w:abstractNumId="3">
    <w:nsid w:val="C364489E"/>
    <w:multiLevelType w:val="singleLevel"/>
    <w:tmpl w:val="C364489E"/>
    <w:lvl w:ilvl="0" w:tentative="0">
      <w:start w:val="2"/>
      <w:numFmt w:val="decimal"/>
      <w:suff w:val="nothing"/>
      <w:lvlText w:val="%1、"/>
      <w:lvlJc w:val="left"/>
    </w:lvl>
  </w:abstractNum>
  <w:abstractNum w:abstractNumId="4">
    <w:nsid w:val="C577CC07"/>
    <w:multiLevelType w:val="singleLevel"/>
    <w:tmpl w:val="C577CC07"/>
    <w:lvl w:ilvl="0" w:tentative="0">
      <w:start w:val="1"/>
      <w:numFmt w:val="decimal"/>
      <w:suff w:val="nothing"/>
      <w:lvlText w:val="%1、"/>
      <w:lvlJc w:val="left"/>
      <w:rPr>
        <w:rFonts w:hint="default"/>
        <w:b/>
        <w:bCs/>
      </w:rPr>
    </w:lvl>
  </w:abstractNum>
  <w:abstractNum w:abstractNumId="5">
    <w:nsid w:val="EFDE331C"/>
    <w:multiLevelType w:val="singleLevel"/>
    <w:tmpl w:val="EFDE331C"/>
    <w:lvl w:ilvl="0" w:tentative="0">
      <w:start w:val="2"/>
      <w:numFmt w:val="decimal"/>
      <w:suff w:val="nothing"/>
      <w:lvlText w:val="%1、"/>
      <w:lvlJc w:val="left"/>
    </w:lvl>
  </w:abstractNum>
  <w:abstractNum w:abstractNumId="6">
    <w:nsid w:val="F52CD8CF"/>
    <w:multiLevelType w:val="singleLevel"/>
    <w:tmpl w:val="F52CD8CF"/>
    <w:lvl w:ilvl="0" w:tentative="0">
      <w:start w:val="2"/>
      <w:numFmt w:val="decimal"/>
      <w:suff w:val="nothing"/>
      <w:lvlText w:val="（%1）"/>
      <w:lvlJc w:val="left"/>
      <w:rPr>
        <w:rFonts w:hint="default"/>
        <w:b/>
        <w:bCs/>
      </w:rPr>
    </w:lvl>
  </w:abstractNum>
  <w:abstractNum w:abstractNumId="7">
    <w:nsid w:val="1864BF01"/>
    <w:multiLevelType w:val="singleLevel"/>
    <w:tmpl w:val="1864BF01"/>
    <w:lvl w:ilvl="0" w:tentative="0">
      <w:start w:val="2"/>
      <w:numFmt w:val="decimal"/>
      <w:suff w:val="nothing"/>
      <w:lvlText w:val="%1、"/>
      <w:lvlJc w:val="left"/>
    </w:lvl>
  </w:abstractNum>
  <w:abstractNum w:abstractNumId="8">
    <w:nsid w:val="18A08E6C"/>
    <w:multiLevelType w:val="singleLevel"/>
    <w:tmpl w:val="18A08E6C"/>
    <w:lvl w:ilvl="0" w:tentative="0">
      <w:start w:val="1"/>
      <w:numFmt w:val="decimal"/>
      <w:suff w:val="nothing"/>
      <w:lvlText w:val="%1、"/>
      <w:lvlJc w:val="left"/>
    </w:lvl>
  </w:abstractNum>
  <w:abstractNum w:abstractNumId="9">
    <w:nsid w:val="24563E7D"/>
    <w:multiLevelType w:val="multilevel"/>
    <w:tmpl w:val="24563E7D"/>
    <w:lvl w:ilvl="0" w:tentative="0">
      <w:start w:val="1"/>
      <w:numFmt w:val="decimal"/>
      <w:lvlText w:val="表2-%1"/>
      <w:lvlJc w:val="center"/>
      <w:pPr>
        <w:ind w:left="2830" w:hanging="420"/>
      </w:pPr>
      <w:rPr>
        <w:rFonts w:hint="default" w:ascii="黑体" w:hAnsi="黑体" w:eastAsia="黑体" w:cs="黑体"/>
        <w:b w:val="0"/>
        <w:bCs w:val="0"/>
      </w:rPr>
    </w:lvl>
    <w:lvl w:ilvl="1" w:tentative="0">
      <w:start w:val="1"/>
      <w:numFmt w:val="lowerLetter"/>
      <w:lvlText w:val="%2)"/>
      <w:lvlJc w:val="left"/>
      <w:pPr>
        <w:ind w:left="3250" w:hanging="420"/>
      </w:pPr>
    </w:lvl>
    <w:lvl w:ilvl="2" w:tentative="0">
      <w:start w:val="1"/>
      <w:numFmt w:val="lowerRoman"/>
      <w:lvlText w:val="%3."/>
      <w:lvlJc w:val="right"/>
      <w:pPr>
        <w:ind w:left="3670" w:hanging="420"/>
      </w:pPr>
    </w:lvl>
    <w:lvl w:ilvl="3" w:tentative="0">
      <w:start w:val="1"/>
      <w:numFmt w:val="decimal"/>
      <w:lvlText w:val="%4."/>
      <w:lvlJc w:val="left"/>
      <w:pPr>
        <w:ind w:left="4090" w:hanging="420"/>
      </w:pPr>
    </w:lvl>
    <w:lvl w:ilvl="4" w:tentative="0">
      <w:start w:val="1"/>
      <w:numFmt w:val="lowerLetter"/>
      <w:lvlText w:val="%5)"/>
      <w:lvlJc w:val="left"/>
      <w:pPr>
        <w:ind w:left="4510" w:hanging="420"/>
      </w:pPr>
    </w:lvl>
    <w:lvl w:ilvl="5" w:tentative="0">
      <w:start w:val="1"/>
      <w:numFmt w:val="lowerRoman"/>
      <w:lvlText w:val="%6."/>
      <w:lvlJc w:val="right"/>
      <w:pPr>
        <w:ind w:left="4930" w:hanging="420"/>
      </w:pPr>
    </w:lvl>
    <w:lvl w:ilvl="6" w:tentative="0">
      <w:start w:val="1"/>
      <w:numFmt w:val="decimal"/>
      <w:lvlText w:val="%7."/>
      <w:lvlJc w:val="left"/>
      <w:pPr>
        <w:ind w:left="5350" w:hanging="420"/>
      </w:pPr>
    </w:lvl>
    <w:lvl w:ilvl="7" w:tentative="0">
      <w:start w:val="1"/>
      <w:numFmt w:val="lowerLetter"/>
      <w:lvlText w:val="%8)"/>
      <w:lvlJc w:val="left"/>
      <w:pPr>
        <w:ind w:left="5770" w:hanging="420"/>
      </w:pPr>
    </w:lvl>
    <w:lvl w:ilvl="8" w:tentative="0">
      <w:start w:val="1"/>
      <w:numFmt w:val="lowerRoman"/>
      <w:lvlText w:val="%9."/>
      <w:lvlJc w:val="right"/>
      <w:pPr>
        <w:ind w:left="6190" w:hanging="420"/>
      </w:pPr>
    </w:lvl>
  </w:abstractNum>
  <w:abstractNum w:abstractNumId="10">
    <w:nsid w:val="34E306F9"/>
    <w:multiLevelType w:val="singleLevel"/>
    <w:tmpl w:val="34E306F9"/>
    <w:lvl w:ilvl="0" w:tentative="0">
      <w:start w:val="1"/>
      <w:numFmt w:val="decimal"/>
      <w:suff w:val="nothing"/>
      <w:lvlText w:val="（%1）"/>
      <w:lvlJc w:val="left"/>
    </w:lvl>
  </w:abstractNum>
  <w:abstractNum w:abstractNumId="11">
    <w:nsid w:val="39E964DD"/>
    <w:multiLevelType w:val="multilevel"/>
    <w:tmpl w:val="39E964DD"/>
    <w:lvl w:ilvl="0" w:tentative="0">
      <w:start w:val="1"/>
      <w:numFmt w:val="decimal"/>
      <w:suff w:val="space"/>
      <w:lvlText w:val="表1-%1 "/>
      <w:lvlJc w:val="center"/>
      <w:pPr>
        <w:ind w:left="1134" w:hanging="1134"/>
      </w:pPr>
      <w:rPr>
        <w:rFonts w:hint="default" w:ascii="黑体" w:hAnsi="黑体" w:eastAsia="黑体" w:cs="黑体"/>
        <w:b w:val="0"/>
        <w:bCs w:val="0"/>
        <w:sz w:val="21"/>
        <w:szCs w:val="21"/>
      </w:rPr>
    </w:lvl>
    <w:lvl w:ilvl="1" w:tentative="0">
      <w:start w:val="1"/>
      <w:numFmt w:val="lowerLetter"/>
      <w:lvlText w:val="%2)"/>
      <w:lvlJc w:val="left"/>
      <w:pPr>
        <w:ind w:left="2991" w:hanging="420"/>
      </w:pPr>
      <w:rPr>
        <w:rFonts w:hint="eastAsia"/>
      </w:rPr>
    </w:lvl>
    <w:lvl w:ilvl="2" w:tentative="0">
      <w:start w:val="1"/>
      <w:numFmt w:val="lowerRoman"/>
      <w:lvlText w:val="%3."/>
      <w:lvlJc w:val="right"/>
      <w:pPr>
        <w:ind w:left="3411" w:hanging="420"/>
      </w:pPr>
      <w:rPr>
        <w:rFonts w:hint="eastAsia"/>
      </w:rPr>
    </w:lvl>
    <w:lvl w:ilvl="3" w:tentative="0">
      <w:start w:val="1"/>
      <w:numFmt w:val="decimal"/>
      <w:lvlText w:val="%4."/>
      <w:lvlJc w:val="left"/>
      <w:pPr>
        <w:ind w:left="3831" w:hanging="420"/>
      </w:pPr>
      <w:rPr>
        <w:rFonts w:hint="eastAsia"/>
      </w:rPr>
    </w:lvl>
    <w:lvl w:ilvl="4" w:tentative="0">
      <w:start w:val="1"/>
      <w:numFmt w:val="lowerLetter"/>
      <w:lvlText w:val="%5)"/>
      <w:lvlJc w:val="left"/>
      <w:pPr>
        <w:ind w:left="4251" w:hanging="420"/>
      </w:pPr>
      <w:rPr>
        <w:rFonts w:hint="eastAsia"/>
      </w:rPr>
    </w:lvl>
    <w:lvl w:ilvl="5" w:tentative="0">
      <w:start w:val="1"/>
      <w:numFmt w:val="lowerRoman"/>
      <w:lvlText w:val="%6."/>
      <w:lvlJc w:val="right"/>
      <w:pPr>
        <w:ind w:left="4671" w:hanging="420"/>
      </w:pPr>
      <w:rPr>
        <w:rFonts w:hint="eastAsia"/>
      </w:rPr>
    </w:lvl>
    <w:lvl w:ilvl="6" w:tentative="0">
      <w:start w:val="1"/>
      <w:numFmt w:val="decimal"/>
      <w:lvlText w:val="%7."/>
      <w:lvlJc w:val="left"/>
      <w:pPr>
        <w:ind w:left="5091" w:hanging="420"/>
      </w:pPr>
      <w:rPr>
        <w:rFonts w:hint="eastAsia"/>
      </w:rPr>
    </w:lvl>
    <w:lvl w:ilvl="7" w:tentative="0">
      <w:start w:val="1"/>
      <w:numFmt w:val="lowerLetter"/>
      <w:lvlText w:val="%8)"/>
      <w:lvlJc w:val="left"/>
      <w:pPr>
        <w:ind w:left="5511" w:hanging="420"/>
      </w:pPr>
      <w:rPr>
        <w:rFonts w:hint="eastAsia"/>
      </w:rPr>
    </w:lvl>
    <w:lvl w:ilvl="8" w:tentative="0">
      <w:start w:val="1"/>
      <w:numFmt w:val="lowerRoman"/>
      <w:lvlText w:val="%9."/>
      <w:lvlJc w:val="right"/>
      <w:pPr>
        <w:ind w:left="5931" w:hanging="420"/>
      </w:pPr>
      <w:rPr>
        <w:rFonts w:hint="eastAsia"/>
      </w:rPr>
    </w:lvl>
  </w:abstractNum>
  <w:abstractNum w:abstractNumId="12">
    <w:nsid w:val="43EFB56D"/>
    <w:multiLevelType w:val="singleLevel"/>
    <w:tmpl w:val="43EFB56D"/>
    <w:lvl w:ilvl="0" w:tentative="0">
      <w:start w:val="2"/>
      <w:numFmt w:val="decimal"/>
      <w:suff w:val="nothing"/>
      <w:lvlText w:val="%1、"/>
      <w:lvlJc w:val="left"/>
    </w:lvl>
  </w:abstractNum>
  <w:abstractNum w:abstractNumId="13">
    <w:nsid w:val="489F129C"/>
    <w:multiLevelType w:val="singleLevel"/>
    <w:tmpl w:val="489F129C"/>
    <w:lvl w:ilvl="0" w:tentative="0">
      <w:start w:val="1"/>
      <w:numFmt w:val="decimal"/>
      <w:suff w:val="nothing"/>
      <w:lvlText w:val="（%1）"/>
      <w:lvlJc w:val="left"/>
    </w:lvl>
  </w:abstractNum>
  <w:abstractNum w:abstractNumId="14">
    <w:nsid w:val="5197A1C7"/>
    <w:multiLevelType w:val="singleLevel"/>
    <w:tmpl w:val="5197A1C7"/>
    <w:lvl w:ilvl="0" w:tentative="0">
      <w:start w:val="6"/>
      <w:numFmt w:val="decimal"/>
      <w:suff w:val="nothing"/>
      <w:lvlText w:val="%1、"/>
      <w:lvlJc w:val="left"/>
    </w:lvl>
  </w:abstractNum>
  <w:abstractNum w:abstractNumId="15">
    <w:nsid w:val="55913BBE"/>
    <w:multiLevelType w:val="multilevel"/>
    <w:tmpl w:val="55913BBE"/>
    <w:lvl w:ilvl="0" w:tentative="0">
      <w:start w:val="1"/>
      <w:numFmt w:val="decimal"/>
      <w:suff w:val="space"/>
      <w:lvlText w:val="表4-%1"/>
      <w:lvlJc w:val="left"/>
      <w:pPr>
        <w:tabs>
          <w:tab w:val="left" w:pos="0"/>
        </w:tabs>
        <w:ind w:left="0" w:firstLine="0"/>
      </w:pPr>
      <w:rPr>
        <w:rFonts w:hint="default" w:ascii="黑体" w:hAnsi="黑体" w:eastAsia="黑体" w:cs="黑体"/>
        <w:b w:val="0"/>
        <w:bCs w:val="0"/>
        <w:sz w:val="21"/>
        <w:szCs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658E8C3"/>
    <w:multiLevelType w:val="singleLevel"/>
    <w:tmpl w:val="6658E8C3"/>
    <w:lvl w:ilvl="0" w:tentative="0">
      <w:start w:val="1"/>
      <w:numFmt w:val="decimal"/>
      <w:pStyle w:val="9"/>
      <w:lvlText w:val="%1."/>
      <w:lvlJc w:val="left"/>
      <w:pPr>
        <w:tabs>
          <w:tab w:val="left" w:pos="360"/>
        </w:tabs>
        <w:ind w:left="360" w:hanging="360"/>
      </w:pPr>
    </w:lvl>
  </w:abstractNum>
  <w:abstractNum w:abstractNumId="17">
    <w:nsid w:val="66A5BB32"/>
    <w:multiLevelType w:val="singleLevel"/>
    <w:tmpl w:val="66A5BB32"/>
    <w:lvl w:ilvl="0" w:tentative="0">
      <w:start w:val="1"/>
      <w:numFmt w:val="decimal"/>
      <w:suff w:val="nothing"/>
      <w:lvlText w:val="（%1）"/>
      <w:lvlJc w:val="left"/>
    </w:lvl>
  </w:abstractNum>
  <w:abstractNum w:abstractNumId="18">
    <w:nsid w:val="743C71F9"/>
    <w:multiLevelType w:val="multilevel"/>
    <w:tmpl w:val="743C71F9"/>
    <w:lvl w:ilvl="0" w:tentative="0">
      <w:start w:val="1"/>
      <w:numFmt w:val="decimal"/>
      <w:suff w:val="space"/>
      <w:lvlText w:val="表3-%1"/>
      <w:lvlJc w:val="center"/>
      <w:pPr>
        <w:ind w:left="0" w:firstLine="0"/>
      </w:pPr>
      <w:rPr>
        <w:rFonts w:hint="default" w:ascii="黑体" w:hAnsi="黑体" w:eastAsia="黑体" w:cs="黑体"/>
        <w:b w:val="0"/>
        <w:bCs w:val="0"/>
        <w:spacing w:val="0"/>
        <w:w w:val="10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7EB9FB6D"/>
    <w:multiLevelType w:val="singleLevel"/>
    <w:tmpl w:val="7EB9FB6D"/>
    <w:lvl w:ilvl="0" w:tentative="0">
      <w:start w:val="2"/>
      <w:numFmt w:val="decimal"/>
      <w:suff w:val="nothing"/>
      <w:lvlText w:val="%1、"/>
      <w:lvlJc w:val="left"/>
    </w:lvl>
  </w:abstractNum>
  <w:num w:numId="1">
    <w:abstractNumId w:val="16"/>
  </w:num>
  <w:num w:numId="2">
    <w:abstractNumId w:val="11"/>
  </w:num>
  <w:num w:numId="3">
    <w:abstractNumId w:val="6"/>
  </w:num>
  <w:num w:numId="4">
    <w:abstractNumId w:val="9"/>
  </w:num>
  <w:num w:numId="5">
    <w:abstractNumId w:val="4"/>
  </w:num>
  <w:num w:numId="6">
    <w:abstractNumId w:val="13"/>
  </w:num>
  <w:num w:numId="7">
    <w:abstractNumId w:val="7"/>
  </w:num>
  <w:num w:numId="8">
    <w:abstractNumId w:val="18"/>
  </w:num>
  <w:num w:numId="9">
    <w:abstractNumId w:val="17"/>
  </w:num>
  <w:num w:numId="10">
    <w:abstractNumId w:val="10"/>
  </w:num>
  <w:num w:numId="11">
    <w:abstractNumId w:val="3"/>
  </w:num>
  <w:num w:numId="12">
    <w:abstractNumId w:val="15"/>
  </w:num>
  <w:num w:numId="13">
    <w:abstractNumId w:val="2"/>
  </w:num>
  <w:num w:numId="14">
    <w:abstractNumId w:val="12"/>
  </w:num>
  <w:num w:numId="15">
    <w:abstractNumId w:val="1"/>
  </w:num>
  <w:num w:numId="16">
    <w:abstractNumId w:val="5"/>
  </w:num>
  <w:num w:numId="17">
    <w:abstractNumId w:val="0"/>
  </w:num>
  <w:num w:numId="18">
    <w:abstractNumId w:val="19"/>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isplayHorizontalDrawingGridEvery w:val="1"/>
  <w:displayVerticalDrawingGridEvery w:val="1"/>
  <w:noPunctuationKerning w:val="1"/>
  <w:characterSpacingControl w:val="doNotCompress"/>
  <w:noLineBreaksAfter w:lang="zh-CN" w:val="([{·‘“〈《「『【〔〖（．［｛￡￥"/>
  <w:noLineBreaksBefore w:lang="zh-CN" w:val="!),.:;?]}¨·ˇˉ―‖’”…∶、。〃々〉》」』】〕〗！＂＇），．：；？］｀｜｝～￠"/>
  <w:compat>
    <w:balanceSingleByteDoubleByteWidth/>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NhMmJiYTNhMjcyZWYxYjQ4NTY4NDk5MDAwZDEzOTUifQ=="/>
  </w:docVars>
  <w:rsids>
    <w:rsidRoot w:val="00A14947"/>
    <w:rsid w:val="0000008D"/>
    <w:rsid w:val="00000545"/>
    <w:rsid w:val="000017DC"/>
    <w:rsid w:val="000019C8"/>
    <w:rsid w:val="00001CB8"/>
    <w:rsid w:val="00001EE1"/>
    <w:rsid w:val="000024C8"/>
    <w:rsid w:val="000029B4"/>
    <w:rsid w:val="00002DFC"/>
    <w:rsid w:val="0000304D"/>
    <w:rsid w:val="0000340C"/>
    <w:rsid w:val="00003991"/>
    <w:rsid w:val="00003FC4"/>
    <w:rsid w:val="0000413B"/>
    <w:rsid w:val="000043C8"/>
    <w:rsid w:val="000048F8"/>
    <w:rsid w:val="00004AA6"/>
    <w:rsid w:val="00004C68"/>
    <w:rsid w:val="00004D2C"/>
    <w:rsid w:val="00004E87"/>
    <w:rsid w:val="00005204"/>
    <w:rsid w:val="000059E0"/>
    <w:rsid w:val="00005BE8"/>
    <w:rsid w:val="00005FE8"/>
    <w:rsid w:val="000060B3"/>
    <w:rsid w:val="00006420"/>
    <w:rsid w:val="000066E6"/>
    <w:rsid w:val="0000697D"/>
    <w:rsid w:val="00006B58"/>
    <w:rsid w:val="00006F1C"/>
    <w:rsid w:val="00007162"/>
    <w:rsid w:val="000077E9"/>
    <w:rsid w:val="00007B9D"/>
    <w:rsid w:val="00007C02"/>
    <w:rsid w:val="00007EEA"/>
    <w:rsid w:val="000103ED"/>
    <w:rsid w:val="000109B7"/>
    <w:rsid w:val="00010A12"/>
    <w:rsid w:val="00010C7A"/>
    <w:rsid w:val="0001158D"/>
    <w:rsid w:val="00011ED5"/>
    <w:rsid w:val="00011F45"/>
    <w:rsid w:val="000120A2"/>
    <w:rsid w:val="00012200"/>
    <w:rsid w:val="00012203"/>
    <w:rsid w:val="000124A9"/>
    <w:rsid w:val="00012522"/>
    <w:rsid w:val="00012748"/>
    <w:rsid w:val="0001295E"/>
    <w:rsid w:val="00012B31"/>
    <w:rsid w:val="00012BB4"/>
    <w:rsid w:val="00012C90"/>
    <w:rsid w:val="00013D1F"/>
    <w:rsid w:val="00014440"/>
    <w:rsid w:val="0001447B"/>
    <w:rsid w:val="00014694"/>
    <w:rsid w:val="000147FA"/>
    <w:rsid w:val="00014954"/>
    <w:rsid w:val="00014E5C"/>
    <w:rsid w:val="000153BE"/>
    <w:rsid w:val="000153FB"/>
    <w:rsid w:val="000167C4"/>
    <w:rsid w:val="00017094"/>
    <w:rsid w:val="00017189"/>
    <w:rsid w:val="0001758F"/>
    <w:rsid w:val="00017943"/>
    <w:rsid w:val="00017D89"/>
    <w:rsid w:val="00017FAC"/>
    <w:rsid w:val="000200FB"/>
    <w:rsid w:val="00020581"/>
    <w:rsid w:val="000211CE"/>
    <w:rsid w:val="00021263"/>
    <w:rsid w:val="00021862"/>
    <w:rsid w:val="000219F5"/>
    <w:rsid w:val="00021D68"/>
    <w:rsid w:val="00022062"/>
    <w:rsid w:val="0002215D"/>
    <w:rsid w:val="00022989"/>
    <w:rsid w:val="00022D6B"/>
    <w:rsid w:val="000232E8"/>
    <w:rsid w:val="00023FCD"/>
    <w:rsid w:val="00024049"/>
    <w:rsid w:val="000241CB"/>
    <w:rsid w:val="00024417"/>
    <w:rsid w:val="000245A9"/>
    <w:rsid w:val="000247C5"/>
    <w:rsid w:val="00024AA8"/>
    <w:rsid w:val="00024B2C"/>
    <w:rsid w:val="00024CDC"/>
    <w:rsid w:val="00025495"/>
    <w:rsid w:val="00025665"/>
    <w:rsid w:val="00025AF0"/>
    <w:rsid w:val="00025B10"/>
    <w:rsid w:val="0002704F"/>
    <w:rsid w:val="000273BA"/>
    <w:rsid w:val="000276FB"/>
    <w:rsid w:val="00027849"/>
    <w:rsid w:val="00027C57"/>
    <w:rsid w:val="00027C70"/>
    <w:rsid w:val="0003016B"/>
    <w:rsid w:val="00030172"/>
    <w:rsid w:val="0003081E"/>
    <w:rsid w:val="00030876"/>
    <w:rsid w:val="00030D4C"/>
    <w:rsid w:val="000311C5"/>
    <w:rsid w:val="00031F42"/>
    <w:rsid w:val="00032096"/>
    <w:rsid w:val="00032363"/>
    <w:rsid w:val="00032618"/>
    <w:rsid w:val="0003275C"/>
    <w:rsid w:val="00032852"/>
    <w:rsid w:val="000329CE"/>
    <w:rsid w:val="00032B19"/>
    <w:rsid w:val="00032C27"/>
    <w:rsid w:val="00032C7A"/>
    <w:rsid w:val="00032D66"/>
    <w:rsid w:val="0003318C"/>
    <w:rsid w:val="000332BC"/>
    <w:rsid w:val="00033C14"/>
    <w:rsid w:val="0003439D"/>
    <w:rsid w:val="00034650"/>
    <w:rsid w:val="000346EF"/>
    <w:rsid w:val="000347B2"/>
    <w:rsid w:val="0003482B"/>
    <w:rsid w:val="00034A64"/>
    <w:rsid w:val="00034F67"/>
    <w:rsid w:val="0003529E"/>
    <w:rsid w:val="00035762"/>
    <w:rsid w:val="000358D0"/>
    <w:rsid w:val="000360CD"/>
    <w:rsid w:val="0003639A"/>
    <w:rsid w:val="0003717C"/>
    <w:rsid w:val="00037957"/>
    <w:rsid w:val="00037C8C"/>
    <w:rsid w:val="00037F8F"/>
    <w:rsid w:val="000403DD"/>
    <w:rsid w:val="00040B48"/>
    <w:rsid w:val="00040F12"/>
    <w:rsid w:val="00041333"/>
    <w:rsid w:val="000414D0"/>
    <w:rsid w:val="0004259E"/>
    <w:rsid w:val="0004263C"/>
    <w:rsid w:val="000426D1"/>
    <w:rsid w:val="000427C2"/>
    <w:rsid w:val="0004285A"/>
    <w:rsid w:val="00042887"/>
    <w:rsid w:val="00042F09"/>
    <w:rsid w:val="00043614"/>
    <w:rsid w:val="0004364B"/>
    <w:rsid w:val="000438AE"/>
    <w:rsid w:val="00043E5C"/>
    <w:rsid w:val="00043E69"/>
    <w:rsid w:val="00044A9D"/>
    <w:rsid w:val="00044B91"/>
    <w:rsid w:val="00045190"/>
    <w:rsid w:val="0004520C"/>
    <w:rsid w:val="000453DC"/>
    <w:rsid w:val="00045851"/>
    <w:rsid w:val="00045D22"/>
    <w:rsid w:val="000463F1"/>
    <w:rsid w:val="0004648A"/>
    <w:rsid w:val="0004669A"/>
    <w:rsid w:val="00046A3A"/>
    <w:rsid w:val="00046E33"/>
    <w:rsid w:val="00046FB4"/>
    <w:rsid w:val="0004746B"/>
    <w:rsid w:val="000474A3"/>
    <w:rsid w:val="0004786A"/>
    <w:rsid w:val="00047BE5"/>
    <w:rsid w:val="00047FBD"/>
    <w:rsid w:val="000500A7"/>
    <w:rsid w:val="000500D3"/>
    <w:rsid w:val="00050D35"/>
    <w:rsid w:val="00050D9D"/>
    <w:rsid w:val="00050DE2"/>
    <w:rsid w:val="00050E16"/>
    <w:rsid w:val="00051654"/>
    <w:rsid w:val="000516A1"/>
    <w:rsid w:val="00051AD8"/>
    <w:rsid w:val="00051D9C"/>
    <w:rsid w:val="00051DD8"/>
    <w:rsid w:val="00051ED4"/>
    <w:rsid w:val="00052275"/>
    <w:rsid w:val="00052453"/>
    <w:rsid w:val="000525CF"/>
    <w:rsid w:val="00052951"/>
    <w:rsid w:val="00052AD4"/>
    <w:rsid w:val="00052C14"/>
    <w:rsid w:val="000530BF"/>
    <w:rsid w:val="0005314C"/>
    <w:rsid w:val="00053746"/>
    <w:rsid w:val="00053B70"/>
    <w:rsid w:val="00053CBD"/>
    <w:rsid w:val="000543BD"/>
    <w:rsid w:val="000547A0"/>
    <w:rsid w:val="00054B05"/>
    <w:rsid w:val="00054C1E"/>
    <w:rsid w:val="0005526E"/>
    <w:rsid w:val="000552D8"/>
    <w:rsid w:val="00055598"/>
    <w:rsid w:val="000557D9"/>
    <w:rsid w:val="0005580A"/>
    <w:rsid w:val="0005589B"/>
    <w:rsid w:val="00055A00"/>
    <w:rsid w:val="00055D20"/>
    <w:rsid w:val="00055FB1"/>
    <w:rsid w:val="00056BF4"/>
    <w:rsid w:val="00056EB4"/>
    <w:rsid w:val="0005714B"/>
    <w:rsid w:val="000571C6"/>
    <w:rsid w:val="00057285"/>
    <w:rsid w:val="000578AD"/>
    <w:rsid w:val="00057F5B"/>
    <w:rsid w:val="000605AA"/>
    <w:rsid w:val="0006084C"/>
    <w:rsid w:val="000608FD"/>
    <w:rsid w:val="00060F23"/>
    <w:rsid w:val="0006129F"/>
    <w:rsid w:val="000615D6"/>
    <w:rsid w:val="00061B1F"/>
    <w:rsid w:val="000622E6"/>
    <w:rsid w:val="000629BE"/>
    <w:rsid w:val="00062BCC"/>
    <w:rsid w:val="00063228"/>
    <w:rsid w:val="0006353E"/>
    <w:rsid w:val="0006379E"/>
    <w:rsid w:val="000640E2"/>
    <w:rsid w:val="00064273"/>
    <w:rsid w:val="0006526B"/>
    <w:rsid w:val="000652B0"/>
    <w:rsid w:val="000652FE"/>
    <w:rsid w:val="0006557B"/>
    <w:rsid w:val="00065623"/>
    <w:rsid w:val="00065770"/>
    <w:rsid w:val="0006577F"/>
    <w:rsid w:val="00065853"/>
    <w:rsid w:val="000658FF"/>
    <w:rsid w:val="00066153"/>
    <w:rsid w:val="000661D5"/>
    <w:rsid w:val="000662B2"/>
    <w:rsid w:val="0006651C"/>
    <w:rsid w:val="00066CC9"/>
    <w:rsid w:val="00066EC5"/>
    <w:rsid w:val="000670EA"/>
    <w:rsid w:val="00067983"/>
    <w:rsid w:val="00070347"/>
    <w:rsid w:val="00070751"/>
    <w:rsid w:val="000707A2"/>
    <w:rsid w:val="00070A57"/>
    <w:rsid w:val="000712E9"/>
    <w:rsid w:val="000715B6"/>
    <w:rsid w:val="0007168D"/>
    <w:rsid w:val="000717B9"/>
    <w:rsid w:val="00071B3A"/>
    <w:rsid w:val="00071CEE"/>
    <w:rsid w:val="00071DAE"/>
    <w:rsid w:val="00071E47"/>
    <w:rsid w:val="000720DD"/>
    <w:rsid w:val="000726D5"/>
    <w:rsid w:val="00072889"/>
    <w:rsid w:val="00072D1E"/>
    <w:rsid w:val="0007316B"/>
    <w:rsid w:val="000732DB"/>
    <w:rsid w:val="000733C4"/>
    <w:rsid w:val="00073749"/>
    <w:rsid w:val="00074033"/>
    <w:rsid w:val="00074288"/>
    <w:rsid w:val="00074305"/>
    <w:rsid w:val="000743F7"/>
    <w:rsid w:val="00074444"/>
    <w:rsid w:val="00074582"/>
    <w:rsid w:val="0007460F"/>
    <w:rsid w:val="00074783"/>
    <w:rsid w:val="00074B8D"/>
    <w:rsid w:val="00074BDB"/>
    <w:rsid w:val="00074F23"/>
    <w:rsid w:val="00074FDD"/>
    <w:rsid w:val="0007559C"/>
    <w:rsid w:val="00075EBD"/>
    <w:rsid w:val="000766CF"/>
    <w:rsid w:val="00076C6D"/>
    <w:rsid w:val="00077032"/>
    <w:rsid w:val="000772C0"/>
    <w:rsid w:val="00077533"/>
    <w:rsid w:val="000775DA"/>
    <w:rsid w:val="00077940"/>
    <w:rsid w:val="000779CC"/>
    <w:rsid w:val="00077ED7"/>
    <w:rsid w:val="0008019D"/>
    <w:rsid w:val="00080267"/>
    <w:rsid w:val="00080494"/>
    <w:rsid w:val="0008070B"/>
    <w:rsid w:val="0008073A"/>
    <w:rsid w:val="00080947"/>
    <w:rsid w:val="000809BE"/>
    <w:rsid w:val="00080CFE"/>
    <w:rsid w:val="00080D51"/>
    <w:rsid w:val="00080F21"/>
    <w:rsid w:val="000810AC"/>
    <w:rsid w:val="0008117B"/>
    <w:rsid w:val="00081189"/>
    <w:rsid w:val="000815AD"/>
    <w:rsid w:val="0008171D"/>
    <w:rsid w:val="000817C9"/>
    <w:rsid w:val="00081996"/>
    <w:rsid w:val="00081A02"/>
    <w:rsid w:val="00081F77"/>
    <w:rsid w:val="0008202D"/>
    <w:rsid w:val="00082231"/>
    <w:rsid w:val="00082616"/>
    <w:rsid w:val="000829BA"/>
    <w:rsid w:val="00082D0B"/>
    <w:rsid w:val="00082FDB"/>
    <w:rsid w:val="00083225"/>
    <w:rsid w:val="00083954"/>
    <w:rsid w:val="00083D70"/>
    <w:rsid w:val="00083E00"/>
    <w:rsid w:val="000843B1"/>
    <w:rsid w:val="000848C9"/>
    <w:rsid w:val="000849BD"/>
    <w:rsid w:val="00084BC6"/>
    <w:rsid w:val="00084C06"/>
    <w:rsid w:val="00084E3B"/>
    <w:rsid w:val="00084F7E"/>
    <w:rsid w:val="00085055"/>
    <w:rsid w:val="00085071"/>
    <w:rsid w:val="00085199"/>
    <w:rsid w:val="000861F6"/>
    <w:rsid w:val="00086283"/>
    <w:rsid w:val="00086A1D"/>
    <w:rsid w:val="00086D5B"/>
    <w:rsid w:val="00087046"/>
    <w:rsid w:val="000877CF"/>
    <w:rsid w:val="000900A0"/>
    <w:rsid w:val="000901BF"/>
    <w:rsid w:val="00090352"/>
    <w:rsid w:val="00090426"/>
    <w:rsid w:val="00090727"/>
    <w:rsid w:val="000907F6"/>
    <w:rsid w:val="00090B52"/>
    <w:rsid w:val="00091061"/>
    <w:rsid w:val="000910EF"/>
    <w:rsid w:val="0009180A"/>
    <w:rsid w:val="00091D25"/>
    <w:rsid w:val="00091F88"/>
    <w:rsid w:val="0009221F"/>
    <w:rsid w:val="000922BA"/>
    <w:rsid w:val="000928C4"/>
    <w:rsid w:val="00092A79"/>
    <w:rsid w:val="00092C66"/>
    <w:rsid w:val="00092D38"/>
    <w:rsid w:val="00092F34"/>
    <w:rsid w:val="0009350E"/>
    <w:rsid w:val="0009377B"/>
    <w:rsid w:val="000937DB"/>
    <w:rsid w:val="00093889"/>
    <w:rsid w:val="000939B0"/>
    <w:rsid w:val="00093AA8"/>
    <w:rsid w:val="00093B38"/>
    <w:rsid w:val="00093FA2"/>
    <w:rsid w:val="00093FBB"/>
    <w:rsid w:val="000940E3"/>
    <w:rsid w:val="0009427D"/>
    <w:rsid w:val="00094714"/>
    <w:rsid w:val="0009498F"/>
    <w:rsid w:val="00094B70"/>
    <w:rsid w:val="00095153"/>
    <w:rsid w:val="000951E2"/>
    <w:rsid w:val="0009596A"/>
    <w:rsid w:val="00095A9E"/>
    <w:rsid w:val="00095E1A"/>
    <w:rsid w:val="0009652F"/>
    <w:rsid w:val="000967B7"/>
    <w:rsid w:val="00096AF7"/>
    <w:rsid w:val="00096BC0"/>
    <w:rsid w:val="00097250"/>
    <w:rsid w:val="0009735A"/>
    <w:rsid w:val="000974FC"/>
    <w:rsid w:val="00097659"/>
    <w:rsid w:val="000976D4"/>
    <w:rsid w:val="00097AD3"/>
    <w:rsid w:val="00097C22"/>
    <w:rsid w:val="00097EA9"/>
    <w:rsid w:val="000A036C"/>
    <w:rsid w:val="000A095F"/>
    <w:rsid w:val="000A0A55"/>
    <w:rsid w:val="000A109C"/>
    <w:rsid w:val="000A1286"/>
    <w:rsid w:val="000A12DE"/>
    <w:rsid w:val="000A13F2"/>
    <w:rsid w:val="000A1B46"/>
    <w:rsid w:val="000A209F"/>
    <w:rsid w:val="000A20C9"/>
    <w:rsid w:val="000A2517"/>
    <w:rsid w:val="000A254B"/>
    <w:rsid w:val="000A267B"/>
    <w:rsid w:val="000A2D27"/>
    <w:rsid w:val="000A2D57"/>
    <w:rsid w:val="000A2E3F"/>
    <w:rsid w:val="000A2FD9"/>
    <w:rsid w:val="000A3231"/>
    <w:rsid w:val="000A32EF"/>
    <w:rsid w:val="000A3433"/>
    <w:rsid w:val="000A3471"/>
    <w:rsid w:val="000A398A"/>
    <w:rsid w:val="000A3F1C"/>
    <w:rsid w:val="000A447D"/>
    <w:rsid w:val="000A46F3"/>
    <w:rsid w:val="000A47B1"/>
    <w:rsid w:val="000A4938"/>
    <w:rsid w:val="000A513C"/>
    <w:rsid w:val="000A5170"/>
    <w:rsid w:val="000A52E1"/>
    <w:rsid w:val="000A542F"/>
    <w:rsid w:val="000A5522"/>
    <w:rsid w:val="000A562A"/>
    <w:rsid w:val="000A6427"/>
    <w:rsid w:val="000A6778"/>
    <w:rsid w:val="000A69AB"/>
    <w:rsid w:val="000A6BB8"/>
    <w:rsid w:val="000A7120"/>
    <w:rsid w:val="000A7558"/>
    <w:rsid w:val="000A7745"/>
    <w:rsid w:val="000A77AF"/>
    <w:rsid w:val="000A7BA1"/>
    <w:rsid w:val="000A7E43"/>
    <w:rsid w:val="000B058F"/>
    <w:rsid w:val="000B07C1"/>
    <w:rsid w:val="000B0BF0"/>
    <w:rsid w:val="000B11FF"/>
    <w:rsid w:val="000B13C2"/>
    <w:rsid w:val="000B15A5"/>
    <w:rsid w:val="000B16B0"/>
    <w:rsid w:val="000B1C69"/>
    <w:rsid w:val="000B1CFC"/>
    <w:rsid w:val="000B25DA"/>
    <w:rsid w:val="000B294E"/>
    <w:rsid w:val="000B2B54"/>
    <w:rsid w:val="000B2E56"/>
    <w:rsid w:val="000B30C7"/>
    <w:rsid w:val="000B330E"/>
    <w:rsid w:val="000B335B"/>
    <w:rsid w:val="000B33CE"/>
    <w:rsid w:val="000B348C"/>
    <w:rsid w:val="000B34FE"/>
    <w:rsid w:val="000B3879"/>
    <w:rsid w:val="000B3A88"/>
    <w:rsid w:val="000B42CB"/>
    <w:rsid w:val="000B4467"/>
    <w:rsid w:val="000B447D"/>
    <w:rsid w:val="000B4D3C"/>
    <w:rsid w:val="000B4DB9"/>
    <w:rsid w:val="000B4E6E"/>
    <w:rsid w:val="000B4F20"/>
    <w:rsid w:val="000B4FF1"/>
    <w:rsid w:val="000B5082"/>
    <w:rsid w:val="000B5167"/>
    <w:rsid w:val="000B550A"/>
    <w:rsid w:val="000B556D"/>
    <w:rsid w:val="000B5582"/>
    <w:rsid w:val="000B5B9B"/>
    <w:rsid w:val="000B5F4E"/>
    <w:rsid w:val="000B6309"/>
    <w:rsid w:val="000B6331"/>
    <w:rsid w:val="000B63D3"/>
    <w:rsid w:val="000B6978"/>
    <w:rsid w:val="000B69DD"/>
    <w:rsid w:val="000B6A13"/>
    <w:rsid w:val="000B6CF5"/>
    <w:rsid w:val="000B6F32"/>
    <w:rsid w:val="000B70FC"/>
    <w:rsid w:val="000B77B9"/>
    <w:rsid w:val="000B792A"/>
    <w:rsid w:val="000B7A60"/>
    <w:rsid w:val="000B7ACE"/>
    <w:rsid w:val="000B7E31"/>
    <w:rsid w:val="000B7F8D"/>
    <w:rsid w:val="000C017F"/>
    <w:rsid w:val="000C06F4"/>
    <w:rsid w:val="000C09AC"/>
    <w:rsid w:val="000C0B85"/>
    <w:rsid w:val="000C1082"/>
    <w:rsid w:val="000C1211"/>
    <w:rsid w:val="000C138E"/>
    <w:rsid w:val="000C1AFA"/>
    <w:rsid w:val="000C1BCC"/>
    <w:rsid w:val="000C1BDC"/>
    <w:rsid w:val="000C1CDC"/>
    <w:rsid w:val="000C1DC7"/>
    <w:rsid w:val="000C1F1D"/>
    <w:rsid w:val="000C205A"/>
    <w:rsid w:val="000C2337"/>
    <w:rsid w:val="000C2355"/>
    <w:rsid w:val="000C23BD"/>
    <w:rsid w:val="000C2777"/>
    <w:rsid w:val="000C2F8D"/>
    <w:rsid w:val="000C369A"/>
    <w:rsid w:val="000C36EE"/>
    <w:rsid w:val="000C3D1F"/>
    <w:rsid w:val="000C40D6"/>
    <w:rsid w:val="000C4114"/>
    <w:rsid w:val="000C426D"/>
    <w:rsid w:val="000C4375"/>
    <w:rsid w:val="000C4618"/>
    <w:rsid w:val="000C48BB"/>
    <w:rsid w:val="000C4CE6"/>
    <w:rsid w:val="000C4F37"/>
    <w:rsid w:val="000C5014"/>
    <w:rsid w:val="000C5173"/>
    <w:rsid w:val="000C52D6"/>
    <w:rsid w:val="000C5567"/>
    <w:rsid w:val="000C5576"/>
    <w:rsid w:val="000C5A1C"/>
    <w:rsid w:val="000C5C25"/>
    <w:rsid w:val="000C5E76"/>
    <w:rsid w:val="000C5F2F"/>
    <w:rsid w:val="000C62A6"/>
    <w:rsid w:val="000C672A"/>
    <w:rsid w:val="000C6849"/>
    <w:rsid w:val="000C692D"/>
    <w:rsid w:val="000C6FB3"/>
    <w:rsid w:val="000C7225"/>
    <w:rsid w:val="000C767F"/>
    <w:rsid w:val="000C7885"/>
    <w:rsid w:val="000C7AD3"/>
    <w:rsid w:val="000C7CC8"/>
    <w:rsid w:val="000D02A0"/>
    <w:rsid w:val="000D032D"/>
    <w:rsid w:val="000D07AE"/>
    <w:rsid w:val="000D0918"/>
    <w:rsid w:val="000D0C22"/>
    <w:rsid w:val="000D0C24"/>
    <w:rsid w:val="000D0C38"/>
    <w:rsid w:val="000D0CC2"/>
    <w:rsid w:val="000D0E77"/>
    <w:rsid w:val="000D0F13"/>
    <w:rsid w:val="000D1359"/>
    <w:rsid w:val="000D1E4A"/>
    <w:rsid w:val="000D243E"/>
    <w:rsid w:val="000D3202"/>
    <w:rsid w:val="000D39AC"/>
    <w:rsid w:val="000D3B13"/>
    <w:rsid w:val="000D3EB3"/>
    <w:rsid w:val="000D4040"/>
    <w:rsid w:val="000D4258"/>
    <w:rsid w:val="000D42C4"/>
    <w:rsid w:val="000D44EA"/>
    <w:rsid w:val="000D46CF"/>
    <w:rsid w:val="000D4CA1"/>
    <w:rsid w:val="000D570D"/>
    <w:rsid w:val="000D5766"/>
    <w:rsid w:val="000D5990"/>
    <w:rsid w:val="000D5A44"/>
    <w:rsid w:val="000D5A49"/>
    <w:rsid w:val="000D5D57"/>
    <w:rsid w:val="000D5E84"/>
    <w:rsid w:val="000D5F3D"/>
    <w:rsid w:val="000D6179"/>
    <w:rsid w:val="000D61AD"/>
    <w:rsid w:val="000D623E"/>
    <w:rsid w:val="000D6411"/>
    <w:rsid w:val="000D64B6"/>
    <w:rsid w:val="000D6BC3"/>
    <w:rsid w:val="000D6C98"/>
    <w:rsid w:val="000D71B1"/>
    <w:rsid w:val="000D77F7"/>
    <w:rsid w:val="000D7812"/>
    <w:rsid w:val="000D7E28"/>
    <w:rsid w:val="000D7FD8"/>
    <w:rsid w:val="000E00DA"/>
    <w:rsid w:val="000E05ED"/>
    <w:rsid w:val="000E09F4"/>
    <w:rsid w:val="000E0E76"/>
    <w:rsid w:val="000E1351"/>
    <w:rsid w:val="000E18CB"/>
    <w:rsid w:val="000E1A50"/>
    <w:rsid w:val="000E1E79"/>
    <w:rsid w:val="000E2175"/>
    <w:rsid w:val="000E2264"/>
    <w:rsid w:val="000E244B"/>
    <w:rsid w:val="000E2592"/>
    <w:rsid w:val="000E2D62"/>
    <w:rsid w:val="000E340F"/>
    <w:rsid w:val="000E3529"/>
    <w:rsid w:val="000E3ED2"/>
    <w:rsid w:val="000E4066"/>
    <w:rsid w:val="000E4C5E"/>
    <w:rsid w:val="000E4DC2"/>
    <w:rsid w:val="000E5181"/>
    <w:rsid w:val="000E5B45"/>
    <w:rsid w:val="000E5D09"/>
    <w:rsid w:val="000E5F01"/>
    <w:rsid w:val="000E631D"/>
    <w:rsid w:val="000E65F3"/>
    <w:rsid w:val="000E69B4"/>
    <w:rsid w:val="000E69C4"/>
    <w:rsid w:val="000E6F92"/>
    <w:rsid w:val="000E716D"/>
    <w:rsid w:val="000E745F"/>
    <w:rsid w:val="000E78E5"/>
    <w:rsid w:val="000E79DD"/>
    <w:rsid w:val="000E7FBA"/>
    <w:rsid w:val="000F0021"/>
    <w:rsid w:val="000F023B"/>
    <w:rsid w:val="000F0278"/>
    <w:rsid w:val="000F0464"/>
    <w:rsid w:val="000F04F6"/>
    <w:rsid w:val="000F0623"/>
    <w:rsid w:val="000F0666"/>
    <w:rsid w:val="000F0DAB"/>
    <w:rsid w:val="000F1545"/>
    <w:rsid w:val="000F1993"/>
    <w:rsid w:val="000F19A8"/>
    <w:rsid w:val="000F1A4A"/>
    <w:rsid w:val="000F2080"/>
    <w:rsid w:val="000F2495"/>
    <w:rsid w:val="000F24E4"/>
    <w:rsid w:val="000F2864"/>
    <w:rsid w:val="000F28A2"/>
    <w:rsid w:val="000F2A7E"/>
    <w:rsid w:val="000F2B0C"/>
    <w:rsid w:val="000F2E8E"/>
    <w:rsid w:val="000F34F2"/>
    <w:rsid w:val="000F3874"/>
    <w:rsid w:val="000F3CB2"/>
    <w:rsid w:val="000F3E2E"/>
    <w:rsid w:val="000F4310"/>
    <w:rsid w:val="000F4552"/>
    <w:rsid w:val="000F4748"/>
    <w:rsid w:val="000F4754"/>
    <w:rsid w:val="000F4BA3"/>
    <w:rsid w:val="000F4C86"/>
    <w:rsid w:val="000F4C8D"/>
    <w:rsid w:val="000F51C8"/>
    <w:rsid w:val="000F5730"/>
    <w:rsid w:val="000F5B7E"/>
    <w:rsid w:val="000F5DA4"/>
    <w:rsid w:val="000F5DCF"/>
    <w:rsid w:val="000F6193"/>
    <w:rsid w:val="000F6580"/>
    <w:rsid w:val="000F668B"/>
    <w:rsid w:val="000F6AE6"/>
    <w:rsid w:val="000F6B88"/>
    <w:rsid w:val="000F6D0C"/>
    <w:rsid w:val="000F71CA"/>
    <w:rsid w:val="000F79A4"/>
    <w:rsid w:val="000F7AD3"/>
    <w:rsid w:val="000F7B22"/>
    <w:rsid w:val="000F7B51"/>
    <w:rsid w:val="000F7F63"/>
    <w:rsid w:val="0010025F"/>
    <w:rsid w:val="0010030E"/>
    <w:rsid w:val="00100819"/>
    <w:rsid w:val="00100827"/>
    <w:rsid w:val="00100BCF"/>
    <w:rsid w:val="00100DCB"/>
    <w:rsid w:val="00101029"/>
    <w:rsid w:val="001011A3"/>
    <w:rsid w:val="001018E9"/>
    <w:rsid w:val="001019EF"/>
    <w:rsid w:val="00101E16"/>
    <w:rsid w:val="001022BF"/>
    <w:rsid w:val="00102317"/>
    <w:rsid w:val="00102477"/>
    <w:rsid w:val="001026B9"/>
    <w:rsid w:val="0010284D"/>
    <w:rsid w:val="0010319E"/>
    <w:rsid w:val="001033BB"/>
    <w:rsid w:val="0010352B"/>
    <w:rsid w:val="00103AC2"/>
    <w:rsid w:val="00103BA0"/>
    <w:rsid w:val="001043E9"/>
    <w:rsid w:val="0010441F"/>
    <w:rsid w:val="001047F9"/>
    <w:rsid w:val="0010480C"/>
    <w:rsid w:val="00104871"/>
    <w:rsid w:val="00104BC2"/>
    <w:rsid w:val="00104D80"/>
    <w:rsid w:val="001050A9"/>
    <w:rsid w:val="00105251"/>
    <w:rsid w:val="001058D0"/>
    <w:rsid w:val="00105909"/>
    <w:rsid w:val="001063D0"/>
    <w:rsid w:val="001066B8"/>
    <w:rsid w:val="001069BE"/>
    <w:rsid w:val="00106A0F"/>
    <w:rsid w:val="00106AC5"/>
    <w:rsid w:val="0010769F"/>
    <w:rsid w:val="00110316"/>
    <w:rsid w:val="001104C2"/>
    <w:rsid w:val="00110805"/>
    <w:rsid w:val="0011096E"/>
    <w:rsid w:val="00110A42"/>
    <w:rsid w:val="00111B0F"/>
    <w:rsid w:val="00111EAD"/>
    <w:rsid w:val="00112447"/>
    <w:rsid w:val="00112789"/>
    <w:rsid w:val="001127E7"/>
    <w:rsid w:val="00112924"/>
    <w:rsid w:val="00112A48"/>
    <w:rsid w:val="00112D77"/>
    <w:rsid w:val="00112FE4"/>
    <w:rsid w:val="001133FB"/>
    <w:rsid w:val="00113417"/>
    <w:rsid w:val="00113420"/>
    <w:rsid w:val="0011346F"/>
    <w:rsid w:val="00113600"/>
    <w:rsid w:val="001139AD"/>
    <w:rsid w:val="00113CFC"/>
    <w:rsid w:val="001142FE"/>
    <w:rsid w:val="00114303"/>
    <w:rsid w:val="00114965"/>
    <w:rsid w:val="00114C36"/>
    <w:rsid w:val="00114F1C"/>
    <w:rsid w:val="00115424"/>
    <w:rsid w:val="001155D4"/>
    <w:rsid w:val="00115602"/>
    <w:rsid w:val="001156F6"/>
    <w:rsid w:val="00115D7E"/>
    <w:rsid w:val="0011626E"/>
    <w:rsid w:val="00116777"/>
    <w:rsid w:val="0011686F"/>
    <w:rsid w:val="00116EB6"/>
    <w:rsid w:val="00116EC6"/>
    <w:rsid w:val="0011738B"/>
    <w:rsid w:val="00117502"/>
    <w:rsid w:val="001177F3"/>
    <w:rsid w:val="00117C82"/>
    <w:rsid w:val="00117FCF"/>
    <w:rsid w:val="0012046B"/>
    <w:rsid w:val="001206AB"/>
    <w:rsid w:val="00120822"/>
    <w:rsid w:val="00120AD0"/>
    <w:rsid w:val="00120C2D"/>
    <w:rsid w:val="00120D23"/>
    <w:rsid w:val="00120E2C"/>
    <w:rsid w:val="0012113E"/>
    <w:rsid w:val="0012136F"/>
    <w:rsid w:val="0012171F"/>
    <w:rsid w:val="00121B01"/>
    <w:rsid w:val="00121B94"/>
    <w:rsid w:val="00121D05"/>
    <w:rsid w:val="00121F43"/>
    <w:rsid w:val="00122A33"/>
    <w:rsid w:val="0012314F"/>
    <w:rsid w:val="001236E7"/>
    <w:rsid w:val="00123741"/>
    <w:rsid w:val="00123A3A"/>
    <w:rsid w:val="00123EE2"/>
    <w:rsid w:val="00124250"/>
    <w:rsid w:val="0012430C"/>
    <w:rsid w:val="00124425"/>
    <w:rsid w:val="00124622"/>
    <w:rsid w:val="00124746"/>
    <w:rsid w:val="00124A1B"/>
    <w:rsid w:val="00124AFC"/>
    <w:rsid w:val="00124FD1"/>
    <w:rsid w:val="00125A99"/>
    <w:rsid w:val="00125D8E"/>
    <w:rsid w:val="00125ECA"/>
    <w:rsid w:val="00126393"/>
    <w:rsid w:val="00126815"/>
    <w:rsid w:val="00126A34"/>
    <w:rsid w:val="00126EB8"/>
    <w:rsid w:val="00126EBB"/>
    <w:rsid w:val="001272D8"/>
    <w:rsid w:val="001273FC"/>
    <w:rsid w:val="00127B1B"/>
    <w:rsid w:val="00127E68"/>
    <w:rsid w:val="00127E95"/>
    <w:rsid w:val="0013028A"/>
    <w:rsid w:val="001302D6"/>
    <w:rsid w:val="00130396"/>
    <w:rsid w:val="00131203"/>
    <w:rsid w:val="0013125E"/>
    <w:rsid w:val="001314ED"/>
    <w:rsid w:val="00131677"/>
    <w:rsid w:val="00131A72"/>
    <w:rsid w:val="00131F42"/>
    <w:rsid w:val="00131F70"/>
    <w:rsid w:val="001326CD"/>
    <w:rsid w:val="0013284D"/>
    <w:rsid w:val="001328CB"/>
    <w:rsid w:val="00132913"/>
    <w:rsid w:val="001329FE"/>
    <w:rsid w:val="001330A9"/>
    <w:rsid w:val="00133179"/>
    <w:rsid w:val="001331DF"/>
    <w:rsid w:val="001337BA"/>
    <w:rsid w:val="001339EC"/>
    <w:rsid w:val="00133DA5"/>
    <w:rsid w:val="00134461"/>
    <w:rsid w:val="00134D62"/>
    <w:rsid w:val="001357F1"/>
    <w:rsid w:val="00135ACB"/>
    <w:rsid w:val="00135FC1"/>
    <w:rsid w:val="001366E8"/>
    <w:rsid w:val="001368F6"/>
    <w:rsid w:val="00136DF5"/>
    <w:rsid w:val="001370AB"/>
    <w:rsid w:val="00137834"/>
    <w:rsid w:val="0014001C"/>
    <w:rsid w:val="0014005C"/>
    <w:rsid w:val="00140666"/>
    <w:rsid w:val="001409C8"/>
    <w:rsid w:val="00140FA8"/>
    <w:rsid w:val="00141274"/>
    <w:rsid w:val="00141755"/>
    <w:rsid w:val="00141B8B"/>
    <w:rsid w:val="0014244B"/>
    <w:rsid w:val="001424D0"/>
    <w:rsid w:val="001426C6"/>
    <w:rsid w:val="0014274A"/>
    <w:rsid w:val="001428C6"/>
    <w:rsid w:val="00142E87"/>
    <w:rsid w:val="00142FEB"/>
    <w:rsid w:val="001430D5"/>
    <w:rsid w:val="001430EE"/>
    <w:rsid w:val="00143647"/>
    <w:rsid w:val="0014372B"/>
    <w:rsid w:val="0014392E"/>
    <w:rsid w:val="00143A2D"/>
    <w:rsid w:val="00144384"/>
    <w:rsid w:val="00144586"/>
    <w:rsid w:val="00144766"/>
    <w:rsid w:val="00144895"/>
    <w:rsid w:val="00144C0B"/>
    <w:rsid w:val="00144D88"/>
    <w:rsid w:val="0014509C"/>
    <w:rsid w:val="001456CF"/>
    <w:rsid w:val="00145A41"/>
    <w:rsid w:val="001462B2"/>
    <w:rsid w:val="00146C05"/>
    <w:rsid w:val="001471CF"/>
    <w:rsid w:val="00147275"/>
    <w:rsid w:val="001472AE"/>
    <w:rsid w:val="00147339"/>
    <w:rsid w:val="0014762A"/>
    <w:rsid w:val="001478ED"/>
    <w:rsid w:val="00147A94"/>
    <w:rsid w:val="001502A9"/>
    <w:rsid w:val="00150308"/>
    <w:rsid w:val="0015051A"/>
    <w:rsid w:val="001508EE"/>
    <w:rsid w:val="00150B9E"/>
    <w:rsid w:val="00150C5A"/>
    <w:rsid w:val="00151199"/>
    <w:rsid w:val="00151413"/>
    <w:rsid w:val="00151675"/>
    <w:rsid w:val="00151BDB"/>
    <w:rsid w:val="00151CA3"/>
    <w:rsid w:val="00151D5F"/>
    <w:rsid w:val="00151F78"/>
    <w:rsid w:val="00152050"/>
    <w:rsid w:val="0015208C"/>
    <w:rsid w:val="00152696"/>
    <w:rsid w:val="001529AD"/>
    <w:rsid w:val="00153E2E"/>
    <w:rsid w:val="00153EB4"/>
    <w:rsid w:val="001544FD"/>
    <w:rsid w:val="00154557"/>
    <w:rsid w:val="00154575"/>
    <w:rsid w:val="00154688"/>
    <w:rsid w:val="0015495B"/>
    <w:rsid w:val="00154ADE"/>
    <w:rsid w:val="00154C4D"/>
    <w:rsid w:val="001553DF"/>
    <w:rsid w:val="0015573F"/>
    <w:rsid w:val="001558B3"/>
    <w:rsid w:val="001560E8"/>
    <w:rsid w:val="00156293"/>
    <w:rsid w:val="001562FB"/>
    <w:rsid w:val="0015670D"/>
    <w:rsid w:val="00156AB6"/>
    <w:rsid w:val="00157181"/>
    <w:rsid w:val="0015742A"/>
    <w:rsid w:val="00157435"/>
    <w:rsid w:val="0015743D"/>
    <w:rsid w:val="001575C2"/>
    <w:rsid w:val="001577FB"/>
    <w:rsid w:val="00157894"/>
    <w:rsid w:val="00157B15"/>
    <w:rsid w:val="00157B56"/>
    <w:rsid w:val="00157BA7"/>
    <w:rsid w:val="001606EC"/>
    <w:rsid w:val="00160805"/>
    <w:rsid w:val="0016081A"/>
    <w:rsid w:val="00160CE5"/>
    <w:rsid w:val="0016157D"/>
    <w:rsid w:val="00161638"/>
    <w:rsid w:val="00161702"/>
    <w:rsid w:val="001623CF"/>
    <w:rsid w:val="00162656"/>
    <w:rsid w:val="001627A7"/>
    <w:rsid w:val="001628A7"/>
    <w:rsid w:val="0016292D"/>
    <w:rsid w:val="001629AB"/>
    <w:rsid w:val="00162A32"/>
    <w:rsid w:val="00163346"/>
    <w:rsid w:val="0016398B"/>
    <w:rsid w:val="001639B7"/>
    <w:rsid w:val="00163D61"/>
    <w:rsid w:val="00163E78"/>
    <w:rsid w:val="0016426A"/>
    <w:rsid w:val="001643E8"/>
    <w:rsid w:val="00164471"/>
    <w:rsid w:val="0016481A"/>
    <w:rsid w:val="00164830"/>
    <w:rsid w:val="00164DF0"/>
    <w:rsid w:val="00164E86"/>
    <w:rsid w:val="00164E8F"/>
    <w:rsid w:val="00165026"/>
    <w:rsid w:val="0016502C"/>
    <w:rsid w:val="001652D2"/>
    <w:rsid w:val="00165736"/>
    <w:rsid w:val="00167143"/>
    <w:rsid w:val="0016740E"/>
    <w:rsid w:val="0016799A"/>
    <w:rsid w:val="00167D7F"/>
    <w:rsid w:val="001701CE"/>
    <w:rsid w:val="00170989"/>
    <w:rsid w:val="00170E5D"/>
    <w:rsid w:val="0017129F"/>
    <w:rsid w:val="00171556"/>
    <w:rsid w:val="00171D6F"/>
    <w:rsid w:val="00171E0E"/>
    <w:rsid w:val="00172190"/>
    <w:rsid w:val="00172508"/>
    <w:rsid w:val="00172A99"/>
    <w:rsid w:val="00172B7C"/>
    <w:rsid w:val="00172CD4"/>
    <w:rsid w:val="00172CF6"/>
    <w:rsid w:val="0017313C"/>
    <w:rsid w:val="00173389"/>
    <w:rsid w:val="00173396"/>
    <w:rsid w:val="00173406"/>
    <w:rsid w:val="00173488"/>
    <w:rsid w:val="00173AE9"/>
    <w:rsid w:val="00173BD9"/>
    <w:rsid w:val="0017407F"/>
    <w:rsid w:val="001740DF"/>
    <w:rsid w:val="00174167"/>
    <w:rsid w:val="0017419B"/>
    <w:rsid w:val="001745D4"/>
    <w:rsid w:val="001748B9"/>
    <w:rsid w:val="001749F6"/>
    <w:rsid w:val="00174BE3"/>
    <w:rsid w:val="00174E46"/>
    <w:rsid w:val="0017504D"/>
    <w:rsid w:val="001753C0"/>
    <w:rsid w:val="00175563"/>
    <w:rsid w:val="0017581E"/>
    <w:rsid w:val="00175D41"/>
    <w:rsid w:val="0017671A"/>
    <w:rsid w:val="00176732"/>
    <w:rsid w:val="0017693A"/>
    <w:rsid w:val="00176F20"/>
    <w:rsid w:val="001770E2"/>
    <w:rsid w:val="001772AF"/>
    <w:rsid w:val="00177422"/>
    <w:rsid w:val="00177908"/>
    <w:rsid w:val="00177A70"/>
    <w:rsid w:val="00177EF7"/>
    <w:rsid w:val="0018007A"/>
    <w:rsid w:val="00180AD7"/>
    <w:rsid w:val="0018128E"/>
    <w:rsid w:val="00181853"/>
    <w:rsid w:val="00181A05"/>
    <w:rsid w:val="00181A0E"/>
    <w:rsid w:val="00181CC7"/>
    <w:rsid w:val="00182004"/>
    <w:rsid w:val="00182065"/>
    <w:rsid w:val="00182410"/>
    <w:rsid w:val="001824DC"/>
    <w:rsid w:val="001824FF"/>
    <w:rsid w:val="001825B5"/>
    <w:rsid w:val="00182632"/>
    <w:rsid w:val="001828F2"/>
    <w:rsid w:val="00182BEA"/>
    <w:rsid w:val="001830AA"/>
    <w:rsid w:val="001833F2"/>
    <w:rsid w:val="001834E6"/>
    <w:rsid w:val="0018377D"/>
    <w:rsid w:val="00183E25"/>
    <w:rsid w:val="00183E51"/>
    <w:rsid w:val="001844E9"/>
    <w:rsid w:val="0018452A"/>
    <w:rsid w:val="00184590"/>
    <w:rsid w:val="0018461E"/>
    <w:rsid w:val="0018478F"/>
    <w:rsid w:val="001849CF"/>
    <w:rsid w:val="0018522D"/>
    <w:rsid w:val="001852D9"/>
    <w:rsid w:val="0018535F"/>
    <w:rsid w:val="001857C9"/>
    <w:rsid w:val="00185A57"/>
    <w:rsid w:val="00185B36"/>
    <w:rsid w:val="00185F63"/>
    <w:rsid w:val="00186F45"/>
    <w:rsid w:val="00186FEA"/>
    <w:rsid w:val="001870D1"/>
    <w:rsid w:val="0018723D"/>
    <w:rsid w:val="0018728A"/>
    <w:rsid w:val="00187340"/>
    <w:rsid w:val="00187649"/>
    <w:rsid w:val="00187675"/>
    <w:rsid w:val="0018781E"/>
    <w:rsid w:val="0018787F"/>
    <w:rsid w:val="00190916"/>
    <w:rsid w:val="0019095C"/>
    <w:rsid w:val="00190DD4"/>
    <w:rsid w:val="00190DE8"/>
    <w:rsid w:val="00190E1C"/>
    <w:rsid w:val="00190F30"/>
    <w:rsid w:val="00191893"/>
    <w:rsid w:val="001918BC"/>
    <w:rsid w:val="001918C4"/>
    <w:rsid w:val="00191CF7"/>
    <w:rsid w:val="00192173"/>
    <w:rsid w:val="0019255A"/>
    <w:rsid w:val="0019262D"/>
    <w:rsid w:val="00192732"/>
    <w:rsid w:val="00192A3D"/>
    <w:rsid w:val="00193643"/>
    <w:rsid w:val="00193E37"/>
    <w:rsid w:val="0019401D"/>
    <w:rsid w:val="001940C0"/>
    <w:rsid w:val="00194A79"/>
    <w:rsid w:val="0019504A"/>
    <w:rsid w:val="00195A89"/>
    <w:rsid w:val="00195A8B"/>
    <w:rsid w:val="00195AF0"/>
    <w:rsid w:val="00195D0E"/>
    <w:rsid w:val="00196035"/>
    <w:rsid w:val="001961E6"/>
    <w:rsid w:val="00196431"/>
    <w:rsid w:val="001965F9"/>
    <w:rsid w:val="0019690B"/>
    <w:rsid w:val="0019690D"/>
    <w:rsid w:val="00196CD0"/>
    <w:rsid w:val="00196CD2"/>
    <w:rsid w:val="00196FBD"/>
    <w:rsid w:val="00197B54"/>
    <w:rsid w:val="00197EC3"/>
    <w:rsid w:val="00197FBC"/>
    <w:rsid w:val="001A02CC"/>
    <w:rsid w:val="001A03CD"/>
    <w:rsid w:val="001A043A"/>
    <w:rsid w:val="001A0780"/>
    <w:rsid w:val="001A0DA6"/>
    <w:rsid w:val="001A0DD2"/>
    <w:rsid w:val="001A0E91"/>
    <w:rsid w:val="001A1331"/>
    <w:rsid w:val="001A141D"/>
    <w:rsid w:val="001A1757"/>
    <w:rsid w:val="001A196D"/>
    <w:rsid w:val="001A198D"/>
    <w:rsid w:val="001A1A92"/>
    <w:rsid w:val="001A1B35"/>
    <w:rsid w:val="001A1BC8"/>
    <w:rsid w:val="001A1E74"/>
    <w:rsid w:val="001A213F"/>
    <w:rsid w:val="001A2339"/>
    <w:rsid w:val="001A2911"/>
    <w:rsid w:val="001A2972"/>
    <w:rsid w:val="001A2FC1"/>
    <w:rsid w:val="001A2FC3"/>
    <w:rsid w:val="001A3202"/>
    <w:rsid w:val="001A329B"/>
    <w:rsid w:val="001A32C5"/>
    <w:rsid w:val="001A3536"/>
    <w:rsid w:val="001A3B18"/>
    <w:rsid w:val="001A3C8D"/>
    <w:rsid w:val="001A47AD"/>
    <w:rsid w:val="001A48A2"/>
    <w:rsid w:val="001A4B42"/>
    <w:rsid w:val="001A4BDF"/>
    <w:rsid w:val="001A5773"/>
    <w:rsid w:val="001A5E19"/>
    <w:rsid w:val="001A5F04"/>
    <w:rsid w:val="001A61AB"/>
    <w:rsid w:val="001A6241"/>
    <w:rsid w:val="001A68BB"/>
    <w:rsid w:val="001A6B3B"/>
    <w:rsid w:val="001A6F51"/>
    <w:rsid w:val="001A6F61"/>
    <w:rsid w:val="001A7557"/>
    <w:rsid w:val="001A773F"/>
    <w:rsid w:val="001A778D"/>
    <w:rsid w:val="001A7A20"/>
    <w:rsid w:val="001A7B54"/>
    <w:rsid w:val="001A7B5D"/>
    <w:rsid w:val="001A7B6D"/>
    <w:rsid w:val="001A7D10"/>
    <w:rsid w:val="001B0109"/>
    <w:rsid w:val="001B0435"/>
    <w:rsid w:val="001B04D1"/>
    <w:rsid w:val="001B0565"/>
    <w:rsid w:val="001B09E4"/>
    <w:rsid w:val="001B0C6C"/>
    <w:rsid w:val="001B0E16"/>
    <w:rsid w:val="001B120E"/>
    <w:rsid w:val="001B14CF"/>
    <w:rsid w:val="001B153E"/>
    <w:rsid w:val="001B1659"/>
    <w:rsid w:val="001B1C10"/>
    <w:rsid w:val="001B2241"/>
    <w:rsid w:val="001B23D6"/>
    <w:rsid w:val="001B2572"/>
    <w:rsid w:val="001B2AD3"/>
    <w:rsid w:val="001B2E4A"/>
    <w:rsid w:val="001B301F"/>
    <w:rsid w:val="001B3773"/>
    <w:rsid w:val="001B3944"/>
    <w:rsid w:val="001B3BA5"/>
    <w:rsid w:val="001B410D"/>
    <w:rsid w:val="001B4285"/>
    <w:rsid w:val="001B440E"/>
    <w:rsid w:val="001B446D"/>
    <w:rsid w:val="001B4869"/>
    <w:rsid w:val="001B4C9C"/>
    <w:rsid w:val="001B5044"/>
    <w:rsid w:val="001B553F"/>
    <w:rsid w:val="001B5D95"/>
    <w:rsid w:val="001B61BF"/>
    <w:rsid w:val="001B65ED"/>
    <w:rsid w:val="001B6634"/>
    <w:rsid w:val="001B6B3F"/>
    <w:rsid w:val="001B6D13"/>
    <w:rsid w:val="001B6D15"/>
    <w:rsid w:val="001B6D70"/>
    <w:rsid w:val="001B6F9C"/>
    <w:rsid w:val="001B72B8"/>
    <w:rsid w:val="001B73A4"/>
    <w:rsid w:val="001B791F"/>
    <w:rsid w:val="001B7A74"/>
    <w:rsid w:val="001B7C25"/>
    <w:rsid w:val="001B7DEA"/>
    <w:rsid w:val="001B7EC1"/>
    <w:rsid w:val="001C0044"/>
    <w:rsid w:val="001C03D8"/>
    <w:rsid w:val="001C0879"/>
    <w:rsid w:val="001C0A5B"/>
    <w:rsid w:val="001C1137"/>
    <w:rsid w:val="001C11F0"/>
    <w:rsid w:val="001C1368"/>
    <w:rsid w:val="001C14B1"/>
    <w:rsid w:val="001C1930"/>
    <w:rsid w:val="001C1A2D"/>
    <w:rsid w:val="001C1BB2"/>
    <w:rsid w:val="001C1BEC"/>
    <w:rsid w:val="001C1D6F"/>
    <w:rsid w:val="001C1F21"/>
    <w:rsid w:val="001C227A"/>
    <w:rsid w:val="001C25C2"/>
    <w:rsid w:val="001C2B03"/>
    <w:rsid w:val="001C2CAC"/>
    <w:rsid w:val="001C2F6D"/>
    <w:rsid w:val="001C3229"/>
    <w:rsid w:val="001C3752"/>
    <w:rsid w:val="001C38BD"/>
    <w:rsid w:val="001C3EFF"/>
    <w:rsid w:val="001C4075"/>
    <w:rsid w:val="001C4AE9"/>
    <w:rsid w:val="001C4D8A"/>
    <w:rsid w:val="001C50B3"/>
    <w:rsid w:val="001C511B"/>
    <w:rsid w:val="001C5CF8"/>
    <w:rsid w:val="001C6848"/>
    <w:rsid w:val="001C69B3"/>
    <w:rsid w:val="001C6F32"/>
    <w:rsid w:val="001C732A"/>
    <w:rsid w:val="001C74A8"/>
    <w:rsid w:val="001C7663"/>
    <w:rsid w:val="001C7715"/>
    <w:rsid w:val="001C78E3"/>
    <w:rsid w:val="001C7940"/>
    <w:rsid w:val="001C7B29"/>
    <w:rsid w:val="001C7BC9"/>
    <w:rsid w:val="001C7C0A"/>
    <w:rsid w:val="001C7C12"/>
    <w:rsid w:val="001D01E3"/>
    <w:rsid w:val="001D09D7"/>
    <w:rsid w:val="001D09D8"/>
    <w:rsid w:val="001D0BF9"/>
    <w:rsid w:val="001D0CE3"/>
    <w:rsid w:val="001D1B3A"/>
    <w:rsid w:val="001D1FE9"/>
    <w:rsid w:val="001D2005"/>
    <w:rsid w:val="001D2E58"/>
    <w:rsid w:val="001D3581"/>
    <w:rsid w:val="001D359B"/>
    <w:rsid w:val="001D35D4"/>
    <w:rsid w:val="001D3740"/>
    <w:rsid w:val="001D38BB"/>
    <w:rsid w:val="001D39F8"/>
    <w:rsid w:val="001D3B5B"/>
    <w:rsid w:val="001D3D8C"/>
    <w:rsid w:val="001D41DF"/>
    <w:rsid w:val="001D4214"/>
    <w:rsid w:val="001D4D78"/>
    <w:rsid w:val="001D53DD"/>
    <w:rsid w:val="001D5595"/>
    <w:rsid w:val="001D5C3E"/>
    <w:rsid w:val="001D5D1E"/>
    <w:rsid w:val="001D61F9"/>
    <w:rsid w:val="001D6286"/>
    <w:rsid w:val="001D6791"/>
    <w:rsid w:val="001D68C9"/>
    <w:rsid w:val="001D705A"/>
    <w:rsid w:val="001D7344"/>
    <w:rsid w:val="001D739B"/>
    <w:rsid w:val="001D776E"/>
    <w:rsid w:val="001D7874"/>
    <w:rsid w:val="001D79D8"/>
    <w:rsid w:val="001D7F22"/>
    <w:rsid w:val="001E06E1"/>
    <w:rsid w:val="001E082D"/>
    <w:rsid w:val="001E0B00"/>
    <w:rsid w:val="001E0E6E"/>
    <w:rsid w:val="001E0FA0"/>
    <w:rsid w:val="001E10CB"/>
    <w:rsid w:val="001E1534"/>
    <w:rsid w:val="001E19F7"/>
    <w:rsid w:val="001E1CDB"/>
    <w:rsid w:val="001E1FA5"/>
    <w:rsid w:val="001E22AC"/>
    <w:rsid w:val="001E257D"/>
    <w:rsid w:val="001E2D00"/>
    <w:rsid w:val="001E2F52"/>
    <w:rsid w:val="001E303D"/>
    <w:rsid w:val="001E309C"/>
    <w:rsid w:val="001E3681"/>
    <w:rsid w:val="001E3E40"/>
    <w:rsid w:val="001E3F42"/>
    <w:rsid w:val="001E42AB"/>
    <w:rsid w:val="001E42DD"/>
    <w:rsid w:val="001E43D6"/>
    <w:rsid w:val="001E4669"/>
    <w:rsid w:val="001E46A7"/>
    <w:rsid w:val="001E4A4D"/>
    <w:rsid w:val="001E4AAB"/>
    <w:rsid w:val="001E501E"/>
    <w:rsid w:val="001E50E1"/>
    <w:rsid w:val="001E5632"/>
    <w:rsid w:val="001E57A9"/>
    <w:rsid w:val="001E597D"/>
    <w:rsid w:val="001E5A98"/>
    <w:rsid w:val="001E5BA2"/>
    <w:rsid w:val="001E5D4C"/>
    <w:rsid w:val="001E5F09"/>
    <w:rsid w:val="001E616B"/>
    <w:rsid w:val="001E627B"/>
    <w:rsid w:val="001E6558"/>
    <w:rsid w:val="001E68BD"/>
    <w:rsid w:val="001E69C9"/>
    <w:rsid w:val="001E6E7F"/>
    <w:rsid w:val="001F01BE"/>
    <w:rsid w:val="001F02B6"/>
    <w:rsid w:val="001F06D4"/>
    <w:rsid w:val="001F09F4"/>
    <w:rsid w:val="001F0B08"/>
    <w:rsid w:val="001F0D36"/>
    <w:rsid w:val="001F0F17"/>
    <w:rsid w:val="001F126F"/>
    <w:rsid w:val="001F183F"/>
    <w:rsid w:val="001F1848"/>
    <w:rsid w:val="001F19F1"/>
    <w:rsid w:val="001F21D0"/>
    <w:rsid w:val="001F232F"/>
    <w:rsid w:val="001F2450"/>
    <w:rsid w:val="001F2465"/>
    <w:rsid w:val="001F24C6"/>
    <w:rsid w:val="001F279E"/>
    <w:rsid w:val="001F2BCE"/>
    <w:rsid w:val="001F2DB3"/>
    <w:rsid w:val="001F2DD0"/>
    <w:rsid w:val="001F3030"/>
    <w:rsid w:val="001F3347"/>
    <w:rsid w:val="001F33A4"/>
    <w:rsid w:val="001F39FF"/>
    <w:rsid w:val="001F3B21"/>
    <w:rsid w:val="001F406E"/>
    <w:rsid w:val="001F43D7"/>
    <w:rsid w:val="001F4492"/>
    <w:rsid w:val="001F451A"/>
    <w:rsid w:val="001F4999"/>
    <w:rsid w:val="001F49A7"/>
    <w:rsid w:val="001F4A50"/>
    <w:rsid w:val="001F4A8E"/>
    <w:rsid w:val="001F4AAC"/>
    <w:rsid w:val="001F4EE2"/>
    <w:rsid w:val="001F55E7"/>
    <w:rsid w:val="001F56B5"/>
    <w:rsid w:val="001F57FD"/>
    <w:rsid w:val="001F5A12"/>
    <w:rsid w:val="001F5DC2"/>
    <w:rsid w:val="001F664A"/>
    <w:rsid w:val="001F69E4"/>
    <w:rsid w:val="001F70D9"/>
    <w:rsid w:val="001F7662"/>
    <w:rsid w:val="001F7939"/>
    <w:rsid w:val="001F7A08"/>
    <w:rsid w:val="0020007C"/>
    <w:rsid w:val="00200215"/>
    <w:rsid w:val="002002BD"/>
    <w:rsid w:val="002007F6"/>
    <w:rsid w:val="00200FC8"/>
    <w:rsid w:val="00201165"/>
    <w:rsid w:val="002015E3"/>
    <w:rsid w:val="0020175C"/>
    <w:rsid w:val="002024FC"/>
    <w:rsid w:val="002027F6"/>
    <w:rsid w:val="00202AB1"/>
    <w:rsid w:val="00202D65"/>
    <w:rsid w:val="00202D74"/>
    <w:rsid w:val="002034DF"/>
    <w:rsid w:val="00203BDB"/>
    <w:rsid w:val="00203C62"/>
    <w:rsid w:val="00203EE7"/>
    <w:rsid w:val="00203FB9"/>
    <w:rsid w:val="00203FC9"/>
    <w:rsid w:val="00204221"/>
    <w:rsid w:val="0020557E"/>
    <w:rsid w:val="00205F86"/>
    <w:rsid w:val="002060B2"/>
    <w:rsid w:val="002061BE"/>
    <w:rsid w:val="0020625E"/>
    <w:rsid w:val="002062DD"/>
    <w:rsid w:val="002063C6"/>
    <w:rsid w:val="00206ABD"/>
    <w:rsid w:val="0020715B"/>
    <w:rsid w:val="0020725B"/>
    <w:rsid w:val="002074A6"/>
    <w:rsid w:val="00207619"/>
    <w:rsid w:val="00207F13"/>
    <w:rsid w:val="00207FCA"/>
    <w:rsid w:val="00207FF7"/>
    <w:rsid w:val="002107AF"/>
    <w:rsid w:val="00210C44"/>
    <w:rsid w:val="00210CCB"/>
    <w:rsid w:val="00210CD5"/>
    <w:rsid w:val="00210D8E"/>
    <w:rsid w:val="00210F92"/>
    <w:rsid w:val="002112A5"/>
    <w:rsid w:val="0021131B"/>
    <w:rsid w:val="00211823"/>
    <w:rsid w:val="00211909"/>
    <w:rsid w:val="00211C18"/>
    <w:rsid w:val="002124DA"/>
    <w:rsid w:val="002125B4"/>
    <w:rsid w:val="002126CC"/>
    <w:rsid w:val="00212CBB"/>
    <w:rsid w:val="00212D2F"/>
    <w:rsid w:val="00212EF4"/>
    <w:rsid w:val="00212F65"/>
    <w:rsid w:val="002130F6"/>
    <w:rsid w:val="002131CD"/>
    <w:rsid w:val="0021339D"/>
    <w:rsid w:val="002136DE"/>
    <w:rsid w:val="002138DB"/>
    <w:rsid w:val="00213B4D"/>
    <w:rsid w:val="00213C2A"/>
    <w:rsid w:val="002145AC"/>
    <w:rsid w:val="00215112"/>
    <w:rsid w:val="002155B8"/>
    <w:rsid w:val="0021598D"/>
    <w:rsid w:val="00215A81"/>
    <w:rsid w:val="00215CE8"/>
    <w:rsid w:val="00216068"/>
    <w:rsid w:val="0021616E"/>
    <w:rsid w:val="002161AD"/>
    <w:rsid w:val="002165DF"/>
    <w:rsid w:val="00216C87"/>
    <w:rsid w:val="00216ED9"/>
    <w:rsid w:val="0021715A"/>
    <w:rsid w:val="00217300"/>
    <w:rsid w:val="0021753E"/>
    <w:rsid w:val="00217A0E"/>
    <w:rsid w:val="00217B2E"/>
    <w:rsid w:val="00217E06"/>
    <w:rsid w:val="00220068"/>
    <w:rsid w:val="0022045A"/>
    <w:rsid w:val="00220727"/>
    <w:rsid w:val="002208F0"/>
    <w:rsid w:val="0022093A"/>
    <w:rsid w:val="0022094A"/>
    <w:rsid w:val="00220B98"/>
    <w:rsid w:val="00220F20"/>
    <w:rsid w:val="002210DF"/>
    <w:rsid w:val="00221AAD"/>
    <w:rsid w:val="00221BF4"/>
    <w:rsid w:val="00221E4E"/>
    <w:rsid w:val="0022205A"/>
    <w:rsid w:val="0022215F"/>
    <w:rsid w:val="002228F4"/>
    <w:rsid w:val="002229C2"/>
    <w:rsid w:val="00222DF6"/>
    <w:rsid w:val="00223059"/>
    <w:rsid w:val="0022375B"/>
    <w:rsid w:val="00223964"/>
    <w:rsid w:val="00224251"/>
    <w:rsid w:val="0022449C"/>
    <w:rsid w:val="00224564"/>
    <w:rsid w:val="002246A4"/>
    <w:rsid w:val="00224839"/>
    <w:rsid w:val="002249B2"/>
    <w:rsid w:val="00224D49"/>
    <w:rsid w:val="00224DC2"/>
    <w:rsid w:val="002251A8"/>
    <w:rsid w:val="002257D2"/>
    <w:rsid w:val="002258EE"/>
    <w:rsid w:val="00225C3B"/>
    <w:rsid w:val="00226574"/>
    <w:rsid w:val="002269D1"/>
    <w:rsid w:val="00226ADB"/>
    <w:rsid w:val="00226CFA"/>
    <w:rsid w:val="00226DDD"/>
    <w:rsid w:val="00226F55"/>
    <w:rsid w:val="002273F9"/>
    <w:rsid w:val="002275FC"/>
    <w:rsid w:val="002278EC"/>
    <w:rsid w:val="00227CE6"/>
    <w:rsid w:val="00230D2D"/>
    <w:rsid w:val="00230D36"/>
    <w:rsid w:val="00230FD9"/>
    <w:rsid w:val="00230FF0"/>
    <w:rsid w:val="00231063"/>
    <w:rsid w:val="00231169"/>
    <w:rsid w:val="002314B1"/>
    <w:rsid w:val="0023178E"/>
    <w:rsid w:val="00231B09"/>
    <w:rsid w:val="00231D1B"/>
    <w:rsid w:val="0023213A"/>
    <w:rsid w:val="00232267"/>
    <w:rsid w:val="002323EF"/>
    <w:rsid w:val="002326A8"/>
    <w:rsid w:val="0023280E"/>
    <w:rsid w:val="00232C95"/>
    <w:rsid w:val="002331AF"/>
    <w:rsid w:val="00233351"/>
    <w:rsid w:val="00233687"/>
    <w:rsid w:val="002338B5"/>
    <w:rsid w:val="00233BAD"/>
    <w:rsid w:val="00233D0A"/>
    <w:rsid w:val="00233F07"/>
    <w:rsid w:val="002342ED"/>
    <w:rsid w:val="0023451F"/>
    <w:rsid w:val="002345F2"/>
    <w:rsid w:val="002347DF"/>
    <w:rsid w:val="00234C07"/>
    <w:rsid w:val="00234DAB"/>
    <w:rsid w:val="00234E5E"/>
    <w:rsid w:val="002356AB"/>
    <w:rsid w:val="002357E0"/>
    <w:rsid w:val="00235CF3"/>
    <w:rsid w:val="00235FB2"/>
    <w:rsid w:val="002360F6"/>
    <w:rsid w:val="00236199"/>
    <w:rsid w:val="00236614"/>
    <w:rsid w:val="00236C38"/>
    <w:rsid w:val="002371FF"/>
    <w:rsid w:val="0023764E"/>
    <w:rsid w:val="002377D1"/>
    <w:rsid w:val="002378ED"/>
    <w:rsid w:val="0023791C"/>
    <w:rsid w:val="00237DE5"/>
    <w:rsid w:val="0024009A"/>
    <w:rsid w:val="002402DF"/>
    <w:rsid w:val="0024040A"/>
    <w:rsid w:val="002409EF"/>
    <w:rsid w:val="00240A70"/>
    <w:rsid w:val="00240A8C"/>
    <w:rsid w:val="0024126E"/>
    <w:rsid w:val="002412D0"/>
    <w:rsid w:val="00241347"/>
    <w:rsid w:val="0024177F"/>
    <w:rsid w:val="002417CE"/>
    <w:rsid w:val="00241921"/>
    <w:rsid w:val="00241C9E"/>
    <w:rsid w:val="00241D6A"/>
    <w:rsid w:val="00241F9A"/>
    <w:rsid w:val="00242246"/>
    <w:rsid w:val="00242301"/>
    <w:rsid w:val="00242ABF"/>
    <w:rsid w:val="00242BA8"/>
    <w:rsid w:val="002430BA"/>
    <w:rsid w:val="002436BA"/>
    <w:rsid w:val="002439AB"/>
    <w:rsid w:val="00243B4F"/>
    <w:rsid w:val="00243CDF"/>
    <w:rsid w:val="00243D74"/>
    <w:rsid w:val="0024431F"/>
    <w:rsid w:val="0024441B"/>
    <w:rsid w:val="00245358"/>
    <w:rsid w:val="00245654"/>
    <w:rsid w:val="00245A4C"/>
    <w:rsid w:val="00245B29"/>
    <w:rsid w:val="00245C99"/>
    <w:rsid w:val="00246291"/>
    <w:rsid w:val="002465C6"/>
    <w:rsid w:val="00246629"/>
    <w:rsid w:val="00246659"/>
    <w:rsid w:val="002466A7"/>
    <w:rsid w:val="00246AF4"/>
    <w:rsid w:val="00246CE3"/>
    <w:rsid w:val="0024726E"/>
    <w:rsid w:val="00247342"/>
    <w:rsid w:val="002474BD"/>
    <w:rsid w:val="00247615"/>
    <w:rsid w:val="00247A3C"/>
    <w:rsid w:val="00247E38"/>
    <w:rsid w:val="00247EC0"/>
    <w:rsid w:val="0025004C"/>
    <w:rsid w:val="002500DE"/>
    <w:rsid w:val="00250100"/>
    <w:rsid w:val="00250179"/>
    <w:rsid w:val="002502B1"/>
    <w:rsid w:val="002506BC"/>
    <w:rsid w:val="002509AF"/>
    <w:rsid w:val="00250AEB"/>
    <w:rsid w:val="00250C43"/>
    <w:rsid w:val="002510D9"/>
    <w:rsid w:val="002515F4"/>
    <w:rsid w:val="0025178E"/>
    <w:rsid w:val="00251821"/>
    <w:rsid w:val="002518ED"/>
    <w:rsid w:val="0025190B"/>
    <w:rsid w:val="00251AA6"/>
    <w:rsid w:val="00251B42"/>
    <w:rsid w:val="00251DD1"/>
    <w:rsid w:val="0025219E"/>
    <w:rsid w:val="00252581"/>
    <w:rsid w:val="0025260F"/>
    <w:rsid w:val="00252849"/>
    <w:rsid w:val="00252C08"/>
    <w:rsid w:val="00252C8B"/>
    <w:rsid w:val="00252DC4"/>
    <w:rsid w:val="00252EDF"/>
    <w:rsid w:val="0025371E"/>
    <w:rsid w:val="002539C6"/>
    <w:rsid w:val="00254063"/>
    <w:rsid w:val="00254120"/>
    <w:rsid w:val="002542D0"/>
    <w:rsid w:val="00254345"/>
    <w:rsid w:val="002546A4"/>
    <w:rsid w:val="002546AB"/>
    <w:rsid w:val="00254713"/>
    <w:rsid w:val="00254E75"/>
    <w:rsid w:val="00255468"/>
    <w:rsid w:val="00255FC4"/>
    <w:rsid w:val="00256317"/>
    <w:rsid w:val="0025637C"/>
    <w:rsid w:val="002565C4"/>
    <w:rsid w:val="0025669B"/>
    <w:rsid w:val="00256706"/>
    <w:rsid w:val="002570E0"/>
    <w:rsid w:val="002570EB"/>
    <w:rsid w:val="00257128"/>
    <w:rsid w:val="002572D1"/>
    <w:rsid w:val="00257377"/>
    <w:rsid w:val="00257BBB"/>
    <w:rsid w:val="00257DF9"/>
    <w:rsid w:val="002602B8"/>
    <w:rsid w:val="002602EE"/>
    <w:rsid w:val="00260544"/>
    <w:rsid w:val="0026077C"/>
    <w:rsid w:val="002608E0"/>
    <w:rsid w:val="00260B2E"/>
    <w:rsid w:val="00260DDB"/>
    <w:rsid w:val="002611E7"/>
    <w:rsid w:val="00261C78"/>
    <w:rsid w:val="00261CDE"/>
    <w:rsid w:val="00261DDD"/>
    <w:rsid w:val="00261FA2"/>
    <w:rsid w:val="00261FB0"/>
    <w:rsid w:val="002625AA"/>
    <w:rsid w:val="002626F4"/>
    <w:rsid w:val="00262DC9"/>
    <w:rsid w:val="00262F11"/>
    <w:rsid w:val="00263459"/>
    <w:rsid w:val="00263819"/>
    <w:rsid w:val="0026385D"/>
    <w:rsid w:val="00263C3C"/>
    <w:rsid w:val="002641FE"/>
    <w:rsid w:val="00264371"/>
    <w:rsid w:val="00264557"/>
    <w:rsid w:val="002649E4"/>
    <w:rsid w:val="00264BEA"/>
    <w:rsid w:val="002651D7"/>
    <w:rsid w:val="00265205"/>
    <w:rsid w:val="0026541C"/>
    <w:rsid w:val="00265546"/>
    <w:rsid w:val="00265574"/>
    <w:rsid w:val="00265917"/>
    <w:rsid w:val="0026661A"/>
    <w:rsid w:val="0026674C"/>
    <w:rsid w:val="0026686C"/>
    <w:rsid w:val="00266A08"/>
    <w:rsid w:val="00266E2E"/>
    <w:rsid w:val="00266EED"/>
    <w:rsid w:val="0026711D"/>
    <w:rsid w:val="00267374"/>
    <w:rsid w:val="00267711"/>
    <w:rsid w:val="00267880"/>
    <w:rsid w:val="00267B7F"/>
    <w:rsid w:val="00267DB6"/>
    <w:rsid w:val="00267E73"/>
    <w:rsid w:val="00270049"/>
    <w:rsid w:val="00270240"/>
    <w:rsid w:val="00270451"/>
    <w:rsid w:val="002705B7"/>
    <w:rsid w:val="00270681"/>
    <w:rsid w:val="00270977"/>
    <w:rsid w:val="00270F19"/>
    <w:rsid w:val="00270FD2"/>
    <w:rsid w:val="0027128F"/>
    <w:rsid w:val="00271372"/>
    <w:rsid w:val="00271781"/>
    <w:rsid w:val="002718F2"/>
    <w:rsid w:val="0027198B"/>
    <w:rsid w:val="00271B36"/>
    <w:rsid w:val="00271D92"/>
    <w:rsid w:val="0027230D"/>
    <w:rsid w:val="0027231B"/>
    <w:rsid w:val="002730AB"/>
    <w:rsid w:val="002731CA"/>
    <w:rsid w:val="00273306"/>
    <w:rsid w:val="002734B3"/>
    <w:rsid w:val="002735DA"/>
    <w:rsid w:val="00273747"/>
    <w:rsid w:val="00273AC1"/>
    <w:rsid w:val="00273BD1"/>
    <w:rsid w:val="0027436A"/>
    <w:rsid w:val="002744A9"/>
    <w:rsid w:val="00274504"/>
    <w:rsid w:val="00274835"/>
    <w:rsid w:val="0027492A"/>
    <w:rsid w:val="00274F6C"/>
    <w:rsid w:val="002752CE"/>
    <w:rsid w:val="002753F6"/>
    <w:rsid w:val="0027546B"/>
    <w:rsid w:val="00275DD8"/>
    <w:rsid w:val="00275F71"/>
    <w:rsid w:val="00275F78"/>
    <w:rsid w:val="00276379"/>
    <w:rsid w:val="00276396"/>
    <w:rsid w:val="002763EB"/>
    <w:rsid w:val="00276DDB"/>
    <w:rsid w:val="00277305"/>
    <w:rsid w:val="00277472"/>
    <w:rsid w:val="00277734"/>
    <w:rsid w:val="00277925"/>
    <w:rsid w:val="00277E4E"/>
    <w:rsid w:val="002803A0"/>
    <w:rsid w:val="002803E6"/>
    <w:rsid w:val="002805A1"/>
    <w:rsid w:val="002805AB"/>
    <w:rsid w:val="002809AA"/>
    <w:rsid w:val="00280C05"/>
    <w:rsid w:val="00280E99"/>
    <w:rsid w:val="00281139"/>
    <w:rsid w:val="002814FF"/>
    <w:rsid w:val="002817DB"/>
    <w:rsid w:val="002825D3"/>
    <w:rsid w:val="002825F7"/>
    <w:rsid w:val="002826BC"/>
    <w:rsid w:val="00282B96"/>
    <w:rsid w:val="00282C5C"/>
    <w:rsid w:val="00282E4F"/>
    <w:rsid w:val="00282F22"/>
    <w:rsid w:val="00282F3E"/>
    <w:rsid w:val="00282F56"/>
    <w:rsid w:val="00283132"/>
    <w:rsid w:val="0028326D"/>
    <w:rsid w:val="00283505"/>
    <w:rsid w:val="0028367A"/>
    <w:rsid w:val="002838CD"/>
    <w:rsid w:val="00283B78"/>
    <w:rsid w:val="00283D7C"/>
    <w:rsid w:val="00284204"/>
    <w:rsid w:val="00284398"/>
    <w:rsid w:val="002845A5"/>
    <w:rsid w:val="00284D62"/>
    <w:rsid w:val="0028554C"/>
    <w:rsid w:val="002855B4"/>
    <w:rsid w:val="00285EAF"/>
    <w:rsid w:val="00285FB1"/>
    <w:rsid w:val="00286655"/>
    <w:rsid w:val="00286A59"/>
    <w:rsid w:val="00287127"/>
    <w:rsid w:val="002871E6"/>
    <w:rsid w:val="0028746D"/>
    <w:rsid w:val="00287FDA"/>
    <w:rsid w:val="00290082"/>
    <w:rsid w:val="00290F74"/>
    <w:rsid w:val="00291240"/>
    <w:rsid w:val="0029133E"/>
    <w:rsid w:val="002913CA"/>
    <w:rsid w:val="00291438"/>
    <w:rsid w:val="00291773"/>
    <w:rsid w:val="00291A80"/>
    <w:rsid w:val="00291F77"/>
    <w:rsid w:val="00291F7C"/>
    <w:rsid w:val="0029205A"/>
    <w:rsid w:val="0029224E"/>
    <w:rsid w:val="002928E6"/>
    <w:rsid w:val="00292D37"/>
    <w:rsid w:val="00292E43"/>
    <w:rsid w:val="0029347A"/>
    <w:rsid w:val="00293D7E"/>
    <w:rsid w:val="00293DC3"/>
    <w:rsid w:val="00293E6F"/>
    <w:rsid w:val="002943AE"/>
    <w:rsid w:val="002944D9"/>
    <w:rsid w:val="0029485A"/>
    <w:rsid w:val="002948CC"/>
    <w:rsid w:val="0029526D"/>
    <w:rsid w:val="002953BF"/>
    <w:rsid w:val="00295680"/>
    <w:rsid w:val="00295757"/>
    <w:rsid w:val="0029587B"/>
    <w:rsid w:val="00295975"/>
    <w:rsid w:val="00295AFD"/>
    <w:rsid w:val="00295C10"/>
    <w:rsid w:val="0029601D"/>
    <w:rsid w:val="0029653D"/>
    <w:rsid w:val="002966DC"/>
    <w:rsid w:val="00296866"/>
    <w:rsid w:val="0029693A"/>
    <w:rsid w:val="0029696C"/>
    <w:rsid w:val="00297041"/>
    <w:rsid w:val="0029737D"/>
    <w:rsid w:val="00297427"/>
    <w:rsid w:val="002975C6"/>
    <w:rsid w:val="00297750"/>
    <w:rsid w:val="00297857"/>
    <w:rsid w:val="00297B3D"/>
    <w:rsid w:val="00297BA2"/>
    <w:rsid w:val="00297CF8"/>
    <w:rsid w:val="002A0651"/>
    <w:rsid w:val="002A0725"/>
    <w:rsid w:val="002A07B2"/>
    <w:rsid w:val="002A08CF"/>
    <w:rsid w:val="002A1437"/>
    <w:rsid w:val="002A158B"/>
    <w:rsid w:val="002A1596"/>
    <w:rsid w:val="002A168C"/>
    <w:rsid w:val="002A1BD2"/>
    <w:rsid w:val="002A2C3A"/>
    <w:rsid w:val="002A2CED"/>
    <w:rsid w:val="002A327B"/>
    <w:rsid w:val="002A363E"/>
    <w:rsid w:val="002A383A"/>
    <w:rsid w:val="002A387D"/>
    <w:rsid w:val="002A3DC7"/>
    <w:rsid w:val="002A3E67"/>
    <w:rsid w:val="002A4583"/>
    <w:rsid w:val="002A48B2"/>
    <w:rsid w:val="002A4D53"/>
    <w:rsid w:val="002A55CF"/>
    <w:rsid w:val="002A56C3"/>
    <w:rsid w:val="002A5C07"/>
    <w:rsid w:val="002A5F6D"/>
    <w:rsid w:val="002A61D2"/>
    <w:rsid w:val="002A6A3F"/>
    <w:rsid w:val="002A6B4F"/>
    <w:rsid w:val="002A6DF7"/>
    <w:rsid w:val="002A7ADA"/>
    <w:rsid w:val="002A7B6E"/>
    <w:rsid w:val="002A7B95"/>
    <w:rsid w:val="002A7DAF"/>
    <w:rsid w:val="002A7F47"/>
    <w:rsid w:val="002B005B"/>
    <w:rsid w:val="002B02EB"/>
    <w:rsid w:val="002B05D4"/>
    <w:rsid w:val="002B090F"/>
    <w:rsid w:val="002B0BCA"/>
    <w:rsid w:val="002B0DE4"/>
    <w:rsid w:val="002B0E96"/>
    <w:rsid w:val="002B10FB"/>
    <w:rsid w:val="002B1791"/>
    <w:rsid w:val="002B1C43"/>
    <w:rsid w:val="002B2014"/>
    <w:rsid w:val="002B2285"/>
    <w:rsid w:val="002B2E7B"/>
    <w:rsid w:val="002B3203"/>
    <w:rsid w:val="002B336B"/>
    <w:rsid w:val="002B34AF"/>
    <w:rsid w:val="002B34C2"/>
    <w:rsid w:val="002B3707"/>
    <w:rsid w:val="002B3F00"/>
    <w:rsid w:val="002B4025"/>
    <w:rsid w:val="002B422C"/>
    <w:rsid w:val="002B49E2"/>
    <w:rsid w:val="002B4A7F"/>
    <w:rsid w:val="002B4B79"/>
    <w:rsid w:val="002B4D5E"/>
    <w:rsid w:val="002B4EE6"/>
    <w:rsid w:val="002B5085"/>
    <w:rsid w:val="002B5620"/>
    <w:rsid w:val="002B564D"/>
    <w:rsid w:val="002B5B3E"/>
    <w:rsid w:val="002B5D42"/>
    <w:rsid w:val="002B5F57"/>
    <w:rsid w:val="002B6380"/>
    <w:rsid w:val="002B683A"/>
    <w:rsid w:val="002B6F8E"/>
    <w:rsid w:val="002B74C3"/>
    <w:rsid w:val="002B7B00"/>
    <w:rsid w:val="002B7BCD"/>
    <w:rsid w:val="002B7C44"/>
    <w:rsid w:val="002B7D9B"/>
    <w:rsid w:val="002C0226"/>
    <w:rsid w:val="002C032B"/>
    <w:rsid w:val="002C09FC"/>
    <w:rsid w:val="002C0B17"/>
    <w:rsid w:val="002C0B94"/>
    <w:rsid w:val="002C0E07"/>
    <w:rsid w:val="002C0E20"/>
    <w:rsid w:val="002C1053"/>
    <w:rsid w:val="002C12D7"/>
    <w:rsid w:val="002C1B8A"/>
    <w:rsid w:val="002C2201"/>
    <w:rsid w:val="002C2AC5"/>
    <w:rsid w:val="002C2B17"/>
    <w:rsid w:val="002C2B48"/>
    <w:rsid w:val="002C2DEC"/>
    <w:rsid w:val="002C3332"/>
    <w:rsid w:val="002C33A7"/>
    <w:rsid w:val="002C34E2"/>
    <w:rsid w:val="002C4120"/>
    <w:rsid w:val="002C4142"/>
    <w:rsid w:val="002C4401"/>
    <w:rsid w:val="002C443C"/>
    <w:rsid w:val="002C4AFE"/>
    <w:rsid w:val="002C5397"/>
    <w:rsid w:val="002C5D28"/>
    <w:rsid w:val="002C5DEE"/>
    <w:rsid w:val="002C61E2"/>
    <w:rsid w:val="002C6307"/>
    <w:rsid w:val="002C6527"/>
    <w:rsid w:val="002C6549"/>
    <w:rsid w:val="002C66C6"/>
    <w:rsid w:val="002C688E"/>
    <w:rsid w:val="002C68A8"/>
    <w:rsid w:val="002C6DB9"/>
    <w:rsid w:val="002C73D2"/>
    <w:rsid w:val="002C77EA"/>
    <w:rsid w:val="002C79C3"/>
    <w:rsid w:val="002C79D2"/>
    <w:rsid w:val="002C79E7"/>
    <w:rsid w:val="002C7AD7"/>
    <w:rsid w:val="002C7C28"/>
    <w:rsid w:val="002D0300"/>
    <w:rsid w:val="002D04E4"/>
    <w:rsid w:val="002D0594"/>
    <w:rsid w:val="002D074C"/>
    <w:rsid w:val="002D0A37"/>
    <w:rsid w:val="002D0AB7"/>
    <w:rsid w:val="002D0CA8"/>
    <w:rsid w:val="002D11ED"/>
    <w:rsid w:val="002D128E"/>
    <w:rsid w:val="002D17BA"/>
    <w:rsid w:val="002D1FAA"/>
    <w:rsid w:val="002D217B"/>
    <w:rsid w:val="002D2281"/>
    <w:rsid w:val="002D23C6"/>
    <w:rsid w:val="002D25B0"/>
    <w:rsid w:val="002D29B7"/>
    <w:rsid w:val="002D2E25"/>
    <w:rsid w:val="002D3284"/>
    <w:rsid w:val="002D38CC"/>
    <w:rsid w:val="002D3B4C"/>
    <w:rsid w:val="002D3B67"/>
    <w:rsid w:val="002D3DD0"/>
    <w:rsid w:val="002D4314"/>
    <w:rsid w:val="002D47D4"/>
    <w:rsid w:val="002D4A37"/>
    <w:rsid w:val="002D4E05"/>
    <w:rsid w:val="002D4F97"/>
    <w:rsid w:val="002D5196"/>
    <w:rsid w:val="002D587C"/>
    <w:rsid w:val="002D612C"/>
    <w:rsid w:val="002D6461"/>
    <w:rsid w:val="002D6792"/>
    <w:rsid w:val="002D6A64"/>
    <w:rsid w:val="002D7141"/>
    <w:rsid w:val="002D748A"/>
    <w:rsid w:val="002D757C"/>
    <w:rsid w:val="002D77C1"/>
    <w:rsid w:val="002D7F46"/>
    <w:rsid w:val="002E02D3"/>
    <w:rsid w:val="002E032F"/>
    <w:rsid w:val="002E04CB"/>
    <w:rsid w:val="002E0B02"/>
    <w:rsid w:val="002E0C91"/>
    <w:rsid w:val="002E0DA3"/>
    <w:rsid w:val="002E1025"/>
    <w:rsid w:val="002E127B"/>
    <w:rsid w:val="002E12AF"/>
    <w:rsid w:val="002E159B"/>
    <w:rsid w:val="002E1A07"/>
    <w:rsid w:val="002E1E4F"/>
    <w:rsid w:val="002E1F3A"/>
    <w:rsid w:val="002E2297"/>
    <w:rsid w:val="002E2315"/>
    <w:rsid w:val="002E2563"/>
    <w:rsid w:val="002E26A6"/>
    <w:rsid w:val="002E26B3"/>
    <w:rsid w:val="002E298A"/>
    <w:rsid w:val="002E3190"/>
    <w:rsid w:val="002E344A"/>
    <w:rsid w:val="002E363F"/>
    <w:rsid w:val="002E3686"/>
    <w:rsid w:val="002E3773"/>
    <w:rsid w:val="002E39AE"/>
    <w:rsid w:val="002E3B96"/>
    <w:rsid w:val="002E3D89"/>
    <w:rsid w:val="002E3F09"/>
    <w:rsid w:val="002E42D6"/>
    <w:rsid w:val="002E435F"/>
    <w:rsid w:val="002E46E1"/>
    <w:rsid w:val="002E49C9"/>
    <w:rsid w:val="002E4C18"/>
    <w:rsid w:val="002E5A44"/>
    <w:rsid w:val="002E5CEF"/>
    <w:rsid w:val="002E5F03"/>
    <w:rsid w:val="002E5F8E"/>
    <w:rsid w:val="002E6067"/>
    <w:rsid w:val="002E60D1"/>
    <w:rsid w:val="002E624F"/>
    <w:rsid w:val="002E672F"/>
    <w:rsid w:val="002E68F4"/>
    <w:rsid w:val="002E694A"/>
    <w:rsid w:val="002E6C32"/>
    <w:rsid w:val="002E6CAB"/>
    <w:rsid w:val="002E6DBE"/>
    <w:rsid w:val="002E6FAA"/>
    <w:rsid w:val="002E782A"/>
    <w:rsid w:val="002E7947"/>
    <w:rsid w:val="002E7CC8"/>
    <w:rsid w:val="002E7EA0"/>
    <w:rsid w:val="002F0091"/>
    <w:rsid w:val="002F033E"/>
    <w:rsid w:val="002F033F"/>
    <w:rsid w:val="002F0463"/>
    <w:rsid w:val="002F052A"/>
    <w:rsid w:val="002F06EF"/>
    <w:rsid w:val="002F0738"/>
    <w:rsid w:val="002F0913"/>
    <w:rsid w:val="002F0A2D"/>
    <w:rsid w:val="002F0B69"/>
    <w:rsid w:val="002F122B"/>
    <w:rsid w:val="002F1469"/>
    <w:rsid w:val="002F14C4"/>
    <w:rsid w:val="002F176F"/>
    <w:rsid w:val="002F1E47"/>
    <w:rsid w:val="002F1FED"/>
    <w:rsid w:val="002F2AA6"/>
    <w:rsid w:val="002F35B7"/>
    <w:rsid w:val="002F35C7"/>
    <w:rsid w:val="002F36F4"/>
    <w:rsid w:val="002F3709"/>
    <w:rsid w:val="002F373A"/>
    <w:rsid w:val="002F389E"/>
    <w:rsid w:val="002F396C"/>
    <w:rsid w:val="002F3F69"/>
    <w:rsid w:val="002F3F7E"/>
    <w:rsid w:val="002F401A"/>
    <w:rsid w:val="002F47AD"/>
    <w:rsid w:val="002F490D"/>
    <w:rsid w:val="002F4932"/>
    <w:rsid w:val="002F4CC3"/>
    <w:rsid w:val="002F507E"/>
    <w:rsid w:val="002F51F5"/>
    <w:rsid w:val="002F52FB"/>
    <w:rsid w:val="002F56B7"/>
    <w:rsid w:val="002F571F"/>
    <w:rsid w:val="002F5CD1"/>
    <w:rsid w:val="002F645F"/>
    <w:rsid w:val="002F6B63"/>
    <w:rsid w:val="002F72F4"/>
    <w:rsid w:val="002F7FB7"/>
    <w:rsid w:val="003001A7"/>
    <w:rsid w:val="003002E2"/>
    <w:rsid w:val="003004B3"/>
    <w:rsid w:val="00300822"/>
    <w:rsid w:val="0030130A"/>
    <w:rsid w:val="0030141B"/>
    <w:rsid w:val="00301640"/>
    <w:rsid w:val="003016B7"/>
    <w:rsid w:val="003016BB"/>
    <w:rsid w:val="00301978"/>
    <w:rsid w:val="003019DC"/>
    <w:rsid w:val="00302214"/>
    <w:rsid w:val="00302821"/>
    <w:rsid w:val="00302B10"/>
    <w:rsid w:val="00302C6D"/>
    <w:rsid w:val="00302FFD"/>
    <w:rsid w:val="0030328F"/>
    <w:rsid w:val="0030332C"/>
    <w:rsid w:val="00303AFE"/>
    <w:rsid w:val="00303B12"/>
    <w:rsid w:val="00303D28"/>
    <w:rsid w:val="00304065"/>
    <w:rsid w:val="0030407C"/>
    <w:rsid w:val="003041B6"/>
    <w:rsid w:val="003044B3"/>
    <w:rsid w:val="00304741"/>
    <w:rsid w:val="00304743"/>
    <w:rsid w:val="00304860"/>
    <w:rsid w:val="0030491A"/>
    <w:rsid w:val="0030498B"/>
    <w:rsid w:val="00304B3E"/>
    <w:rsid w:val="00304E71"/>
    <w:rsid w:val="003050EC"/>
    <w:rsid w:val="003051C2"/>
    <w:rsid w:val="003054CC"/>
    <w:rsid w:val="003054D6"/>
    <w:rsid w:val="0030566B"/>
    <w:rsid w:val="00305AFB"/>
    <w:rsid w:val="00305B7F"/>
    <w:rsid w:val="00305F83"/>
    <w:rsid w:val="003061E8"/>
    <w:rsid w:val="003063B5"/>
    <w:rsid w:val="00306A42"/>
    <w:rsid w:val="00306B5E"/>
    <w:rsid w:val="00306D86"/>
    <w:rsid w:val="00306DD8"/>
    <w:rsid w:val="00306DDD"/>
    <w:rsid w:val="0030700D"/>
    <w:rsid w:val="0030787C"/>
    <w:rsid w:val="00307B33"/>
    <w:rsid w:val="00310326"/>
    <w:rsid w:val="0031077E"/>
    <w:rsid w:val="003109B8"/>
    <w:rsid w:val="00310C1C"/>
    <w:rsid w:val="0031104D"/>
    <w:rsid w:val="00311065"/>
    <w:rsid w:val="00311B50"/>
    <w:rsid w:val="00311CCA"/>
    <w:rsid w:val="0031207C"/>
    <w:rsid w:val="00312147"/>
    <w:rsid w:val="00312296"/>
    <w:rsid w:val="003124D7"/>
    <w:rsid w:val="003128EC"/>
    <w:rsid w:val="00312D6E"/>
    <w:rsid w:val="00312FA9"/>
    <w:rsid w:val="00312FAF"/>
    <w:rsid w:val="0031318A"/>
    <w:rsid w:val="003131DC"/>
    <w:rsid w:val="0031336F"/>
    <w:rsid w:val="0031337F"/>
    <w:rsid w:val="00313599"/>
    <w:rsid w:val="00313DE4"/>
    <w:rsid w:val="00313E12"/>
    <w:rsid w:val="00314193"/>
    <w:rsid w:val="0031426C"/>
    <w:rsid w:val="00314356"/>
    <w:rsid w:val="00314490"/>
    <w:rsid w:val="0031475D"/>
    <w:rsid w:val="003148E5"/>
    <w:rsid w:val="00314A0B"/>
    <w:rsid w:val="00314F0E"/>
    <w:rsid w:val="003159FA"/>
    <w:rsid w:val="00315CAD"/>
    <w:rsid w:val="003164F9"/>
    <w:rsid w:val="0031663E"/>
    <w:rsid w:val="003166E4"/>
    <w:rsid w:val="00316B13"/>
    <w:rsid w:val="00316C28"/>
    <w:rsid w:val="00316DA6"/>
    <w:rsid w:val="00317609"/>
    <w:rsid w:val="00317A7F"/>
    <w:rsid w:val="0032017E"/>
    <w:rsid w:val="00320424"/>
    <w:rsid w:val="00320E51"/>
    <w:rsid w:val="00320ED6"/>
    <w:rsid w:val="003211EA"/>
    <w:rsid w:val="003212CC"/>
    <w:rsid w:val="003212D0"/>
    <w:rsid w:val="0032145C"/>
    <w:rsid w:val="00321693"/>
    <w:rsid w:val="00321939"/>
    <w:rsid w:val="00321C41"/>
    <w:rsid w:val="00321C48"/>
    <w:rsid w:val="00321D8E"/>
    <w:rsid w:val="0032261C"/>
    <w:rsid w:val="00322CD4"/>
    <w:rsid w:val="00323166"/>
    <w:rsid w:val="0032323E"/>
    <w:rsid w:val="003233D8"/>
    <w:rsid w:val="00323496"/>
    <w:rsid w:val="0032371C"/>
    <w:rsid w:val="00323787"/>
    <w:rsid w:val="00323A7F"/>
    <w:rsid w:val="00324011"/>
    <w:rsid w:val="003240FE"/>
    <w:rsid w:val="00324422"/>
    <w:rsid w:val="00324860"/>
    <w:rsid w:val="00324B5A"/>
    <w:rsid w:val="00325211"/>
    <w:rsid w:val="00325242"/>
    <w:rsid w:val="00325387"/>
    <w:rsid w:val="00325441"/>
    <w:rsid w:val="003254F0"/>
    <w:rsid w:val="00325605"/>
    <w:rsid w:val="003256B0"/>
    <w:rsid w:val="00325928"/>
    <w:rsid w:val="00325EE9"/>
    <w:rsid w:val="0032638B"/>
    <w:rsid w:val="003264CA"/>
    <w:rsid w:val="0032676D"/>
    <w:rsid w:val="00327054"/>
    <w:rsid w:val="00327195"/>
    <w:rsid w:val="003271E6"/>
    <w:rsid w:val="0032737D"/>
    <w:rsid w:val="0032757B"/>
    <w:rsid w:val="0032762F"/>
    <w:rsid w:val="0032767E"/>
    <w:rsid w:val="00327684"/>
    <w:rsid w:val="00327F4C"/>
    <w:rsid w:val="003302C9"/>
    <w:rsid w:val="003303A2"/>
    <w:rsid w:val="00330AAB"/>
    <w:rsid w:val="00330C5F"/>
    <w:rsid w:val="00330E7F"/>
    <w:rsid w:val="00330F71"/>
    <w:rsid w:val="003310A2"/>
    <w:rsid w:val="00331156"/>
    <w:rsid w:val="00331BD7"/>
    <w:rsid w:val="00331E8E"/>
    <w:rsid w:val="00332089"/>
    <w:rsid w:val="00332201"/>
    <w:rsid w:val="00332863"/>
    <w:rsid w:val="0033342C"/>
    <w:rsid w:val="00333512"/>
    <w:rsid w:val="00333EF1"/>
    <w:rsid w:val="00333F0E"/>
    <w:rsid w:val="00333FB5"/>
    <w:rsid w:val="003342C8"/>
    <w:rsid w:val="00334366"/>
    <w:rsid w:val="00334755"/>
    <w:rsid w:val="00334771"/>
    <w:rsid w:val="00334A80"/>
    <w:rsid w:val="00334C52"/>
    <w:rsid w:val="0033511D"/>
    <w:rsid w:val="00335243"/>
    <w:rsid w:val="0033530F"/>
    <w:rsid w:val="00335446"/>
    <w:rsid w:val="0033560A"/>
    <w:rsid w:val="0033564C"/>
    <w:rsid w:val="003356DE"/>
    <w:rsid w:val="003359F2"/>
    <w:rsid w:val="00335A0B"/>
    <w:rsid w:val="00335AA8"/>
    <w:rsid w:val="00335C64"/>
    <w:rsid w:val="00335F2F"/>
    <w:rsid w:val="0033684D"/>
    <w:rsid w:val="00336CA8"/>
    <w:rsid w:val="00336E71"/>
    <w:rsid w:val="00336FD2"/>
    <w:rsid w:val="0033761D"/>
    <w:rsid w:val="003378E0"/>
    <w:rsid w:val="00337B42"/>
    <w:rsid w:val="00337CC2"/>
    <w:rsid w:val="00340042"/>
    <w:rsid w:val="003400C9"/>
    <w:rsid w:val="0034012A"/>
    <w:rsid w:val="003403FB"/>
    <w:rsid w:val="0034063E"/>
    <w:rsid w:val="003406B9"/>
    <w:rsid w:val="003408CD"/>
    <w:rsid w:val="003412E3"/>
    <w:rsid w:val="003416A3"/>
    <w:rsid w:val="00341A92"/>
    <w:rsid w:val="00341B42"/>
    <w:rsid w:val="003422C0"/>
    <w:rsid w:val="0034265C"/>
    <w:rsid w:val="003427B0"/>
    <w:rsid w:val="003427B6"/>
    <w:rsid w:val="00342BB1"/>
    <w:rsid w:val="00342C61"/>
    <w:rsid w:val="00342DA8"/>
    <w:rsid w:val="0034348F"/>
    <w:rsid w:val="00343954"/>
    <w:rsid w:val="00343AF5"/>
    <w:rsid w:val="00343CD7"/>
    <w:rsid w:val="003441CD"/>
    <w:rsid w:val="00344E72"/>
    <w:rsid w:val="00344F0D"/>
    <w:rsid w:val="0034522B"/>
    <w:rsid w:val="003452C3"/>
    <w:rsid w:val="00345354"/>
    <w:rsid w:val="003453D4"/>
    <w:rsid w:val="003457AB"/>
    <w:rsid w:val="00345B04"/>
    <w:rsid w:val="00345E5B"/>
    <w:rsid w:val="00345E60"/>
    <w:rsid w:val="0034605C"/>
    <w:rsid w:val="00346066"/>
    <w:rsid w:val="0034621B"/>
    <w:rsid w:val="003462CD"/>
    <w:rsid w:val="00346569"/>
    <w:rsid w:val="003468BB"/>
    <w:rsid w:val="00346C67"/>
    <w:rsid w:val="00346C9F"/>
    <w:rsid w:val="00346D2C"/>
    <w:rsid w:val="00346DAF"/>
    <w:rsid w:val="00346ECC"/>
    <w:rsid w:val="00347039"/>
    <w:rsid w:val="003472C0"/>
    <w:rsid w:val="0034762E"/>
    <w:rsid w:val="003476C6"/>
    <w:rsid w:val="00347EFD"/>
    <w:rsid w:val="00350183"/>
    <w:rsid w:val="00350311"/>
    <w:rsid w:val="0035054F"/>
    <w:rsid w:val="003508F6"/>
    <w:rsid w:val="003509BD"/>
    <w:rsid w:val="00350CEC"/>
    <w:rsid w:val="00351036"/>
    <w:rsid w:val="00351099"/>
    <w:rsid w:val="0035117F"/>
    <w:rsid w:val="00351254"/>
    <w:rsid w:val="0035188E"/>
    <w:rsid w:val="003519A5"/>
    <w:rsid w:val="003519C8"/>
    <w:rsid w:val="00351BFD"/>
    <w:rsid w:val="00351EF5"/>
    <w:rsid w:val="00352270"/>
    <w:rsid w:val="0035228F"/>
    <w:rsid w:val="0035230D"/>
    <w:rsid w:val="00352B2B"/>
    <w:rsid w:val="00352D1F"/>
    <w:rsid w:val="00352FC2"/>
    <w:rsid w:val="00353C9A"/>
    <w:rsid w:val="00354145"/>
    <w:rsid w:val="00354223"/>
    <w:rsid w:val="00354266"/>
    <w:rsid w:val="0035428D"/>
    <w:rsid w:val="00354962"/>
    <w:rsid w:val="003549C4"/>
    <w:rsid w:val="00354B77"/>
    <w:rsid w:val="00354F1E"/>
    <w:rsid w:val="003555A3"/>
    <w:rsid w:val="00355766"/>
    <w:rsid w:val="003559E1"/>
    <w:rsid w:val="003562AC"/>
    <w:rsid w:val="00356653"/>
    <w:rsid w:val="00356A50"/>
    <w:rsid w:val="00356A53"/>
    <w:rsid w:val="0035706A"/>
    <w:rsid w:val="003571FB"/>
    <w:rsid w:val="0035735C"/>
    <w:rsid w:val="0035743F"/>
    <w:rsid w:val="00357819"/>
    <w:rsid w:val="003579B6"/>
    <w:rsid w:val="00357BE2"/>
    <w:rsid w:val="00357D20"/>
    <w:rsid w:val="00357E4B"/>
    <w:rsid w:val="003605E0"/>
    <w:rsid w:val="00360914"/>
    <w:rsid w:val="00360A1B"/>
    <w:rsid w:val="00360BAB"/>
    <w:rsid w:val="00360E3E"/>
    <w:rsid w:val="0036100D"/>
    <w:rsid w:val="003610BB"/>
    <w:rsid w:val="00361434"/>
    <w:rsid w:val="0036170C"/>
    <w:rsid w:val="0036170D"/>
    <w:rsid w:val="00361A96"/>
    <w:rsid w:val="00361E7B"/>
    <w:rsid w:val="00362445"/>
    <w:rsid w:val="00362672"/>
    <w:rsid w:val="00362A19"/>
    <w:rsid w:val="00362A4D"/>
    <w:rsid w:val="00362A94"/>
    <w:rsid w:val="003630F0"/>
    <w:rsid w:val="003631E9"/>
    <w:rsid w:val="00363235"/>
    <w:rsid w:val="0036329E"/>
    <w:rsid w:val="00363B6B"/>
    <w:rsid w:val="00363DFB"/>
    <w:rsid w:val="00363F44"/>
    <w:rsid w:val="003643D6"/>
    <w:rsid w:val="0036487D"/>
    <w:rsid w:val="00364B93"/>
    <w:rsid w:val="003650C9"/>
    <w:rsid w:val="0036512B"/>
    <w:rsid w:val="0036517F"/>
    <w:rsid w:val="0036539C"/>
    <w:rsid w:val="003653E3"/>
    <w:rsid w:val="00365592"/>
    <w:rsid w:val="00365753"/>
    <w:rsid w:val="00365BF6"/>
    <w:rsid w:val="00365DD2"/>
    <w:rsid w:val="003664B4"/>
    <w:rsid w:val="003664BF"/>
    <w:rsid w:val="003664C6"/>
    <w:rsid w:val="0036670F"/>
    <w:rsid w:val="00366775"/>
    <w:rsid w:val="003667A1"/>
    <w:rsid w:val="00366BA5"/>
    <w:rsid w:val="00366E0F"/>
    <w:rsid w:val="00367487"/>
    <w:rsid w:val="003676B7"/>
    <w:rsid w:val="00367714"/>
    <w:rsid w:val="00367862"/>
    <w:rsid w:val="00367B05"/>
    <w:rsid w:val="0037063D"/>
    <w:rsid w:val="00370EBD"/>
    <w:rsid w:val="00371314"/>
    <w:rsid w:val="00371BA3"/>
    <w:rsid w:val="00371C85"/>
    <w:rsid w:val="00372400"/>
    <w:rsid w:val="0037269A"/>
    <w:rsid w:val="003727A3"/>
    <w:rsid w:val="00373191"/>
    <w:rsid w:val="00373374"/>
    <w:rsid w:val="003733C4"/>
    <w:rsid w:val="00373709"/>
    <w:rsid w:val="00373A44"/>
    <w:rsid w:val="0037452A"/>
    <w:rsid w:val="0037483A"/>
    <w:rsid w:val="00374923"/>
    <w:rsid w:val="00374BA4"/>
    <w:rsid w:val="00374D02"/>
    <w:rsid w:val="00374E34"/>
    <w:rsid w:val="00374F84"/>
    <w:rsid w:val="003753A9"/>
    <w:rsid w:val="003755A5"/>
    <w:rsid w:val="003758A3"/>
    <w:rsid w:val="0037592C"/>
    <w:rsid w:val="00375A0F"/>
    <w:rsid w:val="00375AD9"/>
    <w:rsid w:val="0037637A"/>
    <w:rsid w:val="003769AF"/>
    <w:rsid w:val="00376B14"/>
    <w:rsid w:val="00376E90"/>
    <w:rsid w:val="0037706A"/>
    <w:rsid w:val="00377088"/>
    <w:rsid w:val="00377535"/>
    <w:rsid w:val="00381589"/>
    <w:rsid w:val="00381A72"/>
    <w:rsid w:val="00382317"/>
    <w:rsid w:val="00382AE7"/>
    <w:rsid w:val="00382BBF"/>
    <w:rsid w:val="00382D16"/>
    <w:rsid w:val="00382E95"/>
    <w:rsid w:val="00382ECE"/>
    <w:rsid w:val="00383311"/>
    <w:rsid w:val="00383534"/>
    <w:rsid w:val="003835D8"/>
    <w:rsid w:val="0038394F"/>
    <w:rsid w:val="00383D3E"/>
    <w:rsid w:val="00383F46"/>
    <w:rsid w:val="003841B6"/>
    <w:rsid w:val="003841BD"/>
    <w:rsid w:val="00384445"/>
    <w:rsid w:val="00384583"/>
    <w:rsid w:val="00384676"/>
    <w:rsid w:val="0038495D"/>
    <w:rsid w:val="003849BB"/>
    <w:rsid w:val="00384D85"/>
    <w:rsid w:val="00385406"/>
    <w:rsid w:val="0038598E"/>
    <w:rsid w:val="00385DB5"/>
    <w:rsid w:val="00385EEA"/>
    <w:rsid w:val="00386143"/>
    <w:rsid w:val="00386268"/>
    <w:rsid w:val="00386570"/>
    <w:rsid w:val="003867CE"/>
    <w:rsid w:val="00386ACF"/>
    <w:rsid w:val="00386AFB"/>
    <w:rsid w:val="003873BA"/>
    <w:rsid w:val="003873D1"/>
    <w:rsid w:val="003875ED"/>
    <w:rsid w:val="00387A42"/>
    <w:rsid w:val="00387B58"/>
    <w:rsid w:val="003900F0"/>
    <w:rsid w:val="003903F2"/>
    <w:rsid w:val="003904E3"/>
    <w:rsid w:val="003905BE"/>
    <w:rsid w:val="003907A7"/>
    <w:rsid w:val="00390857"/>
    <w:rsid w:val="00390BB8"/>
    <w:rsid w:val="00390BD3"/>
    <w:rsid w:val="00390EEC"/>
    <w:rsid w:val="00391067"/>
    <w:rsid w:val="00391504"/>
    <w:rsid w:val="0039155C"/>
    <w:rsid w:val="0039195B"/>
    <w:rsid w:val="00391A92"/>
    <w:rsid w:val="00391B8D"/>
    <w:rsid w:val="00392432"/>
    <w:rsid w:val="003925F1"/>
    <w:rsid w:val="00392685"/>
    <w:rsid w:val="00392687"/>
    <w:rsid w:val="00392854"/>
    <w:rsid w:val="0039303D"/>
    <w:rsid w:val="0039319B"/>
    <w:rsid w:val="00393399"/>
    <w:rsid w:val="00393501"/>
    <w:rsid w:val="0039363A"/>
    <w:rsid w:val="003938C9"/>
    <w:rsid w:val="003941AC"/>
    <w:rsid w:val="003941F5"/>
    <w:rsid w:val="00394B07"/>
    <w:rsid w:val="00394B68"/>
    <w:rsid w:val="00394D04"/>
    <w:rsid w:val="00394D30"/>
    <w:rsid w:val="00394E1C"/>
    <w:rsid w:val="00395424"/>
    <w:rsid w:val="00395C80"/>
    <w:rsid w:val="00395E2A"/>
    <w:rsid w:val="0039606C"/>
    <w:rsid w:val="00396099"/>
    <w:rsid w:val="0039631F"/>
    <w:rsid w:val="0039638F"/>
    <w:rsid w:val="0039657E"/>
    <w:rsid w:val="00396646"/>
    <w:rsid w:val="00396B8F"/>
    <w:rsid w:val="00396BCB"/>
    <w:rsid w:val="00397754"/>
    <w:rsid w:val="00397A8B"/>
    <w:rsid w:val="003A016C"/>
    <w:rsid w:val="003A01A1"/>
    <w:rsid w:val="003A0DB5"/>
    <w:rsid w:val="003A1B6B"/>
    <w:rsid w:val="003A1D31"/>
    <w:rsid w:val="003A1F2E"/>
    <w:rsid w:val="003A2122"/>
    <w:rsid w:val="003A2E3B"/>
    <w:rsid w:val="003A3149"/>
    <w:rsid w:val="003A3601"/>
    <w:rsid w:val="003A380E"/>
    <w:rsid w:val="003A3C4C"/>
    <w:rsid w:val="003A3EC9"/>
    <w:rsid w:val="003A3F72"/>
    <w:rsid w:val="003A4005"/>
    <w:rsid w:val="003A4185"/>
    <w:rsid w:val="003A476E"/>
    <w:rsid w:val="003A47CF"/>
    <w:rsid w:val="003A4937"/>
    <w:rsid w:val="003A4AD1"/>
    <w:rsid w:val="003A4B2B"/>
    <w:rsid w:val="003A4BF3"/>
    <w:rsid w:val="003A4CF8"/>
    <w:rsid w:val="003A59C1"/>
    <w:rsid w:val="003A5A1A"/>
    <w:rsid w:val="003A5CBC"/>
    <w:rsid w:val="003A61BD"/>
    <w:rsid w:val="003A635F"/>
    <w:rsid w:val="003A6504"/>
    <w:rsid w:val="003A6E9C"/>
    <w:rsid w:val="003A72E0"/>
    <w:rsid w:val="003A75FF"/>
    <w:rsid w:val="003A773F"/>
    <w:rsid w:val="003A7C55"/>
    <w:rsid w:val="003B03EC"/>
    <w:rsid w:val="003B060A"/>
    <w:rsid w:val="003B0BBE"/>
    <w:rsid w:val="003B0ECF"/>
    <w:rsid w:val="003B1535"/>
    <w:rsid w:val="003B188E"/>
    <w:rsid w:val="003B1913"/>
    <w:rsid w:val="003B2830"/>
    <w:rsid w:val="003B2FE5"/>
    <w:rsid w:val="003B3799"/>
    <w:rsid w:val="003B3B88"/>
    <w:rsid w:val="003B3E1C"/>
    <w:rsid w:val="003B4021"/>
    <w:rsid w:val="003B4041"/>
    <w:rsid w:val="003B420D"/>
    <w:rsid w:val="003B447F"/>
    <w:rsid w:val="003B4B1C"/>
    <w:rsid w:val="003B4CC7"/>
    <w:rsid w:val="003B4DF4"/>
    <w:rsid w:val="003B4EEE"/>
    <w:rsid w:val="003B5470"/>
    <w:rsid w:val="003B56FA"/>
    <w:rsid w:val="003B5A74"/>
    <w:rsid w:val="003B5B7E"/>
    <w:rsid w:val="003B6248"/>
    <w:rsid w:val="003B673A"/>
    <w:rsid w:val="003B6A0B"/>
    <w:rsid w:val="003B6C7D"/>
    <w:rsid w:val="003B710E"/>
    <w:rsid w:val="003B73EE"/>
    <w:rsid w:val="003B7523"/>
    <w:rsid w:val="003B7C6A"/>
    <w:rsid w:val="003C0032"/>
    <w:rsid w:val="003C05C4"/>
    <w:rsid w:val="003C0608"/>
    <w:rsid w:val="003C087C"/>
    <w:rsid w:val="003C091B"/>
    <w:rsid w:val="003C157B"/>
    <w:rsid w:val="003C184F"/>
    <w:rsid w:val="003C1CEB"/>
    <w:rsid w:val="003C2124"/>
    <w:rsid w:val="003C21BE"/>
    <w:rsid w:val="003C224E"/>
    <w:rsid w:val="003C28D2"/>
    <w:rsid w:val="003C3BE9"/>
    <w:rsid w:val="003C4001"/>
    <w:rsid w:val="003C40C8"/>
    <w:rsid w:val="003C4323"/>
    <w:rsid w:val="003C4484"/>
    <w:rsid w:val="003C4B7B"/>
    <w:rsid w:val="003C4E30"/>
    <w:rsid w:val="003C59A9"/>
    <w:rsid w:val="003C5BB2"/>
    <w:rsid w:val="003C682F"/>
    <w:rsid w:val="003C6A74"/>
    <w:rsid w:val="003C6B0F"/>
    <w:rsid w:val="003C6B48"/>
    <w:rsid w:val="003C6C16"/>
    <w:rsid w:val="003C7211"/>
    <w:rsid w:val="003C73C9"/>
    <w:rsid w:val="003C74A2"/>
    <w:rsid w:val="003C7C57"/>
    <w:rsid w:val="003C7D4F"/>
    <w:rsid w:val="003D02FA"/>
    <w:rsid w:val="003D083E"/>
    <w:rsid w:val="003D0894"/>
    <w:rsid w:val="003D0936"/>
    <w:rsid w:val="003D0AB0"/>
    <w:rsid w:val="003D0C74"/>
    <w:rsid w:val="003D0E0B"/>
    <w:rsid w:val="003D18C1"/>
    <w:rsid w:val="003D19F4"/>
    <w:rsid w:val="003D2164"/>
    <w:rsid w:val="003D219D"/>
    <w:rsid w:val="003D2275"/>
    <w:rsid w:val="003D2F6B"/>
    <w:rsid w:val="003D3359"/>
    <w:rsid w:val="003D3B3B"/>
    <w:rsid w:val="003D4267"/>
    <w:rsid w:val="003D4329"/>
    <w:rsid w:val="003D4611"/>
    <w:rsid w:val="003D4A8A"/>
    <w:rsid w:val="003D4F77"/>
    <w:rsid w:val="003D5166"/>
    <w:rsid w:val="003D5439"/>
    <w:rsid w:val="003D5456"/>
    <w:rsid w:val="003D5920"/>
    <w:rsid w:val="003D5BA1"/>
    <w:rsid w:val="003D5EB4"/>
    <w:rsid w:val="003D6124"/>
    <w:rsid w:val="003D6A3D"/>
    <w:rsid w:val="003D6D3F"/>
    <w:rsid w:val="003D76D8"/>
    <w:rsid w:val="003D794D"/>
    <w:rsid w:val="003D7EF1"/>
    <w:rsid w:val="003D7F4B"/>
    <w:rsid w:val="003E049D"/>
    <w:rsid w:val="003E0813"/>
    <w:rsid w:val="003E081F"/>
    <w:rsid w:val="003E088D"/>
    <w:rsid w:val="003E1322"/>
    <w:rsid w:val="003E1B28"/>
    <w:rsid w:val="003E1E15"/>
    <w:rsid w:val="003E1E1E"/>
    <w:rsid w:val="003E1E76"/>
    <w:rsid w:val="003E1E93"/>
    <w:rsid w:val="003E23BA"/>
    <w:rsid w:val="003E252B"/>
    <w:rsid w:val="003E28FE"/>
    <w:rsid w:val="003E2A58"/>
    <w:rsid w:val="003E2A5D"/>
    <w:rsid w:val="003E2EB7"/>
    <w:rsid w:val="003E2FCD"/>
    <w:rsid w:val="003E3058"/>
    <w:rsid w:val="003E3886"/>
    <w:rsid w:val="003E3915"/>
    <w:rsid w:val="003E3D81"/>
    <w:rsid w:val="003E415D"/>
    <w:rsid w:val="003E44DA"/>
    <w:rsid w:val="003E4540"/>
    <w:rsid w:val="003E4C8C"/>
    <w:rsid w:val="003E4F36"/>
    <w:rsid w:val="003E4F37"/>
    <w:rsid w:val="003E4F54"/>
    <w:rsid w:val="003E5420"/>
    <w:rsid w:val="003E58D6"/>
    <w:rsid w:val="003E5EE9"/>
    <w:rsid w:val="003E5F16"/>
    <w:rsid w:val="003E5FE9"/>
    <w:rsid w:val="003E6227"/>
    <w:rsid w:val="003E62D0"/>
    <w:rsid w:val="003E645F"/>
    <w:rsid w:val="003E65A3"/>
    <w:rsid w:val="003E6D34"/>
    <w:rsid w:val="003E703E"/>
    <w:rsid w:val="003E716C"/>
    <w:rsid w:val="003E736C"/>
    <w:rsid w:val="003E7541"/>
    <w:rsid w:val="003E76A9"/>
    <w:rsid w:val="003E789D"/>
    <w:rsid w:val="003E7BF6"/>
    <w:rsid w:val="003E7C23"/>
    <w:rsid w:val="003E7D0F"/>
    <w:rsid w:val="003E7D2A"/>
    <w:rsid w:val="003E7F88"/>
    <w:rsid w:val="003E7FC3"/>
    <w:rsid w:val="003F045E"/>
    <w:rsid w:val="003F04A1"/>
    <w:rsid w:val="003F0809"/>
    <w:rsid w:val="003F0E70"/>
    <w:rsid w:val="003F1793"/>
    <w:rsid w:val="003F1E8C"/>
    <w:rsid w:val="003F1EC2"/>
    <w:rsid w:val="003F263C"/>
    <w:rsid w:val="003F26AB"/>
    <w:rsid w:val="003F26D0"/>
    <w:rsid w:val="003F26F8"/>
    <w:rsid w:val="003F2896"/>
    <w:rsid w:val="003F28F2"/>
    <w:rsid w:val="003F2F79"/>
    <w:rsid w:val="003F330B"/>
    <w:rsid w:val="003F3E06"/>
    <w:rsid w:val="003F4114"/>
    <w:rsid w:val="003F461A"/>
    <w:rsid w:val="003F490F"/>
    <w:rsid w:val="003F4C96"/>
    <w:rsid w:val="003F5059"/>
    <w:rsid w:val="003F525C"/>
    <w:rsid w:val="003F5628"/>
    <w:rsid w:val="003F56AB"/>
    <w:rsid w:val="003F5A53"/>
    <w:rsid w:val="003F5B0E"/>
    <w:rsid w:val="003F5FFA"/>
    <w:rsid w:val="003F624E"/>
    <w:rsid w:val="003F6570"/>
    <w:rsid w:val="003F6651"/>
    <w:rsid w:val="003F6A07"/>
    <w:rsid w:val="003F6A8C"/>
    <w:rsid w:val="003F6C63"/>
    <w:rsid w:val="003F6D84"/>
    <w:rsid w:val="003F6E4B"/>
    <w:rsid w:val="003F70F3"/>
    <w:rsid w:val="003F71D1"/>
    <w:rsid w:val="003F7417"/>
    <w:rsid w:val="003F745F"/>
    <w:rsid w:val="003F755C"/>
    <w:rsid w:val="003F7620"/>
    <w:rsid w:val="003F765E"/>
    <w:rsid w:val="00400544"/>
    <w:rsid w:val="00400BB4"/>
    <w:rsid w:val="00400F14"/>
    <w:rsid w:val="00401281"/>
    <w:rsid w:val="00401467"/>
    <w:rsid w:val="00401572"/>
    <w:rsid w:val="00401764"/>
    <w:rsid w:val="004017AA"/>
    <w:rsid w:val="004017D2"/>
    <w:rsid w:val="00401E48"/>
    <w:rsid w:val="00401F19"/>
    <w:rsid w:val="004020D6"/>
    <w:rsid w:val="0040232D"/>
    <w:rsid w:val="004024D9"/>
    <w:rsid w:val="00402BD0"/>
    <w:rsid w:val="004031DE"/>
    <w:rsid w:val="004039A3"/>
    <w:rsid w:val="00403A84"/>
    <w:rsid w:val="00403AFB"/>
    <w:rsid w:val="00403C2C"/>
    <w:rsid w:val="00403D13"/>
    <w:rsid w:val="00403EE5"/>
    <w:rsid w:val="00403F3C"/>
    <w:rsid w:val="004040DF"/>
    <w:rsid w:val="0040443D"/>
    <w:rsid w:val="004046C4"/>
    <w:rsid w:val="00404781"/>
    <w:rsid w:val="004047BF"/>
    <w:rsid w:val="00404CB1"/>
    <w:rsid w:val="00404CFD"/>
    <w:rsid w:val="00404D47"/>
    <w:rsid w:val="00404EF4"/>
    <w:rsid w:val="00405185"/>
    <w:rsid w:val="00405467"/>
    <w:rsid w:val="0040565D"/>
    <w:rsid w:val="00405E75"/>
    <w:rsid w:val="00405FAE"/>
    <w:rsid w:val="0040631A"/>
    <w:rsid w:val="004067F3"/>
    <w:rsid w:val="00406A2E"/>
    <w:rsid w:val="00406F01"/>
    <w:rsid w:val="0040707B"/>
    <w:rsid w:val="00407218"/>
    <w:rsid w:val="00407252"/>
    <w:rsid w:val="00407288"/>
    <w:rsid w:val="00407514"/>
    <w:rsid w:val="004078EA"/>
    <w:rsid w:val="004078EB"/>
    <w:rsid w:val="00410055"/>
    <w:rsid w:val="004100F8"/>
    <w:rsid w:val="00410254"/>
    <w:rsid w:val="00410276"/>
    <w:rsid w:val="004105C6"/>
    <w:rsid w:val="004108BA"/>
    <w:rsid w:val="00410DD1"/>
    <w:rsid w:val="00410FD8"/>
    <w:rsid w:val="0041103C"/>
    <w:rsid w:val="004112B6"/>
    <w:rsid w:val="004114C6"/>
    <w:rsid w:val="004116DF"/>
    <w:rsid w:val="00411747"/>
    <w:rsid w:val="0041192C"/>
    <w:rsid w:val="00411A15"/>
    <w:rsid w:val="004129B1"/>
    <w:rsid w:val="0041305B"/>
    <w:rsid w:val="004132C7"/>
    <w:rsid w:val="004136C9"/>
    <w:rsid w:val="004138DB"/>
    <w:rsid w:val="00413A0A"/>
    <w:rsid w:val="00413B9A"/>
    <w:rsid w:val="00413C7C"/>
    <w:rsid w:val="00413E24"/>
    <w:rsid w:val="00414125"/>
    <w:rsid w:val="00414457"/>
    <w:rsid w:val="004145FC"/>
    <w:rsid w:val="00414A90"/>
    <w:rsid w:val="00414A9C"/>
    <w:rsid w:val="00414C30"/>
    <w:rsid w:val="00414DFF"/>
    <w:rsid w:val="00415004"/>
    <w:rsid w:val="0041506C"/>
    <w:rsid w:val="004157A8"/>
    <w:rsid w:val="00415CB1"/>
    <w:rsid w:val="00415EC2"/>
    <w:rsid w:val="00416CE4"/>
    <w:rsid w:val="00416D50"/>
    <w:rsid w:val="00416DAB"/>
    <w:rsid w:val="00416FD5"/>
    <w:rsid w:val="00417073"/>
    <w:rsid w:val="00417772"/>
    <w:rsid w:val="00417A47"/>
    <w:rsid w:val="00417B29"/>
    <w:rsid w:val="00417FD2"/>
    <w:rsid w:val="004206CC"/>
    <w:rsid w:val="00420A47"/>
    <w:rsid w:val="00420C7C"/>
    <w:rsid w:val="00420C95"/>
    <w:rsid w:val="00420D27"/>
    <w:rsid w:val="00420D71"/>
    <w:rsid w:val="00420E6A"/>
    <w:rsid w:val="00420F91"/>
    <w:rsid w:val="004211C2"/>
    <w:rsid w:val="00421AB1"/>
    <w:rsid w:val="00421EA8"/>
    <w:rsid w:val="00422899"/>
    <w:rsid w:val="00422DDE"/>
    <w:rsid w:val="0042305C"/>
    <w:rsid w:val="004231EE"/>
    <w:rsid w:val="00423217"/>
    <w:rsid w:val="00423458"/>
    <w:rsid w:val="00424076"/>
    <w:rsid w:val="004245DF"/>
    <w:rsid w:val="0042469D"/>
    <w:rsid w:val="00424E92"/>
    <w:rsid w:val="00425136"/>
    <w:rsid w:val="00425589"/>
    <w:rsid w:val="00425A9E"/>
    <w:rsid w:val="00425B21"/>
    <w:rsid w:val="00425E9C"/>
    <w:rsid w:val="004261E2"/>
    <w:rsid w:val="00426253"/>
    <w:rsid w:val="004268AA"/>
    <w:rsid w:val="00426BBC"/>
    <w:rsid w:val="00426D6B"/>
    <w:rsid w:val="004278E4"/>
    <w:rsid w:val="004279F7"/>
    <w:rsid w:val="004279F8"/>
    <w:rsid w:val="0043069D"/>
    <w:rsid w:val="004309E3"/>
    <w:rsid w:val="00430FFD"/>
    <w:rsid w:val="00431012"/>
    <w:rsid w:val="004310D0"/>
    <w:rsid w:val="004311AB"/>
    <w:rsid w:val="0043146A"/>
    <w:rsid w:val="00431B3F"/>
    <w:rsid w:val="00431E6C"/>
    <w:rsid w:val="00431FCB"/>
    <w:rsid w:val="00432660"/>
    <w:rsid w:val="004329AB"/>
    <w:rsid w:val="00432AD1"/>
    <w:rsid w:val="00432CD1"/>
    <w:rsid w:val="00432FAD"/>
    <w:rsid w:val="00432FDA"/>
    <w:rsid w:val="00433CE7"/>
    <w:rsid w:val="00433F8B"/>
    <w:rsid w:val="00434B84"/>
    <w:rsid w:val="00434CF5"/>
    <w:rsid w:val="00434EB1"/>
    <w:rsid w:val="00435041"/>
    <w:rsid w:val="00435669"/>
    <w:rsid w:val="004359B4"/>
    <w:rsid w:val="00435B8A"/>
    <w:rsid w:val="00435F10"/>
    <w:rsid w:val="0043607A"/>
    <w:rsid w:val="0043633C"/>
    <w:rsid w:val="00436480"/>
    <w:rsid w:val="00436968"/>
    <w:rsid w:val="00436AA0"/>
    <w:rsid w:val="00436B8F"/>
    <w:rsid w:val="00436DFB"/>
    <w:rsid w:val="00437256"/>
    <w:rsid w:val="0043732F"/>
    <w:rsid w:val="00437342"/>
    <w:rsid w:val="0044016C"/>
    <w:rsid w:val="0044089D"/>
    <w:rsid w:val="00440EAC"/>
    <w:rsid w:val="004410C1"/>
    <w:rsid w:val="0044147B"/>
    <w:rsid w:val="00441957"/>
    <w:rsid w:val="00441BC3"/>
    <w:rsid w:val="00441BC5"/>
    <w:rsid w:val="00441BFC"/>
    <w:rsid w:val="00441CC2"/>
    <w:rsid w:val="00441E7A"/>
    <w:rsid w:val="004421E1"/>
    <w:rsid w:val="00442D83"/>
    <w:rsid w:val="00442D9B"/>
    <w:rsid w:val="00443A75"/>
    <w:rsid w:val="00443B9B"/>
    <w:rsid w:val="00443F40"/>
    <w:rsid w:val="00444024"/>
    <w:rsid w:val="00444352"/>
    <w:rsid w:val="00444361"/>
    <w:rsid w:val="004443B4"/>
    <w:rsid w:val="004449DF"/>
    <w:rsid w:val="00444EFD"/>
    <w:rsid w:val="00445334"/>
    <w:rsid w:val="0044570B"/>
    <w:rsid w:val="00445B4B"/>
    <w:rsid w:val="004464B1"/>
    <w:rsid w:val="004467A5"/>
    <w:rsid w:val="004469B8"/>
    <w:rsid w:val="00446D9B"/>
    <w:rsid w:val="00447223"/>
    <w:rsid w:val="004472FE"/>
    <w:rsid w:val="00447392"/>
    <w:rsid w:val="00447828"/>
    <w:rsid w:val="00450320"/>
    <w:rsid w:val="0045071F"/>
    <w:rsid w:val="0045089E"/>
    <w:rsid w:val="00450C40"/>
    <w:rsid w:val="00450EEF"/>
    <w:rsid w:val="00450FD9"/>
    <w:rsid w:val="004513D3"/>
    <w:rsid w:val="004518C2"/>
    <w:rsid w:val="004518CF"/>
    <w:rsid w:val="00451F29"/>
    <w:rsid w:val="0045222B"/>
    <w:rsid w:val="00452738"/>
    <w:rsid w:val="00452795"/>
    <w:rsid w:val="004527AA"/>
    <w:rsid w:val="00452834"/>
    <w:rsid w:val="00452E51"/>
    <w:rsid w:val="00452E8D"/>
    <w:rsid w:val="00452F29"/>
    <w:rsid w:val="00452F73"/>
    <w:rsid w:val="004532EE"/>
    <w:rsid w:val="0045376A"/>
    <w:rsid w:val="00453790"/>
    <w:rsid w:val="004538E2"/>
    <w:rsid w:val="00453AB1"/>
    <w:rsid w:val="00453E28"/>
    <w:rsid w:val="00453F11"/>
    <w:rsid w:val="00454442"/>
    <w:rsid w:val="0045468A"/>
    <w:rsid w:val="00454802"/>
    <w:rsid w:val="0045489D"/>
    <w:rsid w:val="00454C58"/>
    <w:rsid w:val="00454EAB"/>
    <w:rsid w:val="00454F7E"/>
    <w:rsid w:val="0045503E"/>
    <w:rsid w:val="00455336"/>
    <w:rsid w:val="00455617"/>
    <w:rsid w:val="004557FF"/>
    <w:rsid w:val="00455F97"/>
    <w:rsid w:val="00456091"/>
    <w:rsid w:val="00456140"/>
    <w:rsid w:val="00456321"/>
    <w:rsid w:val="00456432"/>
    <w:rsid w:val="00456680"/>
    <w:rsid w:val="0045669E"/>
    <w:rsid w:val="00456ACD"/>
    <w:rsid w:val="00456AE5"/>
    <w:rsid w:val="00456BE4"/>
    <w:rsid w:val="0045713C"/>
    <w:rsid w:val="00457377"/>
    <w:rsid w:val="00457813"/>
    <w:rsid w:val="0045792A"/>
    <w:rsid w:val="00457946"/>
    <w:rsid w:val="00457BFE"/>
    <w:rsid w:val="00457C08"/>
    <w:rsid w:val="00460019"/>
    <w:rsid w:val="004602A2"/>
    <w:rsid w:val="004602DC"/>
    <w:rsid w:val="00460373"/>
    <w:rsid w:val="0046064A"/>
    <w:rsid w:val="004608B7"/>
    <w:rsid w:val="00460AB9"/>
    <w:rsid w:val="00460FF4"/>
    <w:rsid w:val="0046207F"/>
    <w:rsid w:val="0046220B"/>
    <w:rsid w:val="00462210"/>
    <w:rsid w:val="00462411"/>
    <w:rsid w:val="00462555"/>
    <w:rsid w:val="00462A05"/>
    <w:rsid w:val="0046335B"/>
    <w:rsid w:val="00463609"/>
    <w:rsid w:val="00463629"/>
    <w:rsid w:val="00463BD4"/>
    <w:rsid w:val="00463D03"/>
    <w:rsid w:val="00463ED5"/>
    <w:rsid w:val="0046433D"/>
    <w:rsid w:val="0046447F"/>
    <w:rsid w:val="00464690"/>
    <w:rsid w:val="00464AF7"/>
    <w:rsid w:val="00464C1F"/>
    <w:rsid w:val="00464CD8"/>
    <w:rsid w:val="00464F93"/>
    <w:rsid w:val="00465347"/>
    <w:rsid w:val="00465D77"/>
    <w:rsid w:val="00465F5D"/>
    <w:rsid w:val="0046624B"/>
    <w:rsid w:val="004662F3"/>
    <w:rsid w:val="00466321"/>
    <w:rsid w:val="004663EB"/>
    <w:rsid w:val="004664AB"/>
    <w:rsid w:val="004664AF"/>
    <w:rsid w:val="00466907"/>
    <w:rsid w:val="0046698B"/>
    <w:rsid w:val="00466A02"/>
    <w:rsid w:val="00466CB0"/>
    <w:rsid w:val="0046702B"/>
    <w:rsid w:val="0046734F"/>
    <w:rsid w:val="00467443"/>
    <w:rsid w:val="00467575"/>
    <w:rsid w:val="00467711"/>
    <w:rsid w:val="00467B37"/>
    <w:rsid w:val="00467B9F"/>
    <w:rsid w:val="00467C22"/>
    <w:rsid w:val="00467C6D"/>
    <w:rsid w:val="0047024E"/>
    <w:rsid w:val="00470289"/>
    <w:rsid w:val="004702AC"/>
    <w:rsid w:val="00470869"/>
    <w:rsid w:val="00470CFC"/>
    <w:rsid w:val="004711E0"/>
    <w:rsid w:val="00471333"/>
    <w:rsid w:val="004715FB"/>
    <w:rsid w:val="0047196E"/>
    <w:rsid w:val="004720C9"/>
    <w:rsid w:val="0047242A"/>
    <w:rsid w:val="00472E5C"/>
    <w:rsid w:val="00472F66"/>
    <w:rsid w:val="00473143"/>
    <w:rsid w:val="004731CE"/>
    <w:rsid w:val="0047331A"/>
    <w:rsid w:val="004735E1"/>
    <w:rsid w:val="00473A76"/>
    <w:rsid w:val="00473B13"/>
    <w:rsid w:val="00473D7D"/>
    <w:rsid w:val="00473E75"/>
    <w:rsid w:val="00474052"/>
    <w:rsid w:val="004743D5"/>
    <w:rsid w:val="00474450"/>
    <w:rsid w:val="00474580"/>
    <w:rsid w:val="004745EA"/>
    <w:rsid w:val="004748FD"/>
    <w:rsid w:val="00474F1E"/>
    <w:rsid w:val="004756BB"/>
    <w:rsid w:val="0047581D"/>
    <w:rsid w:val="00475964"/>
    <w:rsid w:val="00475A04"/>
    <w:rsid w:val="00475A76"/>
    <w:rsid w:val="00475D3E"/>
    <w:rsid w:val="00475DCE"/>
    <w:rsid w:val="00475EC1"/>
    <w:rsid w:val="00476062"/>
    <w:rsid w:val="00476732"/>
    <w:rsid w:val="00476FB2"/>
    <w:rsid w:val="004772A1"/>
    <w:rsid w:val="004776BD"/>
    <w:rsid w:val="00477800"/>
    <w:rsid w:val="0047796D"/>
    <w:rsid w:val="00477E36"/>
    <w:rsid w:val="00477F02"/>
    <w:rsid w:val="00477F8C"/>
    <w:rsid w:val="00480741"/>
    <w:rsid w:val="0048132F"/>
    <w:rsid w:val="00481677"/>
    <w:rsid w:val="004817A3"/>
    <w:rsid w:val="00481B5D"/>
    <w:rsid w:val="004820C3"/>
    <w:rsid w:val="0048239F"/>
    <w:rsid w:val="0048254B"/>
    <w:rsid w:val="004825EB"/>
    <w:rsid w:val="004828E0"/>
    <w:rsid w:val="00482F3C"/>
    <w:rsid w:val="004833D9"/>
    <w:rsid w:val="00483A67"/>
    <w:rsid w:val="00483D64"/>
    <w:rsid w:val="00483F20"/>
    <w:rsid w:val="004842F4"/>
    <w:rsid w:val="00484462"/>
    <w:rsid w:val="00484A80"/>
    <w:rsid w:val="00484B9B"/>
    <w:rsid w:val="00484C12"/>
    <w:rsid w:val="00484C25"/>
    <w:rsid w:val="00484D67"/>
    <w:rsid w:val="0048519F"/>
    <w:rsid w:val="004853D1"/>
    <w:rsid w:val="004855F6"/>
    <w:rsid w:val="00485CC4"/>
    <w:rsid w:val="00485E30"/>
    <w:rsid w:val="00486131"/>
    <w:rsid w:val="0048649B"/>
    <w:rsid w:val="0048655B"/>
    <w:rsid w:val="0048661E"/>
    <w:rsid w:val="004866A9"/>
    <w:rsid w:val="00486855"/>
    <w:rsid w:val="00486F5A"/>
    <w:rsid w:val="004871D7"/>
    <w:rsid w:val="00487316"/>
    <w:rsid w:val="0048742F"/>
    <w:rsid w:val="00487636"/>
    <w:rsid w:val="00487F84"/>
    <w:rsid w:val="004904FB"/>
    <w:rsid w:val="0049050A"/>
    <w:rsid w:val="004905C8"/>
    <w:rsid w:val="004906D6"/>
    <w:rsid w:val="004907A7"/>
    <w:rsid w:val="00490B8D"/>
    <w:rsid w:val="0049154B"/>
    <w:rsid w:val="00491928"/>
    <w:rsid w:val="00491957"/>
    <w:rsid w:val="00491B42"/>
    <w:rsid w:val="00492441"/>
    <w:rsid w:val="00492942"/>
    <w:rsid w:val="00492A6F"/>
    <w:rsid w:val="00492BD8"/>
    <w:rsid w:val="00492DA1"/>
    <w:rsid w:val="0049347C"/>
    <w:rsid w:val="00493AE4"/>
    <w:rsid w:val="00493C79"/>
    <w:rsid w:val="00493CA3"/>
    <w:rsid w:val="00493EEA"/>
    <w:rsid w:val="00494670"/>
    <w:rsid w:val="00494912"/>
    <w:rsid w:val="00494DA9"/>
    <w:rsid w:val="004957F0"/>
    <w:rsid w:val="004958F8"/>
    <w:rsid w:val="00495A04"/>
    <w:rsid w:val="00495C77"/>
    <w:rsid w:val="00495FF0"/>
    <w:rsid w:val="004960E4"/>
    <w:rsid w:val="00496110"/>
    <w:rsid w:val="004966FB"/>
    <w:rsid w:val="00496CF5"/>
    <w:rsid w:val="00496F4D"/>
    <w:rsid w:val="00496F96"/>
    <w:rsid w:val="00497399"/>
    <w:rsid w:val="004973D3"/>
    <w:rsid w:val="00497658"/>
    <w:rsid w:val="0049775E"/>
    <w:rsid w:val="004978AF"/>
    <w:rsid w:val="00497B2C"/>
    <w:rsid w:val="004A0211"/>
    <w:rsid w:val="004A05E3"/>
    <w:rsid w:val="004A07AF"/>
    <w:rsid w:val="004A097E"/>
    <w:rsid w:val="004A14E2"/>
    <w:rsid w:val="004A14F6"/>
    <w:rsid w:val="004A198F"/>
    <w:rsid w:val="004A1BF2"/>
    <w:rsid w:val="004A202C"/>
    <w:rsid w:val="004A2086"/>
    <w:rsid w:val="004A2588"/>
    <w:rsid w:val="004A259F"/>
    <w:rsid w:val="004A268D"/>
    <w:rsid w:val="004A2F1E"/>
    <w:rsid w:val="004A33DF"/>
    <w:rsid w:val="004A36D0"/>
    <w:rsid w:val="004A3823"/>
    <w:rsid w:val="004A3C54"/>
    <w:rsid w:val="004A42BC"/>
    <w:rsid w:val="004A4580"/>
    <w:rsid w:val="004A4581"/>
    <w:rsid w:val="004A467C"/>
    <w:rsid w:val="004A4816"/>
    <w:rsid w:val="004A4A8F"/>
    <w:rsid w:val="004A4CC3"/>
    <w:rsid w:val="004A5228"/>
    <w:rsid w:val="004A56E6"/>
    <w:rsid w:val="004A57B7"/>
    <w:rsid w:val="004A590D"/>
    <w:rsid w:val="004A5A3C"/>
    <w:rsid w:val="004A62A2"/>
    <w:rsid w:val="004A63B7"/>
    <w:rsid w:val="004A6450"/>
    <w:rsid w:val="004A648F"/>
    <w:rsid w:val="004A6691"/>
    <w:rsid w:val="004A7291"/>
    <w:rsid w:val="004A7883"/>
    <w:rsid w:val="004A7AEB"/>
    <w:rsid w:val="004A7ED3"/>
    <w:rsid w:val="004B00B8"/>
    <w:rsid w:val="004B0CC0"/>
    <w:rsid w:val="004B0F89"/>
    <w:rsid w:val="004B117E"/>
    <w:rsid w:val="004B1252"/>
    <w:rsid w:val="004B149B"/>
    <w:rsid w:val="004B18C2"/>
    <w:rsid w:val="004B1DFA"/>
    <w:rsid w:val="004B1F90"/>
    <w:rsid w:val="004B2205"/>
    <w:rsid w:val="004B2206"/>
    <w:rsid w:val="004B2482"/>
    <w:rsid w:val="004B24D3"/>
    <w:rsid w:val="004B2760"/>
    <w:rsid w:val="004B2990"/>
    <w:rsid w:val="004B2A32"/>
    <w:rsid w:val="004B300E"/>
    <w:rsid w:val="004B3015"/>
    <w:rsid w:val="004B3495"/>
    <w:rsid w:val="004B376A"/>
    <w:rsid w:val="004B3B13"/>
    <w:rsid w:val="004B415C"/>
    <w:rsid w:val="004B4300"/>
    <w:rsid w:val="004B430F"/>
    <w:rsid w:val="004B43E5"/>
    <w:rsid w:val="004B4C1F"/>
    <w:rsid w:val="004B4C53"/>
    <w:rsid w:val="004B5172"/>
    <w:rsid w:val="004B55F8"/>
    <w:rsid w:val="004B5851"/>
    <w:rsid w:val="004B588D"/>
    <w:rsid w:val="004B611A"/>
    <w:rsid w:val="004B6339"/>
    <w:rsid w:val="004B6363"/>
    <w:rsid w:val="004B63B5"/>
    <w:rsid w:val="004B66E8"/>
    <w:rsid w:val="004B6840"/>
    <w:rsid w:val="004B690E"/>
    <w:rsid w:val="004B71F5"/>
    <w:rsid w:val="004B77E1"/>
    <w:rsid w:val="004B7B3A"/>
    <w:rsid w:val="004C0066"/>
    <w:rsid w:val="004C03D1"/>
    <w:rsid w:val="004C0675"/>
    <w:rsid w:val="004C0AA5"/>
    <w:rsid w:val="004C1732"/>
    <w:rsid w:val="004C1FDC"/>
    <w:rsid w:val="004C24E0"/>
    <w:rsid w:val="004C25C0"/>
    <w:rsid w:val="004C2BD6"/>
    <w:rsid w:val="004C2D5B"/>
    <w:rsid w:val="004C2DC2"/>
    <w:rsid w:val="004C2DFB"/>
    <w:rsid w:val="004C2E9C"/>
    <w:rsid w:val="004C3984"/>
    <w:rsid w:val="004C39C3"/>
    <w:rsid w:val="004C3B63"/>
    <w:rsid w:val="004C3CB1"/>
    <w:rsid w:val="004C46A7"/>
    <w:rsid w:val="004C49AB"/>
    <w:rsid w:val="004C5670"/>
    <w:rsid w:val="004C5701"/>
    <w:rsid w:val="004C596F"/>
    <w:rsid w:val="004C5B70"/>
    <w:rsid w:val="004C5C61"/>
    <w:rsid w:val="004C608D"/>
    <w:rsid w:val="004C6275"/>
    <w:rsid w:val="004C63DD"/>
    <w:rsid w:val="004C65F7"/>
    <w:rsid w:val="004C674D"/>
    <w:rsid w:val="004C730D"/>
    <w:rsid w:val="004C7318"/>
    <w:rsid w:val="004C7603"/>
    <w:rsid w:val="004C796A"/>
    <w:rsid w:val="004C7980"/>
    <w:rsid w:val="004C7AE6"/>
    <w:rsid w:val="004D0544"/>
    <w:rsid w:val="004D05AE"/>
    <w:rsid w:val="004D09D6"/>
    <w:rsid w:val="004D0D41"/>
    <w:rsid w:val="004D0FDE"/>
    <w:rsid w:val="004D1640"/>
    <w:rsid w:val="004D1903"/>
    <w:rsid w:val="004D19B4"/>
    <w:rsid w:val="004D19DE"/>
    <w:rsid w:val="004D1B55"/>
    <w:rsid w:val="004D1DA1"/>
    <w:rsid w:val="004D1EF4"/>
    <w:rsid w:val="004D20D1"/>
    <w:rsid w:val="004D20DD"/>
    <w:rsid w:val="004D2198"/>
    <w:rsid w:val="004D2315"/>
    <w:rsid w:val="004D2537"/>
    <w:rsid w:val="004D25ED"/>
    <w:rsid w:val="004D2614"/>
    <w:rsid w:val="004D277E"/>
    <w:rsid w:val="004D2EA5"/>
    <w:rsid w:val="004D3351"/>
    <w:rsid w:val="004D35D9"/>
    <w:rsid w:val="004D460F"/>
    <w:rsid w:val="004D49A2"/>
    <w:rsid w:val="004D4CC3"/>
    <w:rsid w:val="004D50CC"/>
    <w:rsid w:val="004D5161"/>
    <w:rsid w:val="004D57A0"/>
    <w:rsid w:val="004D5BFB"/>
    <w:rsid w:val="004D5C06"/>
    <w:rsid w:val="004D5D0E"/>
    <w:rsid w:val="004D5E46"/>
    <w:rsid w:val="004D6293"/>
    <w:rsid w:val="004D6513"/>
    <w:rsid w:val="004D66CA"/>
    <w:rsid w:val="004D6C13"/>
    <w:rsid w:val="004D6F7F"/>
    <w:rsid w:val="004D71CE"/>
    <w:rsid w:val="004D72D3"/>
    <w:rsid w:val="004D7378"/>
    <w:rsid w:val="004D73D4"/>
    <w:rsid w:val="004D7A55"/>
    <w:rsid w:val="004D7B15"/>
    <w:rsid w:val="004D7FCA"/>
    <w:rsid w:val="004E15FD"/>
    <w:rsid w:val="004E178C"/>
    <w:rsid w:val="004E17D5"/>
    <w:rsid w:val="004E1876"/>
    <w:rsid w:val="004E1CB0"/>
    <w:rsid w:val="004E1D60"/>
    <w:rsid w:val="004E1E3A"/>
    <w:rsid w:val="004E2205"/>
    <w:rsid w:val="004E2280"/>
    <w:rsid w:val="004E24B6"/>
    <w:rsid w:val="004E2655"/>
    <w:rsid w:val="004E294A"/>
    <w:rsid w:val="004E2A7F"/>
    <w:rsid w:val="004E2AD5"/>
    <w:rsid w:val="004E2BEC"/>
    <w:rsid w:val="004E344E"/>
    <w:rsid w:val="004E3615"/>
    <w:rsid w:val="004E36B4"/>
    <w:rsid w:val="004E3A48"/>
    <w:rsid w:val="004E3B1D"/>
    <w:rsid w:val="004E3C5B"/>
    <w:rsid w:val="004E421A"/>
    <w:rsid w:val="004E43EA"/>
    <w:rsid w:val="004E4A1D"/>
    <w:rsid w:val="004E4CA5"/>
    <w:rsid w:val="004E4E5F"/>
    <w:rsid w:val="004E4F03"/>
    <w:rsid w:val="004E52A7"/>
    <w:rsid w:val="004E53FC"/>
    <w:rsid w:val="004E545A"/>
    <w:rsid w:val="004E5DA8"/>
    <w:rsid w:val="004E5DF7"/>
    <w:rsid w:val="004E5FE8"/>
    <w:rsid w:val="004E6946"/>
    <w:rsid w:val="004E6953"/>
    <w:rsid w:val="004E697B"/>
    <w:rsid w:val="004E7358"/>
    <w:rsid w:val="004E737C"/>
    <w:rsid w:val="004E74C1"/>
    <w:rsid w:val="004E75AE"/>
    <w:rsid w:val="004E77E2"/>
    <w:rsid w:val="004E7A27"/>
    <w:rsid w:val="004E7EF2"/>
    <w:rsid w:val="004F0713"/>
    <w:rsid w:val="004F0900"/>
    <w:rsid w:val="004F12C9"/>
    <w:rsid w:val="004F12F2"/>
    <w:rsid w:val="004F1440"/>
    <w:rsid w:val="004F14AA"/>
    <w:rsid w:val="004F19CF"/>
    <w:rsid w:val="004F1AD8"/>
    <w:rsid w:val="004F1D5B"/>
    <w:rsid w:val="004F1DF3"/>
    <w:rsid w:val="004F1E7D"/>
    <w:rsid w:val="004F2418"/>
    <w:rsid w:val="004F297E"/>
    <w:rsid w:val="004F29F8"/>
    <w:rsid w:val="004F2C2F"/>
    <w:rsid w:val="004F2CC4"/>
    <w:rsid w:val="004F331A"/>
    <w:rsid w:val="004F3497"/>
    <w:rsid w:val="004F35B6"/>
    <w:rsid w:val="004F37BD"/>
    <w:rsid w:val="004F381C"/>
    <w:rsid w:val="004F3B0A"/>
    <w:rsid w:val="004F3F35"/>
    <w:rsid w:val="004F400A"/>
    <w:rsid w:val="004F46E7"/>
    <w:rsid w:val="004F47DD"/>
    <w:rsid w:val="004F4BBB"/>
    <w:rsid w:val="004F4F28"/>
    <w:rsid w:val="004F5240"/>
    <w:rsid w:val="004F526D"/>
    <w:rsid w:val="004F554C"/>
    <w:rsid w:val="004F572D"/>
    <w:rsid w:val="004F5B7C"/>
    <w:rsid w:val="004F5EA7"/>
    <w:rsid w:val="004F60BE"/>
    <w:rsid w:val="004F632F"/>
    <w:rsid w:val="004F6683"/>
    <w:rsid w:val="004F670E"/>
    <w:rsid w:val="004F6779"/>
    <w:rsid w:val="004F6BE9"/>
    <w:rsid w:val="004F6E86"/>
    <w:rsid w:val="004F730F"/>
    <w:rsid w:val="004F73EE"/>
    <w:rsid w:val="004F753E"/>
    <w:rsid w:val="004F7980"/>
    <w:rsid w:val="004F79CF"/>
    <w:rsid w:val="004F7A75"/>
    <w:rsid w:val="0050007C"/>
    <w:rsid w:val="00500623"/>
    <w:rsid w:val="00500772"/>
    <w:rsid w:val="00500939"/>
    <w:rsid w:val="00500946"/>
    <w:rsid w:val="00500B72"/>
    <w:rsid w:val="00500B9E"/>
    <w:rsid w:val="00500DBF"/>
    <w:rsid w:val="00500E97"/>
    <w:rsid w:val="00500F2F"/>
    <w:rsid w:val="00501118"/>
    <w:rsid w:val="00501350"/>
    <w:rsid w:val="0050136D"/>
    <w:rsid w:val="00501455"/>
    <w:rsid w:val="00501506"/>
    <w:rsid w:val="00501FAE"/>
    <w:rsid w:val="00502382"/>
    <w:rsid w:val="00502873"/>
    <w:rsid w:val="00502894"/>
    <w:rsid w:val="005028AB"/>
    <w:rsid w:val="0050297A"/>
    <w:rsid w:val="005029A1"/>
    <w:rsid w:val="00502A77"/>
    <w:rsid w:val="005033DE"/>
    <w:rsid w:val="005033EC"/>
    <w:rsid w:val="0050341E"/>
    <w:rsid w:val="005039CB"/>
    <w:rsid w:val="005040D7"/>
    <w:rsid w:val="0050418C"/>
    <w:rsid w:val="005042E2"/>
    <w:rsid w:val="00504402"/>
    <w:rsid w:val="00504B1D"/>
    <w:rsid w:val="00504C5A"/>
    <w:rsid w:val="00504F93"/>
    <w:rsid w:val="00505393"/>
    <w:rsid w:val="00505437"/>
    <w:rsid w:val="0050558F"/>
    <w:rsid w:val="00505952"/>
    <w:rsid w:val="00505AE7"/>
    <w:rsid w:val="00505C56"/>
    <w:rsid w:val="00505C66"/>
    <w:rsid w:val="00505D12"/>
    <w:rsid w:val="00506286"/>
    <w:rsid w:val="005063E9"/>
    <w:rsid w:val="00506429"/>
    <w:rsid w:val="005067EF"/>
    <w:rsid w:val="00506957"/>
    <w:rsid w:val="0050699D"/>
    <w:rsid w:val="00506CC3"/>
    <w:rsid w:val="00507018"/>
    <w:rsid w:val="0050798B"/>
    <w:rsid w:val="00507D54"/>
    <w:rsid w:val="00510097"/>
    <w:rsid w:val="005100C8"/>
    <w:rsid w:val="0051030D"/>
    <w:rsid w:val="005104B0"/>
    <w:rsid w:val="00510643"/>
    <w:rsid w:val="00510813"/>
    <w:rsid w:val="005108CF"/>
    <w:rsid w:val="00510B03"/>
    <w:rsid w:val="00510CAE"/>
    <w:rsid w:val="0051106D"/>
    <w:rsid w:val="005110D5"/>
    <w:rsid w:val="00511312"/>
    <w:rsid w:val="00511990"/>
    <w:rsid w:val="00511B9B"/>
    <w:rsid w:val="00511DE0"/>
    <w:rsid w:val="0051260C"/>
    <w:rsid w:val="00512902"/>
    <w:rsid w:val="00512935"/>
    <w:rsid w:val="0051295D"/>
    <w:rsid w:val="00512C1D"/>
    <w:rsid w:val="00512CED"/>
    <w:rsid w:val="00512E9E"/>
    <w:rsid w:val="005130F8"/>
    <w:rsid w:val="005131A8"/>
    <w:rsid w:val="00513693"/>
    <w:rsid w:val="00514060"/>
    <w:rsid w:val="00514367"/>
    <w:rsid w:val="005143EA"/>
    <w:rsid w:val="00514870"/>
    <w:rsid w:val="0051499A"/>
    <w:rsid w:val="00514B9B"/>
    <w:rsid w:val="00514C39"/>
    <w:rsid w:val="00515043"/>
    <w:rsid w:val="005152C1"/>
    <w:rsid w:val="00515BDB"/>
    <w:rsid w:val="00515BEB"/>
    <w:rsid w:val="00515CCD"/>
    <w:rsid w:val="00515D9F"/>
    <w:rsid w:val="00515E11"/>
    <w:rsid w:val="00515F5A"/>
    <w:rsid w:val="00516069"/>
    <w:rsid w:val="005164B8"/>
    <w:rsid w:val="00516DD9"/>
    <w:rsid w:val="005170A2"/>
    <w:rsid w:val="005177BD"/>
    <w:rsid w:val="00517D44"/>
    <w:rsid w:val="00517DA5"/>
    <w:rsid w:val="00517DC7"/>
    <w:rsid w:val="00517E83"/>
    <w:rsid w:val="00517F02"/>
    <w:rsid w:val="00517F46"/>
    <w:rsid w:val="005202ED"/>
    <w:rsid w:val="00520517"/>
    <w:rsid w:val="005207F8"/>
    <w:rsid w:val="00520BDA"/>
    <w:rsid w:val="0052134B"/>
    <w:rsid w:val="00521A8F"/>
    <w:rsid w:val="00521F79"/>
    <w:rsid w:val="00522266"/>
    <w:rsid w:val="00522927"/>
    <w:rsid w:val="00522D7F"/>
    <w:rsid w:val="00522E7E"/>
    <w:rsid w:val="00522FB4"/>
    <w:rsid w:val="00523188"/>
    <w:rsid w:val="005232DA"/>
    <w:rsid w:val="0052347F"/>
    <w:rsid w:val="0052348D"/>
    <w:rsid w:val="005234AD"/>
    <w:rsid w:val="00523D92"/>
    <w:rsid w:val="00523ED4"/>
    <w:rsid w:val="00523EF1"/>
    <w:rsid w:val="00524303"/>
    <w:rsid w:val="00524694"/>
    <w:rsid w:val="00524C3E"/>
    <w:rsid w:val="00525341"/>
    <w:rsid w:val="005253E4"/>
    <w:rsid w:val="005258A2"/>
    <w:rsid w:val="00525BF5"/>
    <w:rsid w:val="00525FAF"/>
    <w:rsid w:val="0052608B"/>
    <w:rsid w:val="00526705"/>
    <w:rsid w:val="00526A28"/>
    <w:rsid w:val="00526BF7"/>
    <w:rsid w:val="00526C6D"/>
    <w:rsid w:val="00526F42"/>
    <w:rsid w:val="00527308"/>
    <w:rsid w:val="00527326"/>
    <w:rsid w:val="005276F0"/>
    <w:rsid w:val="00527B22"/>
    <w:rsid w:val="00527C32"/>
    <w:rsid w:val="00527C67"/>
    <w:rsid w:val="00527DBF"/>
    <w:rsid w:val="00527F63"/>
    <w:rsid w:val="005301E4"/>
    <w:rsid w:val="005307DC"/>
    <w:rsid w:val="00530B72"/>
    <w:rsid w:val="00530F55"/>
    <w:rsid w:val="00531005"/>
    <w:rsid w:val="005312CB"/>
    <w:rsid w:val="00531359"/>
    <w:rsid w:val="005316C4"/>
    <w:rsid w:val="0053179D"/>
    <w:rsid w:val="0053180C"/>
    <w:rsid w:val="00531C3B"/>
    <w:rsid w:val="00531DF2"/>
    <w:rsid w:val="00531EDE"/>
    <w:rsid w:val="00532117"/>
    <w:rsid w:val="0053250E"/>
    <w:rsid w:val="005327F5"/>
    <w:rsid w:val="00532EDC"/>
    <w:rsid w:val="00532F23"/>
    <w:rsid w:val="005332C0"/>
    <w:rsid w:val="0053379B"/>
    <w:rsid w:val="005339CE"/>
    <w:rsid w:val="00534077"/>
    <w:rsid w:val="00534087"/>
    <w:rsid w:val="00534257"/>
    <w:rsid w:val="005342CB"/>
    <w:rsid w:val="005344D5"/>
    <w:rsid w:val="0053465F"/>
    <w:rsid w:val="00534AE5"/>
    <w:rsid w:val="00534C5B"/>
    <w:rsid w:val="00534C9E"/>
    <w:rsid w:val="00534E49"/>
    <w:rsid w:val="00534EB9"/>
    <w:rsid w:val="005352BE"/>
    <w:rsid w:val="00535791"/>
    <w:rsid w:val="00535844"/>
    <w:rsid w:val="0053599D"/>
    <w:rsid w:val="00535EF0"/>
    <w:rsid w:val="00536364"/>
    <w:rsid w:val="00536561"/>
    <w:rsid w:val="00536749"/>
    <w:rsid w:val="00536AD6"/>
    <w:rsid w:val="005373DD"/>
    <w:rsid w:val="005376CD"/>
    <w:rsid w:val="00537E2D"/>
    <w:rsid w:val="00537F45"/>
    <w:rsid w:val="005401AE"/>
    <w:rsid w:val="00540337"/>
    <w:rsid w:val="0054052D"/>
    <w:rsid w:val="0054053F"/>
    <w:rsid w:val="00540812"/>
    <w:rsid w:val="00540A62"/>
    <w:rsid w:val="00540AF6"/>
    <w:rsid w:val="00540DA9"/>
    <w:rsid w:val="00540F04"/>
    <w:rsid w:val="0054100B"/>
    <w:rsid w:val="005412CC"/>
    <w:rsid w:val="005412E5"/>
    <w:rsid w:val="005418E4"/>
    <w:rsid w:val="00541AD7"/>
    <w:rsid w:val="00541F16"/>
    <w:rsid w:val="005422A0"/>
    <w:rsid w:val="00542700"/>
    <w:rsid w:val="00542830"/>
    <w:rsid w:val="005428D0"/>
    <w:rsid w:val="00542E07"/>
    <w:rsid w:val="00542E9C"/>
    <w:rsid w:val="00542F37"/>
    <w:rsid w:val="00543643"/>
    <w:rsid w:val="005438AA"/>
    <w:rsid w:val="00543B3F"/>
    <w:rsid w:val="00544174"/>
    <w:rsid w:val="00544686"/>
    <w:rsid w:val="00544785"/>
    <w:rsid w:val="005447F6"/>
    <w:rsid w:val="00544810"/>
    <w:rsid w:val="00544980"/>
    <w:rsid w:val="00544A20"/>
    <w:rsid w:val="00544AC4"/>
    <w:rsid w:val="00544C3B"/>
    <w:rsid w:val="00544C8D"/>
    <w:rsid w:val="0054510E"/>
    <w:rsid w:val="00545370"/>
    <w:rsid w:val="00545424"/>
    <w:rsid w:val="005454D5"/>
    <w:rsid w:val="005456C0"/>
    <w:rsid w:val="0054598B"/>
    <w:rsid w:val="00545E42"/>
    <w:rsid w:val="00545E5D"/>
    <w:rsid w:val="005460F4"/>
    <w:rsid w:val="005461E0"/>
    <w:rsid w:val="00546925"/>
    <w:rsid w:val="00546A2B"/>
    <w:rsid w:val="00546E7F"/>
    <w:rsid w:val="00547087"/>
    <w:rsid w:val="005470AB"/>
    <w:rsid w:val="00547ED5"/>
    <w:rsid w:val="00550471"/>
    <w:rsid w:val="00550E40"/>
    <w:rsid w:val="005510CA"/>
    <w:rsid w:val="00551465"/>
    <w:rsid w:val="00551E1B"/>
    <w:rsid w:val="0055216B"/>
    <w:rsid w:val="005521A1"/>
    <w:rsid w:val="005521CF"/>
    <w:rsid w:val="005523CF"/>
    <w:rsid w:val="0055240A"/>
    <w:rsid w:val="00552D6A"/>
    <w:rsid w:val="005532AE"/>
    <w:rsid w:val="005534EF"/>
    <w:rsid w:val="005535C7"/>
    <w:rsid w:val="00554303"/>
    <w:rsid w:val="00554A0C"/>
    <w:rsid w:val="00554A7B"/>
    <w:rsid w:val="00555058"/>
    <w:rsid w:val="0055572C"/>
    <w:rsid w:val="00555915"/>
    <w:rsid w:val="0055594C"/>
    <w:rsid w:val="00555BE2"/>
    <w:rsid w:val="00555D2E"/>
    <w:rsid w:val="00555D99"/>
    <w:rsid w:val="00555DA5"/>
    <w:rsid w:val="00555E63"/>
    <w:rsid w:val="00555E8D"/>
    <w:rsid w:val="00555EA4"/>
    <w:rsid w:val="00555F38"/>
    <w:rsid w:val="005567A5"/>
    <w:rsid w:val="0055713D"/>
    <w:rsid w:val="005571D0"/>
    <w:rsid w:val="005572F2"/>
    <w:rsid w:val="00557324"/>
    <w:rsid w:val="00557355"/>
    <w:rsid w:val="005575A8"/>
    <w:rsid w:val="005575F8"/>
    <w:rsid w:val="00557860"/>
    <w:rsid w:val="005600E1"/>
    <w:rsid w:val="005602C2"/>
    <w:rsid w:val="0056106A"/>
    <w:rsid w:val="005610A3"/>
    <w:rsid w:val="0056206E"/>
    <w:rsid w:val="005623C3"/>
    <w:rsid w:val="00562DBD"/>
    <w:rsid w:val="00562DFD"/>
    <w:rsid w:val="00563133"/>
    <w:rsid w:val="005631C9"/>
    <w:rsid w:val="0056353B"/>
    <w:rsid w:val="00563B2E"/>
    <w:rsid w:val="00564001"/>
    <w:rsid w:val="00564388"/>
    <w:rsid w:val="00564680"/>
    <w:rsid w:val="005648D4"/>
    <w:rsid w:val="005649C1"/>
    <w:rsid w:val="00564EC2"/>
    <w:rsid w:val="00564F69"/>
    <w:rsid w:val="0056513C"/>
    <w:rsid w:val="00565683"/>
    <w:rsid w:val="005656B2"/>
    <w:rsid w:val="00565C75"/>
    <w:rsid w:val="0056613D"/>
    <w:rsid w:val="005662B7"/>
    <w:rsid w:val="00566A40"/>
    <w:rsid w:val="00566B31"/>
    <w:rsid w:val="00566B8C"/>
    <w:rsid w:val="00566BAD"/>
    <w:rsid w:val="00566BD9"/>
    <w:rsid w:val="00567578"/>
    <w:rsid w:val="00567695"/>
    <w:rsid w:val="00567737"/>
    <w:rsid w:val="005677AC"/>
    <w:rsid w:val="0057041E"/>
    <w:rsid w:val="00570CA8"/>
    <w:rsid w:val="00570E73"/>
    <w:rsid w:val="00571115"/>
    <w:rsid w:val="00571158"/>
    <w:rsid w:val="005715CF"/>
    <w:rsid w:val="005715D3"/>
    <w:rsid w:val="00571DD8"/>
    <w:rsid w:val="0057205B"/>
    <w:rsid w:val="0057208B"/>
    <w:rsid w:val="005720AE"/>
    <w:rsid w:val="0057237F"/>
    <w:rsid w:val="00572437"/>
    <w:rsid w:val="005729FA"/>
    <w:rsid w:val="00572D5C"/>
    <w:rsid w:val="00572E14"/>
    <w:rsid w:val="00573286"/>
    <w:rsid w:val="00573459"/>
    <w:rsid w:val="00573898"/>
    <w:rsid w:val="00573A5C"/>
    <w:rsid w:val="00573B6B"/>
    <w:rsid w:val="00573E2B"/>
    <w:rsid w:val="00573E48"/>
    <w:rsid w:val="00574664"/>
    <w:rsid w:val="0057470C"/>
    <w:rsid w:val="00574BC0"/>
    <w:rsid w:val="00574DF0"/>
    <w:rsid w:val="00575464"/>
    <w:rsid w:val="005754C9"/>
    <w:rsid w:val="00575797"/>
    <w:rsid w:val="005758D3"/>
    <w:rsid w:val="00575BF2"/>
    <w:rsid w:val="00575F65"/>
    <w:rsid w:val="005764C9"/>
    <w:rsid w:val="005764D1"/>
    <w:rsid w:val="0057686A"/>
    <w:rsid w:val="005769EB"/>
    <w:rsid w:val="00576A61"/>
    <w:rsid w:val="005771E8"/>
    <w:rsid w:val="00577861"/>
    <w:rsid w:val="0057789A"/>
    <w:rsid w:val="00577BA3"/>
    <w:rsid w:val="00577BBA"/>
    <w:rsid w:val="00580044"/>
    <w:rsid w:val="00580BF0"/>
    <w:rsid w:val="0058114B"/>
    <w:rsid w:val="00581237"/>
    <w:rsid w:val="00581275"/>
    <w:rsid w:val="0058134C"/>
    <w:rsid w:val="0058136F"/>
    <w:rsid w:val="00581610"/>
    <w:rsid w:val="00581928"/>
    <w:rsid w:val="00581B93"/>
    <w:rsid w:val="00581BF5"/>
    <w:rsid w:val="00581C59"/>
    <w:rsid w:val="00581C6A"/>
    <w:rsid w:val="0058224E"/>
    <w:rsid w:val="0058286A"/>
    <w:rsid w:val="005829F5"/>
    <w:rsid w:val="00582BDA"/>
    <w:rsid w:val="00582C24"/>
    <w:rsid w:val="00582CB9"/>
    <w:rsid w:val="00582D01"/>
    <w:rsid w:val="005832E5"/>
    <w:rsid w:val="005839E0"/>
    <w:rsid w:val="0058420C"/>
    <w:rsid w:val="00584825"/>
    <w:rsid w:val="00584ED3"/>
    <w:rsid w:val="00584F2D"/>
    <w:rsid w:val="00585018"/>
    <w:rsid w:val="005850CA"/>
    <w:rsid w:val="005854BA"/>
    <w:rsid w:val="005856DC"/>
    <w:rsid w:val="00585828"/>
    <w:rsid w:val="00585ED6"/>
    <w:rsid w:val="005861D3"/>
    <w:rsid w:val="0058642A"/>
    <w:rsid w:val="0058659F"/>
    <w:rsid w:val="00586672"/>
    <w:rsid w:val="0058667A"/>
    <w:rsid w:val="0058698C"/>
    <w:rsid w:val="00586BF7"/>
    <w:rsid w:val="00586BFA"/>
    <w:rsid w:val="00586D2A"/>
    <w:rsid w:val="0058740F"/>
    <w:rsid w:val="005879E1"/>
    <w:rsid w:val="00587DE3"/>
    <w:rsid w:val="0059008F"/>
    <w:rsid w:val="0059011A"/>
    <w:rsid w:val="005902CD"/>
    <w:rsid w:val="0059098F"/>
    <w:rsid w:val="00590BF5"/>
    <w:rsid w:val="00590FB3"/>
    <w:rsid w:val="0059129A"/>
    <w:rsid w:val="0059171A"/>
    <w:rsid w:val="005917F8"/>
    <w:rsid w:val="00591849"/>
    <w:rsid w:val="00591895"/>
    <w:rsid w:val="00591C23"/>
    <w:rsid w:val="00591ED8"/>
    <w:rsid w:val="00591F4D"/>
    <w:rsid w:val="0059252E"/>
    <w:rsid w:val="00592654"/>
    <w:rsid w:val="00592BF5"/>
    <w:rsid w:val="00593065"/>
    <w:rsid w:val="00593967"/>
    <w:rsid w:val="00593FCE"/>
    <w:rsid w:val="005942CB"/>
    <w:rsid w:val="00594B94"/>
    <w:rsid w:val="00594BDD"/>
    <w:rsid w:val="00594CF4"/>
    <w:rsid w:val="00594D34"/>
    <w:rsid w:val="00594D77"/>
    <w:rsid w:val="00594D8B"/>
    <w:rsid w:val="005950AC"/>
    <w:rsid w:val="005951FC"/>
    <w:rsid w:val="005959EF"/>
    <w:rsid w:val="00595B0A"/>
    <w:rsid w:val="00595E37"/>
    <w:rsid w:val="00595E50"/>
    <w:rsid w:val="0059634F"/>
    <w:rsid w:val="005969E4"/>
    <w:rsid w:val="00596A12"/>
    <w:rsid w:val="00596BBC"/>
    <w:rsid w:val="00596FE1"/>
    <w:rsid w:val="00597293"/>
    <w:rsid w:val="0059744C"/>
    <w:rsid w:val="005974CF"/>
    <w:rsid w:val="00597BEA"/>
    <w:rsid w:val="005A008A"/>
    <w:rsid w:val="005A06B7"/>
    <w:rsid w:val="005A0907"/>
    <w:rsid w:val="005A0B06"/>
    <w:rsid w:val="005A0EBE"/>
    <w:rsid w:val="005A0F76"/>
    <w:rsid w:val="005A0F97"/>
    <w:rsid w:val="005A132A"/>
    <w:rsid w:val="005A1759"/>
    <w:rsid w:val="005A1766"/>
    <w:rsid w:val="005A17A7"/>
    <w:rsid w:val="005A1966"/>
    <w:rsid w:val="005A1C41"/>
    <w:rsid w:val="005A21CC"/>
    <w:rsid w:val="005A282F"/>
    <w:rsid w:val="005A36F3"/>
    <w:rsid w:val="005A39F0"/>
    <w:rsid w:val="005A46A0"/>
    <w:rsid w:val="005A4AE9"/>
    <w:rsid w:val="005A4CF4"/>
    <w:rsid w:val="005A4FEB"/>
    <w:rsid w:val="005A5063"/>
    <w:rsid w:val="005A5DCF"/>
    <w:rsid w:val="005A6526"/>
    <w:rsid w:val="005A6569"/>
    <w:rsid w:val="005A6878"/>
    <w:rsid w:val="005A68A7"/>
    <w:rsid w:val="005A6A30"/>
    <w:rsid w:val="005A71F6"/>
    <w:rsid w:val="005A739C"/>
    <w:rsid w:val="005A74BB"/>
    <w:rsid w:val="005A75DB"/>
    <w:rsid w:val="005A789F"/>
    <w:rsid w:val="005A78D5"/>
    <w:rsid w:val="005A7C13"/>
    <w:rsid w:val="005A7CB5"/>
    <w:rsid w:val="005A7F1F"/>
    <w:rsid w:val="005A7F4B"/>
    <w:rsid w:val="005B0377"/>
    <w:rsid w:val="005B071F"/>
    <w:rsid w:val="005B07DA"/>
    <w:rsid w:val="005B0CEB"/>
    <w:rsid w:val="005B10A9"/>
    <w:rsid w:val="005B1170"/>
    <w:rsid w:val="005B1265"/>
    <w:rsid w:val="005B127C"/>
    <w:rsid w:val="005B136D"/>
    <w:rsid w:val="005B14E7"/>
    <w:rsid w:val="005B153A"/>
    <w:rsid w:val="005B16A4"/>
    <w:rsid w:val="005B173F"/>
    <w:rsid w:val="005B1A70"/>
    <w:rsid w:val="005B1E0F"/>
    <w:rsid w:val="005B225E"/>
    <w:rsid w:val="005B2282"/>
    <w:rsid w:val="005B235C"/>
    <w:rsid w:val="005B2B9D"/>
    <w:rsid w:val="005B2F5E"/>
    <w:rsid w:val="005B3389"/>
    <w:rsid w:val="005B353F"/>
    <w:rsid w:val="005B366F"/>
    <w:rsid w:val="005B3829"/>
    <w:rsid w:val="005B38FB"/>
    <w:rsid w:val="005B39E4"/>
    <w:rsid w:val="005B3CB9"/>
    <w:rsid w:val="005B3D65"/>
    <w:rsid w:val="005B3DF6"/>
    <w:rsid w:val="005B40BF"/>
    <w:rsid w:val="005B40ED"/>
    <w:rsid w:val="005B40F8"/>
    <w:rsid w:val="005B4388"/>
    <w:rsid w:val="005B43D0"/>
    <w:rsid w:val="005B489C"/>
    <w:rsid w:val="005B49F2"/>
    <w:rsid w:val="005B4DF5"/>
    <w:rsid w:val="005B5032"/>
    <w:rsid w:val="005B50C4"/>
    <w:rsid w:val="005B5294"/>
    <w:rsid w:val="005B5745"/>
    <w:rsid w:val="005B59FB"/>
    <w:rsid w:val="005B5D48"/>
    <w:rsid w:val="005B5E62"/>
    <w:rsid w:val="005B6115"/>
    <w:rsid w:val="005B63BD"/>
    <w:rsid w:val="005B63EC"/>
    <w:rsid w:val="005B645D"/>
    <w:rsid w:val="005B68D4"/>
    <w:rsid w:val="005B6DBF"/>
    <w:rsid w:val="005B72A8"/>
    <w:rsid w:val="005C03FD"/>
    <w:rsid w:val="005C06C1"/>
    <w:rsid w:val="005C09DA"/>
    <w:rsid w:val="005C0C63"/>
    <w:rsid w:val="005C13D6"/>
    <w:rsid w:val="005C173D"/>
    <w:rsid w:val="005C1A87"/>
    <w:rsid w:val="005C1DEC"/>
    <w:rsid w:val="005C283F"/>
    <w:rsid w:val="005C28AF"/>
    <w:rsid w:val="005C29D9"/>
    <w:rsid w:val="005C2B20"/>
    <w:rsid w:val="005C3030"/>
    <w:rsid w:val="005C30A3"/>
    <w:rsid w:val="005C3134"/>
    <w:rsid w:val="005C3A05"/>
    <w:rsid w:val="005C3BA4"/>
    <w:rsid w:val="005C4339"/>
    <w:rsid w:val="005C44CB"/>
    <w:rsid w:val="005C4C07"/>
    <w:rsid w:val="005C51D5"/>
    <w:rsid w:val="005C5B7A"/>
    <w:rsid w:val="005C5DB8"/>
    <w:rsid w:val="005C5EEA"/>
    <w:rsid w:val="005C6250"/>
    <w:rsid w:val="005C62E3"/>
    <w:rsid w:val="005C660D"/>
    <w:rsid w:val="005C669C"/>
    <w:rsid w:val="005C6859"/>
    <w:rsid w:val="005C6F56"/>
    <w:rsid w:val="005C703A"/>
    <w:rsid w:val="005C75FE"/>
    <w:rsid w:val="005C7C1B"/>
    <w:rsid w:val="005C7C38"/>
    <w:rsid w:val="005C7CDD"/>
    <w:rsid w:val="005D02E8"/>
    <w:rsid w:val="005D05DE"/>
    <w:rsid w:val="005D0A9E"/>
    <w:rsid w:val="005D0E55"/>
    <w:rsid w:val="005D10FB"/>
    <w:rsid w:val="005D1749"/>
    <w:rsid w:val="005D18EF"/>
    <w:rsid w:val="005D1AD4"/>
    <w:rsid w:val="005D1E17"/>
    <w:rsid w:val="005D1F04"/>
    <w:rsid w:val="005D219B"/>
    <w:rsid w:val="005D2879"/>
    <w:rsid w:val="005D2967"/>
    <w:rsid w:val="005D2E92"/>
    <w:rsid w:val="005D36AB"/>
    <w:rsid w:val="005D380B"/>
    <w:rsid w:val="005D39A7"/>
    <w:rsid w:val="005D3D43"/>
    <w:rsid w:val="005D44AD"/>
    <w:rsid w:val="005D4C6E"/>
    <w:rsid w:val="005D511C"/>
    <w:rsid w:val="005D5A36"/>
    <w:rsid w:val="005D5DF0"/>
    <w:rsid w:val="005D5FF1"/>
    <w:rsid w:val="005D656F"/>
    <w:rsid w:val="005D6751"/>
    <w:rsid w:val="005D69D6"/>
    <w:rsid w:val="005D6B7F"/>
    <w:rsid w:val="005D6C54"/>
    <w:rsid w:val="005D6C75"/>
    <w:rsid w:val="005D727F"/>
    <w:rsid w:val="005D784E"/>
    <w:rsid w:val="005D7864"/>
    <w:rsid w:val="005E055E"/>
    <w:rsid w:val="005E0F43"/>
    <w:rsid w:val="005E11E8"/>
    <w:rsid w:val="005E129D"/>
    <w:rsid w:val="005E18A7"/>
    <w:rsid w:val="005E1A12"/>
    <w:rsid w:val="005E2CD6"/>
    <w:rsid w:val="005E2DBA"/>
    <w:rsid w:val="005E2DE4"/>
    <w:rsid w:val="005E3010"/>
    <w:rsid w:val="005E31AC"/>
    <w:rsid w:val="005E354F"/>
    <w:rsid w:val="005E35B3"/>
    <w:rsid w:val="005E3D74"/>
    <w:rsid w:val="005E3E02"/>
    <w:rsid w:val="005E4293"/>
    <w:rsid w:val="005E42E7"/>
    <w:rsid w:val="005E4335"/>
    <w:rsid w:val="005E4821"/>
    <w:rsid w:val="005E4AFF"/>
    <w:rsid w:val="005E4DAE"/>
    <w:rsid w:val="005E4ED6"/>
    <w:rsid w:val="005E4FC3"/>
    <w:rsid w:val="005E58A1"/>
    <w:rsid w:val="005E5B1C"/>
    <w:rsid w:val="005E5CB6"/>
    <w:rsid w:val="005E5D07"/>
    <w:rsid w:val="005E5D7C"/>
    <w:rsid w:val="005E61FE"/>
    <w:rsid w:val="005E64CF"/>
    <w:rsid w:val="005E75AE"/>
    <w:rsid w:val="005E7AF1"/>
    <w:rsid w:val="005E7DDA"/>
    <w:rsid w:val="005E7DEF"/>
    <w:rsid w:val="005F00F7"/>
    <w:rsid w:val="005F03DE"/>
    <w:rsid w:val="005F04DE"/>
    <w:rsid w:val="005F05B9"/>
    <w:rsid w:val="005F066D"/>
    <w:rsid w:val="005F06C7"/>
    <w:rsid w:val="005F0F3A"/>
    <w:rsid w:val="005F1277"/>
    <w:rsid w:val="005F127B"/>
    <w:rsid w:val="005F14AA"/>
    <w:rsid w:val="005F16A1"/>
    <w:rsid w:val="005F1B88"/>
    <w:rsid w:val="005F1C3F"/>
    <w:rsid w:val="005F1E4C"/>
    <w:rsid w:val="005F1EE3"/>
    <w:rsid w:val="005F2213"/>
    <w:rsid w:val="005F254E"/>
    <w:rsid w:val="005F2558"/>
    <w:rsid w:val="005F2820"/>
    <w:rsid w:val="005F2929"/>
    <w:rsid w:val="005F2C4D"/>
    <w:rsid w:val="005F30F6"/>
    <w:rsid w:val="005F37EB"/>
    <w:rsid w:val="005F38F6"/>
    <w:rsid w:val="005F3DEB"/>
    <w:rsid w:val="005F3F56"/>
    <w:rsid w:val="005F401C"/>
    <w:rsid w:val="005F4220"/>
    <w:rsid w:val="005F4414"/>
    <w:rsid w:val="005F4A0F"/>
    <w:rsid w:val="005F4EC0"/>
    <w:rsid w:val="005F503C"/>
    <w:rsid w:val="005F52E3"/>
    <w:rsid w:val="005F5557"/>
    <w:rsid w:val="005F57A4"/>
    <w:rsid w:val="005F59E8"/>
    <w:rsid w:val="005F5B8C"/>
    <w:rsid w:val="005F5E18"/>
    <w:rsid w:val="005F6383"/>
    <w:rsid w:val="005F66C2"/>
    <w:rsid w:val="005F6C57"/>
    <w:rsid w:val="005F6E1F"/>
    <w:rsid w:val="005F6F6D"/>
    <w:rsid w:val="005F6FFA"/>
    <w:rsid w:val="005F7164"/>
    <w:rsid w:val="005F7BC7"/>
    <w:rsid w:val="005F7D8B"/>
    <w:rsid w:val="00600230"/>
    <w:rsid w:val="00600358"/>
    <w:rsid w:val="00600719"/>
    <w:rsid w:val="00600830"/>
    <w:rsid w:val="006008EF"/>
    <w:rsid w:val="00600C49"/>
    <w:rsid w:val="00600FEE"/>
    <w:rsid w:val="00601364"/>
    <w:rsid w:val="0060153C"/>
    <w:rsid w:val="00601607"/>
    <w:rsid w:val="00601CE2"/>
    <w:rsid w:val="00601D4A"/>
    <w:rsid w:val="00601E0A"/>
    <w:rsid w:val="00602AC4"/>
    <w:rsid w:val="00602ACA"/>
    <w:rsid w:val="00602FEB"/>
    <w:rsid w:val="0060318B"/>
    <w:rsid w:val="00603938"/>
    <w:rsid w:val="0060398D"/>
    <w:rsid w:val="00603C7F"/>
    <w:rsid w:val="00603EB0"/>
    <w:rsid w:val="006040C4"/>
    <w:rsid w:val="00604435"/>
    <w:rsid w:val="006046FC"/>
    <w:rsid w:val="0060485E"/>
    <w:rsid w:val="00604BB3"/>
    <w:rsid w:val="00604DC4"/>
    <w:rsid w:val="00604FF9"/>
    <w:rsid w:val="00605175"/>
    <w:rsid w:val="0060525E"/>
    <w:rsid w:val="00605388"/>
    <w:rsid w:val="006054F3"/>
    <w:rsid w:val="00605591"/>
    <w:rsid w:val="006060AD"/>
    <w:rsid w:val="00606510"/>
    <w:rsid w:val="00607914"/>
    <w:rsid w:val="00607A67"/>
    <w:rsid w:val="00607B5C"/>
    <w:rsid w:val="0061052A"/>
    <w:rsid w:val="00610973"/>
    <w:rsid w:val="00610AC3"/>
    <w:rsid w:val="00610B49"/>
    <w:rsid w:val="00610E4A"/>
    <w:rsid w:val="00611610"/>
    <w:rsid w:val="0061167C"/>
    <w:rsid w:val="00612248"/>
    <w:rsid w:val="00612631"/>
    <w:rsid w:val="0061264D"/>
    <w:rsid w:val="00612C48"/>
    <w:rsid w:val="00612EA2"/>
    <w:rsid w:val="00612ED5"/>
    <w:rsid w:val="00613396"/>
    <w:rsid w:val="0061414D"/>
    <w:rsid w:val="006144CC"/>
    <w:rsid w:val="00614980"/>
    <w:rsid w:val="00614BD7"/>
    <w:rsid w:val="00615133"/>
    <w:rsid w:val="00615365"/>
    <w:rsid w:val="0061565B"/>
    <w:rsid w:val="006157D3"/>
    <w:rsid w:val="00615D17"/>
    <w:rsid w:val="00615EB9"/>
    <w:rsid w:val="00615ED7"/>
    <w:rsid w:val="00615FD6"/>
    <w:rsid w:val="00616053"/>
    <w:rsid w:val="0061606A"/>
    <w:rsid w:val="00616386"/>
    <w:rsid w:val="00616449"/>
    <w:rsid w:val="00616BB5"/>
    <w:rsid w:val="00616FDD"/>
    <w:rsid w:val="006171EA"/>
    <w:rsid w:val="0061723E"/>
    <w:rsid w:val="006172CE"/>
    <w:rsid w:val="00617731"/>
    <w:rsid w:val="00617A41"/>
    <w:rsid w:val="00617ACC"/>
    <w:rsid w:val="00617AD5"/>
    <w:rsid w:val="00617C9D"/>
    <w:rsid w:val="00617CC3"/>
    <w:rsid w:val="00617DA1"/>
    <w:rsid w:val="00617F58"/>
    <w:rsid w:val="0062023C"/>
    <w:rsid w:val="00620D78"/>
    <w:rsid w:val="00621182"/>
    <w:rsid w:val="00621193"/>
    <w:rsid w:val="0062138F"/>
    <w:rsid w:val="006218AE"/>
    <w:rsid w:val="00621B37"/>
    <w:rsid w:val="00621CBB"/>
    <w:rsid w:val="00621DF5"/>
    <w:rsid w:val="00621E99"/>
    <w:rsid w:val="00621FD2"/>
    <w:rsid w:val="00622135"/>
    <w:rsid w:val="00622684"/>
    <w:rsid w:val="006226EB"/>
    <w:rsid w:val="00622AB7"/>
    <w:rsid w:val="00622B18"/>
    <w:rsid w:val="00622F47"/>
    <w:rsid w:val="00622FD0"/>
    <w:rsid w:val="006236D2"/>
    <w:rsid w:val="006237C0"/>
    <w:rsid w:val="00623BC1"/>
    <w:rsid w:val="00623E49"/>
    <w:rsid w:val="00623E59"/>
    <w:rsid w:val="00623FC4"/>
    <w:rsid w:val="00624046"/>
    <w:rsid w:val="00624194"/>
    <w:rsid w:val="00624464"/>
    <w:rsid w:val="006248ED"/>
    <w:rsid w:val="00624C15"/>
    <w:rsid w:val="00624EA3"/>
    <w:rsid w:val="0062562F"/>
    <w:rsid w:val="00625A9B"/>
    <w:rsid w:val="00625D77"/>
    <w:rsid w:val="0062605D"/>
    <w:rsid w:val="00626178"/>
    <w:rsid w:val="00626CA1"/>
    <w:rsid w:val="00626FF2"/>
    <w:rsid w:val="0062752D"/>
    <w:rsid w:val="00627769"/>
    <w:rsid w:val="00627B0F"/>
    <w:rsid w:val="00627D74"/>
    <w:rsid w:val="00627EDB"/>
    <w:rsid w:val="00630010"/>
    <w:rsid w:val="006300F4"/>
    <w:rsid w:val="006304F9"/>
    <w:rsid w:val="0063053D"/>
    <w:rsid w:val="00630696"/>
    <w:rsid w:val="00630E49"/>
    <w:rsid w:val="0063149C"/>
    <w:rsid w:val="006318F0"/>
    <w:rsid w:val="00631E8D"/>
    <w:rsid w:val="0063244E"/>
    <w:rsid w:val="006326F1"/>
    <w:rsid w:val="00632999"/>
    <w:rsid w:val="00632BF7"/>
    <w:rsid w:val="00632C98"/>
    <w:rsid w:val="00632E03"/>
    <w:rsid w:val="00632E1D"/>
    <w:rsid w:val="006333AC"/>
    <w:rsid w:val="0063353F"/>
    <w:rsid w:val="00633BA9"/>
    <w:rsid w:val="00633F71"/>
    <w:rsid w:val="00634298"/>
    <w:rsid w:val="0063430D"/>
    <w:rsid w:val="0063475F"/>
    <w:rsid w:val="00634799"/>
    <w:rsid w:val="00634D59"/>
    <w:rsid w:val="0063505F"/>
    <w:rsid w:val="006350FB"/>
    <w:rsid w:val="00635378"/>
    <w:rsid w:val="00635638"/>
    <w:rsid w:val="00635810"/>
    <w:rsid w:val="00635ABB"/>
    <w:rsid w:val="00636331"/>
    <w:rsid w:val="006377A6"/>
    <w:rsid w:val="00637A3D"/>
    <w:rsid w:val="00637A99"/>
    <w:rsid w:val="00637ABC"/>
    <w:rsid w:val="00637B15"/>
    <w:rsid w:val="00637B21"/>
    <w:rsid w:val="00640286"/>
    <w:rsid w:val="006403B3"/>
    <w:rsid w:val="006409C9"/>
    <w:rsid w:val="006411EF"/>
    <w:rsid w:val="00641426"/>
    <w:rsid w:val="0064157E"/>
    <w:rsid w:val="00641838"/>
    <w:rsid w:val="00641DF3"/>
    <w:rsid w:val="00642C1C"/>
    <w:rsid w:val="00642D72"/>
    <w:rsid w:val="00642F75"/>
    <w:rsid w:val="00643553"/>
    <w:rsid w:val="006436AF"/>
    <w:rsid w:val="00643B4C"/>
    <w:rsid w:val="00643D4A"/>
    <w:rsid w:val="00643DC7"/>
    <w:rsid w:val="00643F3D"/>
    <w:rsid w:val="006441D2"/>
    <w:rsid w:val="0064446F"/>
    <w:rsid w:val="00644979"/>
    <w:rsid w:val="0064537C"/>
    <w:rsid w:val="00645526"/>
    <w:rsid w:val="0064561F"/>
    <w:rsid w:val="00645730"/>
    <w:rsid w:val="006459F1"/>
    <w:rsid w:val="00645BF7"/>
    <w:rsid w:val="00645E1A"/>
    <w:rsid w:val="00646233"/>
    <w:rsid w:val="00646AA8"/>
    <w:rsid w:val="00647477"/>
    <w:rsid w:val="006474B8"/>
    <w:rsid w:val="0064779A"/>
    <w:rsid w:val="00647CB0"/>
    <w:rsid w:val="00647FB0"/>
    <w:rsid w:val="006501A5"/>
    <w:rsid w:val="006502FB"/>
    <w:rsid w:val="006506FB"/>
    <w:rsid w:val="00650BEC"/>
    <w:rsid w:val="00650E29"/>
    <w:rsid w:val="00651736"/>
    <w:rsid w:val="006517FE"/>
    <w:rsid w:val="00651FD2"/>
    <w:rsid w:val="00652145"/>
    <w:rsid w:val="006521AE"/>
    <w:rsid w:val="00652351"/>
    <w:rsid w:val="006524DA"/>
    <w:rsid w:val="0065251E"/>
    <w:rsid w:val="00652554"/>
    <w:rsid w:val="0065255E"/>
    <w:rsid w:val="006525F0"/>
    <w:rsid w:val="00653009"/>
    <w:rsid w:val="0065345A"/>
    <w:rsid w:val="006535FE"/>
    <w:rsid w:val="00653662"/>
    <w:rsid w:val="00653918"/>
    <w:rsid w:val="00653DF7"/>
    <w:rsid w:val="00653E9F"/>
    <w:rsid w:val="00654373"/>
    <w:rsid w:val="00654504"/>
    <w:rsid w:val="00654516"/>
    <w:rsid w:val="0065616F"/>
    <w:rsid w:val="0065617B"/>
    <w:rsid w:val="00656536"/>
    <w:rsid w:val="00656A52"/>
    <w:rsid w:val="00656A6A"/>
    <w:rsid w:val="006571D4"/>
    <w:rsid w:val="006572F1"/>
    <w:rsid w:val="00657319"/>
    <w:rsid w:val="006574E4"/>
    <w:rsid w:val="00657622"/>
    <w:rsid w:val="0065771A"/>
    <w:rsid w:val="006579CC"/>
    <w:rsid w:val="00657C3A"/>
    <w:rsid w:val="00657CFB"/>
    <w:rsid w:val="0066024D"/>
    <w:rsid w:val="0066039B"/>
    <w:rsid w:val="00660472"/>
    <w:rsid w:val="006605FF"/>
    <w:rsid w:val="0066071C"/>
    <w:rsid w:val="00660954"/>
    <w:rsid w:val="00660C8A"/>
    <w:rsid w:val="00660CD8"/>
    <w:rsid w:val="006612EF"/>
    <w:rsid w:val="00661303"/>
    <w:rsid w:val="00661654"/>
    <w:rsid w:val="00661663"/>
    <w:rsid w:val="00661754"/>
    <w:rsid w:val="006617D8"/>
    <w:rsid w:val="00661C1A"/>
    <w:rsid w:val="0066207A"/>
    <w:rsid w:val="00662344"/>
    <w:rsid w:val="00662604"/>
    <w:rsid w:val="00662647"/>
    <w:rsid w:val="006626D5"/>
    <w:rsid w:val="00662A85"/>
    <w:rsid w:val="00662DF5"/>
    <w:rsid w:val="00662E44"/>
    <w:rsid w:val="00663044"/>
    <w:rsid w:val="006630BB"/>
    <w:rsid w:val="006633F8"/>
    <w:rsid w:val="006638BF"/>
    <w:rsid w:val="00663FDD"/>
    <w:rsid w:val="0066419A"/>
    <w:rsid w:val="006641B3"/>
    <w:rsid w:val="006643C8"/>
    <w:rsid w:val="00664EF3"/>
    <w:rsid w:val="006650B6"/>
    <w:rsid w:val="00665321"/>
    <w:rsid w:val="006659E5"/>
    <w:rsid w:val="00665A8B"/>
    <w:rsid w:val="00665B12"/>
    <w:rsid w:val="00665B96"/>
    <w:rsid w:val="00665C9F"/>
    <w:rsid w:val="0066692E"/>
    <w:rsid w:val="00666ECD"/>
    <w:rsid w:val="00666F58"/>
    <w:rsid w:val="00667344"/>
    <w:rsid w:val="0066776F"/>
    <w:rsid w:val="00667D6C"/>
    <w:rsid w:val="00667F7B"/>
    <w:rsid w:val="006702D5"/>
    <w:rsid w:val="006703E1"/>
    <w:rsid w:val="006704A6"/>
    <w:rsid w:val="00670877"/>
    <w:rsid w:val="00670A54"/>
    <w:rsid w:val="00670BBE"/>
    <w:rsid w:val="00670C0E"/>
    <w:rsid w:val="00670E87"/>
    <w:rsid w:val="00670ED9"/>
    <w:rsid w:val="00671AA7"/>
    <w:rsid w:val="00671BC8"/>
    <w:rsid w:val="00671D5E"/>
    <w:rsid w:val="00671D6A"/>
    <w:rsid w:val="00672238"/>
    <w:rsid w:val="00672462"/>
    <w:rsid w:val="00672825"/>
    <w:rsid w:val="006728FE"/>
    <w:rsid w:val="00672E9B"/>
    <w:rsid w:val="00672F3C"/>
    <w:rsid w:val="006736AF"/>
    <w:rsid w:val="00673970"/>
    <w:rsid w:val="00673B04"/>
    <w:rsid w:val="00673C48"/>
    <w:rsid w:val="006748B8"/>
    <w:rsid w:val="006748D2"/>
    <w:rsid w:val="00674F9E"/>
    <w:rsid w:val="0067538D"/>
    <w:rsid w:val="0067542A"/>
    <w:rsid w:val="0067559B"/>
    <w:rsid w:val="006757B3"/>
    <w:rsid w:val="00675D1C"/>
    <w:rsid w:val="00676A03"/>
    <w:rsid w:val="00677043"/>
    <w:rsid w:val="00677434"/>
    <w:rsid w:val="006774ED"/>
    <w:rsid w:val="006775C3"/>
    <w:rsid w:val="00677833"/>
    <w:rsid w:val="00677C76"/>
    <w:rsid w:val="00680050"/>
    <w:rsid w:val="006801BC"/>
    <w:rsid w:val="0068037D"/>
    <w:rsid w:val="006805B2"/>
    <w:rsid w:val="006805FD"/>
    <w:rsid w:val="00680B1A"/>
    <w:rsid w:val="00680FEA"/>
    <w:rsid w:val="006811A3"/>
    <w:rsid w:val="0068131B"/>
    <w:rsid w:val="006818A1"/>
    <w:rsid w:val="00681B2F"/>
    <w:rsid w:val="00682178"/>
    <w:rsid w:val="00682282"/>
    <w:rsid w:val="00682C8F"/>
    <w:rsid w:val="00682CBE"/>
    <w:rsid w:val="00682EB3"/>
    <w:rsid w:val="0068318B"/>
    <w:rsid w:val="006835B4"/>
    <w:rsid w:val="006835DE"/>
    <w:rsid w:val="00683B39"/>
    <w:rsid w:val="00683CAF"/>
    <w:rsid w:val="00683FA5"/>
    <w:rsid w:val="00683FC4"/>
    <w:rsid w:val="00684318"/>
    <w:rsid w:val="006843D7"/>
    <w:rsid w:val="006845E6"/>
    <w:rsid w:val="006849FD"/>
    <w:rsid w:val="00684A7E"/>
    <w:rsid w:val="00684AFC"/>
    <w:rsid w:val="00684F88"/>
    <w:rsid w:val="00685477"/>
    <w:rsid w:val="00685538"/>
    <w:rsid w:val="0068564E"/>
    <w:rsid w:val="006858FC"/>
    <w:rsid w:val="0068594A"/>
    <w:rsid w:val="00685CED"/>
    <w:rsid w:val="00685E33"/>
    <w:rsid w:val="00685E66"/>
    <w:rsid w:val="006862E6"/>
    <w:rsid w:val="00686512"/>
    <w:rsid w:val="006867DC"/>
    <w:rsid w:val="00686B67"/>
    <w:rsid w:val="00686CB2"/>
    <w:rsid w:val="00686DC1"/>
    <w:rsid w:val="00686DDA"/>
    <w:rsid w:val="00687093"/>
    <w:rsid w:val="00687459"/>
    <w:rsid w:val="0068746C"/>
    <w:rsid w:val="006875A2"/>
    <w:rsid w:val="0068767F"/>
    <w:rsid w:val="006877FA"/>
    <w:rsid w:val="00687A86"/>
    <w:rsid w:val="00687ACA"/>
    <w:rsid w:val="00687BC2"/>
    <w:rsid w:val="00687DB8"/>
    <w:rsid w:val="00687F13"/>
    <w:rsid w:val="00690497"/>
    <w:rsid w:val="00690611"/>
    <w:rsid w:val="00690CBB"/>
    <w:rsid w:val="00690E65"/>
    <w:rsid w:val="00690EAB"/>
    <w:rsid w:val="00691072"/>
    <w:rsid w:val="00691193"/>
    <w:rsid w:val="006911D7"/>
    <w:rsid w:val="006913E9"/>
    <w:rsid w:val="0069150F"/>
    <w:rsid w:val="00691549"/>
    <w:rsid w:val="006916EF"/>
    <w:rsid w:val="00691F4D"/>
    <w:rsid w:val="006922E4"/>
    <w:rsid w:val="0069267C"/>
    <w:rsid w:val="00692691"/>
    <w:rsid w:val="0069269B"/>
    <w:rsid w:val="0069290A"/>
    <w:rsid w:val="00692943"/>
    <w:rsid w:val="0069300F"/>
    <w:rsid w:val="00693057"/>
    <w:rsid w:val="00693372"/>
    <w:rsid w:val="006935C4"/>
    <w:rsid w:val="0069381A"/>
    <w:rsid w:val="00693CA3"/>
    <w:rsid w:val="00693ECB"/>
    <w:rsid w:val="00693FC1"/>
    <w:rsid w:val="006941B5"/>
    <w:rsid w:val="00694476"/>
    <w:rsid w:val="006945F3"/>
    <w:rsid w:val="0069465C"/>
    <w:rsid w:val="0069482C"/>
    <w:rsid w:val="00694919"/>
    <w:rsid w:val="0069491E"/>
    <w:rsid w:val="00694A8E"/>
    <w:rsid w:val="00694AE2"/>
    <w:rsid w:val="00694F1E"/>
    <w:rsid w:val="00695177"/>
    <w:rsid w:val="0069523B"/>
    <w:rsid w:val="006955A1"/>
    <w:rsid w:val="006957D4"/>
    <w:rsid w:val="00695B3F"/>
    <w:rsid w:val="00695E68"/>
    <w:rsid w:val="00696224"/>
    <w:rsid w:val="0069643A"/>
    <w:rsid w:val="0069697F"/>
    <w:rsid w:val="0069700E"/>
    <w:rsid w:val="00697342"/>
    <w:rsid w:val="006974DF"/>
    <w:rsid w:val="0069754D"/>
    <w:rsid w:val="0069775A"/>
    <w:rsid w:val="00697813"/>
    <w:rsid w:val="006979E3"/>
    <w:rsid w:val="00697C3B"/>
    <w:rsid w:val="00697D68"/>
    <w:rsid w:val="00697FE2"/>
    <w:rsid w:val="006A0077"/>
    <w:rsid w:val="006A0100"/>
    <w:rsid w:val="006A0160"/>
    <w:rsid w:val="006A02EE"/>
    <w:rsid w:val="006A0A9A"/>
    <w:rsid w:val="006A0C91"/>
    <w:rsid w:val="006A0E68"/>
    <w:rsid w:val="006A0EFC"/>
    <w:rsid w:val="006A1463"/>
    <w:rsid w:val="006A14B4"/>
    <w:rsid w:val="006A1714"/>
    <w:rsid w:val="006A1A58"/>
    <w:rsid w:val="006A1CD6"/>
    <w:rsid w:val="006A1F37"/>
    <w:rsid w:val="006A20A6"/>
    <w:rsid w:val="006A2689"/>
    <w:rsid w:val="006A26CE"/>
    <w:rsid w:val="006A33DC"/>
    <w:rsid w:val="006A3617"/>
    <w:rsid w:val="006A365E"/>
    <w:rsid w:val="006A367C"/>
    <w:rsid w:val="006A396E"/>
    <w:rsid w:val="006A3A7B"/>
    <w:rsid w:val="006A3EE8"/>
    <w:rsid w:val="006A4910"/>
    <w:rsid w:val="006A4F93"/>
    <w:rsid w:val="006A5269"/>
    <w:rsid w:val="006A52D5"/>
    <w:rsid w:val="006A56F0"/>
    <w:rsid w:val="006A59A1"/>
    <w:rsid w:val="006A5C04"/>
    <w:rsid w:val="006A6200"/>
    <w:rsid w:val="006A65B9"/>
    <w:rsid w:val="006A691D"/>
    <w:rsid w:val="006A6BE2"/>
    <w:rsid w:val="006A6D51"/>
    <w:rsid w:val="006A71F3"/>
    <w:rsid w:val="006A72BF"/>
    <w:rsid w:val="006A743A"/>
    <w:rsid w:val="006A74F7"/>
    <w:rsid w:val="006A778C"/>
    <w:rsid w:val="006A78CE"/>
    <w:rsid w:val="006A7A44"/>
    <w:rsid w:val="006A7A82"/>
    <w:rsid w:val="006A7B0E"/>
    <w:rsid w:val="006A7C69"/>
    <w:rsid w:val="006A7DC7"/>
    <w:rsid w:val="006A7ED7"/>
    <w:rsid w:val="006A7F11"/>
    <w:rsid w:val="006B00C1"/>
    <w:rsid w:val="006B03E3"/>
    <w:rsid w:val="006B03F2"/>
    <w:rsid w:val="006B085C"/>
    <w:rsid w:val="006B0884"/>
    <w:rsid w:val="006B0A78"/>
    <w:rsid w:val="006B0EF9"/>
    <w:rsid w:val="006B1184"/>
    <w:rsid w:val="006B11C3"/>
    <w:rsid w:val="006B11D5"/>
    <w:rsid w:val="006B1214"/>
    <w:rsid w:val="006B1E8A"/>
    <w:rsid w:val="006B2282"/>
    <w:rsid w:val="006B26C9"/>
    <w:rsid w:val="006B2988"/>
    <w:rsid w:val="006B2A72"/>
    <w:rsid w:val="006B35A5"/>
    <w:rsid w:val="006B370D"/>
    <w:rsid w:val="006B3796"/>
    <w:rsid w:val="006B37DC"/>
    <w:rsid w:val="006B3989"/>
    <w:rsid w:val="006B3F5E"/>
    <w:rsid w:val="006B43D4"/>
    <w:rsid w:val="006B440B"/>
    <w:rsid w:val="006B4827"/>
    <w:rsid w:val="006B48B4"/>
    <w:rsid w:val="006B4A6B"/>
    <w:rsid w:val="006B4BEB"/>
    <w:rsid w:val="006B4F68"/>
    <w:rsid w:val="006B5459"/>
    <w:rsid w:val="006B5821"/>
    <w:rsid w:val="006B6270"/>
    <w:rsid w:val="006B6696"/>
    <w:rsid w:val="006B6CAF"/>
    <w:rsid w:val="006B6F4B"/>
    <w:rsid w:val="006B6F5B"/>
    <w:rsid w:val="006B6F67"/>
    <w:rsid w:val="006B74FD"/>
    <w:rsid w:val="006B7971"/>
    <w:rsid w:val="006B79F9"/>
    <w:rsid w:val="006C00DA"/>
    <w:rsid w:val="006C0286"/>
    <w:rsid w:val="006C0390"/>
    <w:rsid w:val="006C0592"/>
    <w:rsid w:val="006C0631"/>
    <w:rsid w:val="006C06A8"/>
    <w:rsid w:val="006C071C"/>
    <w:rsid w:val="006C090A"/>
    <w:rsid w:val="006C1841"/>
    <w:rsid w:val="006C1B2E"/>
    <w:rsid w:val="006C1B6F"/>
    <w:rsid w:val="006C272E"/>
    <w:rsid w:val="006C2C25"/>
    <w:rsid w:val="006C31A2"/>
    <w:rsid w:val="006C349D"/>
    <w:rsid w:val="006C38AC"/>
    <w:rsid w:val="006C3F3E"/>
    <w:rsid w:val="006C3FC8"/>
    <w:rsid w:val="006C442C"/>
    <w:rsid w:val="006C457A"/>
    <w:rsid w:val="006C468A"/>
    <w:rsid w:val="006C4CB9"/>
    <w:rsid w:val="006C4D70"/>
    <w:rsid w:val="006C4DC3"/>
    <w:rsid w:val="006C506E"/>
    <w:rsid w:val="006C50DC"/>
    <w:rsid w:val="006C51BA"/>
    <w:rsid w:val="006C53F1"/>
    <w:rsid w:val="006C5479"/>
    <w:rsid w:val="006C54B5"/>
    <w:rsid w:val="006C554E"/>
    <w:rsid w:val="006C5694"/>
    <w:rsid w:val="006C56C7"/>
    <w:rsid w:val="006C5D13"/>
    <w:rsid w:val="006C5F57"/>
    <w:rsid w:val="006C6024"/>
    <w:rsid w:val="006C60CB"/>
    <w:rsid w:val="006C6185"/>
    <w:rsid w:val="006C68CC"/>
    <w:rsid w:val="006C6A91"/>
    <w:rsid w:val="006C6AA5"/>
    <w:rsid w:val="006C7039"/>
    <w:rsid w:val="006C7181"/>
    <w:rsid w:val="006C72BB"/>
    <w:rsid w:val="006C7462"/>
    <w:rsid w:val="006C7568"/>
    <w:rsid w:val="006C7939"/>
    <w:rsid w:val="006C7CCE"/>
    <w:rsid w:val="006C7D22"/>
    <w:rsid w:val="006C7F6C"/>
    <w:rsid w:val="006D0177"/>
    <w:rsid w:val="006D02C5"/>
    <w:rsid w:val="006D04C2"/>
    <w:rsid w:val="006D0C5B"/>
    <w:rsid w:val="006D101A"/>
    <w:rsid w:val="006D10BB"/>
    <w:rsid w:val="006D1150"/>
    <w:rsid w:val="006D13B5"/>
    <w:rsid w:val="006D1758"/>
    <w:rsid w:val="006D1E28"/>
    <w:rsid w:val="006D1F86"/>
    <w:rsid w:val="006D20E3"/>
    <w:rsid w:val="006D2EA1"/>
    <w:rsid w:val="006D33F4"/>
    <w:rsid w:val="006D33FF"/>
    <w:rsid w:val="006D340C"/>
    <w:rsid w:val="006D3596"/>
    <w:rsid w:val="006D36D7"/>
    <w:rsid w:val="006D38C9"/>
    <w:rsid w:val="006D396F"/>
    <w:rsid w:val="006D3DB9"/>
    <w:rsid w:val="006D4200"/>
    <w:rsid w:val="006D4C27"/>
    <w:rsid w:val="006D4C86"/>
    <w:rsid w:val="006D4E62"/>
    <w:rsid w:val="006D4EC0"/>
    <w:rsid w:val="006D5334"/>
    <w:rsid w:val="006D53F3"/>
    <w:rsid w:val="006D5C23"/>
    <w:rsid w:val="006D5F62"/>
    <w:rsid w:val="006D6287"/>
    <w:rsid w:val="006D63D5"/>
    <w:rsid w:val="006D6637"/>
    <w:rsid w:val="006D6870"/>
    <w:rsid w:val="006D69BC"/>
    <w:rsid w:val="006D6EB8"/>
    <w:rsid w:val="006D6F14"/>
    <w:rsid w:val="006D706A"/>
    <w:rsid w:val="006D70F6"/>
    <w:rsid w:val="006D7344"/>
    <w:rsid w:val="006D73C0"/>
    <w:rsid w:val="006D777E"/>
    <w:rsid w:val="006D7928"/>
    <w:rsid w:val="006E02BB"/>
    <w:rsid w:val="006E12FF"/>
    <w:rsid w:val="006E141B"/>
    <w:rsid w:val="006E211F"/>
    <w:rsid w:val="006E25D9"/>
    <w:rsid w:val="006E291C"/>
    <w:rsid w:val="006E2C5E"/>
    <w:rsid w:val="006E3306"/>
    <w:rsid w:val="006E335E"/>
    <w:rsid w:val="006E346C"/>
    <w:rsid w:val="006E3583"/>
    <w:rsid w:val="006E387D"/>
    <w:rsid w:val="006E3A5E"/>
    <w:rsid w:val="006E3A89"/>
    <w:rsid w:val="006E3D85"/>
    <w:rsid w:val="006E3D89"/>
    <w:rsid w:val="006E3F30"/>
    <w:rsid w:val="006E4220"/>
    <w:rsid w:val="006E4841"/>
    <w:rsid w:val="006E4B08"/>
    <w:rsid w:val="006E4D2C"/>
    <w:rsid w:val="006E52E7"/>
    <w:rsid w:val="006E57BE"/>
    <w:rsid w:val="006E5FA4"/>
    <w:rsid w:val="006E607E"/>
    <w:rsid w:val="006E611A"/>
    <w:rsid w:val="006E613A"/>
    <w:rsid w:val="006E61F2"/>
    <w:rsid w:val="006E6850"/>
    <w:rsid w:val="006E6CAD"/>
    <w:rsid w:val="006E6CC3"/>
    <w:rsid w:val="006E6F1B"/>
    <w:rsid w:val="006E70A9"/>
    <w:rsid w:val="006E7102"/>
    <w:rsid w:val="006E711B"/>
    <w:rsid w:val="006E71F6"/>
    <w:rsid w:val="006E7D66"/>
    <w:rsid w:val="006F0402"/>
    <w:rsid w:val="006F0B2B"/>
    <w:rsid w:val="006F0C87"/>
    <w:rsid w:val="006F10A0"/>
    <w:rsid w:val="006F10EB"/>
    <w:rsid w:val="006F110D"/>
    <w:rsid w:val="006F11A4"/>
    <w:rsid w:val="006F130B"/>
    <w:rsid w:val="006F16E8"/>
    <w:rsid w:val="006F1B34"/>
    <w:rsid w:val="006F1EE9"/>
    <w:rsid w:val="006F2173"/>
    <w:rsid w:val="006F2C5F"/>
    <w:rsid w:val="006F3042"/>
    <w:rsid w:val="006F34D4"/>
    <w:rsid w:val="006F3580"/>
    <w:rsid w:val="006F3B91"/>
    <w:rsid w:val="006F3BFF"/>
    <w:rsid w:val="006F3C28"/>
    <w:rsid w:val="006F3F24"/>
    <w:rsid w:val="006F4509"/>
    <w:rsid w:val="006F4798"/>
    <w:rsid w:val="006F4B0B"/>
    <w:rsid w:val="006F4B66"/>
    <w:rsid w:val="006F4DA4"/>
    <w:rsid w:val="006F5039"/>
    <w:rsid w:val="006F50F9"/>
    <w:rsid w:val="006F51C3"/>
    <w:rsid w:val="006F51D8"/>
    <w:rsid w:val="006F5370"/>
    <w:rsid w:val="006F5A64"/>
    <w:rsid w:val="006F5C7C"/>
    <w:rsid w:val="006F684F"/>
    <w:rsid w:val="006F6C85"/>
    <w:rsid w:val="006F79D9"/>
    <w:rsid w:val="006F7AE5"/>
    <w:rsid w:val="006F7DE8"/>
    <w:rsid w:val="006F7EA7"/>
    <w:rsid w:val="006F7FB6"/>
    <w:rsid w:val="00700187"/>
    <w:rsid w:val="007004F8"/>
    <w:rsid w:val="00700658"/>
    <w:rsid w:val="0070067E"/>
    <w:rsid w:val="007008F1"/>
    <w:rsid w:val="00700C4F"/>
    <w:rsid w:val="00701476"/>
    <w:rsid w:val="00701576"/>
    <w:rsid w:val="007017F4"/>
    <w:rsid w:val="007019D2"/>
    <w:rsid w:val="00701E62"/>
    <w:rsid w:val="00701F0B"/>
    <w:rsid w:val="00702166"/>
    <w:rsid w:val="007022CC"/>
    <w:rsid w:val="007023D9"/>
    <w:rsid w:val="00702656"/>
    <w:rsid w:val="00702C9E"/>
    <w:rsid w:val="00702FCE"/>
    <w:rsid w:val="0070306E"/>
    <w:rsid w:val="007031DC"/>
    <w:rsid w:val="007035B0"/>
    <w:rsid w:val="0070375E"/>
    <w:rsid w:val="00703A3E"/>
    <w:rsid w:val="00703A9A"/>
    <w:rsid w:val="00703F0B"/>
    <w:rsid w:val="00703F23"/>
    <w:rsid w:val="007047A0"/>
    <w:rsid w:val="00705187"/>
    <w:rsid w:val="007054EB"/>
    <w:rsid w:val="00705600"/>
    <w:rsid w:val="007057BF"/>
    <w:rsid w:val="00706431"/>
    <w:rsid w:val="00706742"/>
    <w:rsid w:val="00706C5D"/>
    <w:rsid w:val="00706EF0"/>
    <w:rsid w:val="00707804"/>
    <w:rsid w:val="00707BB6"/>
    <w:rsid w:val="00707C33"/>
    <w:rsid w:val="00707EBC"/>
    <w:rsid w:val="007103D1"/>
    <w:rsid w:val="00710519"/>
    <w:rsid w:val="0071053C"/>
    <w:rsid w:val="007108D3"/>
    <w:rsid w:val="00710A18"/>
    <w:rsid w:val="00710C69"/>
    <w:rsid w:val="00710F3C"/>
    <w:rsid w:val="00711416"/>
    <w:rsid w:val="00711541"/>
    <w:rsid w:val="00711622"/>
    <w:rsid w:val="0071180B"/>
    <w:rsid w:val="00711D56"/>
    <w:rsid w:val="00711D9E"/>
    <w:rsid w:val="007122B4"/>
    <w:rsid w:val="0071265D"/>
    <w:rsid w:val="007129D9"/>
    <w:rsid w:val="00712CA7"/>
    <w:rsid w:val="00712F1B"/>
    <w:rsid w:val="0071303A"/>
    <w:rsid w:val="0071380E"/>
    <w:rsid w:val="007138ED"/>
    <w:rsid w:val="00713A30"/>
    <w:rsid w:val="00713CBE"/>
    <w:rsid w:val="00713E19"/>
    <w:rsid w:val="00713EA5"/>
    <w:rsid w:val="007141CB"/>
    <w:rsid w:val="007143F2"/>
    <w:rsid w:val="0071443D"/>
    <w:rsid w:val="007145F1"/>
    <w:rsid w:val="0071481B"/>
    <w:rsid w:val="0071491B"/>
    <w:rsid w:val="00714DCC"/>
    <w:rsid w:val="00714F43"/>
    <w:rsid w:val="00715043"/>
    <w:rsid w:val="0071505B"/>
    <w:rsid w:val="007155F0"/>
    <w:rsid w:val="0071592C"/>
    <w:rsid w:val="007159B8"/>
    <w:rsid w:val="00715BF0"/>
    <w:rsid w:val="00715E0E"/>
    <w:rsid w:val="00716181"/>
    <w:rsid w:val="00716E25"/>
    <w:rsid w:val="00716FC7"/>
    <w:rsid w:val="00717153"/>
    <w:rsid w:val="00717479"/>
    <w:rsid w:val="007174A2"/>
    <w:rsid w:val="00717631"/>
    <w:rsid w:val="0071775C"/>
    <w:rsid w:val="00717A3E"/>
    <w:rsid w:val="00717A79"/>
    <w:rsid w:val="007200FD"/>
    <w:rsid w:val="007201B4"/>
    <w:rsid w:val="00720676"/>
    <w:rsid w:val="007207B6"/>
    <w:rsid w:val="00720991"/>
    <w:rsid w:val="00720A46"/>
    <w:rsid w:val="00720D30"/>
    <w:rsid w:val="00720EFD"/>
    <w:rsid w:val="00721198"/>
    <w:rsid w:val="00721220"/>
    <w:rsid w:val="00721238"/>
    <w:rsid w:val="00721490"/>
    <w:rsid w:val="00721878"/>
    <w:rsid w:val="0072220A"/>
    <w:rsid w:val="0072243B"/>
    <w:rsid w:val="007228F6"/>
    <w:rsid w:val="00722E8C"/>
    <w:rsid w:val="007230B7"/>
    <w:rsid w:val="00723202"/>
    <w:rsid w:val="007236E1"/>
    <w:rsid w:val="007237DF"/>
    <w:rsid w:val="00723A8A"/>
    <w:rsid w:val="00723DA3"/>
    <w:rsid w:val="0072422F"/>
    <w:rsid w:val="00724DA4"/>
    <w:rsid w:val="00724DE2"/>
    <w:rsid w:val="00724EF7"/>
    <w:rsid w:val="007253FF"/>
    <w:rsid w:val="00725622"/>
    <w:rsid w:val="00725B3A"/>
    <w:rsid w:val="00725F48"/>
    <w:rsid w:val="0072626F"/>
    <w:rsid w:val="007266D0"/>
    <w:rsid w:val="00726728"/>
    <w:rsid w:val="00726D0E"/>
    <w:rsid w:val="00726E96"/>
    <w:rsid w:val="00727007"/>
    <w:rsid w:val="00727745"/>
    <w:rsid w:val="007278AA"/>
    <w:rsid w:val="00727C17"/>
    <w:rsid w:val="00727D16"/>
    <w:rsid w:val="00727F68"/>
    <w:rsid w:val="007300CD"/>
    <w:rsid w:val="0073018A"/>
    <w:rsid w:val="007303E9"/>
    <w:rsid w:val="00730688"/>
    <w:rsid w:val="007309CA"/>
    <w:rsid w:val="00730FFD"/>
    <w:rsid w:val="00731548"/>
    <w:rsid w:val="00731856"/>
    <w:rsid w:val="00731F7E"/>
    <w:rsid w:val="00732151"/>
    <w:rsid w:val="00732748"/>
    <w:rsid w:val="007328AF"/>
    <w:rsid w:val="00732922"/>
    <w:rsid w:val="00733066"/>
    <w:rsid w:val="00733493"/>
    <w:rsid w:val="007338C9"/>
    <w:rsid w:val="00733CC6"/>
    <w:rsid w:val="007341B0"/>
    <w:rsid w:val="007341DB"/>
    <w:rsid w:val="007341F6"/>
    <w:rsid w:val="0073425E"/>
    <w:rsid w:val="007345EC"/>
    <w:rsid w:val="007347E7"/>
    <w:rsid w:val="00734865"/>
    <w:rsid w:val="00734945"/>
    <w:rsid w:val="00734BA9"/>
    <w:rsid w:val="00734C8A"/>
    <w:rsid w:val="00734EB2"/>
    <w:rsid w:val="00734FBA"/>
    <w:rsid w:val="00734FCF"/>
    <w:rsid w:val="007356E5"/>
    <w:rsid w:val="00735C6C"/>
    <w:rsid w:val="00736CA0"/>
    <w:rsid w:val="007370DA"/>
    <w:rsid w:val="0073715D"/>
    <w:rsid w:val="007372BD"/>
    <w:rsid w:val="00737433"/>
    <w:rsid w:val="007376B1"/>
    <w:rsid w:val="00737886"/>
    <w:rsid w:val="00740030"/>
    <w:rsid w:val="007400A6"/>
    <w:rsid w:val="00740575"/>
    <w:rsid w:val="00740651"/>
    <w:rsid w:val="007406B2"/>
    <w:rsid w:val="007406C6"/>
    <w:rsid w:val="00740748"/>
    <w:rsid w:val="00740AF4"/>
    <w:rsid w:val="00741189"/>
    <w:rsid w:val="007412C0"/>
    <w:rsid w:val="007412D0"/>
    <w:rsid w:val="00741C8A"/>
    <w:rsid w:val="00741D1F"/>
    <w:rsid w:val="00741DE5"/>
    <w:rsid w:val="00741FBD"/>
    <w:rsid w:val="007420A0"/>
    <w:rsid w:val="00742227"/>
    <w:rsid w:val="007441BB"/>
    <w:rsid w:val="007444CC"/>
    <w:rsid w:val="00744656"/>
    <w:rsid w:val="00744844"/>
    <w:rsid w:val="00744D84"/>
    <w:rsid w:val="00744DCD"/>
    <w:rsid w:val="0074531B"/>
    <w:rsid w:val="00745438"/>
    <w:rsid w:val="0074587C"/>
    <w:rsid w:val="00745D1D"/>
    <w:rsid w:val="0074609E"/>
    <w:rsid w:val="007468DD"/>
    <w:rsid w:val="00746BCF"/>
    <w:rsid w:val="00746E57"/>
    <w:rsid w:val="00747A9C"/>
    <w:rsid w:val="00747BD6"/>
    <w:rsid w:val="007505DC"/>
    <w:rsid w:val="0075069F"/>
    <w:rsid w:val="007507A1"/>
    <w:rsid w:val="00750910"/>
    <w:rsid w:val="00750D94"/>
    <w:rsid w:val="00750E76"/>
    <w:rsid w:val="007513EF"/>
    <w:rsid w:val="007514FF"/>
    <w:rsid w:val="0075162E"/>
    <w:rsid w:val="00751A6D"/>
    <w:rsid w:val="00751F8E"/>
    <w:rsid w:val="0075227A"/>
    <w:rsid w:val="007529D3"/>
    <w:rsid w:val="00752D00"/>
    <w:rsid w:val="00752F81"/>
    <w:rsid w:val="007531E1"/>
    <w:rsid w:val="00754034"/>
    <w:rsid w:val="007541CE"/>
    <w:rsid w:val="007547E1"/>
    <w:rsid w:val="00754CF6"/>
    <w:rsid w:val="00754D18"/>
    <w:rsid w:val="00755210"/>
    <w:rsid w:val="007553F1"/>
    <w:rsid w:val="00755478"/>
    <w:rsid w:val="00755A07"/>
    <w:rsid w:val="00755B73"/>
    <w:rsid w:val="00755F1C"/>
    <w:rsid w:val="00756091"/>
    <w:rsid w:val="00756167"/>
    <w:rsid w:val="00756372"/>
    <w:rsid w:val="00756556"/>
    <w:rsid w:val="00756957"/>
    <w:rsid w:val="00756C2E"/>
    <w:rsid w:val="00756F1E"/>
    <w:rsid w:val="0075751F"/>
    <w:rsid w:val="0075788A"/>
    <w:rsid w:val="00757896"/>
    <w:rsid w:val="007579DA"/>
    <w:rsid w:val="00757AD6"/>
    <w:rsid w:val="0076006E"/>
    <w:rsid w:val="007600C7"/>
    <w:rsid w:val="00760672"/>
    <w:rsid w:val="00760915"/>
    <w:rsid w:val="007609BD"/>
    <w:rsid w:val="00760CEC"/>
    <w:rsid w:val="00760D06"/>
    <w:rsid w:val="00760DAC"/>
    <w:rsid w:val="007615AF"/>
    <w:rsid w:val="007618C4"/>
    <w:rsid w:val="00761B29"/>
    <w:rsid w:val="00761F4B"/>
    <w:rsid w:val="00762260"/>
    <w:rsid w:val="0076252E"/>
    <w:rsid w:val="007626B8"/>
    <w:rsid w:val="007629C0"/>
    <w:rsid w:val="00762B25"/>
    <w:rsid w:val="00763483"/>
    <w:rsid w:val="007639D1"/>
    <w:rsid w:val="00763EA2"/>
    <w:rsid w:val="00763FA7"/>
    <w:rsid w:val="007640C1"/>
    <w:rsid w:val="00764B8E"/>
    <w:rsid w:val="00764BAD"/>
    <w:rsid w:val="00764F57"/>
    <w:rsid w:val="00765183"/>
    <w:rsid w:val="00765565"/>
    <w:rsid w:val="00765CCB"/>
    <w:rsid w:val="00766255"/>
    <w:rsid w:val="0076656E"/>
    <w:rsid w:val="007669D0"/>
    <w:rsid w:val="00766C73"/>
    <w:rsid w:val="00766F3D"/>
    <w:rsid w:val="007670C4"/>
    <w:rsid w:val="00767329"/>
    <w:rsid w:val="00767980"/>
    <w:rsid w:val="00767B86"/>
    <w:rsid w:val="00767C08"/>
    <w:rsid w:val="00767EB3"/>
    <w:rsid w:val="0077053F"/>
    <w:rsid w:val="007707E9"/>
    <w:rsid w:val="0077086C"/>
    <w:rsid w:val="00770B19"/>
    <w:rsid w:val="00771505"/>
    <w:rsid w:val="00771565"/>
    <w:rsid w:val="00771B14"/>
    <w:rsid w:val="00771DC4"/>
    <w:rsid w:val="00771F26"/>
    <w:rsid w:val="00772170"/>
    <w:rsid w:val="00772187"/>
    <w:rsid w:val="007722B1"/>
    <w:rsid w:val="007723FE"/>
    <w:rsid w:val="007725A1"/>
    <w:rsid w:val="00772F5D"/>
    <w:rsid w:val="00773114"/>
    <w:rsid w:val="0077323A"/>
    <w:rsid w:val="007734EA"/>
    <w:rsid w:val="0077371B"/>
    <w:rsid w:val="00773A58"/>
    <w:rsid w:val="00773BEE"/>
    <w:rsid w:val="00773C61"/>
    <w:rsid w:val="007744FD"/>
    <w:rsid w:val="0077463F"/>
    <w:rsid w:val="0077465F"/>
    <w:rsid w:val="0077477C"/>
    <w:rsid w:val="00774DC5"/>
    <w:rsid w:val="0077549C"/>
    <w:rsid w:val="007759E6"/>
    <w:rsid w:val="00775AB5"/>
    <w:rsid w:val="00776126"/>
    <w:rsid w:val="00776782"/>
    <w:rsid w:val="00776E0A"/>
    <w:rsid w:val="007772B1"/>
    <w:rsid w:val="00777449"/>
    <w:rsid w:val="007776EA"/>
    <w:rsid w:val="007777F7"/>
    <w:rsid w:val="00777815"/>
    <w:rsid w:val="00777848"/>
    <w:rsid w:val="00777F7A"/>
    <w:rsid w:val="00777FA5"/>
    <w:rsid w:val="007802C4"/>
    <w:rsid w:val="007805FC"/>
    <w:rsid w:val="007806A1"/>
    <w:rsid w:val="0078080F"/>
    <w:rsid w:val="00780E8B"/>
    <w:rsid w:val="00780EBC"/>
    <w:rsid w:val="007816C1"/>
    <w:rsid w:val="0078178D"/>
    <w:rsid w:val="0078186D"/>
    <w:rsid w:val="00781A31"/>
    <w:rsid w:val="00781EE6"/>
    <w:rsid w:val="00782388"/>
    <w:rsid w:val="00782592"/>
    <w:rsid w:val="0078275A"/>
    <w:rsid w:val="0078288E"/>
    <w:rsid w:val="00782B85"/>
    <w:rsid w:val="00782C4F"/>
    <w:rsid w:val="00782EE1"/>
    <w:rsid w:val="007836EA"/>
    <w:rsid w:val="00783927"/>
    <w:rsid w:val="00783986"/>
    <w:rsid w:val="00783E94"/>
    <w:rsid w:val="00783F9C"/>
    <w:rsid w:val="00784035"/>
    <w:rsid w:val="00784864"/>
    <w:rsid w:val="00784BE1"/>
    <w:rsid w:val="00784CDA"/>
    <w:rsid w:val="007859BB"/>
    <w:rsid w:val="00785BE6"/>
    <w:rsid w:val="00785E1C"/>
    <w:rsid w:val="0078630E"/>
    <w:rsid w:val="0078647E"/>
    <w:rsid w:val="007864C7"/>
    <w:rsid w:val="007868BA"/>
    <w:rsid w:val="00786C14"/>
    <w:rsid w:val="00786F34"/>
    <w:rsid w:val="00787190"/>
    <w:rsid w:val="00787A6F"/>
    <w:rsid w:val="00787E85"/>
    <w:rsid w:val="007906C4"/>
    <w:rsid w:val="00790735"/>
    <w:rsid w:val="00791204"/>
    <w:rsid w:val="00791262"/>
    <w:rsid w:val="007919E1"/>
    <w:rsid w:val="007919EB"/>
    <w:rsid w:val="00791E6F"/>
    <w:rsid w:val="0079218F"/>
    <w:rsid w:val="0079223C"/>
    <w:rsid w:val="0079236F"/>
    <w:rsid w:val="007923FD"/>
    <w:rsid w:val="0079240A"/>
    <w:rsid w:val="00792ACA"/>
    <w:rsid w:val="00792AE6"/>
    <w:rsid w:val="00792C38"/>
    <w:rsid w:val="00792CB2"/>
    <w:rsid w:val="00792D93"/>
    <w:rsid w:val="00792F1B"/>
    <w:rsid w:val="00793054"/>
    <w:rsid w:val="0079341E"/>
    <w:rsid w:val="00793A01"/>
    <w:rsid w:val="00793B96"/>
    <w:rsid w:val="00794071"/>
    <w:rsid w:val="007940EA"/>
    <w:rsid w:val="007941CE"/>
    <w:rsid w:val="00794513"/>
    <w:rsid w:val="00794751"/>
    <w:rsid w:val="00794C39"/>
    <w:rsid w:val="00794FCC"/>
    <w:rsid w:val="00795227"/>
    <w:rsid w:val="00795715"/>
    <w:rsid w:val="00795C0A"/>
    <w:rsid w:val="007963CF"/>
    <w:rsid w:val="007964E4"/>
    <w:rsid w:val="007967DE"/>
    <w:rsid w:val="007967E8"/>
    <w:rsid w:val="00796B1F"/>
    <w:rsid w:val="00796BD6"/>
    <w:rsid w:val="007973C7"/>
    <w:rsid w:val="007973DD"/>
    <w:rsid w:val="00797745"/>
    <w:rsid w:val="0079783F"/>
    <w:rsid w:val="00797953"/>
    <w:rsid w:val="00797A9B"/>
    <w:rsid w:val="00797AA9"/>
    <w:rsid w:val="00797B2A"/>
    <w:rsid w:val="00797D9C"/>
    <w:rsid w:val="00797F27"/>
    <w:rsid w:val="007A016F"/>
    <w:rsid w:val="007A080F"/>
    <w:rsid w:val="007A0895"/>
    <w:rsid w:val="007A0DD0"/>
    <w:rsid w:val="007A100D"/>
    <w:rsid w:val="007A11DD"/>
    <w:rsid w:val="007A1D0B"/>
    <w:rsid w:val="007A2030"/>
    <w:rsid w:val="007A2170"/>
    <w:rsid w:val="007A22BF"/>
    <w:rsid w:val="007A25E0"/>
    <w:rsid w:val="007A26F1"/>
    <w:rsid w:val="007A2797"/>
    <w:rsid w:val="007A2B29"/>
    <w:rsid w:val="007A2C98"/>
    <w:rsid w:val="007A2D4E"/>
    <w:rsid w:val="007A3323"/>
    <w:rsid w:val="007A3614"/>
    <w:rsid w:val="007A3CC3"/>
    <w:rsid w:val="007A4013"/>
    <w:rsid w:val="007A40AF"/>
    <w:rsid w:val="007A43B3"/>
    <w:rsid w:val="007A44F4"/>
    <w:rsid w:val="007A471B"/>
    <w:rsid w:val="007A4E7E"/>
    <w:rsid w:val="007A4FDE"/>
    <w:rsid w:val="007A50A0"/>
    <w:rsid w:val="007A54B3"/>
    <w:rsid w:val="007A54FD"/>
    <w:rsid w:val="007A5595"/>
    <w:rsid w:val="007A57E9"/>
    <w:rsid w:val="007A5EAF"/>
    <w:rsid w:val="007A5F68"/>
    <w:rsid w:val="007A62AC"/>
    <w:rsid w:val="007A63D4"/>
    <w:rsid w:val="007A64F5"/>
    <w:rsid w:val="007A65A5"/>
    <w:rsid w:val="007A6E3D"/>
    <w:rsid w:val="007A78A2"/>
    <w:rsid w:val="007A7984"/>
    <w:rsid w:val="007A7A4E"/>
    <w:rsid w:val="007A7E28"/>
    <w:rsid w:val="007A7EB9"/>
    <w:rsid w:val="007B02E9"/>
    <w:rsid w:val="007B062F"/>
    <w:rsid w:val="007B0935"/>
    <w:rsid w:val="007B0BD9"/>
    <w:rsid w:val="007B0CE5"/>
    <w:rsid w:val="007B101A"/>
    <w:rsid w:val="007B102F"/>
    <w:rsid w:val="007B1066"/>
    <w:rsid w:val="007B1143"/>
    <w:rsid w:val="007B1178"/>
    <w:rsid w:val="007B1401"/>
    <w:rsid w:val="007B1455"/>
    <w:rsid w:val="007B15EE"/>
    <w:rsid w:val="007B17FA"/>
    <w:rsid w:val="007B1D2E"/>
    <w:rsid w:val="007B1DD1"/>
    <w:rsid w:val="007B2085"/>
    <w:rsid w:val="007B23D5"/>
    <w:rsid w:val="007B28CA"/>
    <w:rsid w:val="007B29D5"/>
    <w:rsid w:val="007B2DB4"/>
    <w:rsid w:val="007B313E"/>
    <w:rsid w:val="007B4468"/>
    <w:rsid w:val="007B447F"/>
    <w:rsid w:val="007B4BFA"/>
    <w:rsid w:val="007B50CF"/>
    <w:rsid w:val="007B510D"/>
    <w:rsid w:val="007B5127"/>
    <w:rsid w:val="007B518D"/>
    <w:rsid w:val="007B522C"/>
    <w:rsid w:val="007B5D00"/>
    <w:rsid w:val="007B5E04"/>
    <w:rsid w:val="007B5EC3"/>
    <w:rsid w:val="007B5F60"/>
    <w:rsid w:val="007B60AD"/>
    <w:rsid w:val="007B6770"/>
    <w:rsid w:val="007B68EF"/>
    <w:rsid w:val="007B6C00"/>
    <w:rsid w:val="007B6FF0"/>
    <w:rsid w:val="007B7187"/>
    <w:rsid w:val="007B72B8"/>
    <w:rsid w:val="007B7A58"/>
    <w:rsid w:val="007B7B0B"/>
    <w:rsid w:val="007B7BCF"/>
    <w:rsid w:val="007C00FC"/>
    <w:rsid w:val="007C01E9"/>
    <w:rsid w:val="007C0E9F"/>
    <w:rsid w:val="007C0F08"/>
    <w:rsid w:val="007C0F0C"/>
    <w:rsid w:val="007C1375"/>
    <w:rsid w:val="007C1AF2"/>
    <w:rsid w:val="007C1E7D"/>
    <w:rsid w:val="007C21B5"/>
    <w:rsid w:val="007C2E2B"/>
    <w:rsid w:val="007C31E3"/>
    <w:rsid w:val="007C332E"/>
    <w:rsid w:val="007C335B"/>
    <w:rsid w:val="007C3528"/>
    <w:rsid w:val="007C3CF8"/>
    <w:rsid w:val="007C44EB"/>
    <w:rsid w:val="007C46FA"/>
    <w:rsid w:val="007C4A2D"/>
    <w:rsid w:val="007C4BEB"/>
    <w:rsid w:val="007C4C9E"/>
    <w:rsid w:val="007C4D02"/>
    <w:rsid w:val="007C4F78"/>
    <w:rsid w:val="007C557D"/>
    <w:rsid w:val="007C5703"/>
    <w:rsid w:val="007C5857"/>
    <w:rsid w:val="007C5E01"/>
    <w:rsid w:val="007C6299"/>
    <w:rsid w:val="007C6652"/>
    <w:rsid w:val="007C6D59"/>
    <w:rsid w:val="007C720A"/>
    <w:rsid w:val="007C750E"/>
    <w:rsid w:val="007C76BA"/>
    <w:rsid w:val="007C7855"/>
    <w:rsid w:val="007C7A2C"/>
    <w:rsid w:val="007C7BF4"/>
    <w:rsid w:val="007D0242"/>
    <w:rsid w:val="007D194C"/>
    <w:rsid w:val="007D19B1"/>
    <w:rsid w:val="007D222E"/>
    <w:rsid w:val="007D231A"/>
    <w:rsid w:val="007D2474"/>
    <w:rsid w:val="007D263A"/>
    <w:rsid w:val="007D26B8"/>
    <w:rsid w:val="007D2839"/>
    <w:rsid w:val="007D2B15"/>
    <w:rsid w:val="007D2C16"/>
    <w:rsid w:val="007D2C5E"/>
    <w:rsid w:val="007D3356"/>
    <w:rsid w:val="007D35AF"/>
    <w:rsid w:val="007D382D"/>
    <w:rsid w:val="007D394C"/>
    <w:rsid w:val="007D3C6A"/>
    <w:rsid w:val="007D3C9C"/>
    <w:rsid w:val="007D3D1C"/>
    <w:rsid w:val="007D3DBE"/>
    <w:rsid w:val="007D3E99"/>
    <w:rsid w:val="007D458B"/>
    <w:rsid w:val="007D49C5"/>
    <w:rsid w:val="007D4C32"/>
    <w:rsid w:val="007D514D"/>
    <w:rsid w:val="007D5192"/>
    <w:rsid w:val="007D5A7D"/>
    <w:rsid w:val="007D5A8A"/>
    <w:rsid w:val="007D5DF8"/>
    <w:rsid w:val="007D5F5D"/>
    <w:rsid w:val="007D6258"/>
    <w:rsid w:val="007D6379"/>
    <w:rsid w:val="007D6C8E"/>
    <w:rsid w:val="007D7004"/>
    <w:rsid w:val="007D7408"/>
    <w:rsid w:val="007D7742"/>
    <w:rsid w:val="007D7886"/>
    <w:rsid w:val="007D7C65"/>
    <w:rsid w:val="007D7EBB"/>
    <w:rsid w:val="007D7FC3"/>
    <w:rsid w:val="007E029F"/>
    <w:rsid w:val="007E04CF"/>
    <w:rsid w:val="007E08E5"/>
    <w:rsid w:val="007E0BFD"/>
    <w:rsid w:val="007E0C50"/>
    <w:rsid w:val="007E0C98"/>
    <w:rsid w:val="007E0DAB"/>
    <w:rsid w:val="007E1097"/>
    <w:rsid w:val="007E1267"/>
    <w:rsid w:val="007E1A56"/>
    <w:rsid w:val="007E1FC5"/>
    <w:rsid w:val="007E37D7"/>
    <w:rsid w:val="007E37D9"/>
    <w:rsid w:val="007E3D2E"/>
    <w:rsid w:val="007E4B11"/>
    <w:rsid w:val="007E4BD2"/>
    <w:rsid w:val="007E4C22"/>
    <w:rsid w:val="007E4D8C"/>
    <w:rsid w:val="007E51BC"/>
    <w:rsid w:val="007E532F"/>
    <w:rsid w:val="007E569A"/>
    <w:rsid w:val="007E5A15"/>
    <w:rsid w:val="007E5AA9"/>
    <w:rsid w:val="007E5C8F"/>
    <w:rsid w:val="007E5E3F"/>
    <w:rsid w:val="007E6A10"/>
    <w:rsid w:val="007E6D20"/>
    <w:rsid w:val="007E72A7"/>
    <w:rsid w:val="007E74A6"/>
    <w:rsid w:val="007E76D5"/>
    <w:rsid w:val="007F02E0"/>
    <w:rsid w:val="007F03D4"/>
    <w:rsid w:val="007F0998"/>
    <w:rsid w:val="007F0A08"/>
    <w:rsid w:val="007F0CCB"/>
    <w:rsid w:val="007F0ECD"/>
    <w:rsid w:val="007F104B"/>
    <w:rsid w:val="007F15A2"/>
    <w:rsid w:val="007F15CA"/>
    <w:rsid w:val="007F16BB"/>
    <w:rsid w:val="007F187B"/>
    <w:rsid w:val="007F1939"/>
    <w:rsid w:val="007F1990"/>
    <w:rsid w:val="007F1AA5"/>
    <w:rsid w:val="007F1B29"/>
    <w:rsid w:val="007F1DA7"/>
    <w:rsid w:val="007F1E13"/>
    <w:rsid w:val="007F1F9B"/>
    <w:rsid w:val="007F210B"/>
    <w:rsid w:val="007F2196"/>
    <w:rsid w:val="007F2C79"/>
    <w:rsid w:val="007F2E11"/>
    <w:rsid w:val="007F3506"/>
    <w:rsid w:val="007F394C"/>
    <w:rsid w:val="007F40A2"/>
    <w:rsid w:val="007F41CB"/>
    <w:rsid w:val="007F43EE"/>
    <w:rsid w:val="007F442A"/>
    <w:rsid w:val="007F4433"/>
    <w:rsid w:val="007F44AF"/>
    <w:rsid w:val="007F48BB"/>
    <w:rsid w:val="007F4A74"/>
    <w:rsid w:val="007F4ACE"/>
    <w:rsid w:val="007F4F7B"/>
    <w:rsid w:val="007F57F8"/>
    <w:rsid w:val="007F5936"/>
    <w:rsid w:val="007F5944"/>
    <w:rsid w:val="007F5B44"/>
    <w:rsid w:val="007F5BD2"/>
    <w:rsid w:val="007F5F37"/>
    <w:rsid w:val="007F5F63"/>
    <w:rsid w:val="007F5FC9"/>
    <w:rsid w:val="007F6083"/>
    <w:rsid w:val="007F639E"/>
    <w:rsid w:val="007F65D6"/>
    <w:rsid w:val="007F6C70"/>
    <w:rsid w:val="007F6E5B"/>
    <w:rsid w:val="007F79BB"/>
    <w:rsid w:val="007F7F66"/>
    <w:rsid w:val="0080010D"/>
    <w:rsid w:val="00800744"/>
    <w:rsid w:val="008010F2"/>
    <w:rsid w:val="00801206"/>
    <w:rsid w:val="00801393"/>
    <w:rsid w:val="00801529"/>
    <w:rsid w:val="0080168E"/>
    <w:rsid w:val="00801EEC"/>
    <w:rsid w:val="0080207A"/>
    <w:rsid w:val="0080223F"/>
    <w:rsid w:val="0080293B"/>
    <w:rsid w:val="00802B8F"/>
    <w:rsid w:val="00802C84"/>
    <w:rsid w:val="00802D5A"/>
    <w:rsid w:val="00802D8B"/>
    <w:rsid w:val="00802F88"/>
    <w:rsid w:val="008030C8"/>
    <w:rsid w:val="00803540"/>
    <w:rsid w:val="00803798"/>
    <w:rsid w:val="0080388F"/>
    <w:rsid w:val="00803F33"/>
    <w:rsid w:val="00804271"/>
    <w:rsid w:val="00804499"/>
    <w:rsid w:val="00804947"/>
    <w:rsid w:val="008055ED"/>
    <w:rsid w:val="00805655"/>
    <w:rsid w:val="00805704"/>
    <w:rsid w:val="008059E9"/>
    <w:rsid w:val="00805CDE"/>
    <w:rsid w:val="00805E84"/>
    <w:rsid w:val="00805FDB"/>
    <w:rsid w:val="008061C8"/>
    <w:rsid w:val="00806D0A"/>
    <w:rsid w:val="00806E1A"/>
    <w:rsid w:val="00807661"/>
    <w:rsid w:val="0080768C"/>
    <w:rsid w:val="008076DD"/>
    <w:rsid w:val="00807817"/>
    <w:rsid w:val="00807B23"/>
    <w:rsid w:val="008101CD"/>
    <w:rsid w:val="008101D7"/>
    <w:rsid w:val="00810656"/>
    <w:rsid w:val="00810985"/>
    <w:rsid w:val="00810A7A"/>
    <w:rsid w:val="00810DD4"/>
    <w:rsid w:val="00811853"/>
    <w:rsid w:val="008118EB"/>
    <w:rsid w:val="00811FF1"/>
    <w:rsid w:val="00812037"/>
    <w:rsid w:val="0081207A"/>
    <w:rsid w:val="00812086"/>
    <w:rsid w:val="00812197"/>
    <w:rsid w:val="00812764"/>
    <w:rsid w:val="0081293E"/>
    <w:rsid w:val="0081301A"/>
    <w:rsid w:val="0081302D"/>
    <w:rsid w:val="008131AA"/>
    <w:rsid w:val="0081332C"/>
    <w:rsid w:val="00813820"/>
    <w:rsid w:val="00813EA0"/>
    <w:rsid w:val="0081458F"/>
    <w:rsid w:val="00814723"/>
    <w:rsid w:val="00815447"/>
    <w:rsid w:val="00815465"/>
    <w:rsid w:val="00815B28"/>
    <w:rsid w:val="008160C6"/>
    <w:rsid w:val="0081630E"/>
    <w:rsid w:val="0081646D"/>
    <w:rsid w:val="00816F59"/>
    <w:rsid w:val="00817843"/>
    <w:rsid w:val="00817E9A"/>
    <w:rsid w:val="0082004F"/>
    <w:rsid w:val="00820166"/>
    <w:rsid w:val="00820182"/>
    <w:rsid w:val="00820A6F"/>
    <w:rsid w:val="00820B0C"/>
    <w:rsid w:val="00820C15"/>
    <w:rsid w:val="00820CDA"/>
    <w:rsid w:val="00820D48"/>
    <w:rsid w:val="00820E7A"/>
    <w:rsid w:val="00820E99"/>
    <w:rsid w:val="00821088"/>
    <w:rsid w:val="008213E6"/>
    <w:rsid w:val="008217CE"/>
    <w:rsid w:val="00821E73"/>
    <w:rsid w:val="008225D7"/>
    <w:rsid w:val="008229AB"/>
    <w:rsid w:val="00822C2A"/>
    <w:rsid w:val="0082301C"/>
    <w:rsid w:val="008238E8"/>
    <w:rsid w:val="00823C6D"/>
    <w:rsid w:val="00823E5D"/>
    <w:rsid w:val="008240EE"/>
    <w:rsid w:val="0082447E"/>
    <w:rsid w:val="00824686"/>
    <w:rsid w:val="0082469A"/>
    <w:rsid w:val="00824C53"/>
    <w:rsid w:val="0082508B"/>
    <w:rsid w:val="00825D4E"/>
    <w:rsid w:val="00825DD4"/>
    <w:rsid w:val="008260C8"/>
    <w:rsid w:val="00826785"/>
    <w:rsid w:val="00827267"/>
    <w:rsid w:val="008277C4"/>
    <w:rsid w:val="00827C13"/>
    <w:rsid w:val="00827D1A"/>
    <w:rsid w:val="00830180"/>
    <w:rsid w:val="008306BD"/>
    <w:rsid w:val="00830761"/>
    <w:rsid w:val="008308DE"/>
    <w:rsid w:val="0083099E"/>
    <w:rsid w:val="0083107A"/>
    <w:rsid w:val="008310CC"/>
    <w:rsid w:val="00831609"/>
    <w:rsid w:val="008319AB"/>
    <w:rsid w:val="00831A80"/>
    <w:rsid w:val="00831E19"/>
    <w:rsid w:val="00832095"/>
    <w:rsid w:val="00832297"/>
    <w:rsid w:val="00832321"/>
    <w:rsid w:val="008326DF"/>
    <w:rsid w:val="0083279C"/>
    <w:rsid w:val="008329DF"/>
    <w:rsid w:val="00832D8C"/>
    <w:rsid w:val="00833072"/>
    <w:rsid w:val="008332B8"/>
    <w:rsid w:val="00833420"/>
    <w:rsid w:val="008334CB"/>
    <w:rsid w:val="0083363E"/>
    <w:rsid w:val="00833743"/>
    <w:rsid w:val="00833AD7"/>
    <w:rsid w:val="008340A4"/>
    <w:rsid w:val="0083425B"/>
    <w:rsid w:val="0083448B"/>
    <w:rsid w:val="008347C4"/>
    <w:rsid w:val="00834A87"/>
    <w:rsid w:val="00834B16"/>
    <w:rsid w:val="0083501E"/>
    <w:rsid w:val="0083564F"/>
    <w:rsid w:val="008358A5"/>
    <w:rsid w:val="0083592F"/>
    <w:rsid w:val="00835B45"/>
    <w:rsid w:val="00835E5E"/>
    <w:rsid w:val="008361D2"/>
    <w:rsid w:val="00836738"/>
    <w:rsid w:val="00837599"/>
    <w:rsid w:val="0084050C"/>
    <w:rsid w:val="0084065A"/>
    <w:rsid w:val="0084081F"/>
    <w:rsid w:val="00841683"/>
    <w:rsid w:val="00841A7C"/>
    <w:rsid w:val="00841C89"/>
    <w:rsid w:val="00841DE9"/>
    <w:rsid w:val="00841F80"/>
    <w:rsid w:val="00841F8B"/>
    <w:rsid w:val="00842DDD"/>
    <w:rsid w:val="00842FD1"/>
    <w:rsid w:val="008435C2"/>
    <w:rsid w:val="00843630"/>
    <w:rsid w:val="00843661"/>
    <w:rsid w:val="00843804"/>
    <w:rsid w:val="00843884"/>
    <w:rsid w:val="008439BE"/>
    <w:rsid w:val="00843DBE"/>
    <w:rsid w:val="008440EC"/>
    <w:rsid w:val="0084433B"/>
    <w:rsid w:val="00844404"/>
    <w:rsid w:val="008448D7"/>
    <w:rsid w:val="008449C7"/>
    <w:rsid w:val="00844A3B"/>
    <w:rsid w:val="00844A64"/>
    <w:rsid w:val="00844C49"/>
    <w:rsid w:val="00844CD2"/>
    <w:rsid w:val="008458CF"/>
    <w:rsid w:val="00845C39"/>
    <w:rsid w:val="00845E91"/>
    <w:rsid w:val="00846722"/>
    <w:rsid w:val="00846B81"/>
    <w:rsid w:val="00847C1A"/>
    <w:rsid w:val="00847E2B"/>
    <w:rsid w:val="00850450"/>
    <w:rsid w:val="008506F0"/>
    <w:rsid w:val="00850803"/>
    <w:rsid w:val="00850C3E"/>
    <w:rsid w:val="00850F65"/>
    <w:rsid w:val="00851501"/>
    <w:rsid w:val="008517BA"/>
    <w:rsid w:val="008518BB"/>
    <w:rsid w:val="008519B8"/>
    <w:rsid w:val="00851AA1"/>
    <w:rsid w:val="00851BF1"/>
    <w:rsid w:val="00851EEF"/>
    <w:rsid w:val="008521A2"/>
    <w:rsid w:val="00852267"/>
    <w:rsid w:val="00852528"/>
    <w:rsid w:val="00852771"/>
    <w:rsid w:val="008527BF"/>
    <w:rsid w:val="00852946"/>
    <w:rsid w:val="00852B0C"/>
    <w:rsid w:val="00852B39"/>
    <w:rsid w:val="00852BD4"/>
    <w:rsid w:val="00852C37"/>
    <w:rsid w:val="00853081"/>
    <w:rsid w:val="0085309F"/>
    <w:rsid w:val="0085361D"/>
    <w:rsid w:val="00853D28"/>
    <w:rsid w:val="008552B2"/>
    <w:rsid w:val="008553D1"/>
    <w:rsid w:val="0085553A"/>
    <w:rsid w:val="0085571B"/>
    <w:rsid w:val="008559D9"/>
    <w:rsid w:val="00855B3F"/>
    <w:rsid w:val="00855F73"/>
    <w:rsid w:val="00856202"/>
    <w:rsid w:val="008562FD"/>
    <w:rsid w:val="00856A96"/>
    <w:rsid w:val="00856E1A"/>
    <w:rsid w:val="00856FE4"/>
    <w:rsid w:val="008572F5"/>
    <w:rsid w:val="00857535"/>
    <w:rsid w:val="008575AE"/>
    <w:rsid w:val="00857DDC"/>
    <w:rsid w:val="008600BA"/>
    <w:rsid w:val="00860117"/>
    <w:rsid w:val="00860188"/>
    <w:rsid w:val="0086074D"/>
    <w:rsid w:val="00860C73"/>
    <w:rsid w:val="00860FC8"/>
    <w:rsid w:val="0086103E"/>
    <w:rsid w:val="00861143"/>
    <w:rsid w:val="00861B7F"/>
    <w:rsid w:val="00861D19"/>
    <w:rsid w:val="00861E53"/>
    <w:rsid w:val="00862CCA"/>
    <w:rsid w:val="00862EE4"/>
    <w:rsid w:val="00862F07"/>
    <w:rsid w:val="0086348D"/>
    <w:rsid w:val="00863A3A"/>
    <w:rsid w:val="00863EB4"/>
    <w:rsid w:val="00864344"/>
    <w:rsid w:val="00864437"/>
    <w:rsid w:val="0086464B"/>
    <w:rsid w:val="00864815"/>
    <w:rsid w:val="00864896"/>
    <w:rsid w:val="0086515B"/>
    <w:rsid w:val="00865240"/>
    <w:rsid w:val="008652FA"/>
    <w:rsid w:val="00865430"/>
    <w:rsid w:val="008661A7"/>
    <w:rsid w:val="00866482"/>
    <w:rsid w:val="008664C3"/>
    <w:rsid w:val="008666B8"/>
    <w:rsid w:val="00866AB1"/>
    <w:rsid w:val="00866EE5"/>
    <w:rsid w:val="00867158"/>
    <w:rsid w:val="008672E7"/>
    <w:rsid w:val="00867E17"/>
    <w:rsid w:val="00870156"/>
    <w:rsid w:val="008702C7"/>
    <w:rsid w:val="0087041B"/>
    <w:rsid w:val="00870839"/>
    <w:rsid w:val="00870ADE"/>
    <w:rsid w:val="0087135F"/>
    <w:rsid w:val="00871947"/>
    <w:rsid w:val="00871D78"/>
    <w:rsid w:val="00871DDB"/>
    <w:rsid w:val="00872205"/>
    <w:rsid w:val="008722BC"/>
    <w:rsid w:val="00872504"/>
    <w:rsid w:val="00872774"/>
    <w:rsid w:val="008727E8"/>
    <w:rsid w:val="00872BAB"/>
    <w:rsid w:val="00872CAA"/>
    <w:rsid w:val="00872D94"/>
    <w:rsid w:val="00873C5C"/>
    <w:rsid w:val="00873CC8"/>
    <w:rsid w:val="00873E01"/>
    <w:rsid w:val="00873FC8"/>
    <w:rsid w:val="00874FE6"/>
    <w:rsid w:val="0087505E"/>
    <w:rsid w:val="008750BD"/>
    <w:rsid w:val="0087543F"/>
    <w:rsid w:val="008756CA"/>
    <w:rsid w:val="00875953"/>
    <w:rsid w:val="00875BF4"/>
    <w:rsid w:val="00875C78"/>
    <w:rsid w:val="00875CDC"/>
    <w:rsid w:val="00876272"/>
    <w:rsid w:val="008764A7"/>
    <w:rsid w:val="00876625"/>
    <w:rsid w:val="0087672A"/>
    <w:rsid w:val="00876869"/>
    <w:rsid w:val="0087699B"/>
    <w:rsid w:val="00876C14"/>
    <w:rsid w:val="00876F86"/>
    <w:rsid w:val="0087710C"/>
    <w:rsid w:val="00877336"/>
    <w:rsid w:val="00877CBF"/>
    <w:rsid w:val="00880364"/>
    <w:rsid w:val="0088062A"/>
    <w:rsid w:val="008807B9"/>
    <w:rsid w:val="008808DC"/>
    <w:rsid w:val="00880B83"/>
    <w:rsid w:val="00880D7A"/>
    <w:rsid w:val="00880F1E"/>
    <w:rsid w:val="00881195"/>
    <w:rsid w:val="00881324"/>
    <w:rsid w:val="00881960"/>
    <w:rsid w:val="00881EB2"/>
    <w:rsid w:val="00882533"/>
    <w:rsid w:val="0088277E"/>
    <w:rsid w:val="008835F2"/>
    <w:rsid w:val="00883831"/>
    <w:rsid w:val="00883C37"/>
    <w:rsid w:val="00883DBE"/>
    <w:rsid w:val="00883E81"/>
    <w:rsid w:val="00883ED7"/>
    <w:rsid w:val="008841F0"/>
    <w:rsid w:val="0088429B"/>
    <w:rsid w:val="008843A9"/>
    <w:rsid w:val="0088446E"/>
    <w:rsid w:val="008847CA"/>
    <w:rsid w:val="00884808"/>
    <w:rsid w:val="00884ACD"/>
    <w:rsid w:val="00885529"/>
    <w:rsid w:val="008862C3"/>
    <w:rsid w:val="0088649C"/>
    <w:rsid w:val="00886975"/>
    <w:rsid w:val="00886CEF"/>
    <w:rsid w:val="0088714B"/>
    <w:rsid w:val="00887789"/>
    <w:rsid w:val="00887967"/>
    <w:rsid w:val="00887AAB"/>
    <w:rsid w:val="00890350"/>
    <w:rsid w:val="008904CF"/>
    <w:rsid w:val="008905C6"/>
    <w:rsid w:val="0089066D"/>
    <w:rsid w:val="008907C2"/>
    <w:rsid w:val="00890971"/>
    <w:rsid w:val="00890C53"/>
    <w:rsid w:val="008910D4"/>
    <w:rsid w:val="00891592"/>
    <w:rsid w:val="00891AA0"/>
    <w:rsid w:val="00891D09"/>
    <w:rsid w:val="00891E6B"/>
    <w:rsid w:val="00891E7A"/>
    <w:rsid w:val="00891E9E"/>
    <w:rsid w:val="00891EC4"/>
    <w:rsid w:val="008923CD"/>
    <w:rsid w:val="008924AD"/>
    <w:rsid w:val="008924C4"/>
    <w:rsid w:val="008928C1"/>
    <w:rsid w:val="00892A19"/>
    <w:rsid w:val="00892A1D"/>
    <w:rsid w:val="00892B8F"/>
    <w:rsid w:val="00893289"/>
    <w:rsid w:val="00893A25"/>
    <w:rsid w:val="00893F7A"/>
    <w:rsid w:val="0089424D"/>
    <w:rsid w:val="00894E66"/>
    <w:rsid w:val="008952C6"/>
    <w:rsid w:val="008953FA"/>
    <w:rsid w:val="008955A2"/>
    <w:rsid w:val="00895694"/>
    <w:rsid w:val="008959AB"/>
    <w:rsid w:val="00895AF6"/>
    <w:rsid w:val="00895DA9"/>
    <w:rsid w:val="00895F33"/>
    <w:rsid w:val="008961AA"/>
    <w:rsid w:val="008961ED"/>
    <w:rsid w:val="008963F8"/>
    <w:rsid w:val="00896F8B"/>
    <w:rsid w:val="008974B2"/>
    <w:rsid w:val="0089773F"/>
    <w:rsid w:val="0089784A"/>
    <w:rsid w:val="00897894"/>
    <w:rsid w:val="008A01B3"/>
    <w:rsid w:val="008A06DB"/>
    <w:rsid w:val="008A0777"/>
    <w:rsid w:val="008A0893"/>
    <w:rsid w:val="008A0ACE"/>
    <w:rsid w:val="008A0B10"/>
    <w:rsid w:val="008A123F"/>
    <w:rsid w:val="008A127F"/>
    <w:rsid w:val="008A1647"/>
    <w:rsid w:val="008A1864"/>
    <w:rsid w:val="008A1C43"/>
    <w:rsid w:val="008A1D4D"/>
    <w:rsid w:val="008A205A"/>
    <w:rsid w:val="008A223E"/>
    <w:rsid w:val="008A22CE"/>
    <w:rsid w:val="008A247E"/>
    <w:rsid w:val="008A2683"/>
    <w:rsid w:val="008A26AE"/>
    <w:rsid w:val="008A27F0"/>
    <w:rsid w:val="008A2E16"/>
    <w:rsid w:val="008A2F68"/>
    <w:rsid w:val="008A339E"/>
    <w:rsid w:val="008A34AE"/>
    <w:rsid w:val="008A362D"/>
    <w:rsid w:val="008A38D4"/>
    <w:rsid w:val="008A3A0D"/>
    <w:rsid w:val="008A3DB2"/>
    <w:rsid w:val="008A3E03"/>
    <w:rsid w:val="008A41B6"/>
    <w:rsid w:val="008A4918"/>
    <w:rsid w:val="008A4954"/>
    <w:rsid w:val="008A4A76"/>
    <w:rsid w:val="008A4EBE"/>
    <w:rsid w:val="008A5321"/>
    <w:rsid w:val="008A5465"/>
    <w:rsid w:val="008A5D7C"/>
    <w:rsid w:val="008A6249"/>
    <w:rsid w:val="008A6270"/>
    <w:rsid w:val="008A659C"/>
    <w:rsid w:val="008A66A2"/>
    <w:rsid w:val="008A6778"/>
    <w:rsid w:val="008A6AC3"/>
    <w:rsid w:val="008A72E6"/>
    <w:rsid w:val="008A73E3"/>
    <w:rsid w:val="008A7503"/>
    <w:rsid w:val="008A781D"/>
    <w:rsid w:val="008A79A8"/>
    <w:rsid w:val="008B01A5"/>
    <w:rsid w:val="008B037C"/>
    <w:rsid w:val="008B05B8"/>
    <w:rsid w:val="008B078F"/>
    <w:rsid w:val="008B0C16"/>
    <w:rsid w:val="008B0F48"/>
    <w:rsid w:val="008B1D58"/>
    <w:rsid w:val="008B27EF"/>
    <w:rsid w:val="008B28F4"/>
    <w:rsid w:val="008B2B48"/>
    <w:rsid w:val="008B2B73"/>
    <w:rsid w:val="008B2C34"/>
    <w:rsid w:val="008B2CFF"/>
    <w:rsid w:val="008B2DEE"/>
    <w:rsid w:val="008B34CA"/>
    <w:rsid w:val="008B3504"/>
    <w:rsid w:val="008B35CF"/>
    <w:rsid w:val="008B3667"/>
    <w:rsid w:val="008B36DB"/>
    <w:rsid w:val="008B3AEB"/>
    <w:rsid w:val="008B3D25"/>
    <w:rsid w:val="008B3FC7"/>
    <w:rsid w:val="008B40ED"/>
    <w:rsid w:val="008B4184"/>
    <w:rsid w:val="008B42CE"/>
    <w:rsid w:val="008B454A"/>
    <w:rsid w:val="008B4C70"/>
    <w:rsid w:val="008B4FA6"/>
    <w:rsid w:val="008B5173"/>
    <w:rsid w:val="008B518D"/>
    <w:rsid w:val="008B5282"/>
    <w:rsid w:val="008B52A0"/>
    <w:rsid w:val="008B52E0"/>
    <w:rsid w:val="008B5719"/>
    <w:rsid w:val="008B58B7"/>
    <w:rsid w:val="008B5A32"/>
    <w:rsid w:val="008B5A58"/>
    <w:rsid w:val="008B5A72"/>
    <w:rsid w:val="008B5B0D"/>
    <w:rsid w:val="008B5F72"/>
    <w:rsid w:val="008B5F8C"/>
    <w:rsid w:val="008B60BB"/>
    <w:rsid w:val="008B699F"/>
    <w:rsid w:val="008B6A2F"/>
    <w:rsid w:val="008B6BF0"/>
    <w:rsid w:val="008B700E"/>
    <w:rsid w:val="008B7204"/>
    <w:rsid w:val="008B73DB"/>
    <w:rsid w:val="008B7448"/>
    <w:rsid w:val="008B7664"/>
    <w:rsid w:val="008B7794"/>
    <w:rsid w:val="008B7A31"/>
    <w:rsid w:val="008B7C17"/>
    <w:rsid w:val="008B7E48"/>
    <w:rsid w:val="008C0114"/>
    <w:rsid w:val="008C0274"/>
    <w:rsid w:val="008C04FD"/>
    <w:rsid w:val="008C0677"/>
    <w:rsid w:val="008C0F32"/>
    <w:rsid w:val="008C1074"/>
    <w:rsid w:val="008C1815"/>
    <w:rsid w:val="008C183A"/>
    <w:rsid w:val="008C1976"/>
    <w:rsid w:val="008C1A68"/>
    <w:rsid w:val="008C1FAC"/>
    <w:rsid w:val="008C1FDC"/>
    <w:rsid w:val="008C226D"/>
    <w:rsid w:val="008C239A"/>
    <w:rsid w:val="008C25C0"/>
    <w:rsid w:val="008C2771"/>
    <w:rsid w:val="008C2B8A"/>
    <w:rsid w:val="008C2C2D"/>
    <w:rsid w:val="008C2CA6"/>
    <w:rsid w:val="008C2CBF"/>
    <w:rsid w:val="008C2D01"/>
    <w:rsid w:val="008C325F"/>
    <w:rsid w:val="008C3471"/>
    <w:rsid w:val="008C3566"/>
    <w:rsid w:val="008C3DA9"/>
    <w:rsid w:val="008C3F4C"/>
    <w:rsid w:val="008C40E6"/>
    <w:rsid w:val="008C45FD"/>
    <w:rsid w:val="008C462A"/>
    <w:rsid w:val="008C4AED"/>
    <w:rsid w:val="008C4D4A"/>
    <w:rsid w:val="008C4E07"/>
    <w:rsid w:val="008C510B"/>
    <w:rsid w:val="008C5896"/>
    <w:rsid w:val="008C6447"/>
    <w:rsid w:val="008C6CD2"/>
    <w:rsid w:val="008C6D72"/>
    <w:rsid w:val="008C6DF1"/>
    <w:rsid w:val="008C7229"/>
    <w:rsid w:val="008C7524"/>
    <w:rsid w:val="008C7896"/>
    <w:rsid w:val="008D01BD"/>
    <w:rsid w:val="008D01FB"/>
    <w:rsid w:val="008D0239"/>
    <w:rsid w:val="008D030F"/>
    <w:rsid w:val="008D057E"/>
    <w:rsid w:val="008D0763"/>
    <w:rsid w:val="008D09EA"/>
    <w:rsid w:val="008D0F27"/>
    <w:rsid w:val="008D0F75"/>
    <w:rsid w:val="008D0F7A"/>
    <w:rsid w:val="008D1073"/>
    <w:rsid w:val="008D143D"/>
    <w:rsid w:val="008D1444"/>
    <w:rsid w:val="008D173E"/>
    <w:rsid w:val="008D1C0C"/>
    <w:rsid w:val="008D2061"/>
    <w:rsid w:val="008D23AF"/>
    <w:rsid w:val="008D26DD"/>
    <w:rsid w:val="008D29EC"/>
    <w:rsid w:val="008D2B9D"/>
    <w:rsid w:val="008D3023"/>
    <w:rsid w:val="008D30F0"/>
    <w:rsid w:val="008D3372"/>
    <w:rsid w:val="008D3556"/>
    <w:rsid w:val="008D3691"/>
    <w:rsid w:val="008D3BCB"/>
    <w:rsid w:val="008D4021"/>
    <w:rsid w:val="008D4488"/>
    <w:rsid w:val="008D452B"/>
    <w:rsid w:val="008D454B"/>
    <w:rsid w:val="008D4887"/>
    <w:rsid w:val="008D48E4"/>
    <w:rsid w:val="008D4C04"/>
    <w:rsid w:val="008D5100"/>
    <w:rsid w:val="008D52FA"/>
    <w:rsid w:val="008D58F4"/>
    <w:rsid w:val="008D5A32"/>
    <w:rsid w:val="008D5E48"/>
    <w:rsid w:val="008D5F43"/>
    <w:rsid w:val="008D636E"/>
    <w:rsid w:val="008D6778"/>
    <w:rsid w:val="008D68E4"/>
    <w:rsid w:val="008D6D04"/>
    <w:rsid w:val="008D6D7B"/>
    <w:rsid w:val="008D72AB"/>
    <w:rsid w:val="008D7363"/>
    <w:rsid w:val="008D7406"/>
    <w:rsid w:val="008D76D0"/>
    <w:rsid w:val="008D7CEA"/>
    <w:rsid w:val="008D7E68"/>
    <w:rsid w:val="008D7F55"/>
    <w:rsid w:val="008E0506"/>
    <w:rsid w:val="008E0902"/>
    <w:rsid w:val="008E0CFF"/>
    <w:rsid w:val="008E102C"/>
    <w:rsid w:val="008E118E"/>
    <w:rsid w:val="008E1400"/>
    <w:rsid w:val="008E148B"/>
    <w:rsid w:val="008E14B2"/>
    <w:rsid w:val="008E1C97"/>
    <w:rsid w:val="008E1F33"/>
    <w:rsid w:val="008E2C6B"/>
    <w:rsid w:val="008E3334"/>
    <w:rsid w:val="008E35A2"/>
    <w:rsid w:val="008E38C6"/>
    <w:rsid w:val="008E443F"/>
    <w:rsid w:val="008E4AC0"/>
    <w:rsid w:val="008E4C02"/>
    <w:rsid w:val="008E4D31"/>
    <w:rsid w:val="008E4F36"/>
    <w:rsid w:val="008E511E"/>
    <w:rsid w:val="008E56F8"/>
    <w:rsid w:val="008E5D6B"/>
    <w:rsid w:val="008E5DF2"/>
    <w:rsid w:val="008E5E85"/>
    <w:rsid w:val="008E60E8"/>
    <w:rsid w:val="008E624F"/>
    <w:rsid w:val="008E6D2A"/>
    <w:rsid w:val="008E6E31"/>
    <w:rsid w:val="008E73AE"/>
    <w:rsid w:val="008E7497"/>
    <w:rsid w:val="008E75F9"/>
    <w:rsid w:val="008E76F0"/>
    <w:rsid w:val="008E77CA"/>
    <w:rsid w:val="008F002C"/>
    <w:rsid w:val="008F01F6"/>
    <w:rsid w:val="008F05F8"/>
    <w:rsid w:val="008F05FF"/>
    <w:rsid w:val="008F06CB"/>
    <w:rsid w:val="008F0859"/>
    <w:rsid w:val="008F089D"/>
    <w:rsid w:val="008F0BA7"/>
    <w:rsid w:val="008F0CB5"/>
    <w:rsid w:val="008F0D83"/>
    <w:rsid w:val="008F1287"/>
    <w:rsid w:val="008F15FE"/>
    <w:rsid w:val="008F167A"/>
    <w:rsid w:val="008F1D40"/>
    <w:rsid w:val="008F1F23"/>
    <w:rsid w:val="008F22A8"/>
    <w:rsid w:val="008F273C"/>
    <w:rsid w:val="008F2769"/>
    <w:rsid w:val="008F2865"/>
    <w:rsid w:val="008F2C92"/>
    <w:rsid w:val="008F2CAE"/>
    <w:rsid w:val="008F2D29"/>
    <w:rsid w:val="008F2E9A"/>
    <w:rsid w:val="008F376E"/>
    <w:rsid w:val="008F3775"/>
    <w:rsid w:val="008F3E0F"/>
    <w:rsid w:val="008F3E55"/>
    <w:rsid w:val="008F3F0B"/>
    <w:rsid w:val="008F3F0D"/>
    <w:rsid w:val="008F4104"/>
    <w:rsid w:val="008F49D5"/>
    <w:rsid w:val="008F4BF4"/>
    <w:rsid w:val="008F4E1E"/>
    <w:rsid w:val="008F508E"/>
    <w:rsid w:val="008F50FE"/>
    <w:rsid w:val="008F5187"/>
    <w:rsid w:val="008F51CB"/>
    <w:rsid w:val="008F541D"/>
    <w:rsid w:val="008F550E"/>
    <w:rsid w:val="008F5C5E"/>
    <w:rsid w:val="008F5D5C"/>
    <w:rsid w:val="008F60D8"/>
    <w:rsid w:val="008F63E9"/>
    <w:rsid w:val="008F657A"/>
    <w:rsid w:val="008F6A0D"/>
    <w:rsid w:val="008F7041"/>
    <w:rsid w:val="008F7253"/>
    <w:rsid w:val="008F7497"/>
    <w:rsid w:val="008F7903"/>
    <w:rsid w:val="008F793B"/>
    <w:rsid w:val="008F7BD1"/>
    <w:rsid w:val="008F7F99"/>
    <w:rsid w:val="00900174"/>
    <w:rsid w:val="0090017E"/>
    <w:rsid w:val="0090038E"/>
    <w:rsid w:val="00900439"/>
    <w:rsid w:val="009004B0"/>
    <w:rsid w:val="009007F6"/>
    <w:rsid w:val="00900ADD"/>
    <w:rsid w:val="00901253"/>
    <w:rsid w:val="0090149F"/>
    <w:rsid w:val="0090151B"/>
    <w:rsid w:val="009016F4"/>
    <w:rsid w:val="0090178D"/>
    <w:rsid w:val="0090187D"/>
    <w:rsid w:val="00901D32"/>
    <w:rsid w:val="00901DDB"/>
    <w:rsid w:val="0090232C"/>
    <w:rsid w:val="00902727"/>
    <w:rsid w:val="0090312B"/>
    <w:rsid w:val="009031E8"/>
    <w:rsid w:val="00903383"/>
    <w:rsid w:val="0090343A"/>
    <w:rsid w:val="009039D5"/>
    <w:rsid w:val="00903C00"/>
    <w:rsid w:val="00903F24"/>
    <w:rsid w:val="009041E5"/>
    <w:rsid w:val="009042F0"/>
    <w:rsid w:val="0090499E"/>
    <w:rsid w:val="00904FB7"/>
    <w:rsid w:val="009058CA"/>
    <w:rsid w:val="009060AF"/>
    <w:rsid w:val="009061CC"/>
    <w:rsid w:val="009064D0"/>
    <w:rsid w:val="009068B5"/>
    <w:rsid w:val="00906CFB"/>
    <w:rsid w:val="00907348"/>
    <w:rsid w:val="00910317"/>
    <w:rsid w:val="00910B67"/>
    <w:rsid w:val="00910D74"/>
    <w:rsid w:val="00910DBB"/>
    <w:rsid w:val="00910E0C"/>
    <w:rsid w:val="0091107F"/>
    <w:rsid w:val="009110FF"/>
    <w:rsid w:val="00911447"/>
    <w:rsid w:val="009117DD"/>
    <w:rsid w:val="00911E0F"/>
    <w:rsid w:val="009124BB"/>
    <w:rsid w:val="009128AC"/>
    <w:rsid w:val="0091299D"/>
    <w:rsid w:val="00912C3A"/>
    <w:rsid w:val="0091344A"/>
    <w:rsid w:val="00913485"/>
    <w:rsid w:val="00913499"/>
    <w:rsid w:val="00913F1F"/>
    <w:rsid w:val="00914059"/>
    <w:rsid w:val="00914692"/>
    <w:rsid w:val="0091484E"/>
    <w:rsid w:val="00914AD7"/>
    <w:rsid w:val="00914F79"/>
    <w:rsid w:val="00915149"/>
    <w:rsid w:val="009152F2"/>
    <w:rsid w:val="009155F4"/>
    <w:rsid w:val="00915A1D"/>
    <w:rsid w:val="00915E12"/>
    <w:rsid w:val="0091613F"/>
    <w:rsid w:val="00916203"/>
    <w:rsid w:val="009165F4"/>
    <w:rsid w:val="00916BFC"/>
    <w:rsid w:val="00916CBA"/>
    <w:rsid w:val="0091736D"/>
    <w:rsid w:val="009178F1"/>
    <w:rsid w:val="0091797A"/>
    <w:rsid w:val="00920570"/>
    <w:rsid w:val="00920756"/>
    <w:rsid w:val="00920ABB"/>
    <w:rsid w:val="00920AC3"/>
    <w:rsid w:val="00920AED"/>
    <w:rsid w:val="00920B98"/>
    <w:rsid w:val="009211F8"/>
    <w:rsid w:val="00921335"/>
    <w:rsid w:val="0092167E"/>
    <w:rsid w:val="009218CB"/>
    <w:rsid w:val="009223C0"/>
    <w:rsid w:val="009224ED"/>
    <w:rsid w:val="0092279E"/>
    <w:rsid w:val="00922884"/>
    <w:rsid w:val="009229D7"/>
    <w:rsid w:val="00922ECB"/>
    <w:rsid w:val="00922ED3"/>
    <w:rsid w:val="00923138"/>
    <w:rsid w:val="009232E1"/>
    <w:rsid w:val="00923637"/>
    <w:rsid w:val="009237FB"/>
    <w:rsid w:val="00923B6E"/>
    <w:rsid w:val="009240EE"/>
    <w:rsid w:val="00924258"/>
    <w:rsid w:val="0092448F"/>
    <w:rsid w:val="0092466B"/>
    <w:rsid w:val="0092467B"/>
    <w:rsid w:val="009251B7"/>
    <w:rsid w:val="009251DA"/>
    <w:rsid w:val="00925227"/>
    <w:rsid w:val="00925689"/>
    <w:rsid w:val="00925CD3"/>
    <w:rsid w:val="00925D00"/>
    <w:rsid w:val="00926DF6"/>
    <w:rsid w:val="00927027"/>
    <w:rsid w:val="0092797D"/>
    <w:rsid w:val="0093037A"/>
    <w:rsid w:val="009304C0"/>
    <w:rsid w:val="009305C9"/>
    <w:rsid w:val="00930F4C"/>
    <w:rsid w:val="009310FB"/>
    <w:rsid w:val="009315F9"/>
    <w:rsid w:val="009319B0"/>
    <w:rsid w:val="009320A3"/>
    <w:rsid w:val="009324DC"/>
    <w:rsid w:val="009325FC"/>
    <w:rsid w:val="0093271C"/>
    <w:rsid w:val="00932DC0"/>
    <w:rsid w:val="00933002"/>
    <w:rsid w:val="00933491"/>
    <w:rsid w:val="009336BC"/>
    <w:rsid w:val="0093379D"/>
    <w:rsid w:val="00933D5C"/>
    <w:rsid w:val="0093462F"/>
    <w:rsid w:val="00934772"/>
    <w:rsid w:val="009349C0"/>
    <w:rsid w:val="00934AE9"/>
    <w:rsid w:val="00934D34"/>
    <w:rsid w:val="00935570"/>
    <w:rsid w:val="00936073"/>
    <w:rsid w:val="0093626A"/>
    <w:rsid w:val="00936630"/>
    <w:rsid w:val="00936E62"/>
    <w:rsid w:val="00937118"/>
    <w:rsid w:val="00937493"/>
    <w:rsid w:val="00937496"/>
    <w:rsid w:val="009378E2"/>
    <w:rsid w:val="00937E08"/>
    <w:rsid w:val="00937E1E"/>
    <w:rsid w:val="009401E6"/>
    <w:rsid w:val="00940398"/>
    <w:rsid w:val="009407D1"/>
    <w:rsid w:val="009408BD"/>
    <w:rsid w:val="00940BC6"/>
    <w:rsid w:val="0094154D"/>
    <w:rsid w:val="00941F0A"/>
    <w:rsid w:val="00941F3A"/>
    <w:rsid w:val="00941FDE"/>
    <w:rsid w:val="009425E4"/>
    <w:rsid w:val="00942688"/>
    <w:rsid w:val="00942699"/>
    <w:rsid w:val="00942B8C"/>
    <w:rsid w:val="00942E4A"/>
    <w:rsid w:val="00943814"/>
    <w:rsid w:val="009438B5"/>
    <w:rsid w:val="0094395B"/>
    <w:rsid w:val="00943B9E"/>
    <w:rsid w:val="00943BA9"/>
    <w:rsid w:val="00943DEA"/>
    <w:rsid w:val="009443F9"/>
    <w:rsid w:val="009447A9"/>
    <w:rsid w:val="00944AA5"/>
    <w:rsid w:val="00944CF2"/>
    <w:rsid w:val="00944F07"/>
    <w:rsid w:val="00945200"/>
    <w:rsid w:val="00945349"/>
    <w:rsid w:val="009454F6"/>
    <w:rsid w:val="00945553"/>
    <w:rsid w:val="009456FE"/>
    <w:rsid w:val="0094573B"/>
    <w:rsid w:val="009457AF"/>
    <w:rsid w:val="00945934"/>
    <w:rsid w:val="00945CC4"/>
    <w:rsid w:val="00945F70"/>
    <w:rsid w:val="009462A1"/>
    <w:rsid w:val="00946A4C"/>
    <w:rsid w:val="00946C72"/>
    <w:rsid w:val="00947410"/>
    <w:rsid w:val="0094749C"/>
    <w:rsid w:val="00947B53"/>
    <w:rsid w:val="00947F03"/>
    <w:rsid w:val="0095067D"/>
    <w:rsid w:val="009507FB"/>
    <w:rsid w:val="00950A20"/>
    <w:rsid w:val="00950D2B"/>
    <w:rsid w:val="009511BF"/>
    <w:rsid w:val="009512F4"/>
    <w:rsid w:val="0095155F"/>
    <w:rsid w:val="00951606"/>
    <w:rsid w:val="00951685"/>
    <w:rsid w:val="00951978"/>
    <w:rsid w:val="00951BE2"/>
    <w:rsid w:val="00951F78"/>
    <w:rsid w:val="0095236D"/>
    <w:rsid w:val="009523BF"/>
    <w:rsid w:val="00952452"/>
    <w:rsid w:val="00952A51"/>
    <w:rsid w:val="00952A7D"/>
    <w:rsid w:val="00952D63"/>
    <w:rsid w:val="00952E3D"/>
    <w:rsid w:val="00952E95"/>
    <w:rsid w:val="00952FD3"/>
    <w:rsid w:val="009535DD"/>
    <w:rsid w:val="00953C69"/>
    <w:rsid w:val="00953CFB"/>
    <w:rsid w:val="00953EC4"/>
    <w:rsid w:val="0095420E"/>
    <w:rsid w:val="00954429"/>
    <w:rsid w:val="00954CB6"/>
    <w:rsid w:val="00955006"/>
    <w:rsid w:val="009560ED"/>
    <w:rsid w:val="00956162"/>
    <w:rsid w:val="009563CE"/>
    <w:rsid w:val="009567EB"/>
    <w:rsid w:val="009569E0"/>
    <w:rsid w:val="00956C68"/>
    <w:rsid w:val="009574D4"/>
    <w:rsid w:val="0095797D"/>
    <w:rsid w:val="009579F7"/>
    <w:rsid w:val="00957A8E"/>
    <w:rsid w:val="00960034"/>
    <w:rsid w:val="00960984"/>
    <w:rsid w:val="009611D7"/>
    <w:rsid w:val="009615A7"/>
    <w:rsid w:val="00961985"/>
    <w:rsid w:val="009619C2"/>
    <w:rsid w:val="00962BB6"/>
    <w:rsid w:val="00962FEE"/>
    <w:rsid w:val="00963873"/>
    <w:rsid w:val="00963B1C"/>
    <w:rsid w:val="009641E6"/>
    <w:rsid w:val="00964276"/>
    <w:rsid w:val="009645AF"/>
    <w:rsid w:val="00964A06"/>
    <w:rsid w:val="00964AF9"/>
    <w:rsid w:val="00964BB3"/>
    <w:rsid w:val="00964D73"/>
    <w:rsid w:val="009659BE"/>
    <w:rsid w:val="00965CAD"/>
    <w:rsid w:val="00965EED"/>
    <w:rsid w:val="00965F6A"/>
    <w:rsid w:val="009660BE"/>
    <w:rsid w:val="0096611B"/>
    <w:rsid w:val="00966177"/>
    <w:rsid w:val="00966319"/>
    <w:rsid w:val="0096654B"/>
    <w:rsid w:val="00966861"/>
    <w:rsid w:val="00966BE3"/>
    <w:rsid w:val="00967923"/>
    <w:rsid w:val="00967C08"/>
    <w:rsid w:val="00970209"/>
    <w:rsid w:val="00970B86"/>
    <w:rsid w:val="00970D18"/>
    <w:rsid w:val="00971377"/>
    <w:rsid w:val="0097174B"/>
    <w:rsid w:val="009718E4"/>
    <w:rsid w:val="00971D5B"/>
    <w:rsid w:val="009732E3"/>
    <w:rsid w:val="009739BF"/>
    <w:rsid w:val="00973AA6"/>
    <w:rsid w:val="00973AF2"/>
    <w:rsid w:val="00973E32"/>
    <w:rsid w:val="00974288"/>
    <w:rsid w:val="00974423"/>
    <w:rsid w:val="00974A09"/>
    <w:rsid w:val="00974B5E"/>
    <w:rsid w:val="00974D0B"/>
    <w:rsid w:val="00975A33"/>
    <w:rsid w:val="00975CB0"/>
    <w:rsid w:val="009762A7"/>
    <w:rsid w:val="00976328"/>
    <w:rsid w:val="009767DF"/>
    <w:rsid w:val="009767F5"/>
    <w:rsid w:val="0097680D"/>
    <w:rsid w:val="00976810"/>
    <w:rsid w:val="00976848"/>
    <w:rsid w:val="00976C62"/>
    <w:rsid w:val="00976D62"/>
    <w:rsid w:val="00976FA9"/>
    <w:rsid w:val="00977031"/>
    <w:rsid w:val="00977271"/>
    <w:rsid w:val="00977439"/>
    <w:rsid w:val="0097748F"/>
    <w:rsid w:val="009774CB"/>
    <w:rsid w:val="009774DF"/>
    <w:rsid w:val="009777FE"/>
    <w:rsid w:val="009778AE"/>
    <w:rsid w:val="00977A93"/>
    <w:rsid w:val="00977B51"/>
    <w:rsid w:val="00977EA8"/>
    <w:rsid w:val="00977EE0"/>
    <w:rsid w:val="009802BE"/>
    <w:rsid w:val="0098047C"/>
    <w:rsid w:val="00980675"/>
    <w:rsid w:val="00980805"/>
    <w:rsid w:val="00980832"/>
    <w:rsid w:val="00980F5D"/>
    <w:rsid w:val="0098115D"/>
    <w:rsid w:val="009818DE"/>
    <w:rsid w:val="00981D8F"/>
    <w:rsid w:val="00982014"/>
    <w:rsid w:val="00982219"/>
    <w:rsid w:val="009823E6"/>
    <w:rsid w:val="00982438"/>
    <w:rsid w:val="00982AD5"/>
    <w:rsid w:val="00983340"/>
    <w:rsid w:val="0098340F"/>
    <w:rsid w:val="009834A0"/>
    <w:rsid w:val="00983931"/>
    <w:rsid w:val="00983AC6"/>
    <w:rsid w:val="00983BD0"/>
    <w:rsid w:val="0098404C"/>
    <w:rsid w:val="009844AC"/>
    <w:rsid w:val="00984B38"/>
    <w:rsid w:val="00985283"/>
    <w:rsid w:val="0098583D"/>
    <w:rsid w:val="009859A0"/>
    <w:rsid w:val="00985AA9"/>
    <w:rsid w:val="00985CE2"/>
    <w:rsid w:val="00986117"/>
    <w:rsid w:val="00986882"/>
    <w:rsid w:val="009869BC"/>
    <w:rsid w:val="009869C4"/>
    <w:rsid w:val="00986A25"/>
    <w:rsid w:val="00986CFF"/>
    <w:rsid w:val="009879D4"/>
    <w:rsid w:val="00990092"/>
    <w:rsid w:val="009900B0"/>
    <w:rsid w:val="00990204"/>
    <w:rsid w:val="009904C4"/>
    <w:rsid w:val="0099064F"/>
    <w:rsid w:val="009906C6"/>
    <w:rsid w:val="00990CC5"/>
    <w:rsid w:val="00990F8E"/>
    <w:rsid w:val="0099125F"/>
    <w:rsid w:val="0099129E"/>
    <w:rsid w:val="009914A6"/>
    <w:rsid w:val="00991588"/>
    <w:rsid w:val="009916D2"/>
    <w:rsid w:val="009919FE"/>
    <w:rsid w:val="00991A1B"/>
    <w:rsid w:val="00991A2B"/>
    <w:rsid w:val="00992AA8"/>
    <w:rsid w:val="00992EC7"/>
    <w:rsid w:val="00993640"/>
    <w:rsid w:val="00993735"/>
    <w:rsid w:val="009939CD"/>
    <w:rsid w:val="00993AC5"/>
    <w:rsid w:val="00993B0A"/>
    <w:rsid w:val="00993CA2"/>
    <w:rsid w:val="009944B7"/>
    <w:rsid w:val="009947C7"/>
    <w:rsid w:val="00994BF2"/>
    <w:rsid w:val="00994C66"/>
    <w:rsid w:val="00995302"/>
    <w:rsid w:val="009954A3"/>
    <w:rsid w:val="009956E8"/>
    <w:rsid w:val="00995835"/>
    <w:rsid w:val="00995992"/>
    <w:rsid w:val="009959A8"/>
    <w:rsid w:val="00995B83"/>
    <w:rsid w:val="00995CB4"/>
    <w:rsid w:val="00995EF0"/>
    <w:rsid w:val="009960AF"/>
    <w:rsid w:val="00996409"/>
    <w:rsid w:val="00996491"/>
    <w:rsid w:val="00996850"/>
    <w:rsid w:val="009969E0"/>
    <w:rsid w:val="009970AA"/>
    <w:rsid w:val="009970C0"/>
    <w:rsid w:val="00997149"/>
    <w:rsid w:val="00997968"/>
    <w:rsid w:val="009979FE"/>
    <w:rsid w:val="00997A0F"/>
    <w:rsid w:val="009A003D"/>
    <w:rsid w:val="009A0086"/>
    <w:rsid w:val="009A010F"/>
    <w:rsid w:val="009A03E5"/>
    <w:rsid w:val="009A0772"/>
    <w:rsid w:val="009A081B"/>
    <w:rsid w:val="009A0F3B"/>
    <w:rsid w:val="009A0FA7"/>
    <w:rsid w:val="009A1006"/>
    <w:rsid w:val="009A100C"/>
    <w:rsid w:val="009A108E"/>
    <w:rsid w:val="009A1B2D"/>
    <w:rsid w:val="009A1BB4"/>
    <w:rsid w:val="009A1D05"/>
    <w:rsid w:val="009A1E93"/>
    <w:rsid w:val="009A2628"/>
    <w:rsid w:val="009A284F"/>
    <w:rsid w:val="009A2930"/>
    <w:rsid w:val="009A296C"/>
    <w:rsid w:val="009A299F"/>
    <w:rsid w:val="009A2A4F"/>
    <w:rsid w:val="009A2B46"/>
    <w:rsid w:val="009A2C42"/>
    <w:rsid w:val="009A3200"/>
    <w:rsid w:val="009A3340"/>
    <w:rsid w:val="009A3AA3"/>
    <w:rsid w:val="009A3CA0"/>
    <w:rsid w:val="009A43CB"/>
    <w:rsid w:val="009A4AD0"/>
    <w:rsid w:val="009A4B25"/>
    <w:rsid w:val="009A4C87"/>
    <w:rsid w:val="009A4EBD"/>
    <w:rsid w:val="009A52AB"/>
    <w:rsid w:val="009A5468"/>
    <w:rsid w:val="009A569C"/>
    <w:rsid w:val="009A56BF"/>
    <w:rsid w:val="009A6072"/>
    <w:rsid w:val="009A607F"/>
    <w:rsid w:val="009A64CB"/>
    <w:rsid w:val="009A6625"/>
    <w:rsid w:val="009A6729"/>
    <w:rsid w:val="009A6775"/>
    <w:rsid w:val="009A67DF"/>
    <w:rsid w:val="009A6910"/>
    <w:rsid w:val="009A6C4E"/>
    <w:rsid w:val="009A6CB1"/>
    <w:rsid w:val="009A6E1E"/>
    <w:rsid w:val="009A7203"/>
    <w:rsid w:val="009A73AC"/>
    <w:rsid w:val="009A7675"/>
    <w:rsid w:val="009A7957"/>
    <w:rsid w:val="009B07EB"/>
    <w:rsid w:val="009B0897"/>
    <w:rsid w:val="009B0BA1"/>
    <w:rsid w:val="009B180F"/>
    <w:rsid w:val="009B1B11"/>
    <w:rsid w:val="009B1C06"/>
    <w:rsid w:val="009B22C8"/>
    <w:rsid w:val="009B288A"/>
    <w:rsid w:val="009B28BF"/>
    <w:rsid w:val="009B29B9"/>
    <w:rsid w:val="009B29BA"/>
    <w:rsid w:val="009B2AF1"/>
    <w:rsid w:val="009B2B80"/>
    <w:rsid w:val="009B2C0D"/>
    <w:rsid w:val="009B2F67"/>
    <w:rsid w:val="009B3326"/>
    <w:rsid w:val="009B34C5"/>
    <w:rsid w:val="009B36E8"/>
    <w:rsid w:val="009B3726"/>
    <w:rsid w:val="009B37C2"/>
    <w:rsid w:val="009B38CE"/>
    <w:rsid w:val="009B3A2A"/>
    <w:rsid w:val="009B3AFF"/>
    <w:rsid w:val="009B3CEA"/>
    <w:rsid w:val="009B3F2A"/>
    <w:rsid w:val="009B4166"/>
    <w:rsid w:val="009B41E7"/>
    <w:rsid w:val="009B4477"/>
    <w:rsid w:val="009B4696"/>
    <w:rsid w:val="009B49A1"/>
    <w:rsid w:val="009B4AE8"/>
    <w:rsid w:val="009B4EF1"/>
    <w:rsid w:val="009B5923"/>
    <w:rsid w:val="009B5AC0"/>
    <w:rsid w:val="009B5D10"/>
    <w:rsid w:val="009B5E7C"/>
    <w:rsid w:val="009B623C"/>
    <w:rsid w:val="009B63F6"/>
    <w:rsid w:val="009B6544"/>
    <w:rsid w:val="009B66D8"/>
    <w:rsid w:val="009B6CD3"/>
    <w:rsid w:val="009B6F4D"/>
    <w:rsid w:val="009B78A8"/>
    <w:rsid w:val="009B7B58"/>
    <w:rsid w:val="009B7BD9"/>
    <w:rsid w:val="009B7D39"/>
    <w:rsid w:val="009C0048"/>
    <w:rsid w:val="009C01A5"/>
    <w:rsid w:val="009C04C6"/>
    <w:rsid w:val="009C0B93"/>
    <w:rsid w:val="009C0CF9"/>
    <w:rsid w:val="009C0DF6"/>
    <w:rsid w:val="009C0E3B"/>
    <w:rsid w:val="009C1106"/>
    <w:rsid w:val="009C1358"/>
    <w:rsid w:val="009C141B"/>
    <w:rsid w:val="009C1720"/>
    <w:rsid w:val="009C1C71"/>
    <w:rsid w:val="009C225F"/>
    <w:rsid w:val="009C231F"/>
    <w:rsid w:val="009C294D"/>
    <w:rsid w:val="009C2E0A"/>
    <w:rsid w:val="009C2EC1"/>
    <w:rsid w:val="009C2EDD"/>
    <w:rsid w:val="009C3046"/>
    <w:rsid w:val="009C305C"/>
    <w:rsid w:val="009C3074"/>
    <w:rsid w:val="009C3361"/>
    <w:rsid w:val="009C3898"/>
    <w:rsid w:val="009C399A"/>
    <w:rsid w:val="009C3CDC"/>
    <w:rsid w:val="009C3D89"/>
    <w:rsid w:val="009C3E7E"/>
    <w:rsid w:val="009C4002"/>
    <w:rsid w:val="009C4119"/>
    <w:rsid w:val="009C44B7"/>
    <w:rsid w:val="009C49EB"/>
    <w:rsid w:val="009C4BA3"/>
    <w:rsid w:val="009C5209"/>
    <w:rsid w:val="009C5A87"/>
    <w:rsid w:val="009C5B07"/>
    <w:rsid w:val="009C5C8E"/>
    <w:rsid w:val="009C6001"/>
    <w:rsid w:val="009C6068"/>
    <w:rsid w:val="009C6339"/>
    <w:rsid w:val="009C6480"/>
    <w:rsid w:val="009C696B"/>
    <w:rsid w:val="009C6B75"/>
    <w:rsid w:val="009C6BD2"/>
    <w:rsid w:val="009C6CE7"/>
    <w:rsid w:val="009C740E"/>
    <w:rsid w:val="009C7585"/>
    <w:rsid w:val="009C7607"/>
    <w:rsid w:val="009C777B"/>
    <w:rsid w:val="009C7BE4"/>
    <w:rsid w:val="009C7D9B"/>
    <w:rsid w:val="009C7DD5"/>
    <w:rsid w:val="009D0089"/>
    <w:rsid w:val="009D07CF"/>
    <w:rsid w:val="009D0949"/>
    <w:rsid w:val="009D0B70"/>
    <w:rsid w:val="009D0F59"/>
    <w:rsid w:val="009D1027"/>
    <w:rsid w:val="009D1039"/>
    <w:rsid w:val="009D1176"/>
    <w:rsid w:val="009D13EF"/>
    <w:rsid w:val="009D1883"/>
    <w:rsid w:val="009D1CBC"/>
    <w:rsid w:val="009D1E0C"/>
    <w:rsid w:val="009D2690"/>
    <w:rsid w:val="009D27A4"/>
    <w:rsid w:val="009D2DFE"/>
    <w:rsid w:val="009D302A"/>
    <w:rsid w:val="009D33B1"/>
    <w:rsid w:val="009D34CC"/>
    <w:rsid w:val="009D3563"/>
    <w:rsid w:val="009D3869"/>
    <w:rsid w:val="009D3E38"/>
    <w:rsid w:val="009D3F40"/>
    <w:rsid w:val="009D3F47"/>
    <w:rsid w:val="009D4407"/>
    <w:rsid w:val="009D45DC"/>
    <w:rsid w:val="009D4CF5"/>
    <w:rsid w:val="009D514E"/>
    <w:rsid w:val="009D5170"/>
    <w:rsid w:val="009D54DF"/>
    <w:rsid w:val="009D5E91"/>
    <w:rsid w:val="009D6065"/>
    <w:rsid w:val="009D6150"/>
    <w:rsid w:val="009D61EF"/>
    <w:rsid w:val="009D65F5"/>
    <w:rsid w:val="009D6DE3"/>
    <w:rsid w:val="009D7441"/>
    <w:rsid w:val="009D7474"/>
    <w:rsid w:val="009D7B61"/>
    <w:rsid w:val="009D7C14"/>
    <w:rsid w:val="009D7C1C"/>
    <w:rsid w:val="009D7FC1"/>
    <w:rsid w:val="009E01B7"/>
    <w:rsid w:val="009E0579"/>
    <w:rsid w:val="009E05CE"/>
    <w:rsid w:val="009E0C5E"/>
    <w:rsid w:val="009E1312"/>
    <w:rsid w:val="009E19A7"/>
    <w:rsid w:val="009E1C26"/>
    <w:rsid w:val="009E1C5F"/>
    <w:rsid w:val="009E1D84"/>
    <w:rsid w:val="009E1E58"/>
    <w:rsid w:val="009E227D"/>
    <w:rsid w:val="009E2604"/>
    <w:rsid w:val="009E2745"/>
    <w:rsid w:val="009E28C1"/>
    <w:rsid w:val="009E2901"/>
    <w:rsid w:val="009E2A27"/>
    <w:rsid w:val="009E2CF4"/>
    <w:rsid w:val="009E2EFD"/>
    <w:rsid w:val="009E312F"/>
    <w:rsid w:val="009E3665"/>
    <w:rsid w:val="009E38E1"/>
    <w:rsid w:val="009E3AF2"/>
    <w:rsid w:val="009E3C02"/>
    <w:rsid w:val="009E3D81"/>
    <w:rsid w:val="009E41BC"/>
    <w:rsid w:val="009E4232"/>
    <w:rsid w:val="009E4A00"/>
    <w:rsid w:val="009E4A94"/>
    <w:rsid w:val="009E5019"/>
    <w:rsid w:val="009E544D"/>
    <w:rsid w:val="009E57FF"/>
    <w:rsid w:val="009E5941"/>
    <w:rsid w:val="009E598B"/>
    <w:rsid w:val="009E5D6C"/>
    <w:rsid w:val="009E61A4"/>
    <w:rsid w:val="009E7141"/>
    <w:rsid w:val="009E7F2D"/>
    <w:rsid w:val="009F034C"/>
    <w:rsid w:val="009F03B2"/>
    <w:rsid w:val="009F0AA5"/>
    <w:rsid w:val="009F0AE4"/>
    <w:rsid w:val="009F1144"/>
    <w:rsid w:val="009F18A9"/>
    <w:rsid w:val="009F1B38"/>
    <w:rsid w:val="009F1D38"/>
    <w:rsid w:val="009F1DAE"/>
    <w:rsid w:val="009F1E78"/>
    <w:rsid w:val="009F1F14"/>
    <w:rsid w:val="009F209E"/>
    <w:rsid w:val="009F2B9B"/>
    <w:rsid w:val="009F2C23"/>
    <w:rsid w:val="009F2ECF"/>
    <w:rsid w:val="009F373E"/>
    <w:rsid w:val="009F38AC"/>
    <w:rsid w:val="009F39A3"/>
    <w:rsid w:val="009F39B2"/>
    <w:rsid w:val="009F3F87"/>
    <w:rsid w:val="009F416E"/>
    <w:rsid w:val="009F4A83"/>
    <w:rsid w:val="009F4CF0"/>
    <w:rsid w:val="009F4EFC"/>
    <w:rsid w:val="009F52A4"/>
    <w:rsid w:val="009F54E7"/>
    <w:rsid w:val="009F55C9"/>
    <w:rsid w:val="009F59CC"/>
    <w:rsid w:val="009F5B21"/>
    <w:rsid w:val="009F5DAE"/>
    <w:rsid w:val="009F5FF1"/>
    <w:rsid w:val="009F620B"/>
    <w:rsid w:val="009F6223"/>
    <w:rsid w:val="009F64F7"/>
    <w:rsid w:val="009F6818"/>
    <w:rsid w:val="009F68DC"/>
    <w:rsid w:val="009F6D08"/>
    <w:rsid w:val="009F6DAB"/>
    <w:rsid w:val="009F6EF9"/>
    <w:rsid w:val="009F7283"/>
    <w:rsid w:val="009F7391"/>
    <w:rsid w:val="009F7588"/>
    <w:rsid w:val="009F75A0"/>
    <w:rsid w:val="009F7BEC"/>
    <w:rsid w:val="00A00068"/>
    <w:rsid w:val="00A00465"/>
    <w:rsid w:val="00A00664"/>
    <w:rsid w:val="00A00DBD"/>
    <w:rsid w:val="00A00E63"/>
    <w:rsid w:val="00A013F3"/>
    <w:rsid w:val="00A01693"/>
    <w:rsid w:val="00A01D27"/>
    <w:rsid w:val="00A02260"/>
    <w:rsid w:val="00A02301"/>
    <w:rsid w:val="00A024C1"/>
    <w:rsid w:val="00A02567"/>
    <w:rsid w:val="00A02E84"/>
    <w:rsid w:val="00A03641"/>
    <w:rsid w:val="00A038E5"/>
    <w:rsid w:val="00A03B60"/>
    <w:rsid w:val="00A03EF6"/>
    <w:rsid w:val="00A03F43"/>
    <w:rsid w:val="00A04174"/>
    <w:rsid w:val="00A04205"/>
    <w:rsid w:val="00A048EC"/>
    <w:rsid w:val="00A04A48"/>
    <w:rsid w:val="00A04B58"/>
    <w:rsid w:val="00A04F1B"/>
    <w:rsid w:val="00A0501B"/>
    <w:rsid w:val="00A0555D"/>
    <w:rsid w:val="00A055EC"/>
    <w:rsid w:val="00A056AD"/>
    <w:rsid w:val="00A063A0"/>
    <w:rsid w:val="00A0643D"/>
    <w:rsid w:val="00A065BA"/>
    <w:rsid w:val="00A06875"/>
    <w:rsid w:val="00A06958"/>
    <w:rsid w:val="00A06987"/>
    <w:rsid w:val="00A06DBC"/>
    <w:rsid w:val="00A06EF9"/>
    <w:rsid w:val="00A0759E"/>
    <w:rsid w:val="00A0768C"/>
    <w:rsid w:val="00A078D6"/>
    <w:rsid w:val="00A079FC"/>
    <w:rsid w:val="00A07C7E"/>
    <w:rsid w:val="00A07FA2"/>
    <w:rsid w:val="00A10221"/>
    <w:rsid w:val="00A10335"/>
    <w:rsid w:val="00A11075"/>
    <w:rsid w:val="00A11194"/>
    <w:rsid w:val="00A11243"/>
    <w:rsid w:val="00A11793"/>
    <w:rsid w:val="00A11832"/>
    <w:rsid w:val="00A12506"/>
    <w:rsid w:val="00A1252F"/>
    <w:rsid w:val="00A126BB"/>
    <w:rsid w:val="00A12B85"/>
    <w:rsid w:val="00A12C05"/>
    <w:rsid w:val="00A12CC3"/>
    <w:rsid w:val="00A12F29"/>
    <w:rsid w:val="00A13071"/>
    <w:rsid w:val="00A13F93"/>
    <w:rsid w:val="00A14574"/>
    <w:rsid w:val="00A148B4"/>
    <w:rsid w:val="00A14947"/>
    <w:rsid w:val="00A15475"/>
    <w:rsid w:val="00A15547"/>
    <w:rsid w:val="00A1578A"/>
    <w:rsid w:val="00A15FC7"/>
    <w:rsid w:val="00A16566"/>
    <w:rsid w:val="00A16572"/>
    <w:rsid w:val="00A16730"/>
    <w:rsid w:val="00A16968"/>
    <w:rsid w:val="00A171AD"/>
    <w:rsid w:val="00A174BA"/>
    <w:rsid w:val="00A17671"/>
    <w:rsid w:val="00A17844"/>
    <w:rsid w:val="00A17A85"/>
    <w:rsid w:val="00A17AC9"/>
    <w:rsid w:val="00A17C21"/>
    <w:rsid w:val="00A17C4E"/>
    <w:rsid w:val="00A20176"/>
    <w:rsid w:val="00A20374"/>
    <w:rsid w:val="00A2056D"/>
    <w:rsid w:val="00A20585"/>
    <w:rsid w:val="00A20882"/>
    <w:rsid w:val="00A209B4"/>
    <w:rsid w:val="00A20D1A"/>
    <w:rsid w:val="00A21CFE"/>
    <w:rsid w:val="00A21EF9"/>
    <w:rsid w:val="00A22108"/>
    <w:rsid w:val="00A2242B"/>
    <w:rsid w:val="00A22513"/>
    <w:rsid w:val="00A22585"/>
    <w:rsid w:val="00A22757"/>
    <w:rsid w:val="00A228C4"/>
    <w:rsid w:val="00A229EC"/>
    <w:rsid w:val="00A22EA5"/>
    <w:rsid w:val="00A22F73"/>
    <w:rsid w:val="00A22FE8"/>
    <w:rsid w:val="00A23864"/>
    <w:rsid w:val="00A23881"/>
    <w:rsid w:val="00A239C7"/>
    <w:rsid w:val="00A23E33"/>
    <w:rsid w:val="00A2404B"/>
    <w:rsid w:val="00A2438D"/>
    <w:rsid w:val="00A247B4"/>
    <w:rsid w:val="00A24A93"/>
    <w:rsid w:val="00A24C74"/>
    <w:rsid w:val="00A24CFE"/>
    <w:rsid w:val="00A24D0C"/>
    <w:rsid w:val="00A25449"/>
    <w:rsid w:val="00A255FD"/>
    <w:rsid w:val="00A257EF"/>
    <w:rsid w:val="00A25ABE"/>
    <w:rsid w:val="00A263CE"/>
    <w:rsid w:val="00A268CE"/>
    <w:rsid w:val="00A26BB1"/>
    <w:rsid w:val="00A26D52"/>
    <w:rsid w:val="00A276E2"/>
    <w:rsid w:val="00A27C55"/>
    <w:rsid w:val="00A3044A"/>
    <w:rsid w:val="00A30E8B"/>
    <w:rsid w:val="00A31433"/>
    <w:rsid w:val="00A3160C"/>
    <w:rsid w:val="00A31F23"/>
    <w:rsid w:val="00A32147"/>
    <w:rsid w:val="00A323E0"/>
    <w:rsid w:val="00A32424"/>
    <w:rsid w:val="00A324D1"/>
    <w:rsid w:val="00A3296E"/>
    <w:rsid w:val="00A32A83"/>
    <w:rsid w:val="00A32B01"/>
    <w:rsid w:val="00A338E8"/>
    <w:rsid w:val="00A33DFF"/>
    <w:rsid w:val="00A33EC9"/>
    <w:rsid w:val="00A34015"/>
    <w:rsid w:val="00A346C6"/>
    <w:rsid w:val="00A3475B"/>
    <w:rsid w:val="00A34CA4"/>
    <w:rsid w:val="00A34DC5"/>
    <w:rsid w:val="00A34EC1"/>
    <w:rsid w:val="00A351C6"/>
    <w:rsid w:val="00A354F9"/>
    <w:rsid w:val="00A358D9"/>
    <w:rsid w:val="00A35CF2"/>
    <w:rsid w:val="00A35D08"/>
    <w:rsid w:val="00A35E89"/>
    <w:rsid w:val="00A36014"/>
    <w:rsid w:val="00A36324"/>
    <w:rsid w:val="00A368DB"/>
    <w:rsid w:val="00A36C69"/>
    <w:rsid w:val="00A37423"/>
    <w:rsid w:val="00A3747F"/>
    <w:rsid w:val="00A37616"/>
    <w:rsid w:val="00A37ABF"/>
    <w:rsid w:val="00A37F5A"/>
    <w:rsid w:val="00A37F71"/>
    <w:rsid w:val="00A4034C"/>
    <w:rsid w:val="00A405A5"/>
    <w:rsid w:val="00A41526"/>
    <w:rsid w:val="00A4188B"/>
    <w:rsid w:val="00A41B36"/>
    <w:rsid w:val="00A41E6B"/>
    <w:rsid w:val="00A41FD7"/>
    <w:rsid w:val="00A4200F"/>
    <w:rsid w:val="00A423AA"/>
    <w:rsid w:val="00A425EA"/>
    <w:rsid w:val="00A428E4"/>
    <w:rsid w:val="00A42E22"/>
    <w:rsid w:val="00A43007"/>
    <w:rsid w:val="00A4372F"/>
    <w:rsid w:val="00A445EB"/>
    <w:rsid w:val="00A4483C"/>
    <w:rsid w:val="00A44844"/>
    <w:rsid w:val="00A44ECD"/>
    <w:rsid w:val="00A4540D"/>
    <w:rsid w:val="00A4551F"/>
    <w:rsid w:val="00A4552D"/>
    <w:rsid w:val="00A45842"/>
    <w:rsid w:val="00A45845"/>
    <w:rsid w:val="00A45FC2"/>
    <w:rsid w:val="00A460CC"/>
    <w:rsid w:val="00A4638C"/>
    <w:rsid w:val="00A46577"/>
    <w:rsid w:val="00A468C4"/>
    <w:rsid w:val="00A46973"/>
    <w:rsid w:val="00A47986"/>
    <w:rsid w:val="00A47EDD"/>
    <w:rsid w:val="00A5000E"/>
    <w:rsid w:val="00A50267"/>
    <w:rsid w:val="00A50400"/>
    <w:rsid w:val="00A506A6"/>
    <w:rsid w:val="00A5076C"/>
    <w:rsid w:val="00A50ED3"/>
    <w:rsid w:val="00A50FB2"/>
    <w:rsid w:val="00A50FCD"/>
    <w:rsid w:val="00A50FF9"/>
    <w:rsid w:val="00A51040"/>
    <w:rsid w:val="00A5125F"/>
    <w:rsid w:val="00A513D5"/>
    <w:rsid w:val="00A51761"/>
    <w:rsid w:val="00A51E04"/>
    <w:rsid w:val="00A51FC9"/>
    <w:rsid w:val="00A523C3"/>
    <w:rsid w:val="00A53055"/>
    <w:rsid w:val="00A53813"/>
    <w:rsid w:val="00A53841"/>
    <w:rsid w:val="00A53EC6"/>
    <w:rsid w:val="00A53F9C"/>
    <w:rsid w:val="00A5449A"/>
    <w:rsid w:val="00A544D4"/>
    <w:rsid w:val="00A54918"/>
    <w:rsid w:val="00A54955"/>
    <w:rsid w:val="00A54A9A"/>
    <w:rsid w:val="00A54BC9"/>
    <w:rsid w:val="00A54D6F"/>
    <w:rsid w:val="00A54F80"/>
    <w:rsid w:val="00A5519E"/>
    <w:rsid w:val="00A553E9"/>
    <w:rsid w:val="00A559C1"/>
    <w:rsid w:val="00A55AF4"/>
    <w:rsid w:val="00A55B64"/>
    <w:rsid w:val="00A55C0F"/>
    <w:rsid w:val="00A55DA7"/>
    <w:rsid w:val="00A56CCA"/>
    <w:rsid w:val="00A56F35"/>
    <w:rsid w:val="00A572FA"/>
    <w:rsid w:val="00A5752B"/>
    <w:rsid w:val="00A57C55"/>
    <w:rsid w:val="00A57C67"/>
    <w:rsid w:val="00A57F22"/>
    <w:rsid w:val="00A57FEA"/>
    <w:rsid w:val="00A60077"/>
    <w:rsid w:val="00A60141"/>
    <w:rsid w:val="00A60300"/>
    <w:rsid w:val="00A60921"/>
    <w:rsid w:val="00A6093A"/>
    <w:rsid w:val="00A60DD8"/>
    <w:rsid w:val="00A611BD"/>
    <w:rsid w:val="00A615A1"/>
    <w:rsid w:val="00A61C91"/>
    <w:rsid w:val="00A61CED"/>
    <w:rsid w:val="00A61F25"/>
    <w:rsid w:val="00A621F8"/>
    <w:rsid w:val="00A625D6"/>
    <w:rsid w:val="00A62A27"/>
    <w:rsid w:val="00A62F38"/>
    <w:rsid w:val="00A637B0"/>
    <w:rsid w:val="00A63B27"/>
    <w:rsid w:val="00A63BD2"/>
    <w:rsid w:val="00A642B7"/>
    <w:rsid w:val="00A643AA"/>
    <w:rsid w:val="00A645E2"/>
    <w:rsid w:val="00A647CE"/>
    <w:rsid w:val="00A648E9"/>
    <w:rsid w:val="00A64A0E"/>
    <w:rsid w:val="00A64F5D"/>
    <w:rsid w:val="00A65022"/>
    <w:rsid w:val="00A6503A"/>
    <w:rsid w:val="00A65ACE"/>
    <w:rsid w:val="00A65CD9"/>
    <w:rsid w:val="00A65ED6"/>
    <w:rsid w:val="00A66923"/>
    <w:rsid w:val="00A66D91"/>
    <w:rsid w:val="00A66E9B"/>
    <w:rsid w:val="00A67089"/>
    <w:rsid w:val="00A6724E"/>
    <w:rsid w:val="00A67305"/>
    <w:rsid w:val="00A673C5"/>
    <w:rsid w:val="00A67A01"/>
    <w:rsid w:val="00A67A7C"/>
    <w:rsid w:val="00A67AC8"/>
    <w:rsid w:val="00A67F68"/>
    <w:rsid w:val="00A7055F"/>
    <w:rsid w:val="00A7063A"/>
    <w:rsid w:val="00A7067D"/>
    <w:rsid w:val="00A70716"/>
    <w:rsid w:val="00A707C4"/>
    <w:rsid w:val="00A70F94"/>
    <w:rsid w:val="00A712FB"/>
    <w:rsid w:val="00A7180C"/>
    <w:rsid w:val="00A71918"/>
    <w:rsid w:val="00A71A4A"/>
    <w:rsid w:val="00A71B7C"/>
    <w:rsid w:val="00A71EBB"/>
    <w:rsid w:val="00A724D5"/>
    <w:rsid w:val="00A72634"/>
    <w:rsid w:val="00A729D1"/>
    <w:rsid w:val="00A72AE2"/>
    <w:rsid w:val="00A72D5D"/>
    <w:rsid w:val="00A72FCB"/>
    <w:rsid w:val="00A735A7"/>
    <w:rsid w:val="00A73841"/>
    <w:rsid w:val="00A73BE3"/>
    <w:rsid w:val="00A73C94"/>
    <w:rsid w:val="00A73D77"/>
    <w:rsid w:val="00A74248"/>
    <w:rsid w:val="00A74899"/>
    <w:rsid w:val="00A74991"/>
    <w:rsid w:val="00A749E6"/>
    <w:rsid w:val="00A74F2C"/>
    <w:rsid w:val="00A7543D"/>
    <w:rsid w:val="00A754DE"/>
    <w:rsid w:val="00A755C4"/>
    <w:rsid w:val="00A75691"/>
    <w:rsid w:val="00A75835"/>
    <w:rsid w:val="00A759F0"/>
    <w:rsid w:val="00A75A62"/>
    <w:rsid w:val="00A75FA4"/>
    <w:rsid w:val="00A76019"/>
    <w:rsid w:val="00A7668A"/>
    <w:rsid w:val="00A76943"/>
    <w:rsid w:val="00A769A6"/>
    <w:rsid w:val="00A76DE1"/>
    <w:rsid w:val="00A76E7B"/>
    <w:rsid w:val="00A77282"/>
    <w:rsid w:val="00A7752F"/>
    <w:rsid w:val="00A77AC2"/>
    <w:rsid w:val="00A77F25"/>
    <w:rsid w:val="00A80366"/>
    <w:rsid w:val="00A80ACD"/>
    <w:rsid w:val="00A810A3"/>
    <w:rsid w:val="00A8147B"/>
    <w:rsid w:val="00A8153C"/>
    <w:rsid w:val="00A8193D"/>
    <w:rsid w:val="00A81ADC"/>
    <w:rsid w:val="00A81FED"/>
    <w:rsid w:val="00A82579"/>
    <w:rsid w:val="00A82666"/>
    <w:rsid w:val="00A8267E"/>
    <w:rsid w:val="00A828C7"/>
    <w:rsid w:val="00A82B87"/>
    <w:rsid w:val="00A82FC9"/>
    <w:rsid w:val="00A838B0"/>
    <w:rsid w:val="00A83CBD"/>
    <w:rsid w:val="00A842F3"/>
    <w:rsid w:val="00A8431A"/>
    <w:rsid w:val="00A84836"/>
    <w:rsid w:val="00A84C5A"/>
    <w:rsid w:val="00A84D42"/>
    <w:rsid w:val="00A84F83"/>
    <w:rsid w:val="00A85161"/>
    <w:rsid w:val="00A852A2"/>
    <w:rsid w:val="00A8532E"/>
    <w:rsid w:val="00A85A0F"/>
    <w:rsid w:val="00A85A20"/>
    <w:rsid w:val="00A85ED5"/>
    <w:rsid w:val="00A85FC2"/>
    <w:rsid w:val="00A8633C"/>
    <w:rsid w:val="00A8668A"/>
    <w:rsid w:val="00A86F66"/>
    <w:rsid w:val="00A8713F"/>
    <w:rsid w:val="00A872DD"/>
    <w:rsid w:val="00A873B7"/>
    <w:rsid w:val="00A875AB"/>
    <w:rsid w:val="00A87651"/>
    <w:rsid w:val="00A878B6"/>
    <w:rsid w:val="00A87924"/>
    <w:rsid w:val="00A87BB1"/>
    <w:rsid w:val="00A900CB"/>
    <w:rsid w:val="00A90668"/>
    <w:rsid w:val="00A907E8"/>
    <w:rsid w:val="00A907ED"/>
    <w:rsid w:val="00A90879"/>
    <w:rsid w:val="00A90BA1"/>
    <w:rsid w:val="00A90E4A"/>
    <w:rsid w:val="00A90ECD"/>
    <w:rsid w:val="00A911AA"/>
    <w:rsid w:val="00A91600"/>
    <w:rsid w:val="00A91685"/>
    <w:rsid w:val="00A91752"/>
    <w:rsid w:val="00A91AC5"/>
    <w:rsid w:val="00A91F3D"/>
    <w:rsid w:val="00A92307"/>
    <w:rsid w:val="00A9258F"/>
    <w:rsid w:val="00A9280D"/>
    <w:rsid w:val="00A92C30"/>
    <w:rsid w:val="00A92CAF"/>
    <w:rsid w:val="00A92F0D"/>
    <w:rsid w:val="00A93453"/>
    <w:rsid w:val="00A93C65"/>
    <w:rsid w:val="00A93DDA"/>
    <w:rsid w:val="00A9407D"/>
    <w:rsid w:val="00A94134"/>
    <w:rsid w:val="00A94446"/>
    <w:rsid w:val="00A94591"/>
    <w:rsid w:val="00A949A9"/>
    <w:rsid w:val="00A950F4"/>
    <w:rsid w:val="00A95161"/>
    <w:rsid w:val="00A95221"/>
    <w:rsid w:val="00A95361"/>
    <w:rsid w:val="00A955E2"/>
    <w:rsid w:val="00A9572A"/>
    <w:rsid w:val="00A958A7"/>
    <w:rsid w:val="00A95A21"/>
    <w:rsid w:val="00A965CC"/>
    <w:rsid w:val="00A965E2"/>
    <w:rsid w:val="00A96953"/>
    <w:rsid w:val="00A96C20"/>
    <w:rsid w:val="00A96F9E"/>
    <w:rsid w:val="00A97805"/>
    <w:rsid w:val="00A97A9A"/>
    <w:rsid w:val="00AA016C"/>
    <w:rsid w:val="00AA0337"/>
    <w:rsid w:val="00AA0435"/>
    <w:rsid w:val="00AA0671"/>
    <w:rsid w:val="00AA0698"/>
    <w:rsid w:val="00AA0735"/>
    <w:rsid w:val="00AA0749"/>
    <w:rsid w:val="00AA19A6"/>
    <w:rsid w:val="00AA19D4"/>
    <w:rsid w:val="00AA2531"/>
    <w:rsid w:val="00AA273A"/>
    <w:rsid w:val="00AA2A28"/>
    <w:rsid w:val="00AA2D03"/>
    <w:rsid w:val="00AA2D37"/>
    <w:rsid w:val="00AA2D5D"/>
    <w:rsid w:val="00AA2E8A"/>
    <w:rsid w:val="00AA2EFC"/>
    <w:rsid w:val="00AA355B"/>
    <w:rsid w:val="00AA3E0D"/>
    <w:rsid w:val="00AA44E5"/>
    <w:rsid w:val="00AA47A0"/>
    <w:rsid w:val="00AA4A1E"/>
    <w:rsid w:val="00AA4C9D"/>
    <w:rsid w:val="00AA4D0E"/>
    <w:rsid w:val="00AA4E34"/>
    <w:rsid w:val="00AA4EB6"/>
    <w:rsid w:val="00AA5648"/>
    <w:rsid w:val="00AA5699"/>
    <w:rsid w:val="00AA5735"/>
    <w:rsid w:val="00AA5780"/>
    <w:rsid w:val="00AA58F9"/>
    <w:rsid w:val="00AA59DC"/>
    <w:rsid w:val="00AA61BE"/>
    <w:rsid w:val="00AA621A"/>
    <w:rsid w:val="00AA628D"/>
    <w:rsid w:val="00AA6BAD"/>
    <w:rsid w:val="00AA6D1A"/>
    <w:rsid w:val="00AA6FD1"/>
    <w:rsid w:val="00AA7440"/>
    <w:rsid w:val="00AA7A56"/>
    <w:rsid w:val="00AA7FBF"/>
    <w:rsid w:val="00AB01B3"/>
    <w:rsid w:val="00AB04AC"/>
    <w:rsid w:val="00AB0B01"/>
    <w:rsid w:val="00AB0F92"/>
    <w:rsid w:val="00AB1125"/>
    <w:rsid w:val="00AB1592"/>
    <w:rsid w:val="00AB15C9"/>
    <w:rsid w:val="00AB17A5"/>
    <w:rsid w:val="00AB1B79"/>
    <w:rsid w:val="00AB1E09"/>
    <w:rsid w:val="00AB201A"/>
    <w:rsid w:val="00AB2093"/>
    <w:rsid w:val="00AB20BE"/>
    <w:rsid w:val="00AB2179"/>
    <w:rsid w:val="00AB219C"/>
    <w:rsid w:val="00AB2382"/>
    <w:rsid w:val="00AB2614"/>
    <w:rsid w:val="00AB2B9A"/>
    <w:rsid w:val="00AB2BBF"/>
    <w:rsid w:val="00AB2D51"/>
    <w:rsid w:val="00AB3136"/>
    <w:rsid w:val="00AB35F8"/>
    <w:rsid w:val="00AB36B9"/>
    <w:rsid w:val="00AB3E83"/>
    <w:rsid w:val="00AB4392"/>
    <w:rsid w:val="00AB4AD9"/>
    <w:rsid w:val="00AB4AEB"/>
    <w:rsid w:val="00AB4C7E"/>
    <w:rsid w:val="00AB513A"/>
    <w:rsid w:val="00AB5330"/>
    <w:rsid w:val="00AB5439"/>
    <w:rsid w:val="00AB5F5C"/>
    <w:rsid w:val="00AB5FF8"/>
    <w:rsid w:val="00AB6422"/>
    <w:rsid w:val="00AB6445"/>
    <w:rsid w:val="00AB64BA"/>
    <w:rsid w:val="00AB6529"/>
    <w:rsid w:val="00AB6790"/>
    <w:rsid w:val="00AB697C"/>
    <w:rsid w:val="00AB6C2C"/>
    <w:rsid w:val="00AB6E8A"/>
    <w:rsid w:val="00AB71B6"/>
    <w:rsid w:val="00AB73AF"/>
    <w:rsid w:val="00AB76EB"/>
    <w:rsid w:val="00AB7747"/>
    <w:rsid w:val="00AB7AE6"/>
    <w:rsid w:val="00AB7BE5"/>
    <w:rsid w:val="00AC0A78"/>
    <w:rsid w:val="00AC0ADB"/>
    <w:rsid w:val="00AC0C3E"/>
    <w:rsid w:val="00AC1086"/>
    <w:rsid w:val="00AC10D0"/>
    <w:rsid w:val="00AC134A"/>
    <w:rsid w:val="00AC14AE"/>
    <w:rsid w:val="00AC14CE"/>
    <w:rsid w:val="00AC15A0"/>
    <w:rsid w:val="00AC1C63"/>
    <w:rsid w:val="00AC1D17"/>
    <w:rsid w:val="00AC2381"/>
    <w:rsid w:val="00AC2862"/>
    <w:rsid w:val="00AC2A56"/>
    <w:rsid w:val="00AC3236"/>
    <w:rsid w:val="00AC332A"/>
    <w:rsid w:val="00AC3FFB"/>
    <w:rsid w:val="00AC4180"/>
    <w:rsid w:val="00AC42D0"/>
    <w:rsid w:val="00AC4698"/>
    <w:rsid w:val="00AC4AE6"/>
    <w:rsid w:val="00AC4D9C"/>
    <w:rsid w:val="00AC4DB2"/>
    <w:rsid w:val="00AC5425"/>
    <w:rsid w:val="00AC5BF5"/>
    <w:rsid w:val="00AC5C1B"/>
    <w:rsid w:val="00AC5C1C"/>
    <w:rsid w:val="00AC61AD"/>
    <w:rsid w:val="00AC6570"/>
    <w:rsid w:val="00AC6701"/>
    <w:rsid w:val="00AC67BB"/>
    <w:rsid w:val="00AC6838"/>
    <w:rsid w:val="00AC6985"/>
    <w:rsid w:val="00AC6A09"/>
    <w:rsid w:val="00AC6F5A"/>
    <w:rsid w:val="00AC6F97"/>
    <w:rsid w:val="00AC7624"/>
    <w:rsid w:val="00AC7711"/>
    <w:rsid w:val="00AC77CB"/>
    <w:rsid w:val="00AC7895"/>
    <w:rsid w:val="00AC7B30"/>
    <w:rsid w:val="00AC7D2C"/>
    <w:rsid w:val="00AD055E"/>
    <w:rsid w:val="00AD058C"/>
    <w:rsid w:val="00AD0981"/>
    <w:rsid w:val="00AD09BE"/>
    <w:rsid w:val="00AD10E3"/>
    <w:rsid w:val="00AD13DC"/>
    <w:rsid w:val="00AD147D"/>
    <w:rsid w:val="00AD14A8"/>
    <w:rsid w:val="00AD1C5D"/>
    <w:rsid w:val="00AD1C93"/>
    <w:rsid w:val="00AD1D30"/>
    <w:rsid w:val="00AD207B"/>
    <w:rsid w:val="00AD21AC"/>
    <w:rsid w:val="00AD2C57"/>
    <w:rsid w:val="00AD2C71"/>
    <w:rsid w:val="00AD37FC"/>
    <w:rsid w:val="00AD3CEE"/>
    <w:rsid w:val="00AD4284"/>
    <w:rsid w:val="00AD456F"/>
    <w:rsid w:val="00AD475F"/>
    <w:rsid w:val="00AD47A7"/>
    <w:rsid w:val="00AD4CDF"/>
    <w:rsid w:val="00AD4DE4"/>
    <w:rsid w:val="00AD4E82"/>
    <w:rsid w:val="00AD518F"/>
    <w:rsid w:val="00AD5520"/>
    <w:rsid w:val="00AD5641"/>
    <w:rsid w:val="00AD5C83"/>
    <w:rsid w:val="00AD67E2"/>
    <w:rsid w:val="00AD69E9"/>
    <w:rsid w:val="00AD6FAC"/>
    <w:rsid w:val="00AD703E"/>
    <w:rsid w:val="00AD72DF"/>
    <w:rsid w:val="00AD730D"/>
    <w:rsid w:val="00AD7665"/>
    <w:rsid w:val="00AD794D"/>
    <w:rsid w:val="00AD798F"/>
    <w:rsid w:val="00AD7DBD"/>
    <w:rsid w:val="00AD7E14"/>
    <w:rsid w:val="00AE060C"/>
    <w:rsid w:val="00AE0E31"/>
    <w:rsid w:val="00AE14BF"/>
    <w:rsid w:val="00AE1806"/>
    <w:rsid w:val="00AE1A9A"/>
    <w:rsid w:val="00AE1D0A"/>
    <w:rsid w:val="00AE2282"/>
    <w:rsid w:val="00AE2448"/>
    <w:rsid w:val="00AE2C75"/>
    <w:rsid w:val="00AE2C86"/>
    <w:rsid w:val="00AE3523"/>
    <w:rsid w:val="00AE363F"/>
    <w:rsid w:val="00AE3AAA"/>
    <w:rsid w:val="00AE3F83"/>
    <w:rsid w:val="00AE40C4"/>
    <w:rsid w:val="00AE417D"/>
    <w:rsid w:val="00AE41E9"/>
    <w:rsid w:val="00AE4200"/>
    <w:rsid w:val="00AE43EB"/>
    <w:rsid w:val="00AE4404"/>
    <w:rsid w:val="00AE4516"/>
    <w:rsid w:val="00AE4899"/>
    <w:rsid w:val="00AE4A70"/>
    <w:rsid w:val="00AE4EEF"/>
    <w:rsid w:val="00AE4FC6"/>
    <w:rsid w:val="00AE511C"/>
    <w:rsid w:val="00AE51FE"/>
    <w:rsid w:val="00AE541C"/>
    <w:rsid w:val="00AE56CD"/>
    <w:rsid w:val="00AE579C"/>
    <w:rsid w:val="00AE585E"/>
    <w:rsid w:val="00AE5E45"/>
    <w:rsid w:val="00AE608F"/>
    <w:rsid w:val="00AE6AAA"/>
    <w:rsid w:val="00AE6B69"/>
    <w:rsid w:val="00AE73E2"/>
    <w:rsid w:val="00AE758D"/>
    <w:rsid w:val="00AE768F"/>
    <w:rsid w:val="00AE7821"/>
    <w:rsid w:val="00AE7965"/>
    <w:rsid w:val="00AE7B3B"/>
    <w:rsid w:val="00AF05B7"/>
    <w:rsid w:val="00AF05C8"/>
    <w:rsid w:val="00AF0CBF"/>
    <w:rsid w:val="00AF0E33"/>
    <w:rsid w:val="00AF1750"/>
    <w:rsid w:val="00AF1E69"/>
    <w:rsid w:val="00AF20EB"/>
    <w:rsid w:val="00AF22CC"/>
    <w:rsid w:val="00AF257F"/>
    <w:rsid w:val="00AF25AD"/>
    <w:rsid w:val="00AF2E5F"/>
    <w:rsid w:val="00AF31DC"/>
    <w:rsid w:val="00AF33CF"/>
    <w:rsid w:val="00AF364D"/>
    <w:rsid w:val="00AF3AA3"/>
    <w:rsid w:val="00AF3B09"/>
    <w:rsid w:val="00AF416D"/>
    <w:rsid w:val="00AF44D9"/>
    <w:rsid w:val="00AF4530"/>
    <w:rsid w:val="00AF4D50"/>
    <w:rsid w:val="00AF52DB"/>
    <w:rsid w:val="00AF533C"/>
    <w:rsid w:val="00AF5671"/>
    <w:rsid w:val="00AF5A99"/>
    <w:rsid w:val="00AF5B8B"/>
    <w:rsid w:val="00AF5E84"/>
    <w:rsid w:val="00AF6179"/>
    <w:rsid w:val="00AF6317"/>
    <w:rsid w:val="00AF631E"/>
    <w:rsid w:val="00AF6395"/>
    <w:rsid w:val="00AF66A8"/>
    <w:rsid w:val="00AF6795"/>
    <w:rsid w:val="00AF67B2"/>
    <w:rsid w:val="00AF6D2A"/>
    <w:rsid w:val="00AF726E"/>
    <w:rsid w:val="00AF752B"/>
    <w:rsid w:val="00AF7845"/>
    <w:rsid w:val="00AF7A27"/>
    <w:rsid w:val="00AF7AB5"/>
    <w:rsid w:val="00AF7AD0"/>
    <w:rsid w:val="00AF7D05"/>
    <w:rsid w:val="00B00323"/>
    <w:rsid w:val="00B00CED"/>
    <w:rsid w:val="00B010C0"/>
    <w:rsid w:val="00B0111D"/>
    <w:rsid w:val="00B01164"/>
    <w:rsid w:val="00B01873"/>
    <w:rsid w:val="00B01CEF"/>
    <w:rsid w:val="00B01E09"/>
    <w:rsid w:val="00B01FAF"/>
    <w:rsid w:val="00B025F5"/>
    <w:rsid w:val="00B0281E"/>
    <w:rsid w:val="00B02EC2"/>
    <w:rsid w:val="00B0323C"/>
    <w:rsid w:val="00B0371B"/>
    <w:rsid w:val="00B0386B"/>
    <w:rsid w:val="00B03D49"/>
    <w:rsid w:val="00B040A1"/>
    <w:rsid w:val="00B044A9"/>
    <w:rsid w:val="00B04506"/>
    <w:rsid w:val="00B046C2"/>
    <w:rsid w:val="00B047FF"/>
    <w:rsid w:val="00B048EA"/>
    <w:rsid w:val="00B048FB"/>
    <w:rsid w:val="00B049D9"/>
    <w:rsid w:val="00B04DDB"/>
    <w:rsid w:val="00B0507E"/>
    <w:rsid w:val="00B05776"/>
    <w:rsid w:val="00B0601D"/>
    <w:rsid w:val="00B06048"/>
    <w:rsid w:val="00B06071"/>
    <w:rsid w:val="00B06107"/>
    <w:rsid w:val="00B065BF"/>
    <w:rsid w:val="00B06703"/>
    <w:rsid w:val="00B067C3"/>
    <w:rsid w:val="00B0689B"/>
    <w:rsid w:val="00B06A18"/>
    <w:rsid w:val="00B06E50"/>
    <w:rsid w:val="00B06EF5"/>
    <w:rsid w:val="00B07207"/>
    <w:rsid w:val="00B072AB"/>
    <w:rsid w:val="00B07BC5"/>
    <w:rsid w:val="00B07EB5"/>
    <w:rsid w:val="00B10151"/>
    <w:rsid w:val="00B10473"/>
    <w:rsid w:val="00B104E5"/>
    <w:rsid w:val="00B1083F"/>
    <w:rsid w:val="00B10861"/>
    <w:rsid w:val="00B10BF3"/>
    <w:rsid w:val="00B10C80"/>
    <w:rsid w:val="00B110E9"/>
    <w:rsid w:val="00B11374"/>
    <w:rsid w:val="00B1178B"/>
    <w:rsid w:val="00B11F32"/>
    <w:rsid w:val="00B11FFF"/>
    <w:rsid w:val="00B1226C"/>
    <w:rsid w:val="00B1234B"/>
    <w:rsid w:val="00B124D8"/>
    <w:rsid w:val="00B127E6"/>
    <w:rsid w:val="00B1295A"/>
    <w:rsid w:val="00B131C6"/>
    <w:rsid w:val="00B13533"/>
    <w:rsid w:val="00B136D7"/>
    <w:rsid w:val="00B140E7"/>
    <w:rsid w:val="00B14344"/>
    <w:rsid w:val="00B14351"/>
    <w:rsid w:val="00B14573"/>
    <w:rsid w:val="00B14A5C"/>
    <w:rsid w:val="00B14B9B"/>
    <w:rsid w:val="00B14F3D"/>
    <w:rsid w:val="00B15175"/>
    <w:rsid w:val="00B1530C"/>
    <w:rsid w:val="00B15318"/>
    <w:rsid w:val="00B1537C"/>
    <w:rsid w:val="00B1563F"/>
    <w:rsid w:val="00B156D0"/>
    <w:rsid w:val="00B158E6"/>
    <w:rsid w:val="00B15A6E"/>
    <w:rsid w:val="00B15AEB"/>
    <w:rsid w:val="00B15BF6"/>
    <w:rsid w:val="00B15DCD"/>
    <w:rsid w:val="00B16014"/>
    <w:rsid w:val="00B168BA"/>
    <w:rsid w:val="00B16B01"/>
    <w:rsid w:val="00B16BFF"/>
    <w:rsid w:val="00B16CDA"/>
    <w:rsid w:val="00B16F47"/>
    <w:rsid w:val="00B16FB7"/>
    <w:rsid w:val="00B17A1C"/>
    <w:rsid w:val="00B17A8D"/>
    <w:rsid w:val="00B17B84"/>
    <w:rsid w:val="00B2027D"/>
    <w:rsid w:val="00B202A9"/>
    <w:rsid w:val="00B20A45"/>
    <w:rsid w:val="00B20A77"/>
    <w:rsid w:val="00B20A89"/>
    <w:rsid w:val="00B20D66"/>
    <w:rsid w:val="00B210D1"/>
    <w:rsid w:val="00B21978"/>
    <w:rsid w:val="00B21B58"/>
    <w:rsid w:val="00B21CF9"/>
    <w:rsid w:val="00B21CFA"/>
    <w:rsid w:val="00B21E78"/>
    <w:rsid w:val="00B22090"/>
    <w:rsid w:val="00B22113"/>
    <w:rsid w:val="00B22143"/>
    <w:rsid w:val="00B226F0"/>
    <w:rsid w:val="00B2276B"/>
    <w:rsid w:val="00B22C41"/>
    <w:rsid w:val="00B22C5C"/>
    <w:rsid w:val="00B23241"/>
    <w:rsid w:val="00B23358"/>
    <w:rsid w:val="00B2389B"/>
    <w:rsid w:val="00B23C0C"/>
    <w:rsid w:val="00B24446"/>
    <w:rsid w:val="00B24DA4"/>
    <w:rsid w:val="00B24E54"/>
    <w:rsid w:val="00B24F30"/>
    <w:rsid w:val="00B24F5F"/>
    <w:rsid w:val="00B25574"/>
    <w:rsid w:val="00B26114"/>
    <w:rsid w:val="00B26273"/>
    <w:rsid w:val="00B26D53"/>
    <w:rsid w:val="00B27A9F"/>
    <w:rsid w:val="00B27B36"/>
    <w:rsid w:val="00B30237"/>
    <w:rsid w:val="00B3033B"/>
    <w:rsid w:val="00B30373"/>
    <w:rsid w:val="00B31046"/>
    <w:rsid w:val="00B312FE"/>
    <w:rsid w:val="00B313C3"/>
    <w:rsid w:val="00B31ABF"/>
    <w:rsid w:val="00B3243B"/>
    <w:rsid w:val="00B326DA"/>
    <w:rsid w:val="00B32A0A"/>
    <w:rsid w:val="00B33640"/>
    <w:rsid w:val="00B3378B"/>
    <w:rsid w:val="00B33A1F"/>
    <w:rsid w:val="00B33B61"/>
    <w:rsid w:val="00B33BE3"/>
    <w:rsid w:val="00B33D79"/>
    <w:rsid w:val="00B34207"/>
    <w:rsid w:val="00B3448A"/>
    <w:rsid w:val="00B34BF6"/>
    <w:rsid w:val="00B34CDD"/>
    <w:rsid w:val="00B34F8A"/>
    <w:rsid w:val="00B351B7"/>
    <w:rsid w:val="00B35B64"/>
    <w:rsid w:val="00B367A4"/>
    <w:rsid w:val="00B36BDA"/>
    <w:rsid w:val="00B36DF3"/>
    <w:rsid w:val="00B36FF8"/>
    <w:rsid w:val="00B3704A"/>
    <w:rsid w:val="00B37067"/>
    <w:rsid w:val="00B3717F"/>
    <w:rsid w:val="00B37326"/>
    <w:rsid w:val="00B37759"/>
    <w:rsid w:val="00B37A60"/>
    <w:rsid w:val="00B37AFE"/>
    <w:rsid w:val="00B37D57"/>
    <w:rsid w:val="00B40866"/>
    <w:rsid w:val="00B4099B"/>
    <w:rsid w:val="00B40B4C"/>
    <w:rsid w:val="00B40D64"/>
    <w:rsid w:val="00B40E15"/>
    <w:rsid w:val="00B41036"/>
    <w:rsid w:val="00B4186E"/>
    <w:rsid w:val="00B41CAF"/>
    <w:rsid w:val="00B42360"/>
    <w:rsid w:val="00B42555"/>
    <w:rsid w:val="00B427DB"/>
    <w:rsid w:val="00B42832"/>
    <w:rsid w:val="00B4283E"/>
    <w:rsid w:val="00B42F3F"/>
    <w:rsid w:val="00B43033"/>
    <w:rsid w:val="00B4324C"/>
    <w:rsid w:val="00B4359C"/>
    <w:rsid w:val="00B4375E"/>
    <w:rsid w:val="00B43870"/>
    <w:rsid w:val="00B43D8D"/>
    <w:rsid w:val="00B43F20"/>
    <w:rsid w:val="00B44DE0"/>
    <w:rsid w:val="00B450E8"/>
    <w:rsid w:val="00B45129"/>
    <w:rsid w:val="00B4521B"/>
    <w:rsid w:val="00B45293"/>
    <w:rsid w:val="00B45C3A"/>
    <w:rsid w:val="00B45CA5"/>
    <w:rsid w:val="00B45E44"/>
    <w:rsid w:val="00B45EBC"/>
    <w:rsid w:val="00B45F11"/>
    <w:rsid w:val="00B463EA"/>
    <w:rsid w:val="00B469CE"/>
    <w:rsid w:val="00B46AB8"/>
    <w:rsid w:val="00B46E8A"/>
    <w:rsid w:val="00B47062"/>
    <w:rsid w:val="00B470AA"/>
    <w:rsid w:val="00B47477"/>
    <w:rsid w:val="00B500AE"/>
    <w:rsid w:val="00B500FC"/>
    <w:rsid w:val="00B50161"/>
    <w:rsid w:val="00B501B7"/>
    <w:rsid w:val="00B507D2"/>
    <w:rsid w:val="00B50887"/>
    <w:rsid w:val="00B50B0F"/>
    <w:rsid w:val="00B50F12"/>
    <w:rsid w:val="00B51084"/>
    <w:rsid w:val="00B513DE"/>
    <w:rsid w:val="00B51656"/>
    <w:rsid w:val="00B51B4E"/>
    <w:rsid w:val="00B51CAA"/>
    <w:rsid w:val="00B51CF5"/>
    <w:rsid w:val="00B52A69"/>
    <w:rsid w:val="00B52B99"/>
    <w:rsid w:val="00B52BC1"/>
    <w:rsid w:val="00B52E89"/>
    <w:rsid w:val="00B537E2"/>
    <w:rsid w:val="00B53B5D"/>
    <w:rsid w:val="00B53CAC"/>
    <w:rsid w:val="00B53F23"/>
    <w:rsid w:val="00B53FD6"/>
    <w:rsid w:val="00B5405B"/>
    <w:rsid w:val="00B540C6"/>
    <w:rsid w:val="00B5418D"/>
    <w:rsid w:val="00B541D7"/>
    <w:rsid w:val="00B5487B"/>
    <w:rsid w:val="00B54889"/>
    <w:rsid w:val="00B54E57"/>
    <w:rsid w:val="00B5535B"/>
    <w:rsid w:val="00B55445"/>
    <w:rsid w:val="00B55B48"/>
    <w:rsid w:val="00B56083"/>
    <w:rsid w:val="00B56C44"/>
    <w:rsid w:val="00B56CB8"/>
    <w:rsid w:val="00B56FC5"/>
    <w:rsid w:val="00B56FEC"/>
    <w:rsid w:val="00B571DC"/>
    <w:rsid w:val="00B57809"/>
    <w:rsid w:val="00B579F4"/>
    <w:rsid w:val="00B57D38"/>
    <w:rsid w:val="00B6055E"/>
    <w:rsid w:val="00B60B20"/>
    <w:rsid w:val="00B60F39"/>
    <w:rsid w:val="00B619EE"/>
    <w:rsid w:val="00B61D44"/>
    <w:rsid w:val="00B61ED5"/>
    <w:rsid w:val="00B61FCC"/>
    <w:rsid w:val="00B623F1"/>
    <w:rsid w:val="00B62951"/>
    <w:rsid w:val="00B63041"/>
    <w:rsid w:val="00B630C9"/>
    <w:rsid w:val="00B6317D"/>
    <w:rsid w:val="00B63307"/>
    <w:rsid w:val="00B639A5"/>
    <w:rsid w:val="00B63B8A"/>
    <w:rsid w:val="00B63E60"/>
    <w:rsid w:val="00B640BE"/>
    <w:rsid w:val="00B64344"/>
    <w:rsid w:val="00B64448"/>
    <w:rsid w:val="00B64607"/>
    <w:rsid w:val="00B648B2"/>
    <w:rsid w:val="00B6528D"/>
    <w:rsid w:val="00B653B1"/>
    <w:rsid w:val="00B653C7"/>
    <w:rsid w:val="00B655BB"/>
    <w:rsid w:val="00B6588F"/>
    <w:rsid w:val="00B65A80"/>
    <w:rsid w:val="00B65FF1"/>
    <w:rsid w:val="00B66442"/>
    <w:rsid w:val="00B66554"/>
    <w:rsid w:val="00B667D6"/>
    <w:rsid w:val="00B66BF1"/>
    <w:rsid w:val="00B66C5E"/>
    <w:rsid w:val="00B66F50"/>
    <w:rsid w:val="00B6717E"/>
    <w:rsid w:val="00B67277"/>
    <w:rsid w:val="00B67280"/>
    <w:rsid w:val="00B67377"/>
    <w:rsid w:val="00B67C9D"/>
    <w:rsid w:val="00B67D83"/>
    <w:rsid w:val="00B70051"/>
    <w:rsid w:val="00B705D7"/>
    <w:rsid w:val="00B705DC"/>
    <w:rsid w:val="00B70AEC"/>
    <w:rsid w:val="00B7147E"/>
    <w:rsid w:val="00B71A24"/>
    <w:rsid w:val="00B71D24"/>
    <w:rsid w:val="00B71E46"/>
    <w:rsid w:val="00B7229C"/>
    <w:rsid w:val="00B72340"/>
    <w:rsid w:val="00B72A5D"/>
    <w:rsid w:val="00B73009"/>
    <w:rsid w:val="00B731B4"/>
    <w:rsid w:val="00B73D2F"/>
    <w:rsid w:val="00B73EA1"/>
    <w:rsid w:val="00B742E2"/>
    <w:rsid w:val="00B74335"/>
    <w:rsid w:val="00B74432"/>
    <w:rsid w:val="00B74709"/>
    <w:rsid w:val="00B74FDC"/>
    <w:rsid w:val="00B7503C"/>
    <w:rsid w:val="00B7510D"/>
    <w:rsid w:val="00B75236"/>
    <w:rsid w:val="00B75734"/>
    <w:rsid w:val="00B757F3"/>
    <w:rsid w:val="00B7594D"/>
    <w:rsid w:val="00B75A29"/>
    <w:rsid w:val="00B75E13"/>
    <w:rsid w:val="00B76437"/>
    <w:rsid w:val="00B76627"/>
    <w:rsid w:val="00B76906"/>
    <w:rsid w:val="00B76A13"/>
    <w:rsid w:val="00B76C72"/>
    <w:rsid w:val="00B76D30"/>
    <w:rsid w:val="00B7723F"/>
    <w:rsid w:val="00B77684"/>
    <w:rsid w:val="00B777CF"/>
    <w:rsid w:val="00B779CC"/>
    <w:rsid w:val="00B77AE6"/>
    <w:rsid w:val="00B80534"/>
    <w:rsid w:val="00B8055B"/>
    <w:rsid w:val="00B80848"/>
    <w:rsid w:val="00B808F0"/>
    <w:rsid w:val="00B80915"/>
    <w:rsid w:val="00B80FB4"/>
    <w:rsid w:val="00B8168D"/>
    <w:rsid w:val="00B81690"/>
    <w:rsid w:val="00B818F5"/>
    <w:rsid w:val="00B8199C"/>
    <w:rsid w:val="00B820A9"/>
    <w:rsid w:val="00B82405"/>
    <w:rsid w:val="00B8250B"/>
    <w:rsid w:val="00B82666"/>
    <w:rsid w:val="00B82669"/>
    <w:rsid w:val="00B827FB"/>
    <w:rsid w:val="00B82DB3"/>
    <w:rsid w:val="00B830D0"/>
    <w:rsid w:val="00B83699"/>
    <w:rsid w:val="00B83904"/>
    <w:rsid w:val="00B8433C"/>
    <w:rsid w:val="00B84377"/>
    <w:rsid w:val="00B84B12"/>
    <w:rsid w:val="00B84C19"/>
    <w:rsid w:val="00B84CA3"/>
    <w:rsid w:val="00B84F5B"/>
    <w:rsid w:val="00B85200"/>
    <w:rsid w:val="00B853D3"/>
    <w:rsid w:val="00B85486"/>
    <w:rsid w:val="00B85603"/>
    <w:rsid w:val="00B8562A"/>
    <w:rsid w:val="00B85675"/>
    <w:rsid w:val="00B856F1"/>
    <w:rsid w:val="00B85D4E"/>
    <w:rsid w:val="00B85F22"/>
    <w:rsid w:val="00B85F3C"/>
    <w:rsid w:val="00B86142"/>
    <w:rsid w:val="00B86516"/>
    <w:rsid w:val="00B86877"/>
    <w:rsid w:val="00B86D50"/>
    <w:rsid w:val="00B87377"/>
    <w:rsid w:val="00B8742B"/>
    <w:rsid w:val="00B87490"/>
    <w:rsid w:val="00B87491"/>
    <w:rsid w:val="00B902AA"/>
    <w:rsid w:val="00B902B7"/>
    <w:rsid w:val="00B90C1A"/>
    <w:rsid w:val="00B90D9E"/>
    <w:rsid w:val="00B90DBB"/>
    <w:rsid w:val="00B910DA"/>
    <w:rsid w:val="00B914EB"/>
    <w:rsid w:val="00B916CD"/>
    <w:rsid w:val="00B919EA"/>
    <w:rsid w:val="00B92396"/>
    <w:rsid w:val="00B92433"/>
    <w:rsid w:val="00B92472"/>
    <w:rsid w:val="00B926DA"/>
    <w:rsid w:val="00B92A3A"/>
    <w:rsid w:val="00B92AED"/>
    <w:rsid w:val="00B92C8B"/>
    <w:rsid w:val="00B93262"/>
    <w:rsid w:val="00B936FE"/>
    <w:rsid w:val="00B93FC8"/>
    <w:rsid w:val="00B94250"/>
    <w:rsid w:val="00B9460A"/>
    <w:rsid w:val="00B94623"/>
    <w:rsid w:val="00B9464A"/>
    <w:rsid w:val="00B94698"/>
    <w:rsid w:val="00B946A7"/>
    <w:rsid w:val="00B94E1D"/>
    <w:rsid w:val="00B950A9"/>
    <w:rsid w:val="00B95175"/>
    <w:rsid w:val="00B95382"/>
    <w:rsid w:val="00B9574D"/>
    <w:rsid w:val="00B95796"/>
    <w:rsid w:val="00B95859"/>
    <w:rsid w:val="00B95A04"/>
    <w:rsid w:val="00B95C18"/>
    <w:rsid w:val="00B95FED"/>
    <w:rsid w:val="00B961C2"/>
    <w:rsid w:val="00B96375"/>
    <w:rsid w:val="00B964BB"/>
    <w:rsid w:val="00B96B53"/>
    <w:rsid w:val="00B96BAC"/>
    <w:rsid w:val="00B96F0C"/>
    <w:rsid w:val="00B9721D"/>
    <w:rsid w:val="00B97539"/>
    <w:rsid w:val="00B977C7"/>
    <w:rsid w:val="00B977ED"/>
    <w:rsid w:val="00B97891"/>
    <w:rsid w:val="00B97C98"/>
    <w:rsid w:val="00BA011B"/>
    <w:rsid w:val="00BA06F5"/>
    <w:rsid w:val="00BA0D32"/>
    <w:rsid w:val="00BA18CD"/>
    <w:rsid w:val="00BA1D13"/>
    <w:rsid w:val="00BA25ED"/>
    <w:rsid w:val="00BA29DC"/>
    <w:rsid w:val="00BA29E9"/>
    <w:rsid w:val="00BA2EF7"/>
    <w:rsid w:val="00BA307C"/>
    <w:rsid w:val="00BA342D"/>
    <w:rsid w:val="00BA3442"/>
    <w:rsid w:val="00BA38CE"/>
    <w:rsid w:val="00BA3B7D"/>
    <w:rsid w:val="00BA3FFC"/>
    <w:rsid w:val="00BA4081"/>
    <w:rsid w:val="00BA4ABC"/>
    <w:rsid w:val="00BA4BE6"/>
    <w:rsid w:val="00BA5301"/>
    <w:rsid w:val="00BA5362"/>
    <w:rsid w:val="00BA5C23"/>
    <w:rsid w:val="00BA5D4A"/>
    <w:rsid w:val="00BA5DA1"/>
    <w:rsid w:val="00BA5E0A"/>
    <w:rsid w:val="00BA632B"/>
    <w:rsid w:val="00BA64F2"/>
    <w:rsid w:val="00BA6769"/>
    <w:rsid w:val="00BA6B11"/>
    <w:rsid w:val="00BA6ED8"/>
    <w:rsid w:val="00BA7142"/>
    <w:rsid w:val="00BA73FC"/>
    <w:rsid w:val="00BA75DA"/>
    <w:rsid w:val="00BA7625"/>
    <w:rsid w:val="00BA7B40"/>
    <w:rsid w:val="00BA7CEA"/>
    <w:rsid w:val="00BB020B"/>
    <w:rsid w:val="00BB05BD"/>
    <w:rsid w:val="00BB08B8"/>
    <w:rsid w:val="00BB0A1B"/>
    <w:rsid w:val="00BB0D3F"/>
    <w:rsid w:val="00BB0E46"/>
    <w:rsid w:val="00BB119E"/>
    <w:rsid w:val="00BB12D7"/>
    <w:rsid w:val="00BB180C"/>
    <w:rsid w:val="00BB1A7A"/>
    <w:rsid w:val="00BB1BB9"/>
    <w:rsid w:val="00BB1FAA"/>
    <w:rsid w:val="00BB204A"/>
    <w:rsid w:val="00BB237C"/>
    <w:rsid w:val="00BB255B"/>
    <w:rsid w:val="00BB259F"/>
    <w:rsid w:val="00BB3586"/>
    <w:rsid w:val="00BB36B4"/>
    <w:rsid w:val="00BB3C40"/>
    <w:rsid w:val="00BB3C46"/>
    <w:rsid w:val="00BB3D2A"/>
    <w:rsid w:val="00BB3F4B"/>
    <w:rsid w:val="00BB41A3"/>
    <w:rsid w:val="00BB4586"/>
    <w:rsid w:val="00BB4814"/>
    <w:rsid w:val="00BB4C35"/>
    <w:rsid w:val="00BB4D48"/>
    <w:rsid w:val="00BB5546"/>
    <w:rsid w:val="00BB57EF"/>
    <w:rsid w:val="00BB5843"/>
    <w:rsid w:val="00BB638C"/>
    <w:rsid w:val="00BB6398"/>
    <w:rsid w:val="00BB677F"/>
    <w:rsid w:val="00BB6795"/>
    <w:rsid w:val="00BB6B85"/>
    <w:rsid w:val="00BB6C74"/>
    <w:rsid w:val="00BB6D15"/>
    <w:rsid w:val="00BB7505"/>
    <w:rsid w:val="00BB757C"/>
    <w:rsid w:val="00BB77A5"/>
    <w:rsid w:val="00BB78F1"/>
    <w:rsid w:val="00BB7E7B"/>
    <w:rsid w:val="00BB7F04"/>
    <w:rsid w:val="00BC02FE"/>
    <w:rsid w:val="00BC042A"/>
    <w:rsid w:val="00BC053A"/>
    <w:rsid w:val="00BC0B95"/>
    <w:rsid w:val="00BC0C6F"/>
    <w:rsid w:val="00BC0CB4"/>
    <w:rsid w:val="00BC138B"/>
    <w:rsid w:val="00BC1695"/>
    <w:rsid w:val="00BC1A58"/>
    <w:rsid w:val="00BC1D90"/>
    <w:rsid w:val="00BC1E22"/>
    <w:rsid w:val="00BC1FD0"/>
    <w:rsid w:val="00BC1FDA"/>
    <w:rsid w:val="00BC2802"/>
    <w:rsid w:val="00BC2EB4"/>
    <w:rsid w:val="00BC3125"/>
    <w:rsid w:val="00BC32DC"/>
    <w:rsid w:val="00BC353C"/>
    <w:rsid w:val="00BC35B6"/>
    <w:rsid w:val="00BC3735"/>
    <w:rsid w:val="00BC3CF9"/>
    <w:rsid w:val="00BC3E87"/>
    <w:rsid w:val="00BC3ECB"/>
    <w:rsid w:val="00BC3FED"/>
    <w:rsid w:val="00BC40B6"/>
    <w:rsid w:val="00BC42BC"/>
    <w:rsid w:val="00BC4396"/>
    <w:rsid w:val="00BC43A4"/>
    <w:rsid w:val="00BC4951"/>
    <w:rsid w:val="00BC4B79"/>
    <w:rsid w:val="00BC4E29"/>
    <w:rsid w:val="00BC4EF2"/>
    <w:rsid w:val="00BC52C1"/>
    <w:rsid w:val="00BC53DD"/>
    <w:rsid w:val="00BC5894"/>
    <w:rsid w:val="00BC5BB3"/>
    <w:rsid w:val="00BC5E3C"/>
    <w:rsid w:val="00BC5EA2"/>
    <w:rsid w:val="00BC60B1"/>
    <w:rsid w:val="00BC6176"/>
    <w:rsid w:val="00BC6743"/>
    <w:rsid w:val="00BC6AFB"/>
    <w:rsid w:val="00BC6C1D"/>
    <w:rsid w:val="00BC6C9E"/>
    <w:rsid w:val="00BC6D75"/>
    <w:rsid w:val="00BC7DC3"/>
    <w:rsid w:val="00BD031B"/>
    <w:rsid w:val="00BD0BF9"/>
    <w:rsid w:val="00BD0CC6"/>
    <w:rsid w:val="00BD0FDD"/>
    <w:rsid w:val="00BD19E7"/>
    <w:rsid w:val="00BD1B51"/>
    <w:rsid w:val="00BD1ED7"/>
    <w:rsid w:val="00BD2274"/>
    <w:rsid w:val="00BD26F8"/>
    <w:rsid w:val="00BD2A6C"/>
    <w:rsid w:val="00BD2C4D"/>
    <w:rsid w:val="00BD2D36"/>
    <w:rsid w:val="00BD2DC9"/>
    <w:rsid w:val="00BD3334"/>
    <w:rsid w:val="00BD36FD"/>
    <w:rsid w:val="00BD4051"/>
    <w:rsid w:val="00BD4596"/>
    <w:rsid w:val="00BD46F3"/>
    <w:rsid w:val="00BD4BB0"/>
    <w:rsid w:val="00BD5070"/>
    <w:rsid w:val="00BD5089"/>
    <w:rsid w:val="00BD509C"/>
    <w:rsid w:val="00BD5446"/>
    <w:rsid w:val="00BD553F"/>
    <w:rsid w:val="00BD5AE8"/>
    <w:rsid w:val="00BD66E4"/>
    <w:rsid w:val="00BD6A54"/>
    <w:rsid w:val="00BD6B25"/>
    <w:rsid w:val="00BD6DC5"/>
    <w:rsid w:val="00BD7078"/>
    <w:rsid w:val="00BD715A"/>
    <w:rsid w:val="00BD7474"/>
    <w:rsid w:val="00BD74C2"/>
    <w:rsid w:val="00BE093A"/>
    <w:rsid w:val="00BE0A4A"/>
    <w:rsid w:val="00BE0C14"/>
    <w:rsid w:val="00BE1162"/>
    <w:rsid w:val="00BE1361"/>
    <w:rsid w:val="00BE1405"/>
    <w:rsid w:val="00BE1442"/>
    <w:rsid w:val="00BE1642"/>
    <w:rsid w:val="00BE18FA"/>
    <w:rsid w:val="00BE1B07"/>
    <w:rsid w:val="00BE26FB"/>
    <w:rsid w:val="00BE312D"/>
    <w:rsid w:val="00BE33F2"/>
    <w:rsid w:val="00BE3412"/>
    <w:rsid w:val="00BE3A88"/>
    <w:rsid w:val="00BE3DAA"/>
    <w:rsid w:val="00BE4231"/>
    <w:rsid w:val="00BE4610"/>
    <w:rsid w:val="00BE462A"/>
    <w:rsid w:val="00BE49A8"/>
    <w:rsid w:val="00BE50D8"/>
    <w:rsid w:val="00BE59F0"/>
    <w:rsid w:val="00BE5B37"/>
    <w:rsid w:val="00BE5B81"/>
    <w:rsid w:val="00BE5F67"/>
    <w:rsid w:val="00BE5F97"/>
    <w:rsid w:val="00BE5FF0"/>
    <w:rsid w:val="00BE604F"/>
    <w:rsid w:val="00BE622A"/>
    <w:rsid w:val="00BE6270"/>
    <w:rsid w:val="00BE6535"/>
    <w:rsid w:val="00BE6BF7"/>
    <w:rsid w:val="00BE6ECE"/>
    <w:rsid w:val="00BE71F3"/>
    <w:rsid w:val="00BE74EE"/>
    <w:rsid w:val="00BE7B57"/>
    <w:rsid w:val="00BE7BA8"/>
    <w:rsid w:val="00BE7DDB"/>
    <w:rsid w:val="00BE7E68"/>
    <w:rsid w:val="00BF0463"/>
    <w:rsid w:val="00BF1228"/>
    <w:rsid w:val="00BF1282"/>
    <w:rsid w:val="00BF172A"/>
    <w:rsid w:val="00BF1976"/>
    <w:rsid w:val="00BF1B84"/>
    <w:rsid w:val="00BF1C20"/>
    <w:rsid w:val="00BF1CD0"/>
    <w:rsid w:val="00BF2296"/>
    <w:rsid w:val="00BF22CB"/>
    <w:rsid w:val="00BF25FF"/>
    <w:rsid w:val="00BF2702"/>
    <w:rsid w:val="00BF2867"/>
    <w:rsid w:val="00BF29A5"/>
    <w:rsid w:val="00BF2AE6"/>
    <w:rsid w:val="00BF2B66"/>
    <w:rsid w:val="00BF2BCE"/>
    <w:rsid w:val="00BF313C"/>
    <w:rsid w:val="00BF3697"/>
    <w:rsid w:val="00BF3E10"/>
    <w:rsid w:val="00BF3E7A"/>
    <w:rsid w:val="00BF4316"/>
    <w:rsid w:val="00BF45BF"/>
    <w:rsid w:val="00BF4610"/>
    <w:rsid w:val="00BF4776"/>
    <w:rsid w:val="00BF48D8"/>
    <w:rsid w:val="00BF4A6F"/>
    <w:rsid w:val="00BF4CFA"/>
    <w:rsid w:val="00BF5103"/>
    <w:rsid w:val="00BF5126"/>
    <w:rsid w:val="00BF5245"/>
    <w:rsid w:val="00BF5344"/>
    <w:rsid w:val="00BF5D22"/>
    <w:rsid w:val="00BF5DCA"/>
    <w:rsid w:val="00BF5EC2"/>
    <w:rsid w:val="00BF61E8"/>
    <w:rsid w:val="00BF6504"/>
    <w:rsid w:val="00BF65D0"/>
    <w:rsid w:val="00BF6FE9"/>
    <w:rsid w:val="00BF732B"/>
    <w:rsid w:val="00BF76F8"/>
    <w:rsid w:val="00BF77E2"/>
    <w:rsid w:val="00BF7B28"/>
    <w:rsid w:val="00BF7C28"/>
    <w:rsid w:val="00BF7D6F"/>
    <w:rsid w:val="00C0009B"/>
    <w:rsid w:val="00C00101"/>
    <w:rsid w:val="00C00CF3"/>
    <w:rsid w:val="00C00E83"/>
    <w:rsid w:val="00C00F5A"/>
    <w:rsid w:val="00C0149B"/>
    <w:rsid w:val="00C01A2E"/>
    <w:rsid w:val="00C0228A"/>
    <w:rsid w:val="00C02588"/>
    <w:rsid w:val="00C026F1"/>
    <w:rsid w:val="00C030B8"/>
    <w:rsid w:val="00C032EB"/>
    <w:rsid w:val="00C03505"/>
    <w:rsid w:val="00C0395C"/>
    <w:rsid w:val="00C03DCC"/>
    <w:rsid w:val="00C045E1"/>
    <w:rsid w:val="00C046FB"/>
    <w:rsid w:val="00C04960"/>
    <w:rsid w:val="00C0499C"/>
    <w:rsid w:val="00C049A1"/>
    <w:rsid w:val="00C049A2"/>
    <w:rsid w:val="00C04D1F"/>
    <w:rsid w:val="00C04D64"/>
    <w:rsid w:val="00C04EF2"/>
    <w:rsid w:val="00C04F79"/>
    <w:rsid w:val="00C05331"/>
    <w:rsid w:val="00C05D66"/>
    <w:rsid w:val="00C05F2E"/>
    <w:rsid w:val="00C060B6"/>
    <w:rsid w:val="00C0642C"/>
    <w:rsid w:val="00C06BBE"/>
    <w:rsid w:val="00C06C45"/>
    <w:rsid w:val="00C06E27"/>
    <w:rsid w:val="00C06E9A"/>
    <w:rsid w:val="00C07D9A"/>
    <w:rsid w:val="00C1009A"/>
    <w:rsid w:val="00C1038D"/>
    <w:rsid w:val="00C10459"/>
    <w:rsid w:val="00C10578"/>
    <w:rsid w:val="00C1084B"/>
    <w:rsid w:val="00C109DA"/>
    <w:rsid w:val="00C10B06"/>
    <w:rsid w:val="00C10C38"/>
    <w:rsid w:val="00C10C7C"/>
    <w:rsid w:val="00C110CC"/>
    <w:rsid w:val="00C1160F"/>
    <w:rsid w:val="00C1191D"/>
    <w:rsid w:val="00C11CE4"/>
    <w:rsid w:val="00C11F18"/>
    <w:rsid w:val="00C121D1"/>
    <w:rsid w:val="00C12A0E"/>
    <w:rsid w:val="00C12A7E"/>
    <w:rsid w:val="00C12C1D"/>
    <w:rsid w:val="00C135BC"/>
    <w:rsid w:val="00C13D2F"/>
    <w:rsid w:val="00C13D47"/>
    <w:rsid w:val="00C14289"/>
    <w:rsid w:val="00C1430E"/>
    <w:rsid w:val="00C14329"/>
    <w:rsid w:val="00C14689"/>
    <w:rsid w:val="00C146A4"/>
    <w:rsid w:val="00C14F3B"/>
    <w:rsid w:val="00C14FE2"/>
    <w:rsid w:val="00C1525A"/>
    <w:rsid w:val="00C15263"/>
    <w:rsid w:val="00C1559D"/>
    <w:rsid w:val="00C1593F"/>
    <w:rsid w:val="00C15C95"/>
    <w:rsid w:val="00C15F54"/>
    <w:rsid w:val="00C17277"/>
    <w:rsid w:val="00C175CB"/>
    <w:rsid w:val="00C175DE"/>
    <w:rsid w:val="00C17607"/>
    <w:rsid w:val="00C17858"/>
    <w:rsid w:val="00C178C5"/>
    <w:rsid w:val="00C17BC4"/>
    <w:rsid w:val="00C17C35"/>
    <w:rsid w:val="00C20062"/>
    <w:rsid w:val="00C202D7"/>
    <w:rsid w:val="00C20308"/>
    <w:rsid w:val="00C20389"/>
    <w:rsid w:val="00C204B7"/>
    <w:rsid w:val="00C20681"/>
    <w:rsid w:val="00C2075C"/>
    <w:rsid w:val="00C20894"/>
    <w:rsid w:val="00C20AD8"/>
    <w:rsid w:val="00C20C2F"/>
    <w:rsid w:val="00C20D3E"/>
    <w:rsid w:val="00C21240"/>
    <w:rsid w:val="00C21642"/>
    <w:rsid w:val="00C2164C"/>
    <w:rsid w:val="00C2193E"/>
    <w:rsid w:val="00C21E16"/>
    <w:rsid w:val="00C224E4"/>
    <w:rsid w:val="00C227DE"/>
    <w:rsid w:val="00C23066"/>
    <w:rsid w:val="00C230DB"/>
    <w:rsid w:val="00C23151"/>
    <w:rsid w:val="00C23571"/>
    <w:rsid w:val="00C236B0"/>
    <w:rsid w:val="00C2377B"/>
    <w:rsid w:val="00C23D01"/>
    <w:rsid w:val="00C23E81"/>
    <w:rsid w:val="00C2434C"/>
    <w:rsid w:val="00C243AE"/>
    <w:rsid w:val="00C2441E"/>
    <w:rsid w:val="00C248A8"/>
    <w:rsid w:val="00C24BB6"/>
    <w:rsid w:val="00C250E5"/>
    <w:rsid w:val="00C253E6"/>
    <w:rsid w:val="00C2596A"/>
    <w:rsid w:val="00C26160"/>
    <w:rsid w:val="00C264A6"/>
    <w:rsid w:val="00C26590"/>
    <w:rsid w:val="00C2661A"/>
    <w:rsid w:val="00C272F6"/>
    <w:rsid w:val="00C273D2"/>
    <w:rsid w:val="00C274F9"/>
    <w:rsid w:val="00C27537"/>
    <w:rsid w:val="00C278DC"/>
    <w:rsid w:val="00C27907"/>
    <w:rsid w:val="00C27A24"/>
    <w:rsid w:val="00C30087"/>
    <w:rsid w:val="00C304A8"/>
    <w:rsid w:val="00C30C74"/>
    <w:rsid w:val="00C3179F"/>
    <w:rsid w:val="00C317AE"/>
    <w:rsid w:val="00C317D5"/>
    <w:rsid w:val="00C319ED"/>
    <w:rsid w:val="00C31C24"/>
    <w:rsid w:val="00C3211C"/>
    <w:rsid w:val="00C322E1"/>
    <w:rsid w:val="00C32509"/>
    <w:rsid w:val="00C3270F"/>
    <w:rsid w:val="00C3272E"/>
    <w:rsid w:val="00C3276D"/>
    <w:rsid w:val="00C328FE"/>
    <w:rsid w:val="00C32BCA"/>
    <w:rsid w:val="00C33028"/>
    <w:rsid w:val="00C333B9"/>
    <w:rsid w:val="00C33507"/>
    <w:rsid w:val="00C337EC"/>
    <w:rsid w:val="00C3397F"/>
    <w:rsid w:val="00C33A6E"/>
    <w:rsid w:val="00C33C0A"/>
    <w:rsid w:val="00C33C1F"/>
    <w:rsid w:val="00C33E1A"/>
    <w:rsid w:val="00C33FFC"/>
    <w:rsid w:val="00C3426C"/>
    <w:rsid w:val="00C34643"/>
    <w:rsid w:val="00C3464A"/>
    <w:rsid w:val="00C346FF"/>
    <w:rsid w:val="00C3489E"/>
    <w:rsid w:val="00C348DA"/>
    <w:rsid w:val="00C349AC"/>
    <w:rsid w:val="00C34BAD"/>
    <w:rsid w:val="00C34E2B"/>
    <w:rsid w:val="00C35241"/>
    <w:rsid w:val="00C352E3"/>
    <w:rsid w:val="00C3537C"/>
    <w:rsid w:val="00C35442"/>
    <w:rsid w:val="00C35631"/>
    <w:rsid w:val="00C35928"/>
    <w:rsid w:val="00C35F90"/>
    <w:rsid w:val="00C36113"/>
    <w:rsid w:val="00C361F3"/>
    <w:rsid w:val="00C367F4"/>
    <w:rsid w:val="00C36AA4"/>
    <w:rsid w:val="00C36ABB"/>
    <w:rsid w:val="00C36B5B"/>
    <w:rsid w:val="00C36D41"/>
    <w:rsid w:val="00C36F02"/>
    <w:rsid w:val="00C36F74"/>
    <w:rsid w:val="00C36FC5"/>
    <w:rsid w:val="00C37074"/>
    <w:rsid w:val="00C374A5"/>
    <w:rsid w:val="00C375EA"/>
    <w:rsid w:val="00C37A36"/>
    <w:rsid w:val="00C37CE5"/>
    <w:rsid w:val="00C401DE"/>
    <w:rsid w:val="00C403DB"/>
    <w:rsid w:val="00C40A9B"/>
    <w:rsid w:val="00C40B11"/>
    <w:rsid w:val="00C40D3F"/>
    <w:rsid w:val="00C40DB9"/>
    <w:rsid w:val="00C412FD"/>
    <w:rsid w:val="00C4130B"/>
    <w:rsid w:val="00C41454"/>
    <w:rsid w:val="00C41672"/>
    <w:rsid w:val="00C4191B"/>
    <w:rsid w:val="00C41A38"/>
    <w:rsid w:val="00C4201D"/>
    <w:rsid w:val="00C422A7"/>
    <w:rsid w:val="00C4292F"/>
    <w:rsid w:val="00C43296"/>
    <w:rsid w:val="00C436C9"/>
    <w:rsid w:val="00C438E2"/>
    <w:rsid w:val="00C43AF5"/>
    <w:rsid w:val="00C43C47"/>
    <w:rsid w:val="00C43CC5"/>
    <w:rsid w:val="00C43D99"/>
    <w:rsid w:val="00C43F29"/>
    <w:rsid w:val="00C4409D"/>
    <w:rsid w:val="00C441A8"/>
    <w:rsid w:val="00C44579"/>
    <w:rsid w:val="00C448D8"/>
    <w:rsid w:val="00C44E72"/>
    <w:rsid w:val="00C44F80"/>
    <w:rsid w:val="00C453F2"/>
    <w:rsid w:val="00C45467"/>
    <w:rsid w:val="00C45523"/>
    <w:rsid w:val="00C45629"/>
    <w:rsid w:val="00C4593D"/>
    <w:rsid w:val="00C45A06"/>
    <w:rsid w:val="00C45F8A"/>
    <w:rsid w:val="00C465CF"/>
    <w:rsid w:val="00C46AD7"/>
    <w:rsid w:val="00C474A0"/>
    <w:rsid w:val="00C47736"/>
    <w:rsid w:val="00C477E1"/>
    <w:rsid w:val="00C47A30"/>
    <w:rsid w:val="00C47C2E"/>
    <w:rsid w:val="00C47CBB"/>
    <w:rsid w:val="00C47E57"/>
    <w:rsid w:val="00C47E5B"/>
    <w:rsid w:val="00C50423"/>
    <w:rsid w:val="00C505CF"/>
    <w:rsid w:val="00C506E8"/>
    <w:rsid w:val="00C50816"/>
    <w:rsid w:val="00C50ACE"/>
    <w:rsid w:val="00C50B3D"/>
    <w:rsid w:val="00C50DEA"/>
    <w:rsid w:val="00C513F1"/>
    <w:rsid w:val="00C513F7"/>
    <w:rsid w:val="00C51979"/>
    <w:rsid w:val="00C51B88"/>
    <w:rsid w:val="00C51C85"/>
    <w:rsid w:val="00C51C9F"/>
    <w:rsid w:val="00C51CFE"/>
    <w:rsid w:val="00C51EC1"/>
    <w:rsid w:val="00C52091"/>
    <w:rsid w:val="00C52932"/>
    <w:rsid w:val="00C52BDC"/>
    <w:rsid w:val="00C52C4B"/>
    <w:rsid w:val="00C52ED5"/>
    <w:rsid w:val="00C5336B"/>
    <w:rsid w:val="00C535D4"/>
    <w:rsid w:val="00C5380B"/>
    <w:rsid w:val="00C53A2A"/>
    <w:rsid w:val="00C53F8D"/>
    <w:rsid w:val="00C54143"/>
    <w:rsid w:val="00C55020"/>
    <w:rsid w:val="00C553E4"/>
    <w:rsid w:val="00C5551E"/>
    <w:rsid w:val="00C556FE"/>
    <w:rsid w:val="00C562E2"/>
    <w:rsid w:val="00C562F7"/>
    <w:rsid w:val="00C56364"/>
    <w:rsid w:val="00C567F8"/>
    <w:rsid w:val="00C569A4"/>
    <w:rsid w:val="00C569FE"/>
    <w:rsid w:val="00C57426"/>
    <w:rsid w:val="00C5770C"/>
    <w:rsid w:val="00C57AFD"/>
    <w:rsid w:val="00C57FB4"/>
    <w:rsid w:val="00C60930"/>
    <w:rsid w:val="00C60E44"/>
    <w:rsid w:val="00C61860"/>
    <w:rsid w:val="00C61DA4"/>
    <w:rsid w:val="00C61E4B"/>
    <w:rsid w:val="00C61F4D"/>
    <w:rsid w:val="00C620A5"/>
    <w:rsid w:val="00C620DA"/>
    <w:rsid w:val="00C62591"/>
    <w:rsid w:val="00C625EC"/>
    <w:rsid w:val="00C62E02"/>
    <w:rsid w:val="00C62E75"/>
    <w:rsid w:val="00C62EBF"/>
    <w:rsid w:val="00C62F25"/>
    <w:rsid w:val="00C6320A"/>
    <w:rsid w:val="00C6367A"/>
    <w:rsid w:val="00C63858"/>
    <w:rsid w:val="00C639DD"/>
    <w:rsid w:val="00C63CD2"/>
    <w:rsid w:val="00C63D1E"/>
    <w:rsid w:val="00C63D94"/>
    <w:rsid w:val="00C63DD4"/>
    <w:rsid w:val="00C63ED4"/>
    <w:rsid w:val="00C6441E"/>
    <w:rsid w:val="00C64767"/>
    <w:rsid w:val="00C64792"/>
    <w:rsid w:val="00C64BFF"/>
    <w:rsid w:val="00C65587"/>
    <w:rsid w:val="00C65734"/>
    <w:rsid w:val="00C657B2"/>
    <w:rsid w:val="00C659C7"/>
    <w:rsid w:val="00C65A3C"/>
    <w:rsid w:val="00C65CC7"/>
    <w:rsid w:val="00C660E2"/>
    <w:rsid w:val="00C6692F"/>
    <w:rsid w:val="00C66C69"/>
    <w:rsid w:val="00C66D79"/>
    <w:rsid w:val="00C66DB2"/>
    <w:rsid w:val="00C670E5"/>
    <w:rsid w:val="00C6714D"/>
    <w:rsid w:val="00C6721B"/>
    <w:rsid w:val="00C67330"/>
    <w:rsid w:val="00C67401"/>
    <w:rsid w:val="00C6770B"/>
    <w:rsid w:val="00C67913"/>
    <w:rsid w:val="00C67C25"/>
    <w:rsid w:val="00C67E4F"/>
    <w:rsid w:val="00C67ED7"/>
    <w:rsid w:val="00C704E9"/>
    <w:rsid w:val="00C708D2"/>
    <w:rsid w:val="00C70915"/>
    <w:rsid w:val="00C70CD5"/>
    <w:rsid w:val="00C70F0E"/>
    <w:rsid w:val="00C7183D"/>
    <w:rsid w:val="00C71870"/>
    <w:rsid w:val="00C71E22"/>
    <w:rsid w:val="00C7264E"/>
    <w:rsid w:val="00C7282C"/>
    <w:rsid w:val="00C729E4"/>
    <w:rsid w:val="00C72BED"/>
    <w:rsid w:val="00C72CC0"/>
    <w:rsid w:val="00C72CE7"/>
    <w:rsid w:val="00C73065"/>
    <w:rsid w:val="00C73228"/>
    <w:rsid w:val="00C733F2"/>
    <w:rsid w:val="00C73B77"/>
    <w:rsid w:val="00C73B7F"/>
    <w:rsid w:val="00C73C54"/>
    <w:rsid w:val="00C73D5B"/>
    <w:rsid w:val="00C73D96"/>
    <w:rsid w:val="00C73EF8"/>
    <w:rsid w:val="00C740A1"/>
    <w:rsid w:val="00C744AF"/>
    <w:rsid w:val="00C744BB"/>
    <w:rsid w:val="00C749C0"/>
    <w:rsid w:val="00C74CF4"/>
    <w:rsid w:val="00C74D63"/>
    <w:rsid w:val="00C750F0"/>
    <w:rsid w:val="00C75621"/>
    <w:rsid w:val="00C75A27"/>
    <w:rsid w:val="00C75A44"/>
    <w:rsid w:val="00C75EAA"/>
    <w:rsid w:val="00C75FDD"/>
    <w:rsid w:val="00C763C9"/>
    <w:rsid w:val="00C768A1"/>
    <w:rsid w:val="00C76B54"/>
    <w:rsid w:val="00C76D94"/>
    <w:rsid w:val="00C76F9B"/>
    <w:rsid w:val="00C77092"/>
    <w:rsid w:val="00C77208"/>
    <w:rsid w:val="00C7731C"/>
    <w:rsid w:val="00C773B2"/>
    <w:rsid w:val="00C778A4"/>
    <w:rsid w:val="00C779DA"/>
    <w:rsid w:val="00C77A9E"/>
    <w:rsid w:val="00C77FCF"/>
    <w:rsid w:val="00C80057"/>
    <w:rsid w:val="00C80070"/>
    <w:rsid w:val="00C801B8"/>
    <w:rsid w:val="00C80207"/>
    <w:rsid w:val="00C8062C"/>
    <w:rsid w:val="00C80981"/>
    <w:rsid w:val="00C80C0E"/>
    <w:rsid w:val="00C8156F"/>
    <w:rsid w:val="00C81676"/>
    <w:rsid w:val="00C8189A"/>
    <w:rsid w:val="00C81B64"/>
    <w:rsid w:val="00C81C73"/>
    <w:rsid w:val="00C81D6C"/>
    <w:rsid w:val="00C82232"/>
    <w:rsid w:val="00C82913"/>
    <w:rsid w:val="00C82A54"/>
    <w:rsid w:val="00C82C01"/>
    <w:rsid w:val="00C82D43"/>
    <w:rsid w:val="00C82EE5"/>
    <w:rsid w:val="00C831E1"/>
    <w:rsid w:val="00C8385D"/>
    <w:rsid w:val="00C8448B"/>
    <w:rsid w:val="00C845F5"/>
    <w:rsid w:val="00C848C8"/>
    <w:rsid w:val="00C8493C"/>
    <w:rsid w:val="00C84B21"/>
    <w:rsid w:val="00C850F4"/>
    <w:rsid w:val="00C85C0B"/>
    <w:rsid w:val="00C85F1C"/>
    <w:rsid w:val="00C85F6A"/>
    <w:rsid w:val="00C864E4"/>
    <w:rsid w:val="00C8682D"/>
    <w:rsid w:val="00C86AD5"/>
    <w:rsid w:val="00C8716A"/>
    <w:rsid w:val="00C874DD"/>
    <w:rsid w:val="00C87719"/>
    <w:rsid w:val="00C87AA8"/>
    <w:rsid w:val="00C87EA2"/>
    <w:rsid w:val="00C90158"/>
    <w:rsid w:val="00C9048F"/>
    <w:rsid w:val="00C9089B"/>
    <w:rsid w:val="00C910FD"/>
    <w:rsid w:val="00C91366"/>
    <w:rsid w:val="00C91AC9"/>
    <w:rsid w:val="00C91B45"/>
    <w:rsid w:val="00C9232D"/>
    <w:rsid w:val="00C927D2"/>
    <w:rsid w:val="00C92890"/>
    <w:rsid w:val="00C92A29"/>
    <w:rsid w:val="00C92B30"/>
    <w:rsid w:val="00C92B70"/>
    <w:rsid w:val="00C92CCF"/>
    <w:rsid w:val="00C92FF8"/>
    <w:rsid w:val="00C9303D"/>
    <w:rsid w:val="00C932F4"/>
    <w:rsid w:val="00C93B70"/>
    <w:rsid w:val="00C93E07"/>
    <w:rsid w:val="00C93EC1"/>
    <w:rsid w:val="00C9402A"/>
    <w:rsid w:val="00C9474C"/>
    <w:rsid w:val="00C947C1"/>
    <w:rsid w:val="00C94937"/>
    <w:rsid w:val="00C9499E"/>
    <w:rsid w:val="00C94C55"/>
    <w:rsid w:val="00C94D90"/>
    <w:rsid w:val="00C95169"/>
    <w:rsid w:val="00C95338"/>
    <w:rsid w:val="00C956B7"/>
    <w:rsid w:val="00C956C5"/>
    <w:rsid w:val="00C956FA"/>
    <w:rsid w:val="00C957FF"/>
    <w:rsid w:val="00C95953"/>
    <w:rsid w:val="00C964B5"/>
    <w:rsid w:val="00C96528"/>
    <w:rsid w:val="00C96760"/>
    <w:rsid w:val="00C97056"/>
    <w:rsid w:val="00C9717B"/>
    <w:rsid w:val="00C972A3"/>
    <w:rsid w:val="00C972B1"/>
    <w:rsid w:val="00C97C6B"/>
    <w:rsid w:val="00C97EB0"/>
    <w:rsid w:val="00CA0A47"/>
    <w:rsid w:val="00CA0B2E"/>
    <w:rsid w:val="00CA119A"/>
    <w:rsid w:val="00CA23C4"/>
    <w:rsid w:val="00CA2820"/>
    <w:rsid w:val="00CA2CCE"/>
    <w:rsid w:val="00CA2E21"/>
    <w:rsid w:val="00CA3003"/>
    <w:rsid w:val="00CA323B"/>
    <w:rsid w:val="00CA32CC"/>
    <w:rsid w:val="00CA3532"/>
    <w:rsid w:val="00CA3A61"/>
    <w:rsid w:val="00CA3AFD"/>
    <w:rsid w:val="00CA3B16"/>
    <w:rsid w:val="00CA4246"/>
    <w:rsid w:val="00CA42E9"/>
    <w:rsid w:val="00CA43FD"/>
    <w:rsid w:val="00CA4420"/>
    <w:rsid w:val="00CA450D"/>
    <w:rsid w:val="00CA4843"/>
    <w:rsid w:val="00CA4BAB"/>
    <w:rsid w:val="00CA5270"/>
    <w:rsid w:val="00CA542B"/>
    <w:rsid w:val="00CA555F"/>
    <w:rsid w:val="00CA56B0"/>
    <w:rsid w:val="00CA57C8"/>
    <w:rsid w:val="00CA593D"/>
    <w:rsid w:val="00CA5DFF"/>
    <w:rsid w:val="00CA5E79"/>
    <w:rsid w:val="00CA6094"/>
    <w:rsid w:val="00CA62D1"/>
    <w:rsid w:val="00CA6AE3"/>
    <w:rsid w:val="00CA6E7A"/>
    <w:rsid w:val="00CA7067"/>
    <w:rsid w:val="00CA725C"/>
    <w:rsid w:val="00CA72E8"/>
    <w:rsid w:val="00CA75C7"/>
    <w:rsid w:val="00CA7EF8"/>
    <w:rsid w:val="00CB0207"/>
    <w:rsid w:val="00CB0235"/>
    <w:rsid w:val="00CB0371"/>
    <w:rsid w:val="00CB0679"/>
    <w:rsid w:val="00CB06AC"/>
    <w:rsid w:val="00CB0D7C"/>
    <w:rsid w:val="00CB0FF6"/>
    <w:rsid w:val="00CB12F3"/>
    <w:rsid w:val="00CB175A"/>
    <w:rsid w:val="00CB192C"/>
    <w:rsid w:val="00CB1932"/>
    <w:rsid w:val="00CB19C0"/>
    <w:rsid w:val="00CB1E05"/>
    <w:rsid w:val="00CB2627"/>
    <w:rsid w:val="00CB28C3"/>
    <w:rsid w:val="00CB2D3C"/>
    <w:rsid w:val="00CB2E5A"/>
    <w:rsid w:val="00CB33CC"/>
    <w:rsid w:val="00CB3427"/>
    <w:rsid w:val="00CB3497"/>
    <w:rsid w:val="00CB3626"/>
    <w:rsid w:val="00CB3684"/>
    <w:rsid w:val="00CB3766"/>
    <w:rsid w:val="00CB3A68"/>
    <w:rsid w:val="00CB3B89"/>
    <w:rsid w:val="00CB3C5C"/>
    <w:rsid w:val="00CB3D05"/>
    <w:rsid w:val="00CB3DD6"/>
    <w:rsid w:val="00CB3E44"/>
    <w:rsid w:val="00CB44EE"/>
    <w:rsid w:val="00CB467C"/>
    <w:rsid w:val="00CB4D46"/>
    <w:rsid w:val="00CB4E7A"/>
    <w:rsid w:val="00CB5308"/>
    <w:rsid w:val="00CB5333"/>
    <w:rsid w:val="00CB550D"/>
    <w:rsid w:val="00CB5A43"/>
    <w:rsid w:val="00CB5E36"/>
    <w:rsid w:val="00CB65BB"/>
    <w:rsid w:val="00CB6A2B"/>
    <w:rsid w:val="00CB6B3B"/>
    <w:rsid w:val="00CB6E37"/>
    <w:rsid w:val="00CB7A9C"/>
    <w:rsid w:val="00CB7F5D"/>
    <w:rsid w:val="00CC02CA"/>
    <w:rsid w:val="00CC12A6"/>
    <w:rsid w:val="00CC1C4D"/>
    <w:rsid w:val="00CC1DD4"/>
    <w:rsid w:val="00CC2405"/>
    <w:rsid w:val="00CC259B"/>
    <w:rsid w:val="00CC2635"/>
    <w:rsid w:val="00CC2828"/>
    <w:rsid w:val="00CC2F23"/>
    <w:rsid w:val="00CC38B9"/>
    <w:rsid w:val="00CC3FDC"/>
    <w:rsid w:val="00CC41AD"/>
    <w:rsid w:val="00CC455B"/>
    <w:rsid w:val="00CC489B"/>
    <w:rsid w:val="00CC4922"/>
    <w:rsid w:val="00CC4A2F"/>
    <w:rsid w:val="00CC4BBF"/>
    <w:rsid w:val="00CC4EA8"/>
    <w:rsid w:val="00CC4EC2"/>
    <w:rsid w:val="00CC551B"/>
    <w:rsid w:val="00CC59D0"/>
    <w:rsid w:val="00CC5D93"/>
    <w:rsid w:val="00CC5FD1"/>
    <w:rsid w:val="00CC623F"/>
    <w:rsid w:val="00CC664C"/>
    <w:rsid w:val="00CC6967"/>
    <w:rsid w:val="00CC6AF7"/>
    <w:rsid w:val="00CC6C01"/>
    <w:rsid w:val="00CC6E13"/>
    <w:rsid w:val="00CC6E3F"/>
    <w:rsid w:val="00CC71E7"/>
    <w:rsid w:val="00CC72AD"/>
    <w:rsid w:val="00CC7456"/>
    <w:rsid w:val="00CC7779"/>
    <w:rsid w:val="00CC794F"/>
    <w:rsid w:val="00CC7BBE"/>
    <w:rsid w:val="00CC7FC1"/>
    <w:rsid w:val="00CD055B"/>
    <w:rsid w:val="00CD08A1"/>
    <w:rsid w:val="00CD09FC"/>
    <w:rsid w:val="00CD0EFA"/>
    <w:rsid w:val="00CD0FA9"/>
    <w:rsid w:val="00CD13BD"/>
    <w:rsid w:val="00CD1D21"/>
    <w:rsid w:val="00CD1EB1"/>
    <w:rsid w:val="00CD1EF3"/>
    <w:rsid w:val="00CD1F82"/>
    <w:rsid w:val="00CD20D3"/>
    <w:rsid w:val="00CD270A"/>
    <w:rsid w:val="00CD286F"/>
    <w:rsid w:val="00CD2BCD"/>
    <w:rsid w:val="00CD2C21"/>
    <w:rsid w:val="00CD308E"/>
    <w:rsid w:val="00CD30EF"/>
    <w:rsid w:val="00CD357A"/>
    <w:rsid w:val="00CD3A4C"/>
    <w:rsid w:val="00CD47F2"/>
    <w:rsid w:val="00CD4C9C"/>
    <w:rsid w:val="00CD4E99"/>
    <w:rsid w:val="00CD59D1"/>
    <w:rsid w:val="00CD6203"/>
    <w:rsid w:val="00CD64D5"/>
    <w:rsid w:val="00CD6509"/>
    <w:rsid w:val="00CD6814"/>
    <w:rsid w:val="00CD691D"/>
    <w:rsid w:val="00CD6D66"/>
    <w:rsid w:val="00CD6DE3"/>
    <w:rsid w:val="00CD743E"/>
    <w:rsid w:val="00CD758B"/>
    <w:rsid w:val="00CD7E6C"/>
    <w:rsid w:val="00CE0109"/>
    <w:rsid w:val="00CE0386"/>
    <w:rsid w:val="00CE04B0"/>
    <w:rsid w:val="00CE05AC"/>
    <w:rsid w:val="00CE06EC"/>
    <w:rsid w:val="00CE08C6"/>
    <w:rsid w:val="00CE0A48"/>
    <w:rsid w:val="00CE0DA0"/>
    <w:rsid w:val="00CE10E9"/>
    <w:rsid w:val="00CE135E"/>
    <w:rsid w:val="00CE16E5"/>
    <w:rsid w:val="00CE1FD3"/>
    <w:rsid w:val="00CE1FD7"/>
    <w:rsid w:val="00CE2445"/>
    <w:rsid w:val="00CE24E2"/>
    <w:rsid w:val="00CE2910"/>
    <w:rsid w:val="00CE2C55"/>
    <w:rsid w:val="00CE2D03"/>
    <w:rsid w:val="00CE2D8D"/>
    <w:rsid w:val="00CE37A7"/>
    <w:rsid w:val="00CE3B38"/>
    <w:rsid w:val="00CE3C1E"/>
    <w:rsid w:val="00CE3FB4"/>
    <w:rsid w:val="00CE3FF1"/>
    <w:rsid w:val="00CE40CE"/>
    <w:rsid w:val="00CE40D6"/>
    <w:rsid w:val="00CE42EC"/>
    <w:rsid w:val="00CE4442"/>
    <w:rsid w:val="00CE45DC"/>
    <w:rsid w:val="00CE467D"/>
    <w:rsid w:val="00CE4976"/>
    <w:rsid w:val="00CE4DBD"/>
    <w:rsid w:val="00CE4E1A"/>
    <w:rsid w:val="00CE4EC3"/>
    <w:rsid w:val="00CE4FAD"/>
    <w:rsid w:val="00CE5393"/>
    <w:rsid w:val="00CE54A0"/>
    <w:rsid w:val="00CE55A2"/>
    <w:rsid w:val="00CE55DC"/>
    <w:rsid w:val="00CE6076"/>
    <w:rsid w:val="00CE615F"/>
    <w:rsid w:val="00CE63E9"/>
    <w:rsid w:val="00CE65D7"/>
    <w:rsid w:val="00CE6AEE"/>
    <w:rsid w:val="00CE6EB8"/>
    <w:rsid w:val="00CE76CA"/>
    <w:rsid w:val="00CE77F0"/>
    <w:rsid w:val="00CE7D81"/>
    <w:rsid w:val="00CF03AC"/>
    <w:rsid w:val="00CF04CB"/>
    <w:rsid w:val="00CF0C81"/>
    <w:rsid w:val="00CF0F5E"/>
    <w:rsid w:val="00CF1AF7"/>
    <w:rsid w:val="00CF1E1A"/>
    <w:rsid w:val="00CF24BE"/>
    <w:rsid w:val="00CF3002"/>
    <w:rsid w:val="00CF3062"/>
    <w:rsid w:val="00CF3312"/>
    <w:rsid w:val="00CF33CA"/>
    <w:rsid w:val="00CF3403"/>
    <w:rsid w:val="00CF36BE"/>
    <w:rsid w:val="00CF383E"/>
    <w:rsid w:val="00CF389E"/>
    <w:rsid w:val="00CF3B67"/>
    <w:rsid w:val="00CF4064"/>
    <w:rsid w:val="00CF43DB"/>
    <w:rsid w:val="00CF441C"/>
    <w:rsid w:val="00CF4903"/>
    <w:rsid w:val="00CF4A89"/>
    <w:rsid w:val="00CF4E98"/>
    <w:rsid w:val="00CF5EA6"/>
    <w:rsid w:val="00CF6000"/>
    <w:rsid w:val="00CF60EA"/>
    <w:rsid w:val="00CF6417"/>
    <w:rsid w:val="00CF6587"/>
    <w:rsid w:val="00CF6E02"/>
    <w:rsid w:val="00CF706E"/>
    <w:rsid w:val="00CF722E"/>
    <w:rsid w:val="00CF7462"/>
    <w:rsid w:val="00CF75B0"/>
    <w:rsid w:val="00D00360"/>
    <w:rsid w:val="00D003F3"/>
    <w:rsid w:val="00D00603"/>
    <w:rsid w:val="00D008A1"/>
    <w:rsid w:val="00D00AF2"/>
    <w:rsid w:val="00D00E2A"/>
    <w:rsid w:val="00D0142A"/>
    <w:rsid w:val="00D01EA8"/>
    <w:rsid w:val="00D02D08"/>
    <w:rsid w:val="00D03461"/>
    <w:rsid w:val="00D035C1"/>
    <w:rsid w:val="00D0364F"/>
    <w:rsid w:val="00D03887"/>
    <w:rsid w:val="00D03E8C"/>
    <w:rsid w:val="00D03FD7"/>
    <w:rsid w:val="00D0409B"/>
    <w:rsid w:val="00D04912"/>
    <w:rsid w:val="00D04CF2"/>
    <w:rsid w:val="00D04D42"/>
    <w:rsid w:val="00D04F0D"/>
    <w:rsid w:val="00D055E9"/>
    <w:rsid w:val="00D05716"/>
    <w:rsid w:val="00D05A02"/>
    <w:rsid w:val="00D05ACF"/>
    <w:rsid w:val="00D06207"/>
    <w:rsid w:val="00D06834"/>
    <w:rsid w:val="00D070E9"/>
    <w:rsid w:val="00D073BD"/>
    <w:rsid w:val="00D0750C"/>
    <w:rsid w:val="00D07884"/>
    <w:rsid w:val="00D07ABA"/>
    <w:rsid w:val="00D07B38"/>
    <w:rsid w:val="00D07DB4"/>
    <w:rsid w:val="00D07DF0"/>
    <w:rsid w:val="00D07EF2"/>
    <w:rsid w:val="00D10081"/>
    <w:rsid w:val="00D10364"/>
    <w:rsid w:val="00D1051D"/>
    <w:rsid w:val="00D1052F"/>
    <w:rsid w:val="00D10DCD"/>
    <w:rsid w:val="00D10E3F"/>
    <w:rsid w:val="00D11022"/>
    <w:rsid w:val="00D11D3A"/>
    <w:rsid w:val="00D11E92"/>
    <w:rsid w:val="00D12029"/>
    <w:rsid w:val="00D12150"/>
    <w:rsid w:val="00D1269D"/>
    <w:rsid w:val="00D12C97"/>
    <w:rsid w:val="00D12D76"/>
    <w:rsid w:val="00D1318A"/>
    <w:rsid w:val="00D1345E"/>
    <w:rsid w:val="00D1353E"/>
    <w:rsid w:val="00D137AD"/>
    <w:rsid w:val="00D13F07"/>
    <w:rsid w:val="00D144AA"/>
    <w:rsid w:val="00D14549"/>
    <w:rsid w:val="00D14566"/>
    <w:rsid w:val="00D1480D"/>
    <w:rsid w:val="00D14E45"/>
    <w:rsid w:val="00D14E6D"/>
    <w:rsid w:val="00D15301"/>
    <w:rsid w:val="00D15340"/>
    <w:rsid w:val="00D154C1"/>
    <w:rsid w:val="00D1595D"/>
    <w:rsid w:val="00D15F24"/>
    <w:rsid w:val="00D15F8B"/>
    <w:rsid w:val="00D16161"/>
    <w:rsid w:val="00D1648B"/>
    <w:rsid w:val="00D166D1"/>
    <w:rsid w:val="00D1695E"/>
    <w:rsid w:val="00D16E95"/>
    <w:rsid w:val="00D16F8F"/>
    <w:rsid w:val="00D16FA9"/>
    <w:rsid w:val="00D1706F"/>
    <w:rsid w:val="00D17084"/>
    <w:rsid w:val="00D17705"/>
    <w:rsid w:val="00D20062"/>
    <w:rsid w:val="00D20196"/>
    <w:rsid w:val="00D2025B"/>
    <w:rsid w:val="00D204CA"/>
    <w:rsid w:val="00D20609"/>
    <w:rsid w:val="00D209A4"/>
    <w:rsid w:val="00D20ABD"/>
    <w:rsid w:val="00D20ECA"/>
    <w:rsid w:val="00D21049"/>
    <w:rsid w:val="00D21061"/>
    <w:rsid w:val="00D210E7"/>
    <w:rsid w:val="00D21271"/>
    <w:rsid w:val="00D21330"/>
    <w:rsid w:val="00D2155D"/>
    <w:rsid w:val="00D21D24"/>
    <w:rsid w:val="00D21FDD"/>
    <w:rsid w:val="00D22198"/>
    <w:rsid w:val="00D22359"/>
    <w:rsid w:val="00D2263D"/>
    <w:rsid w:val="00D22B45"/>
    <w:rsid w:val="00D22CFF"/>
    <w:rsid w:val="00D2381E"/>
    <w:rsid w:val="00D23B91"/>
    <w:rsid w:val="00D241E7"/>
    <w:rsid w:val="00D245E8"/>
    <w:rsid w:val="00D246B0"/>
    <w:rsid w:val="00D25413"/>
    <w:rsid w:val="00D25490"/>
    <w:rsid w:val="00D264A9"/>
    <w:rsid w:val="00D267F2"/>
    <w:rsid w:val="00D269AF"/>
    <w:rsid w:val="00D26ABF"/>
    <w:rsid w:val="00D26B55"/>
    <w:rsid w:val="00D26B73"/>
    <w:rsid w:val="00D26C4A"/>
    <w:rsid w:val="00D26DDB"/>
    <w:rsid w:val="00D272DD"/>
    <w:rsid w:val="00D27BCE"/>
    <w:rsid w:val="00D27BE6"/>
    <w:rsid w:val="00D308ED"/>
    <w:rsid w:val="00D30A1D"/>
    <w:rsid w:val="00D30F60"/>
    <w:rsid w:val="00D30FED"/>
    <w:rsid w:val="00D318D8"/>
    <w:rsid w:val="00D31BB2"/>
    <w:rsid w:val="00D31E9A"/>
    <w:rsid w:val="00D3229D"/>
    <w:rsid w:val="00D323A3"/>
    <w:rsid w:val="00D32530"/>
    <w:rsid w:val="00D325E7"/>
    <w:rsid w:val="00D32CD4"/>
    <w:rsid w:val="00D330AE"/>
    <w:rsid w:val="00D332E4"/>
    <w:rsid w:val="00D33DC8"/>
    <w:rsid w:val="00D3456E"/>
    <w:rsid w:val="00D34D86"/>
    <w:rsid w:val="00D350E2"/>
    <w:rsid w:val="00D35585"/>
    <w:rsid w:val="00D35599"/>
    <w:rsid w:val="00D35B68"/>
    <w:rsid w:val="00D36601"/>
    <w:rsid w:val="00D36B15"/>
    <w:rsid w:val="00D36C2B"/>
    <w:rsid w:val="00D36D2D"/>
    <w:rsid w:val="00D36D86"/>
    <w:rsid w:val="00D37285"/>
    <w:rsid w:val="00D37751"/>
    <w:rsid w:val="00D3781B"/>
    <w:rsid w:val="00D40021"/>
    <w:rsid w:val="00D40812"/>
    <w:rsid w:val="00D40A38"/>
    <w:rsid w:val="00D40B14"/>
    <w:rsid w:val="00D40DE0"/>
    <w:rsid w:val="00D41A9D"/>
    <w:rsid w:val="00D41D1C"/>
    <w:rsid w:val="00D42116"/>
    <w:rsid w:val="00D42497"/>
    <w:rsid w:val="00D428AA"/>
    <w:rsid w:val="00D430B0"/>
    <w:rsid w:val="00D434D4"/>
    <w:rsid w:val="00D43652"/>
    <w:rsid w:val="00D43CD2"/>
    <w:rsid w:val="00D43D42"/>
    <w:rsid w:val="00D44126"/>
    <w:rsid w:val="00D441DF"/>
    <w:rsid w:val="00D444DD"/>
    <w:rsid w:val="00D44A7B"/>
    <w:rsid w:val="00D44A88"/>
    <w:rsid w:val="00D44B6D"/>
    <w:rsid w:val="00D45322"/>
    <w:rsid w:val="00D459CA"/>
    <w:rsid w:val="00D45AF0"/>
    <w:rsid w:val="00D45B16"/>
    <w:rsid w:val="00D45BEE"/>
    <w:rsid w:val="00D46205"/>
    <w:rsid w:val="00D4694F"/>
    <w:rsid w:val="00D46D44"/>
    <w:rsid w:val="00D46E6F"/>
    <w:rsid w:val="00D470B2"/>
    <w:rsid w:val="00D47397"/>
    <w:rsid w:val="00D473BD"/>
    <w:rsid w:val="00D4756F"/>
    <w:rsid w:val="00D4786D"/>
    <w:rsid w:val="00D47A8F"/>
    <w:rsid w:val="00D50A34"/>
    <w:rsid w:val="00D50DCC"/>
    <w:rsid w:val="00D51081"/>
    <w:rsid w:val="00D510D1"/>
    <w:rsid w:val="00D512DE"/>
    <w:rsid w:val="00D51BF3"/>
    <w:rsid w:val="00D51C92"/>
    <w:rsid w:val="00D51D84"/>
    <w:rsid w:val="00D520FD"/>
    <w:rsid w:val="00D52192"/>
    <w:rsid w:val="00D52272"/>
    <w:rsid w:val="00D52293"/>
    <w:rsid w:val="00D5264B"/>
    <w:rsid w:val="00D52855"/>
    <w:rsid w:val="00D52A87"/>
    <w:rsid w:val="00D53155"/>
    <w:rsid w:val="00D534D8"/>
    <w:rsid w:val="00D53633"/>
    <w:rsid w:val="00D5372C"/>
    <w:rsid w:val="00D53EFA"/>
    <w:rsid w:val="00D5401D"/>
    <w:rsid w:val="00D54151"/>
    <w:rsid w:val="00D5429A"/>
    <w:rsid w:val="00D545F8"/>
    <w:rsid w:val="00D552F1"/>
    <w:rsid w:val="00D5553E"/>
    <w:rsid w:val="00D5584F"/>
    <w:rsid w:val="00D55919"/>
    <w:rsid w:val="00D55AF6"/>
    <w:rsid w:val="00D55B0E"/>
    <w:rsid w:val="00D55B2E"/>
    <w:rsid w:val="00D55EA0"/>
    <w:rsid w:val="00D563FC"/>
    <w:rsid w:val="00D56439"/>
    <w:rsid w:val="00D568F7"/>
    <w:rsid w:val="00D56A0F"/>
    <w:rsid w:val="00D56BB3"/>
    <w:rsid w:val="00D56F22"/>
    <w:rsid w:val="00D572A7"/>
    <w:rsid w:val="00D574C1"/>
    <w:rsid w:val="00D578FE"/>
    <w:rsid w:val="00D57D3B"/>
    <w:rsid w:val="00D6024A"/>
    <w:rsid w:val="00D602D7"/>
    <w:rsid w:val="00D6034E"/>
    <w:rsid w:val="00D60510"/>
    <w:rsid w:val="00D60643"/>
    <w:rsid w:val="00D6072C"/>
    <w:rsid w:val="00D609DD"/>
    <w:rsid w:val="00D60AFF"/>
    <w:rsid w:val="00D60E6C"/>
    <w:rsid w:val="00D60F47"/>
    <w:rsid w:val="00D61083"/>
    <w:rsid w:val="00D61547"/>
    <w:rsid w:val="00D62528"/>
    <w:rsid w:val="00D63B23"/>
    <w:rsid w:val="00D63FEA"/>
    <w:rsid w:val="00D640E3"/>
    <w:rsid w:val="00D64298"/>
    <w:rsid w:val="00D643A8"/>
    <w:rsid w:val="00D64540"/>
    <w:rsid w:val="00D6455B"/>
    <w:rsid w:val="00D64FAB"/>
    <w:rsid w:val="00D65DC0"/>
    <w:rsid w:val="00D667D2"/>
    <w:rsid w:val="00D668F8"/>
    <w:rsid w:val="00D6698F"/>
    <w:rsid w:val="00D669D5"/>
    <w:rsid w:val="00D66D67"/>
    <w:rsid w:val="00D670B3"/>
    <w:rsid w:val="00D6719C"/>
    <w:rsid w:val="00D67C19"/>
    <w:rsid w:val="00D67C49"/>
    <w:rsid w:val="00D67F83"/>
    <w:rsid w:val="00D704D1"/>
    <w:rsid w:val="00D71225"/>
    <w:rsid w:val="00D712C7"/>
    <w:rsid w:val="00D7134F"/>
    <w:rsid w:val="00D713F2"/>
    <w:rsid w:val="00D71792"/>
    <w:rsid w:val="00D71B7A"/>
    <w:rsid w:val="00D71BF8"/>
    <w:rsid w:val="00D71D86"/>
    <w:rsid w:val="00D71F68"/>
    <w:rsid w:val="00D72189"/>
    <w:rsid w:val="00D72231"/>
    <w:rsid w:val="00D7256F"/>
    <w:rsid w:val="00D725C7"/>
    <w:rsid w:val="00D7277E"/>
    <w:rsid w:val="00D728D7"/>
    <w:rsid w:val="00D73412"/>
    <w:rsid w:val="00D73586"/>
    <w:rsid w:val="00D735AD"/>
    <w:rsid w:val="00D74284"/>
    <w:rsid w:val="00D74FB1"/>
    <w:rsid w:val="00D7518A"/>
    <w:rsid w:val="00D76009"/>
    <w:rsid w:val="00D7669F"/>
    <w:rsid w:val="00D769EE"/>
    <w:rsid w:val="00D76AC6"/>
    <w:rsid w:val="00D77470"/>
    <w:rsid w:val="00D77E79"/>
    <w:rsid w:val="00D77EAE"/>
    <w:rsid w:val="00D80226"/>
    <w:rsid w:val="00D80843"/>
    <w:rsid w:val="00D8087F"/>
    <w:rsid w:val="00D80BCE"/>
    <w:rsid w:val="00D81071"/>
    <w:rsid w:val="00D812D2"/>
    <w:rsid w:val="00D813E1"/>
    <w:rsid w:val="00D81770"/>
    <w:rsid w:val="00D81CDD"/>
    <w:rsid w:val="00D81CE3"/>
    <w:rsid w:val="00D81E29"/>
    <w:rsid w:val="00D82133"/>
    <w:rsid w:val="00D823D6"/>
    <w:rsid w:val="00D824EB"/>
    <w:rsid w:val="00D82515"/>
    <w:rsid w:val="00D82610"/>
    <w:rsid w:val="00D83686"/>
    <w:rsid w:val="00D8376B"/>
    <w:rsid w:val="00D83A65"/>
    <w:rsid w:val="00D83CAF"/>
    <w:rsid w:val="00D83F83"/>
    <w:rsid w:val="00D84074"/>
    <w:rsid w:val="00D8412C"/>
    <w:rsid w:val="00D84C4F"/>
    <w:rsid w:val="00D84EC6"/>
    <w:rsid w:val="00D84EFA"/>
    <w:rsid w:val="00D84F41"/>
    <w:rsid w:val="00D853C2"/>
    <w:rsid w:val="00D85594"/>
    <w:rsid w:val="00D859E5"/>
    <w:rsid w:val="00D85E0B"/>
    <w:rsid w:val="00D85E4A"/>
    <w:rsid w:val="00D8655B"/>
    <w:rsid w:val="00D869C8"/>
    <w:rsid w:val="00D872E6"/>
    <w:rsid w:val="00D87815"/>
    <w:rsid w:val="00D87B35"/>
    <w:rsid w:val="00D87BF2"/>
    <w:rsid w:val="00D87D59"/>
    <w:rsid w:val="00D901F4"/>
    <w:rsid w:val="00D903FB"/>
    <w:rsid w:val="00D9040C"/>
    <w:rsid w:val="00D90D1D"/>
    <w:rsid w:val="00D90E6C"/>
    <w:rsid w:val="00D91449"/>
    <w:rsid w:val="00D918C4"/>
    <w:rsid w:val="00D919B6"/>
    <w:rsid w:val="00D92088"/>
    <w:rsid w:val="00D923EA"/>
    <w:rsid w:val="00D924BE"/>
    <w:rsid w:val="00D927A0"/>
    <w:rsid w:val="00D92813"/>
    <w:rsid w:val="00D92BE3"/>
    <w:rsid w:val="00D92C42"/>
    <w:rsid w:val="00D936F3"/>
    <w:rsid w:val="00D93A51"/>
    <w:rsid w:val="00D93EA6"/>
    <w:rsid w:val="00D93EB2"/>
    <w:rsid w:val="00D9412F"/>
    <w:rsid w:val="00D94219"/>
    <w:rsid w:val="00D94644"/>
    <w:rsid w:val="00D9481F"/>
    <w:rsid w:val="00D94930"/>
    <w:rsid w:val="00D94A7C"/>
    <w:rsid w:val="00D94BC6"/>
    <w:rsid w:val="00D94E78"/>
    <w:rsid w:val="00D95051"/>
    <w:rsid w:val="00D95896"/>
    <w:rsid w:val="00D95ABB"/>
    <w:rsid w:val="00D95ACF"/>
    <w:rsid w:val="00D95DB1"/>
    <w:rsid w:val="00D95E78"/>
    <w:rsid w:val="00D96696"/>
    <w:rsid w:val="00D968A2"/>
    <w:rsid w:val="00D9691C"/>
    <w:rsid w:val="00D96B0F"/>
    <w:rsid w:val="00D96C3B"/>
    <w:rsid w:val="00D96CF4"/>
    <w:rsid w:val="00D96D21"/>
    <w:rsid w:val="00D971AE"/>
    <w:rsid w:val="00D97640"/>
    <w:rsid w:val="00D97EBA"/>
    <w:rsid w:val="00D97F1C"/>
    <w:rsid w:val="00DA06E7"/>
    <w:rsid w:val="00DA0FC3"/>
    <w:rsid w:val="00DA138D"/>
    <w:rsid w:val="00DA1E5E"/>
    <w:rsid w:val="00DA2214"/>
    <w:rsid w:val="00DA344F"/>
    <w:rsid w:val="00DA36CB"/>
    <w:rsid w:val="00DA3703"/>
    <w:rsid w:val="00DA3889"/>
    <w:rsid w:val="00DA39F7"/>
    <w:rsid w:val="00DA3E94"/>
    <w:rsid w:val="00DA3EEB"/>
    <w:rsid w:val="00DA44F6"/>
    <w:rsid w:val="00DA4EB1"/>
    <w:rsid w:val="00DA5053"/>
    <w:rsid w:val="00DA50E5"/>
    <w:rsid w:val="00DA58C4"/>
    <w:rsid w:val="00DA60FA"/>
    <w:rsid w:val="00DA6461"/>
    <w:rsid w:val="00DA6564"/>
    <w:rsid w:val="00DA66B1"/>
    <w:rsid w:val="00DA6B88"/>
    <w:rsid w:val="00DA71DB"/>
    <w:rsid w:val="00DA71F8"/>
    <w:rsid w:val="00DA76EF"/>
    <w:rsid w:val="00DA79F4"/>
    <w:rsid w:val="00DA7E57"/>
    <w:rsid w:val="00DA7FB1"/>
    <w:rsid w:val="00DB02C1"/>
    <w:rsid w:val="00DB0514"/>
    <w:rsid w:val="00DB0619"/>
    <w:rsid w:val="00DB1361"/>
    <w:rsid w:val="00DB154E"/>
    <w:rsid w:val="00DB1676"/>
    <w:rsid w:val="00DB16B7"/>
    <w:rsid w:val="00DB17D5"/>
    <w:rsid w:val="00DB1A6F"/>
    <w:rsid w:val="00DB1AB5"/>
    <w:rsid w:val="00DB264A"/>
    <w:rsid w:val="00DB27C6"/>
    <w:rsid w:val="00DB2966"/>
    <w:rsid w:val="00DB2983"/>
    <w:rsid w:val="00DB2C30"/>
    <w:rsid w:val="00DB2E7F"/>
    <w:rsid w:val="00DB32E7"/>
    <w:rsid w:val="00DB3A6B"/>
    <w:rsid w:val="00DB3B14"/>
    <w:rsid w:val="00DB3F1F"/>
    <w:rsid w:val="00DB4110"/>
    <w:rsid w:val="00DB4198"/>
    <w:rsid w:val="00DB441D"/>
    <w:rsid w:val="00DB4450"/>
    <w:rsid w:val="00DB45D8"/>
    <w:rsid w:val="00DB4750"/>
    <w:rsid w:val="00DB4A13"/>
    <w:rsid w:val="00DB4B76"/>
    <w:rsid w:val="00DB4DB0"/>
    <w:rsid w:val="00DB4EAA"/>
    <w:rsid w:val="00DB5131"/>
    <w:rsid w:val="00DB5524"/>
    <w:rsid w:val="00DB5729"/>
    <w:rsid w:val="00DB5847"/>
    <w:rsid w:val="00DB58FC"/>
    <w:rsid w:val="00DB5BBD"/>
    <w:rsid w:val="00DB60B7"/>
    <w:rsid w:val="00DB6127"/>
    <w:rsid w:val="00DB6387"/>
    <w:rsid w:val="00DB641D"/>
    <w:rsid w:val="00DB66A1"/>
    <w:rsid w:val="00DB673C"/>
    <w:rsid w:val="00DB76FE"/>
    <w:rsid w:val="00DB7B5D"/>
    <w:rsid w:val="00DB7E63"/>
    <w:rsid w:val="00DC0328"/>
    <w:rsid w:val="00DC0F22"/>
    <w:rsid w:val="00DC1085"/>
    <w:rsid w:val="00DC1257"/>
    <w:rsid w:val="00DC14A1"/>
    <w:rsid w:val="00DC1800"/>
    <w:rsid w:val="00DC1C66"/>
    <w:rsid w:val="00DC1EAD"/>
    <w:rsid w:val="00DC23C7"/>
    <w:rsid w:val="00DC2715"/>
    <w:rsid w:val="00DC2AB8"/>
    <w:rsid w:val="00DC314F"/>
    <w:rsid w:val="00DC3740"/>
    <w:rsid w:val="00DC3DC0"/>
    <w:rsid w:val="00DC3E52"/>
    <w:rsid w:val="00DC3FFC"/>
    <w:rsid w:val="00DC417E"/>
    <w:rsid w:val="00DC4397"/>
    <w:rsid w:val="00DC461E"/>
    <w:rsid w:val="00DC4684"/>
    <w:rsid w:val="00DC473E"/>
    <w:rsid w:val="00DC4951"/>
    <w:rsid w:val="00DC49D0"/>
    <w:rsid w:val="00DC4B42"/>
    <w:rsid w:val="00DC4B8B"/>
    <w:rsid w:val="00DC4DE2"/>
    <w:rsid w:val="00DC5134"/>
    <w:rsid w:val="00DC518B"/>
    <w:rsid w:val="00DC51BA"/>
    <w:rsid w:val="00DC5233"/>
    <w:rsid w:val="00DC5333"/>
    <w:rsid w:val="00DC5960"/>
    <w:rsid w:val="00DC59CE"/>
    <w:rsid w:val="00DC5B2B"/>
    <w:rsid w:val="00DC5BB0"/>
    <w:rsid w:val="00DC5DC6"/>
    <w:rsid w:val="00DC5F98"/>
    <w:rsid w:val="00DC608E"/>
    <w:rsid w:val="00DC6222"/>
    <w:rsid w:val="00DC65E9"/>
    <w:rsid w:val="00DC6812"/>
    <w:rsid w:val="00DC70CB"/>
    <w:rsid w:val="00DC72CA"/>
    <w:rsid w:val="00DC7544"/>
    <w:rsid w:val="00DC7C89"/>
    <w:rsid w:val="00DC7D71"/>
    <w:rsid w:val="00DD01AB"/>
    <w:rsid w:val="00DD03EF"/>
    <w:rsid w:val="00DD069A"/>
    <w:rsid w:val="00DD0BDB"/>
    <w:rsid w:val="00DD0CC5"/>
    <w:rsid w:val="00DD0D33"/>
    <w:rsid w:val="00DD108D"/>
    <w:rsid w:val="00DD114E"/>
    <w:rsid w:val="00DD1370"/>
    <w:rsid w:val="00DD14FC"/>
    <w:rsid w:val="00DD167F"/>
    <w:rsid w:val="00DD16A7"/>
    <w:rsid w:val="00DD171E"/>
    <w:rsid w:val="00DD183A"/>
    <w:rsid w:val="00DD22C9"/>
    <w:rsid w:val="00DD266A"/>
    <w:rsid w:val="00DD26F0"/>
    <w:rsid w:val="00DD2C6B"/>
    <w:rsid w:val="00DD2D83"/>
    <w:rsid w:val="00DD2FCB"/>
    <w:rsid w:val="00DD304D"/>
    <w:rsid w:val="00DD318D"/>
    <w:rsid w:val="00DD348E"/>
    <w:rsid w:val="00DD3CBA"/>
    <w:rsid w:val="00DD3D9F"/>
    <w:rsid w:val="00DD3EEC"/>
    <w:rsid w:val="00DD4805"/>
    <w:rsid w:val="00DD4DBD"/>
    <w:rsid w:val="00DD4F63"/>
    <w:rsid w:val="00DD5094"/>
    <w:rsid w:val="00DD534B"/>
    <w:rsid w:val="00DD58CF"/>
    <w:rsid w:val="00DD598B"/>
    <w:rsid w:val="00DD6236"/>
    <w:rsid w:val="00DD62A7"/>
    <w:rsid w:val="00DD6809"/>
    <w:rsid w:val="00DD6C6B"/>
    <w:rsid w:val="00DD6DED"/>
    <w:rsid w:val="00DD76AA"/>
    <w:rsid w:val="00DD7E26"/>
    <w:rsid w:val="00DE01B8"/>
    <w:rsid w:val="00DE0351"/>
    <w:rsid w:val="00DE04F6"/>
    <w:rsid w:val="00DE07A6"/>
    <w:rsid w:val="00DE0908"/>
    <w:rsid w:val="00DE0A18"/>
    <w:rsid w:val="00DE0A30"/>
    <w:rsid w:val="00DE0D1D"/>
    <w:rsid w:val="00DE0DFE"/>
    <w:rsid w:val="00DE1260"/>
    <w:rsid w:val="00DE1837"/>
    <w:rsid w:val="00DE1A3B"/>
    <w:rsid w:val="00DE1B6D"/>
    <w:rsid w:val="00DE1DEB"/>
    <w:rsid w:val="00DE1F92"/>
    <w:rsid w:val="00DE2437"/>
    <w:rsid w:val="00DE26D6"/>
    <w:rsid w:val="00DE29A6"/>
    <w:rsid w:val="00DE2F66"/>
    <w:rsid w:val="00DE3A05"/>
    <w:rsid w:val="00DE3B9A"/>
    <w:rsid w:val="00DE3BB5"/>
    <w:rsid w:val="00DE3C90"/>
    <w:rsid w:val="00DE3D9C"/>
    <w:rsid w:val="00DE3EB2"/>
    <w:rsid w:val="00DE45B0"/>
    <w:rsid w:val="00DE463C"/>
    <w:rsid w:val="00DE4A82"/>
    <w:rsid w:val="00DE4C8E"/>
    <w:rsid w:val="00DE531E"/>
    <w:rsid w:val="00DE5356"/>
    <w:rsid w:val="00DE5C6D"/>
    <w:rsid w:val="00DE6380"/>
    <w:rsid w:val="00DE6661"/>
    <w:rsid w:val="00DE6BB9"/>
    <w:rsid w:val="00DE6C95"/>
    <w:rsid w:val="00DE753F"/>
    <w:rsid w:val="00DE7977"/>
    <w:rsid w:val="00DE7BA6"/>
    <w:rsid w:val="00DF0329"/>
    <w:rsid w:val="00DF085E"/>
    <w:rsid w:val="00DF0AB2"/>
    <w:rsid w:val="00DF0D97"/>
    <w:rsid w:val="00DF116C"/>
    <w:rsid w:val="00DF1190"/>
    <w:rsid w:val="00DF1523"/>
    <w:rsid w:val="00DF171F"/>
    <w:rsid w:val="00DF188C"/>
    <w:rsid w:val="00DF1A2C"/>
    <w:rsid w:val="00DF2346"/>
    <w:rsid w:val="00DF2554"/>
    <w:rsid w:val="00DF271C"/>
    <w:rsid w:val="00DF2948"/>
    <w:rsid w:val="00DF2AEF"/>
    <w:rsid w:val="00DF2B5D"/>
    <w:rsid w:val="00DF2E12"/>
    <w:rsid w:val="00DF2EBE"/>
    <w:rsid w:val="00DF330C"/>
    <w:rsid w:val="00DF378A"/>
    <w:rsid w:val="00DF3924"/>
    <w:rsid w:val="00DF3B6B"/>
    <w:rsid w:val="00DF4100"/>
    <w:rsid w:val="00DF4503"/>
    <w:rsid w:val="00DF4728"/>
    <w:rsid w:val="00DF4CCE"/>
    <w:rsid w:val="00DF4E0C"/>
    <w:rsid w:val="00DF50BB"/>
    <w:rsid w:val="00DF514A"/>
    <w:rsid w:val="00DF51A5"/>
    <w:rsid w:val="00DF52CE"/>
    <w:rsid w:val="00DF550B"/>
    <w:rsid w:val="00DF571F"/>
    <w:rsid w:val="00DF612C"/>
    <w:rsid w:val="00DF6401"/>
    <w:rsid w:val="00DF64F1"/>
    <w:rsid w:val="00DF6690"/>
    <w:rsid w:val="00DF6722"/>
    <w:rsid w:val="00DF6804"/>
    <w:rsid w:val="00DF6F02"/>
    <w:rsid w:val="00DF6F1C"/>
    <w:rsid w:val="00DF7084"/>
    <w:rsid w:val="00DF74C8"/>
    <w:rsid w:val="00DF7570"/>
    <w:rsid w:val="00DF767B"/>
    <w:rsid w:val="00DF778A"/>
    <w:rsid w:val="00DF77B4"/>
    <w:rsid w:val="00E00952"/>
    <w:rsid w:val="00E00994"/>
    <w:rsid w:val="00E00B59"/>
    <w:rsid w:val="00E00CDC"/>
    <w:rsid w:val="00E00CE2"/>
    <w:rsid w:val="00E01F4E"/>
    <w:rsid w:val="00E022CF"/>
    <w:rsid w:val="00E022FB"/>
    <w:rsid w:val="00E024B0"/>
    <w:rsid w:val="00E0290D"/>
    <w:rsid w:val="00E02DB1"/>
    <w:rsid w:val="00E030B9"/>
    <w:rsid w:val="00E0358D"/>
    <w:rsid w:val="00E036D7"/>
    <w:rsid w:val="00E0392B"/>
    <w:rsid w:val="00E03EC5"/>
    <w:rsid w:val="00E03FBB"/>
    <w:rsid w:val="00E042C0"/>
    <w:rsid w:val="00E04323"/>
    <w:rsid w:val="00E04CFB"/>
    <w:rsid w:val="00E04D0D"/>
    <w:rsid w:val="00E04DAD"/>
    <w:rsid w:val="00E04E21"/>
    <w:rsid w:val="00E05177"/>
    <w:rsid w:val="00E05483"/>
    <w:rsid w:val="00E05866"/>
    <w:rsid w:val="00E05D94"/>
    <w:rsid w:val="00E0682C"/>
    <w:rsid w:val="00E06A0A"/>
    <w:rsid w:val="00E06C3C"/>
    <w:rsid w:val="00E070A2"/>
    <w:rsid w:val="00E073B8"/>
    <w:rsid w:val="00E07B84"/>
    <w:rsid w:val="00E07D64"/>
    <w:rsid w:val="00E07ECF"/>
    <w:rsid w:val="00E102C5"/>
    <w:rsid w:val="00E107AC"/>
    <w:rsid w:val="00E107E7"/>
    <w:rsid w:val="00E10BD4"/>
    <w:rsid w:val="00E10E0A"/>
    <w:rsid w:val="00E10EDB"/>
    <w:rsid w:val="00E113D0"/>
    <w:rsid w:val="00E11515"/>
    <w:rsid w:val="00E118A0"/>
    <w:rsid w:val="00E118DF"/>
    <w:rsid w:val="00E11D89"/>
    <w:rsid w:val="00E11E37"/>
    <w:rsid w:val="00E11FD6"/>
    <w:rsid w:val="00E120D0"/>
    <w:rsid w:val="00E1218D"/>
    <w:rsid w:val="00E12E42"/>
    <w:rsid w:val="00E13006"/>
    <w:rsid w:val="00E13074"/>
    <w:rsid w:val="00E133E1"/>
    <w:rsid w:val="00E1357E"/>
    <w:rsid w:val="00E13689"/>
    <w:rsid w:val="00E138CC"/>
    <w:rsid w:val="00E13E67"/>
    <w:rsid w:val="00E13F65"/>
    <w:rsid w:val="00E14548"/>
    <w:rsid w:val="00E1462D"/>
    <w:rsid w:val="00E1468A"/>
    <w:rsid w:val="00E14961"/>
    <w:rsid w:val="00E14995"/>
    <w:rsid w:val="00E14A2B"/>
    <w:rsid w:val="00E14CCE"/>
    <w:rsid w:val="00E14FB4"/>
    <w:rsid w:val="00E15104"/>
    <w:rsid w:val="00E15B77"/>
    <w:rsid w:val="00E15FB7"/>
    <w:rsid w:val="00E1608E"/>
    <w:rsid w:val="00E160B5"/>
    <w:rsid w:val="00E1613D"/>
    <w:rsid w:val="00E1625A"/>
    <w:rsid w:val="00E164F6"/>
    <w:rsid w:val="00E1676B"/>
    <w:rsid w:val="00E171EE"/>
    <w:rsid w:val="00E17472"/>
    <w:rsid w:val="00E176CD"/>
    <w:rsid w:val="00E178DC"/>
    <w:rsid w:val="00E2016F"/>
    <w:rsid w:val="00E2018F"/>
    <w:rsid w:val="00E20394"/>
    <w:rsid w:val="00E20763"/>
    <w:rsid w:val="00E2086A"/>
    <w:rsid w:val="00E20BF9"/>
    <w:rsid w:val="00E20E2E"/>
    <w:rsid w:val="00E20F86"/>
    <w:rsid w:val="00E20FE1"/>
    <w:rsid w:val="00E217A7"/>
    <w:rsid w:val="00E21871"/>
    <w:rsid w:val="00E21D30"/>
    <w:rsid w:val="00E21E09"/>
    <w:rsid w:val="00E21E9C"/>
    <w:rsid w:val="00E22814"/>
    <w:rsid w:val="00E228B2"/>
    <w:rsid w:val="00E22F9A"/>
    <w:rsid w:val="00E22FC1"/>
    <w:rsid w:val="00E23491"/>
    <w:rsid w:val="00E236D3"/>
    <w:rsid w:val="00E2407E"/>
    <w:rsid w:val="00E2411A"/>
    <w:rsid w:val="00E241F9"/>
    <w:rsid w:val="00E24424"/>
    <w:rsid w:val="00E24759"/>
    <w:rsid w:val="00E2496E"/>
    <w:rsid w:val="00E24AA4"/>
    <w:rsid w:val="00E24AB5"/>
    <w:rsid w:val="00E24FF0"/>
    <w:rsid w:val="00E252B4"/>
    <w:rsid w:val="00E25317"/>
    <w:rsid w:val="00E25A3A"/>
    <w:rsid w:val="00E25AB5"/>
    <w:rsid w:val="00E25E0B"/>
    <w:rsid w:val="00E26087"/>
    <w:rsid w:val="00E261BE"/>
    <w:rsid w:val="00E2656A"/>
    <w:rsid w:val="00E26644"/>
    <w:rsid w:val="00E266D4"/>
    <w:rsid w:val="00E26E6F"/>
    <w:rsid w:val="00E27066"/>
    <w:rsid w:val="00E271BE"/>
    <w:rsid w:val="00E2745A"/>
    <w:rsid w:val="00E27488"/>
    <w:rsid w:val="00E27D08"/>
    <w:rsid w:val="00E27D12"/>
    <w:rsid w:val="00E27D88"/>
    <w:rsid w:val="00E30039"/>
    <w:rsid w:val="00E300C8"/>
    <w:rsid w:val="00E302C7"/>
    <w:rsid w:val="00E30761"/>
    <w:rsid w:val="00E3091D"/>
    <w:rsid w:val="00E30A99"/>
    <w:rsid w:val="00E30B14"/>
    <w:rsid w:val="00E30C28"/>
    <w:rsid w:val="00E30D67"/>
    <w:rsid w:val="00E315EE"/>
    <w:rsid w:val="00E3175A"/>
    <w:rsid w:val="00E319F8"/>
    <w:rsid w:val="00E31F50"/>
    <w:rsid w:val="00E32151"/>
    <w:rsid w:val="00E325BD"/>
    <w:rsid w:val="00E327B7"/>
    <w:rsid w:val="00E32D7E"/>
    <w:rsid w:val="00E33092"/>
    <w:rsid w:val="00E331BE"/>
    <w:rsid w:val="00E331EF"/>
    <w:rsid w:val="00E34518"/>
    <w:rsid w:val="00E3495A"/>
    <w:rsid w:val="00E349FC"/>
    <w:rsid w:val="00E34AAC"/>
    <w:rsid w:val="00E34B65"/>
    <w:rsid w:val="00E34FD5"/>
    <w:rsid w:val="00E358FB"/>
    <w:rsid w:val="00E3675B"/>
    <w:rsid w:val="00E36C9B"/>
    <w:rsid w:val="00E37E20"/>
    <w:rsid w:val="00E40729"/>
    <w:rsid w:val="00E40886"/>
    <w:rsid w:val="00E4097A"/>
    <w:rsid w:val="00E40A86"/>
    <w:rsid w:val="00E40AE5"/>
    <w:rsid w:val="00E40BFF"/>
    <w:rsid w:val="00E412D0"/>
    <w:rsid w:val="00E41617"/>
    <w:rsid w:val="00E41684"/>
    <w:rsid w:val="00E417C2"/>
    <w:rsid w:val="00E419CE"/>
    <w:rsid w:val="00E419F2"/>
    <w:rsid w:val="00E41CDC"/>
    <w:rsid w:val="00E41FA2"/>
    <w:rsid w:val="00E424F0"/>
    <w:rsid w:val="00E42664"/>
    <w:rsid w:val="00E42712"/>
    <w:rsid w:val="00E4285E"/>
    <w:rsid w:val="00E434EC"/>
    <w:rsid w:val="00E4369B"/>
    <w:rsid w:val="00E437A0"/>
    <w:rsid w:val="00E437EA"/>
    <w:rsid w:val="00E443CE"/>
    <w:rsid w:val="00E446FA"/>
    <w:rsid w:val="00E4477C"/>
    <w:rsid w:val="00E44C44"/>
    <w:rsid w:val="00E44C62"/>
    <w:rsid w:val="00E44D98"/>
    <w:rsid w:val="00E46164"/>
    <w:rsid w:val="00E46984"/>
    <w:rsid w:val="00E46A08"/>
    <w:rsid w:val="00E46A96"/>
    <w:rsid w:val="00E46DD8"/>
    <w:rsid w:val="00E47190"/>
    <w:rsid w:val="00E47279"/>
    <w:rsid w:val="00E47D9B"/>
    <w:rsid w:val="00E5003E"/>
    <w:rsid w:val="00E5087E"/>
    <w:rsid w:val="00E50931"/>
    <w:rsid w:val="00E50F20"/>
    <w:rsid w:val="00E5124A"/>
    <w:rsid w:val="00E51659"/>
    <w:rsid w:val="00E5177E"/>
    <w:rsid w:val="00E51F23"/>
    <w:rsid w:val="00E5207D"/>
    <w:rsid w:val="00E521AE"/>
    <w:rsid w:val="00E5228B"/>
    <w:rsid w:val="00E52297"/>
    <w:rsid w:val="00E527E9"/>
    <w:rsid w:val="00E528AA"/>
    <w:rsid w:val="00E52D3A"/>
    <w:rsid w:val="00E52D83"/>
    <w:rsid w:val="00E53080"/>
    <w:rsid w:val="00E533B9"/>
    <w:rsid w:val="00E5347F"/>
    <w:rsid w:val="00E539A3"/>
    <w:rsid w:val="00E53A44"/>
    <w:rsid w:val="00E53D6B"/>
    <w:rsid w:val="00E53FA4"/>
    <w:rsid w:val="00E53FA7"/>
    <w:rsid w:val="00E54038"/>
    <w:rsid w:val="00E543E7"/>
    <w:rsid w:val="00E54BA3"/>
    <w:rsid w:val="00E54CB7"/>
    <w:rsid w:val="00E54E10"/>
    <w:rsid w:val="00E557C7"/>
    <w:rsid w:val="00E557D3"/>
    <w:rsid w:val="00E55998"/>
    <w:rsid w:val="00E55DF9"/>
    <w:rsid w:val="00E56322"/>
    <w:rsid w:val="00E56329"/>
    <w:rsid w:val="00E56BC3"/>
    <w:rsid w:val="00E56BC6"/>
    <w:rsid w:val="00E56E5B"/>
    <w:rsid w:val="00E57445"/>
    <w:rsid w:val="00E574C7"/>
    <w:rsid w:val="00E57B24"/>
    <w:rsid w:val="00E60982"/>
    <w:rsid w:val="00E60EA6"/>
    <w:rsid w:val="00E6139E"/>
    <w:rsid w:val="00E61475"/>
    <w:rsid w:val="00E61483"/>
    <w:rsid w:val="00E61A8D"/>
    <w:rsid w:val="00E61C77"/>
    <w:rsid w:val="00E61ECB"/>
    <w:rsid w:val="00E62069"/>
    <w:rsid w:val="00E62282"/>
    <w:rsid w:val="00E6231C"/>
    <w:rsid w:val="00E62757"/>
    <w:rsid w:val="00E62BF8"/>
    <w:rsid w:val="00E62C62"/>
    <w:rsid w:val="00E62D62"/>
    <w:rsid w:val="00E62E96"/>
    <w:rsid w:val="00E6348E"/>
    <w:rsid w:val="00E637CF"/>
    <w:rsid w:val="00E6382F"/>
    <w:rsid w:val="00E638E4"/>
    <w:rsid w:val="00E63D9B"/>
    <w:rsid w:val="00E64430"/>
    <w:rsid w:val="00E644BD"/>
    <w:rsid w:val="00E646AD"/>
    <w:rsid w:val="00E64781"/>
    <w:rsid w:val="00E647CA"/>
    <w:rsid w:val="00E65326"/>
    <w:rsid w:val="00E654C1"/>
    <w:rsid w:val="00E6573A"/>
    <w:rsid w:val="00E6573E"/>
    <w:rsid w:val="00E65C3C"/>
    <w:rsid w:val="00E65D97"/>
    <w:rsid w:val="00E65DF4"/>
    <w:rsid w:val="00E66145"/>
    <w:rsid w:val="00E6619C"/>
    <w:rsid w:val="00E6659A"/>
    <w:rsid w:val="00E66624"/>
    <w:rsid w:val="00E66940"/>
    <w:rsid w:val="00E66C07"/>
    <w:rsid w:val="00E66C1A"/>
    <w:rsid w:val="00E66E9B"/>
    <w:rsid w:val="00E66ED8"/>
    <w:rsid w:val="00E67414"/>
    <w:rsid w:val="00E67728"/>
    <w:rsid w:val="00E67986"/>
    <w:rsid w:val="00E67E76"/>
    <w:rsid w:val="00E7006B"/>
    <w:rsid w:val="00E702C3"/>
    <w:rsid w:val="00E70691"/>
    <w:rsid w:val="00E708CF"/>
    <w:rsid w:val="00E70F4A"/>
    <w:rsid w:val="00E71766"/>
    <w:rsid w:val="00E7181F"/>
    <w:rsid w:val="00E71C5B"/>
    <w:rsid w:val="00E71CE7"/>
    <w:rsid w:val="00E71F6E"/>
    <w:rsid w:val="00E72046"/>
    <w:rsid w:val="00E72763"/>
    <w:rsid w:val="00E72A5A"/>
    <w:rsid w:val="00E72D7A"/>
    <w:rsid w:val="00E73354"/>
    <w:rsid w:val="00E7366E"/>
    <w:rsid w:val="00E73A77"/>
    <w:rsid w:val="00E73B63"/>
    <w:rsid w:val="00E73EBB"/>
    <w:rsid w:val="00E74D1A"/>
    <w:rsid w:val="00E75BA4"/>
    <w:rsid w:val="00E75D0D"/>
    <w:rsid w:val="00E763A2"/>
    <w:rsid w:val="00E76558"/>
    <w:rsid w:val="00E7699E"/>
    <w:rsid w:val="00E76B94"/>
    <w:rsid w:val="00E76DC4"/>
    <w:rsid w:val="00E76DEF"/>
    <w:rsid w:val="00E76DFF"/>
    <w:rsid w:val="00E770D6"/>
    <w:rsid w:val="00E7787C"/>
    <w:rsid w:val="00E77970"/>
    <w:rsid w:val="00E77D7C"/>
    <w:rsid w:val="00E8047E"/>
    <w:rsid w:val="00E8055B"/>
    <w:rsid w:val="00E805A4"/>
    <w:rsid w:val="00E8086D"/>
    <w:rsid w:val="00E809DF"/>
    <w:rsid w:val="00E80EB4"/>
    <w:rsid w:val="00E81340"/>
    <w:rsid w:val="00E8144C"/>
    <w:rsid w:val="00E814A4"/>
    <w:rsid w:val="00E814C3"/>
    <w:rsid w:val="00E81719"/>
    <w:rsid w:val="00E81AEE"/>
    <w:rsid w:val="00E81E3E"/>
    <w:rsid w:val="00E81F5D"/>
    <w:rsid w:val="00E825EE"/>
    <w:rsid w:val="00E826FD"/>
    <w:rsid w:val="00E82E6A"/>
    <w:rsid w:val="00E830BD"/>
    <w:rsid w:val="00E834B4"/>
    <w:rsid w:val="00E8379A"/>
    <w:rsid w:val="00E83BB2"/>
    <w:rsid w:val="00E83C19"/>
    <w:rsid w:val="00E83C68"/>
    <w:rsid w:val="00E83CC7"/>
    <w:rsid w:val="00E83DA7"/>
    <w:rsid w:val="00E84D52"/>
    <w:rsid w:val="00E84D7C"/>
    <w:rsid w:val="00E8525B"/>
    <w:rsid w:val="00E853B9"/>
    <w:rsid w:val="00E854A0"/>
    <w:rsid w:val="00E8597A"/>
    <w:rsid w:val="00E86099"/>
    <w:rsid w:val="00E86226"/>
    <w:rsid w:val="00E86748"/>
    <w:rsid w:val="00E86BF4"/>
    <w:rsid w:val="00E86DE9"/>
    <w:rsid w:val="00E86FCB"/>
    <w:rsid w:val="00E87045"/>
    <w:rsid w:val="00E87349"/>
    <w:rsid w:val="00E90075"/>
    <w:rsid w:val="00E90759"/>
    <w:rsid w:val="00E908E3"/>
    <w:rsid w:val="00E909FB"/>
    <w:rsid w:val="00E90F33"/>
    <w:rsid w:val="00E91279"/>
    <w:rsid w:val="00E9163C"/>
    <w:rsid w:val="00E91747"/>
    <w:rsid w:val="00E91CD3"/>
    <w:rsid w:val="00E9200F"/>
    <w:rsid w:val="00E9242D"/>
    <w:rsid w:val="00E924CF"/>
    <w:rsid w:val="00E92646"/>
    <w:rsid w:val="00E92F2A"/>
    <w:rsid w:val="00E9307D"/>
    <w:rsid w:val="00E93B3A"/>
    <w:rsid w:val="00E93BDF"/>
    <w:rsid w:val="00E93D27"/>
    <w:rsid w:val="00E93F4F"/>
    <w:rsid w:val="00E94C6F"/>
    <w:rsid w:val="00E951B4"/>
    <w:rsid w:val="00E952C0"/>
    <w:rsid w:val="00E9581A"/>
    <w:rsid w:val="00E96183"/>
    <w:rsid w:val="00E963F2"/>
    <w:rsid w:val="00E965DF"/>
    <w:rsid w:val="00E96682"/>
    <w:rsid w:val="00E96AC8"/>
    <w:rsid w:val="00E96C25"/>
    <w:rsid w:val="00E96CA8"/>
    <w:rsid w:val="00E96D28"/>
    <w:rsid w:val="00E96DCF"/>
    <w:rsid w:val="00E96F89"/>
    <w:rsid w:val="00E97361"/>
    <w:rsid w:val="00E974DD"/>
    <w:rsid w:val="00E97526"/>
    <w:rsid w:val="00E97946"/>
    <w:rsid w:val="00E97BFB"/>
    <w:rsid w:val="00E97D39"/>
    <w:rsid w:val="00EA00AC"/>
    <w:rsid w:val="00EA00F2"/>
    <w:rsid w:val="00EA03A3"/>
    <w:rsid w:val="00EA06D6"/>
    <w:rsid w:val="00EA0A12"/>
    <w:rsid w:val="00EA0A8D"/>
    <w:rsid w:val="00EA0B37"/>
    <w:rsid w:val="00EA10D2"/>
    <w:rsid w:val="00EA13A9"/>
    <w:rsid w:val="00EA170F"/>
    <w:rsid w:val="00EA2059"/>
    <w:rsid w:val="00EA25AF"/>
    <w:rsid w:val="00EA25BB"/>
    <w:rsid w:val="00EA2ACB"/>
    <w:rsid w:val="00EA2C08"/>
    <w:rsid w:val="00EA2D60"/>
    <w:rsid w:val="00EA2F4E"/>
    <w:rsid w:val="00EA3036"/>
    <w:rsid w:val="00EA34A9"/>
    <w:rsid w:val="00EA368C"/>
    <w:rsid w:val="00EA39FF"/>
    <w:rsid w:val="00EA3F33"/>
    <w:rsid w:val="00EA3F57"/>
    <w:rsid w:val="00EA4A4C"/>
    <w:rsid w:val="00EA4E9B"/>
    <w:rsid w:val="00EA53F1"/>
    <w:rsid w:val="00EA5817"/>
    <w:rsid w:val="00EA5A03"/>
    <w:rsid w:val="00EA5D1A"/>
    <w:rsid w:val="00EA616E"/>
    <w:rsid w:val="00EA6293"/>
    <w:rsid w:val="00EA63F3"/>
    <w:rsid w:val="00EA6409"/>
    <w:rsid w:val="00EA64ED"/>
    <w:rsid w:val="00EA6902"/>
    <w:rsid w:val="00EA6EA0"/>
    <w:rsid w:val="00EA7C1E"/>
    <w:rsid w:val="00EA7E70"/>
    <w:rsid w:val="00EB0070"/>
    <w:rsid w:val="00EB017D"/>
    <w:rsid w:val="00EB063D"/>
    <w:rsid w:val="00EB0A2C"/>
    <w:rsid w:val="00EB0A74"/>
    <w:rsid w:val="00EB0AE0"/>
    <w:rsid w:val="00EB0D4C"/>
    <w:rsid w:val="00EB0DB4"/>
    <w:rsid w:val="00EB1386"/>
    <w:rsid w:val="00EB15B3"/>
    <w:rsid w:val="00EB18CD"/>
    <w:rsid w:val="00EB1CB4"/>
    <w:rsid w:val="00EB1D84"/>
    <w:rsid w:val="00EB1E9D"/>
    <w:rsid w:val="00EB22CA"/>
    <w:rsid w:val="00EB29E6"/>
    <w:rsid w:val="00EB2EDB"/>
    <w:rsid w:val="00EB2F43"/>
    <w:rsid w:val="00EB307D"/>
    <w:rsid w:val="00EB327A"/>
    <w:rsid w:val="00EB32A3"/>
    <w:rsid w:val="00EB35EA"/>
    <w:rsid w:val="00EB3668"/>
    <w:rsid w:val="00EB37F4"/>
    <w:rsid w:val="00EB3F2F"/>
    <w:rsid w:val="00EB408B"/>
    <w:rsid w:val="00EB41CB"/>
    <w:rsid w:val="00EB481B"/>
    <w:rsid w:val="00EB4A2C"/>
    <w:rsid w:val="00EB4B3F"/>
    <w:rsid w:val="00EB4EDF"/>
    <w:rsid w:val="00EB5255"/>
    <w:rsid w:val="00EB5476"/>
    <w:rsid w:val="00EB5742"/>
    <w:rsid w:val="00EB5857"/>
    <w:rsid w:val="00EB5C47"/>
    <w:rsid w:val="00EB5F16"/>
    <w:rsid w:val="00EB5F77"/>
    <w:rsid w:val="00EB6263"/>
    <w:rsid w:val="00EB6854"/>
    <w:rsid w:val="00EB6A2B"/>
    <w:rsid w:val="00EB6ABB"/>
    <w:rsid w:val="00EB6C2B"/>
    <w:rsid w:val="00EB6C56"/>
    <w:rsid w:val="00EB6C6F"/>
    <w:rsid w:val="00EB7651"/>
    <w:rsid w:val="00EB7687"/>
    <w:rsid w:val="00EB7D39"/>
    <w:rsid w:val="00EC043E"/>
    <w:rsid w:val="00EC09D0"/>
    <w:rsid w:val="00EC0AEF"/>
    <w:rsid w:val="00EC0D4B"/>
    <w:rsid w:val="00EC0E17"/>
    <w:rsid w:val="00EC11AC"/>
    <w:rsid w:val="00EC19D3"/>
    <w:rsid w:val="00EC1C1F"/>
    <w:rsid w:val="00EC1CEB"/>
    <w:rsid w:val="00EC21D3"/>
    <w:rsid w:val="00EC2598"/>
    <w:rsid w:val="00EC2679"/>
    <w:rsid w:val="00EC277E"/>
    <w:rsid w:val="00EC2903"/>
    <w:rsid w:val="00EC2FCE"/>
    <w:rsid w:val="00EC311A"/>
    <w:rsid w:val="00EC3341"/>
    <w:rsid w:val="00EC3482"/>
    <w:rsid w:val="00EC36FA"/>
    <w:rsid w:val="00EC3CCC"/>
    <w:rsid w:val="00EC3EED"/>
    <w:rsid w:val="00EC413D"/>
    <w:rsid w:val="00EC4203"/>
    <w:rsid w:val="00EC4866"/>
    <w:rsid w:val="00EC49A2"/>
    <w:rsid w:val="00EC4CB8"/>
    <w:rsid w:val="00EC4DA4"/>
    <w:rsid w:val="00EC51B3"/>
    <w:rsid w:val="00EC5364"/>
    <w:rsid w:val="00EC5393"/>
    <w:rsid w:val="00EC56B8"/>
    <w:rsid w:val="00EC6005"/>
    <w:rsid w:val="00EC6009"/>
    <w:rsid w:val="00EC60CB"/>
    <w:rsid w:val="00EC61C6"/>
    <w:rsid w:val="00EC6528"/>
    <w:rsid w:val="00EC69B4"/>
    <w:rsid w:val="00EC6AF1"/>
    <w:rsid w:val="00EC6D0F"/>
    <w:rsid w:val="00EC6D22"/>
    <w:rsid w:val="00EC6E92"/>
    <w:rsid w:val="00EC6FCD"/>
    <w:rsid w:val="00EC7A69"/>
    <w:rsid w:val="00ED00E2"/>
    <w:rsid w:val="00ED0639"/>
    <w:rsid w:val="00ED07BA"/>
    <w:rsid w:val="00ED0CA4"/>
    <w:rsid w:val="00ED1017"/>
    <w:rsid w:val="00ED130F"/>
    <w:rsid w:val="00ED1A4B"/>
    <w:rsid w:val="00ED1B38"/>
    <w:rsid w:val="00ED1C2C"/>
    <w:rsid w:val="00ED1DC9"/>
    <w:rsid w:val="00ED1E08"/>
    <w:rsid w:val="00ED2A04"/>
    <w:rsid w:val="00ED2EFC"/>
    <w:rsid w:val="00ED2F0E"/>
    <w:rsid w:val="00ED3B68"/>
    <w:rsid w:val="00ED3E78"/>
    <w:rsid w:val="00ED45DD"/>
    <w:rsid w:val="00ED46D2"/>
    <w:rsid w:val="00ED4BA7"/>
    <w:rsid w:val="00ED4FDE"/>
    <w:rsid w:val="00ED52D7"/>
    <w:rsid w:val="00ED5430"/>
    <w:rsid w:val="00ED5810"/>
    <w:rsid w:val="00ED5D74"/>
    <w:rsid w:val="00ED5DF7"/>
    <w:rsid w:val="00ED5F50"/>
    <w:rsid w:val="00ED5F9D"/>
    <w:rsid w:val="00ED60F6"/>
    <w:rsid w:val="00ED61D0"/>
    <w:rsid w:val="00ED6478"/>
    <w:rsid w:val="00ED6690"/>
    <w:rsid w:val="00ED66D5"/>
    <w:rsid w:val="00ED6C11"/>
    <w:rsid w:val="00ED6CB8"/>
    <w:rsid w:val="00ED6F9D"/>
    <w:rsid w:val="00ED6FA8"/>
    <w:rsid w:val="00ED7156"/>
    <w:rsid w:val="00ED7628"/>
    <w:rsid w:val="00ED79ED"/>
    <w:rsid w:val="00ED7B1D"/>
    <w:rsid w:val="00EE01A0"/>
    <w:rsid w:val="00EE0370"/>
    <w:rsid w:val="00EE03AF"/>
    <w:rsid w:val="00EE0CBA"/>
    <w:rsid w:val="00EE11E8"/>
    <w:rsid w:val="00EE1294"/>
    <w:rsid w:val="00EE1309"/>
    <w:rsid w:val="00EE1627"/>
    <w:rsid w:val="00EE165C"/>
    <w:rsid w:val="00EE1D2D"/>
    <w:rsid w:val="00EE1F16"/>
    <w:rsid w:val="00EE1FA6"/>
    <w:rsid w:val="00EE216E"/>
    <w:rsid w:val="00EE2241"/>
    <w:rsid w:val="00EE2836"/>
    <w:rsid w:val="00EE28C3"/>
    <w:rsid w:val="00EE2A29"/>
    <w:rsid w:val="00EE2BDC"/>
    <w:rsid w:val="00EE2E52"/>
    <w:rsid w:val="00EE305A"/>
    <w:rsid w:val="00EE328A"/>
    <w:rsid w:val="00EE3435"/>
    <w:rsid w:val="00EE355B"/>
    <w:rsid w:val="00EE35AE"/>
    <w:rsid w:val="00EE3643"/>
    <w:rsid w:val="00EE3B4A"/>
    <w:rsid w:val="00EE3C6C"/>
    <w:rsid w:val="00EE42D4"/>
    <w:rsid w:val="00EE4601"/>
    <w:rsid w:val="00EE4B51"/>
    <w:rsid w:val="00EE5881"/>
    <w:rsid w:val="00EE58C7"/>
    <w:rsid w:val="00EE597D"/>
    <w:rsid w:val="00EE5A2D"/>
    <w:rsid w:val="00EE5A90"/>
    <w:rsid w:val="00EE5DF5"/>
    <w:rsid w:val="00EE5EA5"/>
    <w:rsid w:val="00EE5FC8"/>
    <w:rsid w:val="00EE62B3"/>
    <w:rsid w:val="00EE655F"/>
    <w:rsid w:val="00EE6A4F"/>
    <w:rsid w:val="00EE6BD1"/>
    <w:rsid w:val="00EE6C92"/>
    <w:rsid w:val="00EE744C"/>
    <w:rsid w:val="00EE7450"/>
    <w:rsid w:val="00EE75A2"/>
    <w:rsid w:val="00EE7834"/>
    <w:rsid w:val="00EE794C"/>
    <w:rsid w:val="00EE7BA3"/>
    <w:rsid w:val="00EE7BDF"/>
    <w:rsid w:val="00EE7CAF"/>
    <w:rsid w:val="00EF02F7"/>
    <w:rsid w:val="00EF04E1"/>
    <w:rsid w:val="00EF05D6"/>
    <w:rsid w:val="00EF0877"/>
    <w:rsid w:val="00EF0A92"/>
    <w:rsid w:val="00EF0B6D"/>
    <w:rsid w:val="00EF0EDE"/>
    <w:rsid w:val="00EF0EE5"/>
    <w:rsid w:val="00EF1193"/>
    <w:rsid w:val="00EF193B"/>
    <w:rsid w:val="00EF1B64"/>
    <w:rsid w:val="00EF1DB9"/>
    <w:rsid w:val="00EF1EBA"/>
    <w:rsid w:val="00EF1F4F"/>
    <w:rsid w:val="00EF22CF"/>
    <w:rsid w:val="00EF23D6"/>
    <w:rsid w:val="00EF2FB1"/>
    <w:rsid w:val="00EF309E"/>
    <w:rsid w:val="00EF32E8"/>
    <w:rsid w:val="00EF36FA"/>
    <w:rsid w:val="00EF3AC9"/>
    <w:rsid w:val="00EF3F2E"/>
    <w:rsid w:val="00EF3F82"/>
    <w:rsid w:val="00EF41DD"/>
    <w:rsid w:val="00EF41E2"/>
    <w:rsid w:val="00EF4755"/>
    <w:rsid w:val="00EF4762"/>
    <w:rsid w:val="00EF47CF"/>
    <w:rsid w:val="00EF4BDD"/>
    <w:rsid w:val="00EF4C54"/>
    <w:rsid w:val="00EF4C9F"/>
    <w:rsid w:val="00EF5143"/>
    <w:rsid w:val="00EF52F3"/>
    <w:rsid w:val="00EF5C62"/>
    <w:rsid w:val="00EF6116"/>
    <w:rsid w:val="00EF6401"/>
    <w:rsid w:val="00EF653A"/>
    <w:rsid w:val="00EF6AB7"/>
    <w:rsid w:val="00EF6B94"/>
    <w:rsid w:val="00EF6BBB"/>
    <w:rsid w:val="00EF6D9F"/>
    <w:rsid w:val="00EF6E5F"/>
    <w:rsid w:val="00EF70C3"/>
    <w:rsid w:val="00EF7135"/>
    <w:rsid w:val="00EF74CB"/>
    <w:rsid w:val="00EF7A43"/>
    <w:rsid w:val="00EF7BB6"/>
    <w:rsid w:val="00EF7CB5"/>
    <w:rsid w:val="00EF7DF6"/>
    <w:rsid w:val="00EF7E80"/>
    <w:rsid w:val="00F00165"/>
    <w:rsid w:val="00F0047E"/>
    <w:rsid w:val="00F006FA"/>
    <w:rsid w:val="00F007D7"/>
    <w:rsid w:val="00F00B58"/>
    <w:rsid w:val="00F00C43"/>
    <w:rsid w:val="00F00F6A"/>
    <w:rsid w:val="00F0113E"/>
    <w:rsid w:val="00F01245"/>
    <w:rsid w:val="00F015E9"/>
    <w:rsid w:val="00F016C9"/>
    <w:rsid w:val="00F0173C"/>
    <w:rsid w:val="00F01BDA"/>
    <w:rsid w:val="00F01F78"/>
    <w:rsid w:val="00F0205A"/>
    <w:rsid w:val="00F02637"/>
    <w:rsid w:val="00F027DB"/>
    <w:rsid w:val="00F02911"/>
    <w:rsid w:val="00F033D1"/>
    <w:rsid w:val="00F03C43"/>
    <w:rsid w:val="00F03FDA"/>
    <w:rsid w:val="00F04232"/>
    <w:rsid w:val="00F0440C"/>
    <w:rsid w:val="00F048C7"/>
    <w:rsid w:val="00F04AAA"/>
    <w:rsid w:val="00F04D95"/>
    <w:rsid w:val="00F04E5D"/>
    <w:rsid w:val="00F04F36"/>
    <w:rsid w:val="00F04FA4"/>
    <w:rsid w:val="00F05109"/>
    <w:rsid w:val="00F051A9"/>
    <w:rsid w:val="00F059F7"/>
    <w:rsid w:val="00F064F1"/>
    <w:rsid w:val="00F06B0E"/>
    <w:rsid w:val="00F074FA"/>
    <w:rsid w:val="00F07608"/>
    <w:rsid w:val="00F10396"/>
    <w:rsid w:val="00F10747"/>
    <w:rsid w:val="00F10B9B"/>
    <w:rsid w:val="00F10D38"/>
    <w:rsid w:val="00F10D9B"/>
    <w:rsid w:val="00F1131A"/>
    <w:rsid w:val="00F114DB"/>
    <w:rsid w:val="00F11997"/>
    <w:rsid w:val="00F11B16"/>
    <w:rsid w:val="00F11EBE"/>
    <w:rsid w:val="00F11F24"/>
    <w:rsid w:val="00F11F2A"/>
    <w:rsid w:val="00F11FD4"/>
    <w:rsid w:val="00F12174"/>
    <w:rsid w:val="00F125D3"/>
    <w:rsid w:val="00F126DF"/>
    <w:rsid w:val="00F12933"/>
    <w:rsid w:val="00F12DDA"/>
    <w:rsid w:val="00F1313C"/>
    <w:rsid w:val="00F131C5"/>
    <w:rsid w:val="00F13829"/>
    <w:rsid w:val="00F13922"/>
    <w:rsid w:val="00F13B6A"/>
    <w:rsid w:val="00F14302"/>
    <w:rsid w:val="00F14621"/>
    <w:rsid w:val="00F14A7A"/>
    <w:rsid w:val="00F150E7"/>
    <w:rsid w:val="00F1518E"/>
    <w:rsid w:val="00F15260"/>
    <w:rsid w:val="00F152CE"/>
    <w:rsid w:val="00F159FF"/>
    <w:rsid w:val="00F15A37"/>
    <w:rsid w:val="00F15B0E"/>
    <w:rsid w:val="00F15C4B"/>
    <w:rsid w:val="00F15E1F"/>
    <w:rsid w:val="00F1602B"/>
    <w:rsid w:val="00F1654E"/>
    <w:rsid w:val="00F16956"/>
    <w:rsid w:val="00F16F7B"/>
    <w:rsid w:val="00F175CF"/>
    <w:rsid w:val="00F17880"/>
    <w:rsid w:val="00F17A3E"/>
    <w:rsid w:val="00F17C84"/>
    <w:rsid w:val="00F201EF"/>
    <w:rsid w:val="00F207F3"/>
    <w:rsid w:val="00F20860"/>
    <w:rsid w:val="00F20892"/>
    <w:rsid w:val="00F20999"/>
    <w:rsid w:val="00F209CE"/>
    <w:rsid w:val="00F20EA7"/>
    <w:rsid w:val="00F21546"/>
    <w:rsid w:val="00F217A1"/>
    <w:rsid w:val="00F218D0"/>
    <w:rsid w:val="00F21CB3"/>
    <w:rsid w:val="00F21DD9"/>
    <w:rsid w:val="00F21EB9"/>
    <w:rsid w:val="00F225D2"/>
    <w:rsid w:val="00F22793"/>
    <w:rsid w:val="00F22985"/>
    <w:rsid w:val="00F22A26"/>
    <w:rsid w:val="00F22B38"/>
    <w:rsid w:val="00F22F00"/>
    <w:rsid w:val="00F236B6"/>
    <w:rsid w:val="00F23D5C"/>
    <w:rsid w:val="00F24081"/>
    <w:rsid w:val="00F24182"/>
    <w:rsid w:val="00F243F1"/>
    <w:rsid w:val="00F2470E"/>
    <w:rsid w:val="00F24BA0"/>
    <w:rsid w:val="00F25014"/>
    <w:rsid w:val="00F25371"/>
    <w:rsid w:val="00F254FC"/>
    <w:rsid w:val="00F25E83"/>
    <w:rsid w:val="00F25EDE"/>
    <w:rsid w:val="00F26040"/>
    <w:rsid w:val="00F26ACD"/>
    <w:rsid w:val="00F26ED4"/>
    <w:rsid w:val="00F277BF"/>
    <w:rsid w:val="00F27AEE"/>
    <w:rsid w:val="00F27CA2"/>
    <w:rsid w:val="00F305E9"/>
    <w:rsid w:val="00F30729"/>
    <w:rsid w:val="00F30A8F"/>
    <w:rsid w:val="00F30ABD"/>
    <w:rsid w:val="00F318AB"/>
    <w:rsid w:val="00F31AA5"/>
    <w:rsid w:val="00F32091"/>
    <w:rsid w:val="00F3217A"/>
    <w:rsid w:val="00F32269"/>
    <w:rsid w:val="00F3230C"/>
    <w:rsid w:val="00F32835"/>
    <w:rsid w:val="00F32C02"/>
    <w:rsid w:val="00F32C18"/>
    <w:rsid w:val="00F32C50"/>
    <w:rsid w:val="00F3360A"/>
    <w:rsid w:val="00F337B7"/>
    <w:rsid w:val="00F33814"/>
    <w:rsid w:val="00F3383E"/>
    <w:rsid w:val="00F33931"/>
    <w:rsid w:val="00F33AA7"/>
    <w:rsid w:val="00F33AEC"/>
    <w:rsid w:val="00F3446A"/>
    <w:rsid w:val="00F34BBF"/>
    <w:rsid w:val="00F355DD"/>
    <w:rsid w:val="00F35EE4"/>
    <w:rsid w:val="00F36589"/>
    <w:rsid w:val="00F36CA4"/>
    <w:rsid w:val="00F3790F"/>
    <w:rsid w:val="00F3792C"/>
    <w:rsid w:val="00F37A2A"/>
    <w:rsid w:val="00F37C31"/>
    <w:rsid w:val="00F37EE1"/>
    <w:rsid w:val="00F37F75"/>
    <w:rsid w:val="00F400FD"/>
    <w:rsid w:val="00F402A4"/>
    <w:rsid w:val="00F402C0"/>
    <w:rsid w:val="00F402D1"/>
    <w:rsid w:val="00F408FE"/>
    <w:rsid w:val="00F40AA1"/>
    <w:rsid w:val="00F40F51"/>
    <w:rsid w:val="00F410AE"/>
    <w:rsid w:val="00F410F6"/>
    <w:rsid w:val="00F4158B"/>
    <w:rsid w:val="00F415E2"/>
    <w:rsid w:val="00F41A10"/>
    <w:rsid w:val="00F41C83"/>
    <w:rsid w:val="00F41D3C"/>
    <w:rsid w:val="00F41F5C"/>
    <w:rsid w:val="00F42464"/>
    <w:rsid w:val="00F42658"/>
    <w:rsid w:val="00F42975"/>
    <w:rsid w:val="00F429A2"/>
    <w:rsid w:val="00F42E61"/>
    <w:rsid w:val="00F42FF0"/>
    <w:rsid w:val="00F430B3"/>
    <w:rsid w:val="00F436B6"/>
    <w:rsid w:val="00F436E6"/>
    <w:rsid w:val="00F43E1C"/>
    <w:rsid w:val="00F43E5D"/>
    <w:rsid w:val="00F44919"/>
    <w:rsid w:val="00F44B9D"/>
    <w:rsid w:val="00F44D7E"/>
    <w:rsid w:val="00F452D4"/>
    <w:rsid w:val="00F456BB"/>
    <w:rsid w:val="00F456E5"/>
    <w:rsid w:val="00F45B8F"/>
    <w:rsid w:val="00F45EFF"/>
    <w:rsid w:val="00F46044"/>
    <w:rsid w:val="00F46251"/>
    <w:rsid w:val="00F465A7"/>
    <w:rsid w:val="00F4689D"/>
    <w:rsid w:val="00F46E64"/>
    <w:rsid w:val="00F4711A"/>
    <w:rsid w:val="00F471A8"/>
    <w:rsid w:val="00F4775D"/>
    <w:rsid w:val="00F477D9"/>
    <w:rsid w:val="00F47A7B"/>
    <w:rsid w:val="00F47E8E"/>
    <w:rsid w:val="00F47EEC"/>
    <w:rsid w:val="00F50479"/>
    <w:rsid w:val="00F506C0"/>
    <w:rsid w:val="00F5072E"/>
    <w:rsid w:val="00F50B7C"/>
    <w:rsid w:val="00F50CB1"/>
    <w:rsid w:val="00F50DD9"/>
    <w:rsid w:val="00F50F4E"/>
    <w:rsid w:val="00F50FCF"/>
    <w:rsid w:val="00F5141D"/>
    <w:rsid w:val="00F51A59"/>
    <w:rsid w:val="00F51BF9"/>
    <w:rsid w:val="00F523CF"/>
    <w:rsid w:val="00F52478"/>
    <w:rsid w:val="00F52587"/>
    <w:rsid w:val="00F5273F"/>
    <w:rsid w:val="00F52AE3"/>
    <w:rsid w:val="00F52DF6"/>
    <w:rsid w:val="00F52F5B"/>
    <w:rsid w:val="00F52FD2"/>
    <w:rsid w:val="00F5310F"/>
    <w:rsid w:val="00F53223"/>
    <w:rsid w:val="00F5342A"/>
    <w:rsid w:val="00F534DF"/>
    <w:rsid w:val="00F538FC"/>
    <w:rsid w:val="00F539DE"/>
    <w:rsid w:val="00F53A21"/>
    <w:rsid w:val="00F53D9B"/>
    <w:rsid w:val="00F53EA6"/>
    <w:rsid w:val="00F53EF9"/>
    <w:rsid w:val="00F541C4"/>
    <w:rsid w:val="00F544F9"/>
    <w:rsid w:val="00F545CC"/>
    <w:rsid w:val="00F546D9"/>
    <w:rsid w:val="00F54C30"/>
    <w:rsid w:val="00F54F56"/>
    <w:rsid w:val="00F550E6"/>
    <w:rsid w:val="00F55101"/>
    <w:rsid w:val="00F55C8C"/>
    <w:rsid w:val="00F55C9D"/>
    <w:rsid w:val="00F560FB"/>
    <w:rsid w:val="00F56233"/>
    <w:rsid w:val="00F567C0"/>
    <w:rsid w:val="00F56833"/>
    <w:rsid w:val="00F5729C"/>
    <w:rsid w:val="00F578FD"/>
    <w:rsid w:val="00F57AB7"/>
    <w:rsid w:val="00F57C18"/>
    <w:rsid w:val="00F57C69"/>
    <w:rsid w:val="00F57D5A"/>
    <w:rsid w:val="00F57DF7"/>
    <w:rsid w:val="00F60329"/>
    <w:rsid w:val="00F60540"/>
    <w:rsid w:val="00F605CB"/>
    <w:rsid w:val="00F606FC"/>
    <w:rsid w:val="00F60735"/>
    <w:rsid w:val="00F6090D"/>
    <w:rsid w:val="00F60A16"/>
    <w:rsid w:val="00F60ACF"/>
    <w:rsid w:val="00F60AF1"/>
    <w:rsid w:val="00F60BD0"/>
    <w:rsid w:val="00F60FCB"/>
    <w:rsid w:val="00F6153C"/>
    <w:rsid w:val="00F618A6"/>
    <w:rsid w:val="00F61A3E"/>
    <w:rsid w:val="00F61D61"/>
    <w:rsid w:val="00F61EDC"/>
    <w:rsid w:val="00F62050"/>
    <w:rsid w:val="00F62292"/>
    <w:rsid w:val="00F62A66"/>
    <w:rsid w:val="00F62D96"/>
    <w:rsid w:val="00F63430"/>
    <w:rsid w:val="00F63B03"/>
    <w:rsid w:val="00F63C92"/>
    <w:rsid w:val="00F63E5A"/>
    <w:rsid w:val="00F64343"/>
    <w:rsid w:val="00F64CF8"/>
    <w:rsid w:val="00F64DB8"/>
    <w:rsid w:val="00F6511B"/>
    <w:rsid w:val="00F657E9"/>
    <w:rsid w:val="00F663BA"/>
    <w:rsid w:val="00F66887"/>
    <w:rsid w:val="00F671D3"/>
    <w:rsid w:val="00F67450"/>
    <w:rsid w:val="00F67476"/>
    <w:rsid w:val="00F676F1"/>
    <w:rsid w:val="00F6794E"/>
    <w:rsid w:val="00F67F50"/>
    <w:rsid w:val="00F70474"/>
    <w:rsid w:val="00F70A87"/>
    <w:rsid w:val="00F70BCA"/>
    <w:rsid w:val="00F70C1C"/>
    <w:rsid w:val="00F70E55"/>
    <w:rsid w:val="00F71038"/>
    <w:rsid w:val="00F711D1"/>
    <w:rsid w:val="00F71553"/>
    <w:rsid w:val="00F72282"/>
    <w:rsid w:val="00F7251F"/>
    <w:rsid w:val="00F72A00"/>
    <w:rsid w:val="00F72E2E"/>
    <w:rsid w:val="00F731F4"/>
    <w:rsid w:val="00F73399"/>
    <w:rsid w:val="00F73BB5"/>
    <w:rsid w:val="00F73DBC"/>
    <w:rsid w:val="00F74086"/>
    <w:rsid w:val="00F74134"/>
    <w:rsid w:val="00F74345"/>
    <w:rsid w:val="00F744BA"/>
    <w:rsid w:val="00F74ACC"/>
    <w:rsid w:val="00F74C7F"/>
    <w:rsid w:val="00F74E4E"/>
    <w:rsid w:val="00F74EA0"/>
    <w:rsid w:val="00F75031"/>
    <w:rsid w:val="00F75118"/>
    <w:rsid w:val="00F75623"/>
    <w:rsid w:val="00F75643"/>
    <w:rsid w:val="00F7572C"/>
    <w:rsid w:val="00F75C85"/>
    <w:rsid w:val="00F75CA5"/>
    <w:rsid w:val="00F76358"/>
    <w:rsid w:val="00F763C2"/>
    <w:rsid w:val="00F7663A"/>
    <w:rsid w:val="00F767DC"/>
    <w:rsid w:val="00F76ACD"/>
    <w:rsid w:val="00F76FAC"/>
    <w:rsid w:val="00F770DB"/>
    <w:rsid w:val="00F7728B"/>
    <w:rsid w:val="00F774A0"/>
    <w:rsid w:val="00F776E6"/>
    <w:rsid w:val="00F777F9"/>
    <w:rsid w:val="00F77A67"/>
    <w:rsid w:val="00F77BE8"/>
    <w:rsid w:val="00F77C92"/>
    <w:rsid w:val="00F77D48"/>
    <w:rsid w:val="00F77F00"/>
    <w:rsid w:val="00F804E2"/>
    <w:rsid w:val="00F80A0A"/>
    <w:rsid w:val="00F80D78"/>
    <w:rsid w:val="00F80F91"/>
    <w:rsid w:val="00F81224"/>
    <w:rsid w:val="00F81485"/>
    <w:rsid w:val="00F815F4"/>
    <w:rsid w:val="00F81880"/>
    <w:rsid w:val="00F82278"/>
    <w:rsid w:val="00F82779"/>
    <w:rsid w:val="00F82A19"/>
    <w:rsid w:val="00F82B19"/>
    <w:rsid w:val="00F830E4"/>
    <w:rsid w:val="00F832C0"/>
    <w:rsid w:val="00F837F3"/>
    <w:rsid w:val="00F8404B"/>
    <w:rsid w:val="00F84994"/>
    <w:rsid w:val="00F84B60"/>
    <w:rsid w:val="00F84BB5"/>
    <w:rsid w:val="00F84FE4"/>
    <w:rsid w:val="00F85504"/>
    <w:rsid w:val="00F85DB0"/>
    <w:rsid w:val="00F85F35"/>
    <w:rsid w:val="00F85F84"/>
    <w:rsid w:val="00F86341"/>
    <w:rsid w:val="00F87150"/>
    <w:rsid w:val="00F87E2B"/>
    <w:rsid w:val="00F9005A"/>
    <w:rsid w:val="00F900D5"/>
    <w:rsid w:val="00F902C5"/>
    <w:rsid w:val="00F903E1"/>
    <w:rsid w:val="00F907B9"/>
    <w:rsid w:val="00F90AA3"/>
    <w:rsid w:val="00F90E76"/>
    <w:rsid w:val="00F9188A"/>
    <w:rsid w:val="00F91AE9"/>
    <w:rsid w:val="00F91B89"/>
    <w:rsid w:val="00F91D5E"/>
    <w:rsid w:val="00F9212D"/>
    <w:rsid w:val="00F921F0"/>
    <w:rsid w:val="00F925E8"/>
    <w:rsid w:val="00F92B24"/>
    <w:rsid w:val="00F92D5A"/>
    <w:rsid w:val="00F9300E"/>
    <w:rsid w:val="00F93056"/>
    <w:rsid w:val="00F933DD"/>
    <w:rsid w:val="00F934AE"/>
    <w:rsid w:val="00F93538"/>
    <w:rsid w:val="00F937BF"/>
    <w:rsid w:val="00F94338"/>
    <w:rsid w:val="00F94579"/>
    <w:rsid w:val="00F9468B"/>
    <w:rsid w:val="00F94695"/>
    <w:rsid w:val="00F94A3B"/>
    <w:rsid w:val="00F94C7F"/>
    <w:rsid w:val="00F94EF8"/>
    <w:rsid w:val="00F95125"/>
    <w:rsid w:val="00F95153"/>
    <w:rsid w:val="00F9525F"/>
    <w:rsid w:val="00F95675"/>
    <w:rsid w:val="00F95751"/>
    <w:rsid w:val="00F95B45"/>
    <w:rsid w:val="00F960E2"/>
    <w:rsid w:val="00F9630B"/>
    <w:rsid w:val="00F965DA"/>
    <w:rsid w:val="00F9673F"/>
    <w:rsid w:val="00F96B5D"/>
    <w:rsid w:val="00F9731F"/>
    <w:rsid w:val="00F97874"/>
    <w:rsid w:val="00F97FB4"/>
    <w:rsid w:val="00FA0342"/>
    <w:rsid w:val="00FA049A"/>
    <w:rsid w:val="00FA0829"/>
    <w:rsid w:val="00FA0FF1"/>
    <w:rsid w:val="00FA10C3"/>
    <w:rsid w:val="00FA12D1"/>
    <w:rsid w:val="00FA1424"/>
    <w:rsid w:val="00FA169B"/>
    <w:rsid w:val="00FA171C"/>
    <w:rsid w:val="00FA1B1B"/>
    <w:rsid w:val="00FA226E"/>
    <w:rsid w:val="00FA25B0"/>
    <w:rsid w:val="00FA28C8"/>
    <w:rsid w:val="00FA2ECD"/>
    <w:rsid w:val="00FA2F80"/>
    <w:rsid w:val="00FA308E"/>
    <w:rsid w:val="00FA333E"/>
    <w:rsid w:val="00FA3508"/>
    <w:rsid w:val="00FA361D"/>
    <w:rsid w:val="00FA3688"/>
    <w:rsid w:val="00FA370C"/>
    <w:rsid w:val="00FA3829"/>
    <w:rsid w:val="00FA384F"/>
    <w:rsid w:val="00FA406A"/>
    <w:rsid w:val="00FA4371"/>
    <w:rsid w:val="00FA43BB"/>
    <w:rsid w:val="00FA44F6"/>
    <w:rsid w:val="00FA4984"/>
    <w:rsid w:val="00FA5375"/>
    <w:rsid w:val="00FA541A"/>
    <w:rsid w:val="00FA5420"/>
    <w:rsid w:val="00FA560B"/>
    <w:rsid w:val="00FA5719"/>
    <w:rsid w:val="00FA57FA"/>
    <w:rsid w:val="00FA59C7"/>
    <w:rsid w:val="00FA5D33"/>
    <w:rsid w:val="00FA5F89"/>
    <w:rsid w:val="00FA5FB1"/>
    <w:rsid w:val="00FA6500"/>
    <w:rsid w:val="00FA675F"/>
    <w:rsid w:val="00FB0051"/>
    <w:rsid w:val="00FB0225"/>
    <w:rsid w:val="00FB023A"/>
    <w:rsid w:val="00FB0CF8"/>
    <w:rsid w:val="00FB0E8A"/>
    <w:rsid w:val="00FB123E"/>
    <w:rsid w:val="00FB1273"/>
    <w:rsid w:val="00FB14B0"/>
    <w:rsid w:val="00FB23BB"/>
    <w:rsid w:val="00FB2709"/>
    <w:rsid w:val="00FB279A"/>
    <w:rsid w:val="00FB2898"/>
    <w:rsid w:val="00FB290F"/>
    <w:rsid w:val="00FB2ABF"/>
    <w:rsid w:val="00FB2B20"/>
    <w:rsid w:val="00FB3051"/>
    <w:rsid w:val="00FB32B4"/>
    <w:rsid w:val="00FB32BF"/>
    <w:rsid w:val="00FB33D3"/>
    <w:rsid w:val="00FB377D"/>
    <w:rsid w:val="00FB39C3"/>
    <w:rsid w:val="00FB3A5E"/>
    <w:rsid w:val="00FB3B06"/>
    <w:rsid w:val="00FB3C6D"/>
    <w:rsid w:val="00FB3CAA"/>
    <w:rsid w:val="00FB41F9"/>
    <w:rsid w:val="00FB503A"/>
    <w:rsid w:val="00FB516C"/>
    <w:rsid w:val="00FB537D"/>
    <w:rsid w:val="00FB5780"/>
    <w:rsid w:val="00FB584D"/>
    <w:rsid w:val="00FB5CC6"/>
    <w:rsid w:val="00FB6B15"/>
    <w:rsid w:val="00FB6D02"/>
    <w:rsid w:val="00FB72DE"/>
    <w:rsid w:val="00FB7706"/>
    <w:rsid w:val="00FB7798"/>
    <w:rsid w:val="00FB7947"/>
    <w:rsid w:val="00FB7E05"/>
    <w:rsid w:val="00FC02F3"/>
    <w:rsid w:val="00FC04FE"/>
    <w:rsid w:val="00FC06BB"/>
    <w:rsid w:val="00FC06E5"/>
    <w:rsid w:val="00FC0AD2"/>
    <w:rsid w:val="00FC0B38"/>
    <w:rsid w:val="00FC0BA9"/>
    <w:rsid w:val="00FC0C67"/>
    <w:rsid w:val="00FC0DF5"/>
    <w:rsid w:val="00FC0F07"/>
    <w:rsid w:val="00FC13CD"/>
    <w:rsid w:val="00FC1713"/>
    <w:rsid w:val="00FC187E"/>
    <w:rsid w:val="00FC18DC"/>
    <w:rsid w:val="00FC2181"/>
    <w:rsid w:val="00FC23AB"/>
    <w:rsid w:val="00FC24D6"/>
    <w:rsid w:val="00FC2895"/>
    <w:rsid w:val="00FC2E70"/>
    <w:rsid w:val="00FC2F4E"/>
    <w:rsid w:val="00FC3387"/>
    <w:rsid w:val="00FC35F8"/>
    <w:rsid w:val="00FC3B76"/>
    <w:rsid w:val="00FC3D08"/>
    <w:rsid w:val="00FC3D97"/>
    <w:rsid w:val="00FC3DC3"/>
    <w:rsid w:val="00FC3EF3"/>
    <w:rsid w:val="00FC40C1"/>
    <w:rsid w:val="00FC40DF"/>
    <w:rsid w:val="00FC410D"/>
    <w:rsid w:val="00FC420A"/>
    <w:rsid w:val="00FC46E3"/>
    <w:rsid w:val="00FC51D8"/>
    <w:rsid w:val="00FC5336"/>
    <w:rsid w:val="00FC5345"/>
    <w:rsid w:val="00FC5387"/>
    <w:rsid w:val="00FC573C"/>
    <w:rsid w:val="00FC5C25"/>
    <w:rsid w:val="00FC5D8B"/>
    <w:rsid w:val="00FC5FDC"/>
    <w:rsid w:val="00FC6047"/>
    <w:rsid w:val="00FC684C"/>
    <w:rsid w:val="00FC74CB"/>
    <w:rsid w:val="00FC76E0"/>
    <w:rsid w:val="00FC77BC"/>
    <w:rsid w:val="00FC7D15"/>
    <w:rsid w:val="00FC7E0E"/>
    <w:rsid w:val="00FC7FEA"/>
    <w:rsid w:val="00FD0236"/>
    <w:rsid w:val="00FD0320"/>
    <w:rsid w:val="00FD0330"/>
    <w:rsid w:val="00FD0BB8"/>
    <w:rsid w:val="00FD0F9B"/>
    <w:rsid w:val="00FD10A3"/>
    <w:rsid w:val="00FD143E"/>
    <w:rsid w:val="00FD149E"/>
    <w:rsid w:val="00FD18F4"/>
    <w:rsid w:val="00FD1987"/>
    <w:rsid w:val="00FD2161"/>
    <w:rsid w:val="00FD230F"/>
    <w:rsid w:val="00FD23E8"/>
    <w:rsid w:val="00FD259E"/>
    <w:rsid w:val="00FD26C8"/>
    <w:rsid w:val="00FD2FB9"/>
    <w:rsid w:val="00FD2FE4"/>
    <w:rsid w:val="00FD30E8"/>
    <w:rsid w:val="00FD3403"/>
    <w:rsid w:val="00FD396B"/>
    <w:rsid w:val="00FD3A1A"/>
    <w:rsid w:val="00FD428C"/>
    <w:rsid w:val="00FD4444"/>
    <w:rsid w:val="00FD44BA"/>
    <w:rsid w:val="00FD48D3"/>
    <w:rsid w:val="00FD4D04"/>
    <w:rsid w:val="00FD4D15"/>
    <w:rsid w:val="00FD5432"/>
    <w:rsid w:val="00FD54DB"/>
    <w:rsid w:val="00FD5526"/>
    <w:rsid w:val="00FD5A4A"/>
    <w:rsid w:val="00FD5A8D"/>
    <w:rsid w:val="00FD5F06"/>
    <w:rsid w:val="00FD619F"/>
    <w:rsid w:val="00FD6427"/>
    <w:rsid w:val="00FD6447"/>
    <w:rsid w:val="00FD660C"/>
    <w:rsid w:val="00FD6AA6"/>
    <w:rsid w:val="00FD6AF3"/>
    <w:rsid w:val="00FD6DE1"/>
    <w:rsid w:val="00FD6E71"/>
    <w:rsid w:val="00FD6FAE"/>
    <w:rsid w:val="00FD7178"/>
    <w:rsid w:val="00FD7431"/>
    <w:rsid w:val="00FD7886"/>
    <w:rsid w:val="00FD78F0"/>
    <w:rsid w:val="00FE02E1"/>
    <w:rsid w:val="00FE02E4"/>
    <w:rsid w:val="00FE03BE"/>
    <w:rsid w:val="00FE05AB"/>
    <w:rsid w:val="00FE0B44"/>
    <w:rsid w:val="00FE0C2C"/>
    <w:rsid w:val="00FE1293"/>
    <w:rsid w:val="00FE138C"/>
    <w:rsid w:val="00FE16FE"/>
    <w:rsid w:val="00FE1730"/>
    <w:rsid w:val="00FE17B7"/>
    <w:rsid w:val="00FE1A7E"/>
    <w:rsid w:val="00FE206D"/>
    <w:rsid w:val="00FE21A2"/>
    <w:rsid w:val="00FE2284"/>
    <w:rsid w:val="00FE24E9"/>
    <w:rsid w:val="00FE2CD1"/>
    <w:rsid w:val="00FE3D51"/>
    <w:rsid w:val="00FE3E34"/>
    <w:rsid w:val="00FE3FD2"/>
    <w:rsid w:val="00FE464B"/>
    <w:rsid w:val="00FE485D"/>
    <w:rsid w:val="00FE4B04"/>
    <w:rsid w:val="00FE5051"/>
    <w:rsid w:val="00FE55AD"/>
    <w:rsid w:val="00FE56F7"/>
    <w:rsid w:val="00FE587D"/>
    <w:rsid w:val="00FE605B"/>
    <w:rsid w:val="00FE6A5B"/>
    <w:rsid w:val="00FE6C5D"/>
    <w:rsid w:val="00FE71AD"/>
    <w:rsid w:val="00FE72D3"/>
    <w:rsid w:val="00FE7360"/>
    <w:rsid w:val="00FE73AE"/>
    <w:rsid w:val="00FE76A5"/>
    <w:rsid w:val="00FE78C2"/>
    <w:rsid w:val="00FE7B65"/>
    <w:rsid w:val="00FF023A"/>
    <w:rsid w:val="00FF0266"/>
    <w:rsid w:val="00FF02B7"/>
    <w:rsid w:val="00FF05B3"/>
    <w:rsid w:val="00FF0857"/>
    <w:rsid w:val="00FF0956"/>
    <w:rsid w:val="00FF0EF3"/>
    <w:rsid w:val="00FF102F"/>
    <w:rsid w:val="00FF105F"/>
    <w:rsid w:val="00FF1188"/>
    <w:rsid w:val="00FF1573"/>
    <w:rsid w:val="00FF15C0"/>
    <w:rsid w:val="00FF1708"/>
    <w:rsid w:val="00FF1EBE"/>
    <w:rsid w:val="00FF1ED6"/>
    <w:rsid w:val="00FF23A6"/>
    <w:rsid w:val="00FF2682"/>
    <w:rsid w:val="00FF2771"/>
    <w:rsid w:val="00FF294D"/>
    <w:rsid w:val="00FF2BED"/>
    <w:rsid w:val="00FF2C1A"/>
    <w:rsid w:val="00FF313F"/>
    <w:rsid w:val="00FF38DE"/>
    <w:rsid w:val="00FF3B4A"/>
    <w:rsid w:val="00FF4325"/>
    <w:rsid w:val="00FF46C6"/>
    <w:rsid w:val="00FF46E5"/>
    <w:rsid w:val="00FF4D6E"/>
    <w:rsid w:val="00FF4FA4"/>
    <w:rsid w:val="00FF4FE8"/>
    <w:rsid w:val="00FF5054"/>
    <w:rsid w:val="00FF5224"/>
    <w:rsid w:val="00FF522F"/>
    <w:rsid w:val="00FF5288"/>
    <w:rsid w:val="00FF52AB"/>
    <w:rsid w:val="00FF563C"/>
    <w:rsid w:val="00FF5DD3"/>
    <w:rsid w:val="00FF5E1E"/>
    <w:rsid w:val="00FF5F8D"/>
    <w:rsid w:val="00FF641A"/>
    <w:rsid w:val="00FF6660"/>
    <w:rsid w:val="00FF68C9"/>
    <w:rsid w:val="00FF6CED"/>
    <w:rsid w:val="00FF6D52"/>
    <w:rsid w:val="00FF7502"/>
    <w:rsid w:val="00FF770C"/>
    <w:rsid w:val="00FF7AB2"/>
    <w:rsid w:val="00FF7F38"/>
    <w:rsid w:val="0106114F"/>
    <w:rsid w:val="01290F7E"/>
    <w:rsid w:val="012C4B7E"/>
    <w:rsid w:val="015D1E09"/>
    <w:rsid w:val="016664F7"/>
    <w:rsid w:val="01AA3877"/>
    <w:rsid w:val="02697903"/>
    <w:rsid w:val="02A92276"/>
    <w:rsid w:val="02F96569"/>
    <w:rsid w:val="03731706"/>
    <w:rsid w:val="03EA7B21"/>
    <w:rsid w:val="04933775"/>
    <w:rsid w:val="05221476"/>
    <w:rsid w:val="059A5852"/>
    <w:rsid w:val="05CA3636"/>
    <w:rsid w:val="05F83EAE"/>
    <w:rsid w:val="063E7D85"/>
    <w:rsid w:val="064E5692"/>
    <w:rsid w:val="068763A4"/>
    <w:rsid w:val="06A26459"/>
    <w:rsid w:val="06C32145"/>
    <w:rsid w:val="06CC7629"/>
    <w:rsid w:val="06DD5EDF"/>
    <w:rsid w:val="06ED3116"/>
    <w:rsid w:val="07293586"/>
    <w:rsid w:val="07295285"/>
    <w:rsid w:val="07604C07"/>
    <w:rsid w:val="07636392"/>
    <w:rsid w:val="07702E6D"/>
    <w:rsid w:val="07770C56"/>
    <w:rsid w:val="07773341"/>
    <w:rsid w:val="077B4BBA"/>
    <w:rsid w:val="078608E3"/>
    <w:rsid w:val="081B54CF"/>
    <w:rsid w:val="084176CC"/>
    <w:rsid w:val="089A58E8"/>
    <w:rsid w:val="092217DD"/>
    <w:rsid w:val="093A7294"/>
    <w:rsid w:val="0966277A"/>
    <w:rsid w:val="0979218C"/>
    <w:rsid w:val="09837F14"/>
    <w:rsid w:val="09B9599B"/>
    <w:rsid w:val="0A263993"/>
    <w:rsid w:val="0A2D3AC2"/>
    <w:rsid w:val="0A932060"/>
    <w:rsid w:val="0AA071F3"/>
    <w:rsid w:val="0AA755DF"/>
    <w:rsid w:val="0ABA2573"/>
    <w:rsid w:val="0B120D44"/>
    <w:rsid w:val="0BB67E1C"/>
    <w:rsid w:val="0BD27BF6"/>
    <w:rsid w:val="0BEC2BDA"/>
    <w:rsid w:val="0C3B3C7D"/>
    <w:rsid w:val="0C6A2581"/>
    <w:rsid w:val="0CAB2EAE"/>
    <w:rsid w:val="0CB6724A"/>
    <w:rsid w:val="0D437A43"/>
    <w:rsid w:val="0D532F3F"/>
    <w:rsid w:val="0D621C7D"/>
    <w:rsid w:val="0D812061"/>
    <w:rsid w:val="0DA92B1E"/>
    <w:rsid w:val="0E1E7AC7"/>
    <w:rsid w:val="0E666D78"/>
    <w:rsid w:val="0E73034D"/>
    <w:rsid w:val="0E9A6119"/>
    <w:rsid w:val="0F13775A"/>
    <w:rsid w:val="0F5F45FE"/>
    <w:rsid w:val="0F9A112B"/>
    <w:rsid w:val="0F9A7FF9"/>
    <w:rsid w:val="0FB33777"/>
    <w:rsid w:val="106C2D6C"/>
    <w:rsid w:val="106D2F64"/>
    <w:rsid w:val="106F43D2"/>
    <w:rsid w:val="10B63710"/>
    <w:rsid w:val="10F10820"/>
    <w:rsid w:val="111C2F7A"/>
    <w:rsid w:val="11665CA1"/>
    <w:rsid w:val="116C6490"/>
    <w:rsid w:val="11724219"/>
    <w:rsid w:val="11B9663B"/>
    <w:rsid w:val="11F052D6"/>
    <w:rsid w:val="12164778"/>
    <w:rsid w:val="124F74EB"/>
    <w:rsid w:val="1251584B"/>
    <w:rsid w:val="127E75B1"/>
    <w:rsid w:val="12C4197F"/>
    <w:rsid w:val="12D213BC"/>
    <w:rsid w:val="12DD0B3F"/>
    <w:rsid w:val="12EB563D"/>
    <w:rsid w:val="13951726"/>
    <w:rsid w:val="13DE394A"/>
    <w:rsid w:val="14140A44"/>
    <w:rsid w:val="14396509"/>
    <w:rsid w:val="14B462B9"/>
    <w:rsid w:val="14CD5DA3"/>
    <w:rsid w:val="14DD2C3C"/>
    <w:rsid w:val="150C08DC"/>
    <w:rsid w:val="15107A3E"/>
    <w:rsid w:val="15B923F3"/>
    <w:rsid w:val="15C522F6"/>
    <w:rsid w:val="15CB7CF1"/>
    <w:rsid w:val="15FA45E2"/>
    <w:rsid w:val="15FE0B73"/>
    <w:rsid w:val="16087E1D"/>
    <w:rsid w:val="160B12D4"/>
    <w:rsid w:val="161F5FB1"/>
    <w:rsid w:val="164D41AC"/>
    <w:rsid w:val="16CA029F"/>
    <w:rsid w:val="16ED27B0"/>
    <w:rsid w:val="16EF38EF"/>
    <w:rsid w:val="17303600"/>
    <w:rsid w:val="175E0F34"/>
    <w:rsid w:val="17701D14"/>
    <w:rsid w:val="17735226"/>
    <w:rsid w:val="189F624C"/>
    <w:rsid w:val="19280238"/>
    <w:rsid w:val="195E6FCA"/>
    <w:rsid w:val="1A1C66C0"/>
    <w:rsid w:val="1A42393B"/>
    <w:rsid w:val="1AAC654A"/>
    <w:rsid w:val="1AAD45DE"/>
    <w:rsid w:val="1ABD02A1"/>
    <w:rsid w:val="1ACB23C7"/>
    <w:rsid w:val="1ACC4407"/>
    <w:rsid w:val="1B046F80"/>
    <w:rsid w:val="1B3267B5"/>
    <w:rsid w:val="1B40161D"/>
    <w:rsid w:val="1B441859"/>
    <w:rsid w:val="1B5763C6"/>
    <w:rsid w:val="1B6606B1"/>
    <w:rsid w:val="1B662AAD"/>
    <w:rsid w:val="1BB14B0E"/>
    <w:rsid w:val="1BC930C4"/>
    <w:rsid w:val="1C277F84"/>
    <w:rsid w:val="1C303A53"/>
    <w:rsid w:val="1C5E7925"/>
    <w:rsid w:val="1CC700F8"/>
    <w:rsid w:val="1CFD070F"/>
    <w:rsid w:val="1D061E52"/>
    <w:rsid w:val="1D5F6196"/>
    <w:rsid w:val="1D6132A5"/>
    <w:rsid w:val="1D8E56D5"/>
    <w:rsid w:val="1DA87977"/>
    <w:rsid w:val="1E036392"/>
    <w:rsid w:val="1E1673CB"/>
    <w:rsid w:val="1E282D32"/>
    <w:rsid w:val="1E661DC9"/>
    <w:rsid w:val="1E777908"/>
    <w:rsid w:val="1E7A43DA"/>
    <w:rsid w:val="1F6D7294"/>
    <w:rsid w:val="1F7F32E3"/>
    <w:rsid w:val="1FAD2A59"/>
    <w:rsid w:val="1FD06C40"/>
    <w:rsid w:val="1FE7539E"/>
    <w:rsid w:val="1FEC02E3"/>
    <w:rsid w:val="201F10D7"/>
    <w:rsid w:val="20344F28"/>
    <w:rsid w:val="20671BE0"/>
    <w:rsid w:val="206908D1"/>
    <w:rsid w:val="207E61A3"/>
    <w:rsid w:val="20963CB8"/>
    <w:rsid w:val="2099122F"/>
    <w:rsid w:val="20A81A1B"/>
    <w:rsid w:val="20B07FB6"/>
    <w:rsid w:val="20B30765"/>
    <w:rsid w:val="20B646FB"/>
    <w:rsid w:val="20C87685"/>
    <w:rsid w:val="20F70DEB"/>
    <w:rsid w:val="21025026"/>
    <w:rsid w:val="213B74B1"/>
    <w:rsid w:val="213C22E6"/>
    <w:rsid w:val="21507EF7"/>
    <w:rsid w:val="215A2310"/>
    <w:rsid w:val="21DE318A"/>
    <w:rsid w:val="21EF5B80"/>
    <w:rsid w:val="22022B59"/>
    <w:rsid w:val="2206219D"/>
    <w:rsid w:val="222D1C2F"/>
    <w:rsid w:val="22576990"/>
    <w:rsid w:val="22727A3B"/>
    <w:rsid w:val="22D55DB9"/>
    <w:rsid w:val="22F47480"/>
    <w:rsid w:val="23122818"/>
    <w:rsid w:val="2317482A"/>
    <w:rsid w:val="23506428"/>
    <w:rsid w:val="236A6D0F"/>
    <w:rsid w:val="236C0FA3"/>
    <w:rsid w:val="23B720F8"/>
    <w:rsid w:val="23D34A58"/>
    <w:rsid w:val="23DE1C48"/>
    <w:rsid w:val="23FC7B0B"/>
    <w:rsid w:val="240210CD"/>
    <w:rsid w:val="249D7540"/>
    <w:rsid w:val="24A25BE6"/>
    <w:rsid w:val="24BF09F7"/>
    <w:rsid w:val="24D4003A"/>
    <w:rsid w:val="24E55F79"/>
    <w:rsid w:val="250D2589"/>
    <w:rsid w:val="252D53FE"/>
    <w:rsid w:val="254027CC"/>
    <w:rsid w:val="25945AAA"/>
    <w:rsid w:val="25EA4953"/>
    <w:rsid w:val="25EC2D81"/>
    <w:rsid w:val="25F90635"/>
    <w:rsid w:val="260A0469"/>
    <w:rsid w:val="26692990"/>
    <w:rsid w:val="26A40252"/>
    <w:rsid w:val="277057A2"/>
    <w:rsid w:val="2771514C"/>
    <w:rsid w:val="27737030"/>
    <w:rsid w:val="277E6BA0"/>
    <w:rsid w:val="277F7306"/>
    <w:rsid w:val="27E515E5"/>
    <w:rsid w:val="27EC7E96"/>
    <w:rsid w:val="281500D2"/>
    <w:rsid w:val="28D84D4E"/>
    <w:rsid w:val="290E6960"/>
    <w:rsid w:val="29206EB8"/>
    <w:rsid w:val="29595666"/>
    <w:rsid w:val="29797B6B"/>
    <w:rsid w:val="29874881"/>
    <w:rsid w:val="29BC5F46"/>
    <w:rsid w:val="29E325E0"/>
    <w:rsid w:val="2A452503"/>
    <w:rsid w:val="2A5E32CD"/>
    <w:rsid w:val="2AF21225"/>
    <w:rsid w:val="2B6E76D8"/>
    <w:rsid w:val="2BA215EB"/>
    <w:rsid w:val="2BA936A8"/>
    <w:rsid w:val="2BBD529C"/>
    <w:rsid w:val="2BC17DDA"/>
    <w:rsid w:val="2BDD3CFB"/>
    <w:rsid w:val="2BEA215C"/>
    <w:rsid w:val="2C12049A"/>
    <w:rsid w:val="2C315A5A"/>
    <w:rsid w:val="2C39287D"/>
    <w:rsid w:val="2C4B1C25"/>
    <w:rsid w:val="2C7E03FF"/>
    <w:rsid w:val="2CDE6947"/>
    <w:rsid w:val="2D3C3092"/>
    <w:rsid w:val="2D433E81"/>
    <w:rsid w:val="2D602CBE"/>
    <w:rsid w:val="2D9E56F5"/>
    <w:rsid w:val="2DF14458"/>
    <w:rsid w:val="2E1819E5"/>
    <w:rsid w:val="2E652751"/>
    <w:rsid w:val="2E667F96"/>
    <w:rsid w:val="2E69075E"/>
    <w:rsid w:val="2E7C7067"/>
    <w:rsid w:val="2E8226AB"/>
    <w:rsid w:val="2E8B6156"/>
    <w:rsid w:val="2F171C9D"/>
    <w:rsid w:val="2F591337"/>
    <w:rsid w:val="2FD065E6"/>
    <w:rsid w:val="2FD96870"/>
    <w:rsid w:val="30063EAD"/>
    <w:rsid w:val="30580BC9"/>
    <w:rsid w:val="305F2B40"/>
    <w:rsid w:val="30647164"/>
    <w:rsid w:val="308877E8"/>
    <w:rsid w:val="30AB4D93"/>
    <w:rsid w:val="30D808B2"/>
    <w:rsid w:val="31014F5B"/>
    <w:rsid w:val="31116AE9"/>
    <w:rsid w:val="311E2ED7"/>
    <w:rsid w:val="313071C9"/>
    <w:rsid w:val="314131F4"/>
    <w:rsid w:val="31422B97"/>
    <w:rsid w:val="315619EE"/>
    <w:rsid w:val="315C449C"/>
    <w:rsid w:val="31992B46"/>
    <w:rsid w:val="31AA39C7"/>
    <w:rsid w:val="31B82709"/>
    <w:rsid w:val="31CF4AB1"/>
    <w:rsid w:val="31D05482"/>
    <w:rsid w:val="31D811CF"/>
    <w:rsid w:val="320C2283"/>
    <w:rsid w:val="323B0398"/>
    <w:rsid w:val="32400B34"/>
    <w:rsid w:val="32441BAB"/>
    <w:rsid w:val="327C34AD"/>
    <w:rsid w:val="329E6876"/>
    <w:rsid w:val="32B01A81"/>
    <w:rsid w:val="32B11FA7"/>
    <w:rsid w:val="32BB5035"/>
    <w:rsid w:val="32C43F3B"/>
    <w:rsid w:val="32E90D94"/>
    <w:rsid w:val="333015F2"/>
    <w:rsid w:val="334B6320"/>
    <w:rsid w:val="33A9409D"/>
    <w:rsid w:val="33D934D4"/>
    <w:rsid w:val="33FE2F6A"/>
    <w:rsid w:val="340E07E5"/>
    <w:rsid w:val="34235BF7"/>
    <w:rsid w:val="34371BE4"/>
    <w:rsid w:val="34626138"/>
    <w:rsid w:val="347B4A7C"/>
    <w:rsid w:val="347E5828"/>
    <w:rsid w:val="348355D1"/>
    <w:rsid w:val="34E63ED8"/>
    <w:rsid w:val="34EF210C"/>
    <w:rsid w:val="352A48CA"/>
    <w:rsid w:val="353A4937"/>
    <w:rsid w:val="355A4F25"/>
    <w:rsid w:val="35603635"/>
    <w:rsid w:val="358C5FA8"/>
    <w:rsid w:val="35C15DF1"/>
    <w:rsid w:val="36074A7F"/>
    <w:rsid w:val="36574CBF"/>
    <w:rsid w:val="36796AC2"/>
    <w:rsid w:val="36923549"/>
    <w:rsid w:val="369E4A52"/>
    <w:rsid w:val="36B75FBF"/>
    <w:rsid w:val="36BD0C45"/>
    <w:rsid w:val="378620B5"/>
    <w:rsid w:val="3786679F"/>
    <w:rsid w:val="37D657C6"/>
    <w:rsid w:val="37DE3C9F"/>
    <w:rsid w:val="37E00298"/>
    <w:rsid w:val="37E73638"/>
    <w:rsid w:val="381059C0"/>
    <w:rsid w:val="38410A75"/>
    <w:rsid w:val="38B302F9"/>
    <w:rsid w:val="38F12CD3"/>
    <w:rsid w:val="38F94775"/>
    <w:rsid w:val="390E4560"/>
    <w:rsid w:val="392971ED"/>
    <w:rsid w:val="39325651"/>
    <w:rsid w:val="39A74BE8"/>
    <w:rsid w:val="3A310552"/>
    <w:rsid w:val="3A6267A5"/>
    <w:rsid w:val="3A872856"/>
    <w:rsid w:val="3AA6709C"/>
    <w:rsid w:val="3AB74334"/>
    <w:rsid w:val="3AE76467"/>
    <w:rsid w:val="3AF67025"/>
    <w:rsid w:val="3B3763D1"/>
    <w:rsid w:val="3C027831"/>
    <w:rsid w:val="3C04511D"/>
    <w:rsid w:val="3C2F6E1E"/>
    <w:rsid w:val="3C4F64BA"/>
    <w:rsid w:val="3C5B325D"/>
    <w:rsid w:val="3C8961A9"/>
    <w:rsid w:val="3CDA245A"/>
    <w:rsid w:val="3D0A5D5C"/>
    <w:rsid w:val="3D141F11"/>
    <w:rsid w:val="3D1E06B7"/>
    <w:rsid w:val="3DD043F4"/>
    <w:rsid w:val="3E194C24"/>
    <w:rsid w:val="3E1B5D84"/>
    <w:rsid w:val="3E240F22"/>
    <w:rsid w:val="3E2E7003"/>
    <w:rsid w:val="3E437BFD"/>
    <w:rsid w:val="3E602049"/>
    <w:rsid w:val="3EC9670E"/>
    <w:rsid w:val="3EDA0523"/>
    <w:rsid w:val="3F2F9E3C"/>
    <w:rsid w:val="3F91350E"/>
    <w:rsid w:val="3F9609BC"/>
    <w:rsid w:val="3FB10595"/>
    <w:rsid w:val="407A6407"/>
    <w:rsid w:val="41342F41"/>
    <w:rsid w:val="4200449D"/>
    <w:rsid w:val="42151C41"/>
    <w:rsid w:val="421F12E1"/>
    <w:rsid w:val="423A3BCC"/>
    <w:rsid w:val="424E57D2"/>
    <w:rsid w:val="42B26C49"/>
    <w:rsid w:val="42D552F2"/>
    <w:rsid w:val="42F14892"/>
    <w:rsid w:val="430E721D"/>
    <w:rsid w:val="432D732B"/>
    <w:rsid w:val="433A6FE6"/>
    <w:rsid w:val="43480868"/>
    <w:rsid w:val="434C25D4"/>
    <w:rsid w:val="4350713C"/>
    <w:rsid w:val="435D6027"/>
    <w:rsid w:val="436653E0"/>
    <w:rsid w:val="439F07E6"/>
    <w:rsid w:val="43C4431A"/>
    <w:rsid w:val="43D26489"/>
    <w:rsid w:val="43FB1735"/>
    <w:rsid w:val="43FD36FF"/>
    <w:rsid w:val="445D34D8"/>
    <w:rsid w:val="44A956BE"/>
    <w:rsid w:val="44B0237A"/>
    <w:rsid w:val="44B951CC"/>
    <w:rsid w:val="44CD14E0"/>
    <w:rsid w:val="44F20B0B"/>
    <w:rsid w:val="452E5F4C"/>
    <w:rsid w:val="45540E35"/>
    <w:rsid w:val="45612018"/>
    <w:rsid w:val="457C1F77"/>
    <w:rsid w:val="458946E9"/>
    <w:rsid w:val="45A02594"/>
    <w:rsid w:val="45A47C0E"/>
    <w:rsid w:val="45D66A7B"/>
    <w:rsid w:val="45DE2CDE"/>
    <w:rsid w:val="45E92AC9"/>
    <w:rsid w:val="460348D1"/>
    <w:rsid w:val="46036855"/>
    <w:rsid w:val="46577FD6"/>
    <w:rsid w:val="465811EB"/>
    <w:rsid w:val="4665558C"/>
    <w:rsid w:val="46D955A7"/>
    <w:rsid w:val="46F04E55"/>
    <w:rsid w:val="47133957"/>
    <w:rsid w:val="47182C94"/>
    <w:rsid w:val="47292720"/>
    <w:rsid w:val="475B0B22"/>
    <w:rsid w:val="477869C2"/>
    <w:rsid w:val="478F3BEB"/>
    <w:rsid w:val="47A07E0C"/>
    <w:rsid w:val="48036E0A"/>
    <w:rsid w:val="48400698"/>
    <w:rsid w:val="484C3B3E"/>
    <w:rsid w:val="4870272E"/>
    <w:rsid w:val="48F90634"/>
    <w:rsid w:val="490C70F7"/>
    <w:rsid w:val="49224F88"/>
    <w:rsid w:val="49581ECF"/>
    <w:rsid w:val="49A15C30"/>
    <w:rsid w:val="49B2260A"/>
    <w:rsid w:val="49DC7715"/>
    <w:rsid w:val="4A023139"/>
    <w:rsid w:val="4A0B376B"/>
    <w:rsid w:val="4A45195C"/>
    <w:rsid w:val="4A7B576F"/>
    <w:rsid w:val="4A9B42BC"/>
    <w:rsid w:val="4ACB13BA"/>
    <w:rsid w:val="4AF561A9"/>
    <w:rsid w:val="4AF84C20"/>
    <w:rsid w:val="4B2E0642"/>
    <w:rsid w:val="4B534CF7"/>
    <w:rsid w:val="4BA431E8"/>
    <w:rsid w:val="4BAF187A"/>
    <w:rsid w:val="4C216349"/>
    <w:rsid w:val="4C4A0649"/>
    <w:rsid w:val="4C7E5ECA"/>
    <w:rsid w:val="4C876AA5"/>
    <w:rsid w:val="4C960C78"/>
    <w:rsid w:val="4CAE0E7C"/>
    <w:rsid w:val="4D0E00FB"/>
    <w:rsid w:val="4D104B48"/>
    <w:rsid w:val="4D176606"/>
    <w:rsid w:val="4DEC4FB0"/>
    <w:rsid w:val="4DEF3BE3"/>
    <w:rsid w:val="4E075D8A"/>
    <w:rsid w:val="4E127925"/>
    <w:rsid w:val="4EA037C4"/>
    <w:rsid w:val="4EC00FAD"/>
    <w:rsid w:val="4ECF3EEA"/>
    <w:rsid w:val="4EEA713D"/>
    <w:rsid w:val="4F1C50FB"/>
    <w:rsid w:val="4F5F324C"/>
    <w:rsid w:val="4F764366"/>
    <w:rsid w:val="4F9547EC"/>
    <w:rsid w:val="4F9843DC"/>
    <w:rsid w:val="4FC62A8C"/>
    <w:rsid w:val="4FDA2B47"/>
    <w:rsid w:val="4FE20F0D"/>
    <w:rsid w:val="4FE51552"/>
    <w:rsid w:val="50133F33"/>
    <w:rsid w:val="50504C4B"/>
    <w:rsid w:val="507B7E86"/>
    <w:rsid w:val="509C6E7C"/>
    <w:rsid w:val="50C02456"/>
    <w:rsid w:val="513A6E5F"/>
    <w:rsid w:val="515F3303"/>
    <w:rsid w:val="5162104E"/>
    <w:rsid w:val="51BB5312"/>
    <w:rsid w:val="52202B16"/>
    <w:rsid w:val="52497B10"/>
    <w:rsid w:val="52AE7A9B"/>
    <w:rsid w:val="52D0481B"/>
    <w:rsid w:val="52ED733E"/>
    <w:rsid w:val="52F55647"/>
    <w:rsid w:val="53176B7B"/>
    <w:rsid w:val="5328232F"/>
    <w:rsid w:val="5344250C"/>
    <w:rsid w:val="53560736"/>
    <w:rsid w:val="5381135B"/>
    <w:rsid w:val="53A039CC"/>
    <w:rsid w:val="53A1505A"/>
    <w:rsid w:val="53A5015E"/>
    <w:rsid w:val="53B33E09"/>
    <w:rsid w:val="54063E08"/>
    <w:rsid w:val="543437E8"/>
    <w:rsid w:val="548D25DD"/>
    <w:rsid w:val="54BA0277"/>
    <w:rsid w:val="54F73313"/>
    <w:rsid w:val="54F80955"/>
    <w:rsid w:val="555170A7"/>
    <w:rsid w:val="555818F7"/>
    <w:rsid w:val="5587536D"/>
    <w:rsid w:val="559B174B"/>
    <w:rsid w:val="55C063D5"/>
    <w:rsid w:val="55CE0CF4"/>
    <w:rsid w:val="564156CE"/>
    <w:rsid w:val="56691E2A"/>
    <w:rsid w:val="56A02C2D"/>
    <w:rsid w:val="56B22A9C"/>
    <w:rsid w:val="56D46542"/>
    <w:rsid w:val="56E74109"/>
    <w:rsid w:val="56ED7603"/>
    <w:rsid w:val="56F91B04"/>
    <w:rsid w:val="57604A31"/>
    <w:rsid w:val="579571FC"/>
    <w:rsid w:val="57B72A76"/>
    <w:rsid w:val="57C3426C"/>
    <w:rsid w:val="57CE1F93"/>
    <w:rsid w:val="58585A0D"/>
    <w:rsid w:val="588743D1"/>
    <w:rsid w:val="5887701A"/>
    <w:rsid w:val="588E44CE"/>
    <w:rsid w:val="58A12453"/>
    <w:rsid w:val="58B0355E"/>
    <w:rsid w:val="58DB2EBE"/>
    <w:rsid w:val="59126EAD"/>
    <w:rsid w:val="5977F511"/>
    <w:rsid w:val="59A76B8E"/>
    <w:rsid w:val="59B8262B"/>
    <w:rsid w:val="59BA018A"/>
    <w:rsid w:val="59C0439F"/>
    <w:rsid w:val="59E53268"/>
    <w:rsid w:val="59E9388F"/>
    <w:rsid w:val="5A3576DA"/>
    <w:rsid w:val="5ABC2A7D"/>
    <w:rsid w:val="5ABE2233"/>
    <w:rsid w:val="5B340651"/>
    <w:rsid w:val="5BDF5D95"/>
    <w:rsid w:val="5BFE7528"/>
    <w:rsid w:val="5C0E6052"/>
    <w:rsid w:val="5C5A1A53"/>
    <w:rsid w:val="5CA622B4"/>
    <w:rsid w:val="5D193D83"/>
    <w:rsid w:val="5DB5346D"/>
    <w:rsid w:val="5DCF1811"/>
    <w:rsid w:val="5E2467F1"/>
    <w:rsid w:val="5E360FFC"/>
    <w:rsid w:val="5E941454"/>
    <w:rsid w:val="5ECB1CF5"/>
    <w:rsid w:val="5F1A2B43"/>
    <w:rsid w:val="5F2C7AB3"/>
    <w:rsid w:val="5F3B742C"/>
    <w:rsid w:val="5F6B8EDB"/>
    <w:rsid w:val="5FB837BB"/>
    <w:rsid w:val="60CC405A"/>
    <w:rsid w:val="60CC7837"/>
    <w:rsid w:val="613227E3"/>
    <w:rsid w:val="613774F7"/>
    <w:rsid w:val="6171183B"/>
    <w:rsid w:val="617D567D"/>
    <w:rsid w:val="61840478"/>
    <w:rsid w:val="61CE48E1"/>
    <w:rsid w:val="61E215D8"/>
    <w:rsid w:val="621B3775"/>
    <w:rsid w:val="62364782"/>
    <w:rsid w:val="62650996"/>
    <w:rsid w:val="62757F11"/>
    <w:rsid w:val="628726BA"/>
    <w:rsid w:val="62A02DCE"/>
    <w:rsid w:val="62BB2364"/>
    <w:rsid w:val="62D158B7"/>
    <w:rsid w:val="62E13C90"/>
    <w:rsid w:val="62E566BE"/>
    <w:rsid w:val="6394356A"/>
    <w:rsid w:val="63C61B2C"/>
    <w:rsid w:val="63D40BE9"/>
    <w:rsid w:val="63E1653E"/>
    <w:rsid w:val="63EC574C"/>
    <w:rsid w:val="64102431"/>
    <w:rsid w:val="6415549C"/>
    <w:rsid w:val="6443642D"/>
    <w:rsid w:val="6469773A"/>
    <w:rsid w:val="64A5243A"/>
    <w:rsid w:val="64E02555"/>
    <w:rsid w:val="64EC4A56"/>
    <w:rsid w:val="64F531DE"/>
    <w:rsid w:val="65373578"/>
    <w:rsid w:val="65C854A5"/>
    <w:rsid w:val="65E7092C"/>
    <w:rsid w:val="660D1128"/>
    <w:rsid w:val="662E607D"/>
    <w:rsid w:val="66344907"/>
    <w:rsid w:val="665C6C80"/>
    <w:rsid w:val="66650670"/>
    <w:rsid w:val="66AE7717"/>
    <w:rsid w:val="66B926C9"/>
    <w:rsid w:val="66CE2128"/>
    <w:rsid w:val="670349C9"/>
    <w:rsid w:val="670D4A08"/>
    <w:rsid w:val="671F124A"/>
    <w:rsid w:val="676E209B"/>
    <w:rsid w:val="677A33C6"/>
    <w:rsid w:val="678467E4"/>
    <w:rsid w:val="67B766A0"/>
    <w:rsid w:val="67D8147B"/>
    <w:rsid w:val="67F27E8E"/>
    <w:rsid w:val="681F6961"/>
    <w:rsid w:val="68242759"/>
    <w:rsid w:val="68326EC8"/>
    <w:rsid w:val="68537478"/>
    <w:rsid w:val="68557E3B"/>
    <w:rsid w:val="68610A2F"/>
    <w:rsid w:val="68805514"/>
    <w:rsid w:val="688A23E5"/>
    <w:rsid w:val="68903426"/>
    <w:rsid w:val="69316E2F"/>
    <w:rsid w:val="69356757"/>
    <w:rsid w:val="694E2071"/>
    <w:rsid w:val="696B1F82"/>
    <w:rsid w:val="69766163"/>
    <w:rsid w:val="697A3B33"/>
    <w:rsid w:val="697F3062"/>
    <w:rsid w:val="69843EB2"/>
    <w:rsid w:val="69D44760"/>
    <w:rsid w:val="6A1F3574"/>
    <w:rsid w:val="6A3C2B90"/>
    <w:rsid w:val="6A520EC7"/>
    <w:rsid w:val="6ABE630D"/>
    <w:rsid w:val="6AC667E8"/>
    <w:rsid w:val="6ACA339C"/>
    <w:rsid w:val="6AF87E20"/>
    <w:rsid w:val="6B2423EB"/>
    <w:rsid w:val="6B322639"/>
    <w:rsid w:val="6BD41258"/>
    <w:rsid w:val="6C0A3B4F"/>
    <w:rsid w:val="6C2D7D76"/>
    <w:rsid w:val="6C636C38"/>
    <w:rsid w:val="6CA976D1"/>
    <w:rsid w:val="6D395367"/>
    <w:rsid w:val="6DB34098"/>
    <w:rsid w:val="6DB545B6"/>
    <w:rsid w:val="6DE02FB4"/>
    <w:rsid w:val="6E3E6C3F"/>
    <w:rsid w:val="6E514CED"/>
    <w:rsid w:val="6E566EF5"/>
    <w:rsid w:val="6EB563D5"/>
    <w:rsid w:val="6ED92677"/>
    <w:rsid w:val="6F0FAB0F"/>
    <w:rsid w:val="6F225983"/>
    <w:rsid w:val="6F541F8D"/>
    <w:rsid w:val="6FE1063B"/>
    <w:rsid w:val="6FFC5590"/>
    <w:rsid w:val="70051CC5"/>
    <w:rsid w:val="70183C7F"/>
    <w:rsid w:val="702913FB"/>
    <w:rsid w:val="702E07B6"/>
    <w:rsid w:val="70684D34"/>
    <w:rsid w:val="706D1DD0"/>
    <w:rsid w:val="70856B87"/>
    <w:rsid w:val="70D527EE"/>
    <w:rsid w:val="70FD3C30"/>
    <w:rsid w:val="7116659E"/>
    <w:rsid w:val="715B5300"/>
    <w:rsid w:val="7198154D"/>
    <w:rsid w:val="71AC239C"/>
    <w:rsid w:val="71BC7302"/>
    <w:rsid w:val="71D27F8A"/>
    <w:rsid w:val="71D82609"/>
    <w:rsid w:val="72553024"/>
    <w:rsid w:val="72801610"/>
    <w:rsid w:val="7285405A"/>
    <w:rsid w:val="72872FB1"/>
    <w:rsid w:val="72D74F98"/>
    <w:rsid w:val="7307616D"/>
    <w:rsid w:val="73122968"/>
    <w:rsid w:val="731F5D5E"/>
    <w:rsid w:val="732469F1"/>
    <w:rsid w:val="734077D2"/>
    <w:rsid w:val="7349167A"/>
    <w:rsid w:val="734B67A1"/>
    <w:rsid w:val="73583CAC"/>
    <w:rsid w:val="73BC4605"/>
    <w:rsid w:val="73C2472B"/>
    <w:rsid w:val="73C51AD5"/>
    <w:rsid w:val="73FD4130"/>
    <w:rsid w:val="740807E3"/>
    <w:rsid w:val="741E793C"/>
    <w:rsid w:val="745D1B9A"/>
    <w:rsid w:val="745E3944"/>
    <w:rsid w:val="74880010"/>
    <w:rsid w:val="74F24573"/>
    <w:rsid w:val="750D3F71"/>
    <w:rsid w:val="754568C7"/>
    <w:rsid w:val="75580A71"/>
    <w:rsid w:val="756344A7"/>
    <w:rsid w:val="756B594D"/>
    <w:rsid w:val="759417EE"/>
    <w:rsid w:val="75AC7DEF"/>
    <w:rsid w:val="75B55338"/>
    <w:rsid w:val="75BC665E"/>
    <w:rsid w:val="7635099D"/>
    <w:rsid w:val="7638669F"/>
    <w:rsid w:val="764E551C"/>
    <w:rsid w:val="765E24C0"/>
    <w:rsid w:val="767B5193"/>
    <w:rsid w:val="768F3144"/>
    <w:rsid w:val="77762421"/>
    <w:rsid w:val="77976B52"/>
    <w:rsid w:val="779B731E"/>
    <w:rsid w:val="77B56B1F"/>
    <w:rsid w:val="77E9F11B"/>
    <w:rsid w:val="77F12CEB"/>
    <w:rsid w:val="780F09F4"/>
    <w:rsid w:val="78740524"/>
    <w:rsid w:val="789E20B4"/>
    <w:rsid w:val="78A90480"/>
    <w:rsid w:val="78C70511"/>
    <w:rsid w:val="792C3B64"/>
    <w:rsid w:val="798E3ED6"/>
    <w:rsid w:val="79A7C039"/>
    <w:rsid w:val="7A01475C"/>
    <w:rsid w:val="7A364017"/>
    <w:rsid w:val="7A3A23FE"/>
    <w:rsid w:val="7A5835F4"/>
    <w:rsid w:val="7A8265E1"/>
    <w:rsid w:val="7AAE6CBF"/>
    <w:rsid w:val="7AD04771"/>
    <w:rsid w:val="7ADA3AD6"/>
    <w:rsid w:val="7B09011B"/>
    <w:rsid w:val="7B686D42"/>
    <w:rsid w:val="7B841746"/>
    <w:rsid w:val="7BB01D7D"/>
    <w:rsid w:val="7BB80E37"/>
    <w:rsid w:val="7BE4480F"/>
    <w:rsid w:val="7C021296"/>
    <w:rsid w:val="7C30396B"/>
    <w:rsid w:val="7C6C5AC7"/>
    <w:rsid w:val="7C9C3DE9"/>
    <w:rsid w:val="7C9D1B23"/>
    <w:rsid w:val="7CC6544B"/>
    <w:rsid w:val="7D0239FF"/>
    <w:rsid w:val="7D5B240A"/>
    <w:rsid w:val="7D5E1E12"/>
    <w:rsid w:val="7D5E40CD"/>
    <w:rsid w:val="7DB144B6"/>
    <w:rsid w:val="7DCD56F2"/>
    <w:rsid w:val="7E307C52"/>
    <w:rsid w:val="7E845A30"/>
    <w:rsid w:val="7EA74498"/>
    <w:rsid w:val="7EAE7804"/>
    <w:rsid w:val="7F001CE7"/>
    <w:rsid w:val="7F30691F"/>
    <w:rsid w:val="7F350AE3"/>
    <w:rsid w:val="7F7D2300"/>
    <w:rsid w:val="7F963301"/>
    <w:rsid w:val="7F9B7434"/>
    <w:rsid w:val="7FB646FB"/>
    <w:rsid w:val="7FDFF401"/>
    <w:rsid w:val="7FE47E50"/>
    <w:rsid w:val="AF8FDDCC"/>
    <w:rsid w:val="BBFE0104"/>
    <w:rsid w:val="CAF31105"/>
    <w:rsid w:val="CD9FC7BE"/>
    <w:rsid w:val="CEBE9ABC"/>
    <w:rsid w:val="ED7FEFCC"/>
    <w:rsid w:val="F2F529BF"/>
    <w:rsid w:val="F9DE22AE"/>
    <w:rsid w:val="FB4BCC0B"/>
    <w:rsid w:val="FD77ED38"/>
    <w:rsid w:val="FDB5D849"/>
    <w:rsid w:val="FEFEAD13"/>
    <w:rsid w:val="FFEECB0C"/>
    <w:rsid w:val="FFFAED28"/>
    <w:rsid w:val="FFFAF178"/>
    <w:rsid w:val="FFFE9C8E"/>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iPriority="9" w:name="heading 3" w:locked="1"/>
    <w:lsdException w:qFormat="1" w:unhideWhenUsed="0" w:uiPriority="0" w:semiHidden="0" w:name="heading 4" w:locked="1"/>
    <w:lsdException w:qFormat="1" w:uiPriority="9" w:name="heading 5" w:locked="1"/>
    <w:lsdException w:qFormat="1" w:uiPriority="9"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nhideWhenUsed="0" w:uiPriority="0" w:semiHidden="0" w:name="toc 1" w:locked="1"/>
    <w:lsdException w:uiPriority="0" w:name="toc 2" w:locked="1"/>
    <w:lsdException w:qFormat="1" w:unhideWhenUsed="0" w:uiPriority="0" w:semiHidden="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0" w:semiHidden="0" w:name="Normal Indent" w:locked="1"/>
    <w:lsdException w:uiPriority="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ocked="1"/>
    <w:lsdException w:qFormat="1" w:unhideWhenUsed="0" w:uiPriority="0" w:semiHidden="0" w:name="caption" w:locked="1"/>
    <w:lsdException w:uiPriority="0" w:name="table of figures" w:locked="1"/>
    <w:lsdException w:uiPriority="0" w:name="envelope address" w:locked="1"/>
    <w:lsdException w:uiPriority="0" w:name="envelope return" w:locked="1"/>
    <w:lsdException w:uiPriority="0" w:name="footnote reference" w:locked="1"/>
    <w:lsdException w:qFormat="1" w:unhideWhenUsed="0" w:uiPriority="0" w:semiHidden="0" w:name="annotation reference"/>
    <w:lsdException w:uiPriority="0" w:name="line number" w:locked="1"/>
    <w:lsdException w:qFormat="1" w:unhideWhenUsed="0" w:uiPriority="0" w:semiHidden="0" w:name="page number" w:locked="1"/>
    <w:lsdException w:uiPriority="0" w:name="endnote reference" w:locked="1"/>
    <w:lsdException w:uiPriority="0" w:name="endnote text" w:locked="1"/>
    <w:lsdException w:uiPriority="0" w:name="table of authorities" w:locked="1"/>
    <w:lsdException w:uiPriority="0" w:name="macro" w:locked="1"/>
    <w:lsdException w:uiPriority="0" w:name="toa heading" w:locked="1"/>
    <w:lsdException w:uiPriority="0" w:name="List" w:locked="1"/>
    <w:lsdException w:uiPriority="0" w:name="List Bullet" w:locked="1"/>
    <w:lsdException w:qFormat="1" w:unhideWhenUsed="0" w:uiPriority="0" w:semiHidden="0" w:name="List Number" w:locked="1"/>
    <w:lsdException w:uiPriority="0" w:name="List 2" w:locked="1"/>
    <w:lsdException w:qFormat="1" w:unhideWhenUsed="0" w:uiPriority="99" w:semiHidden="0" w:name="List 3" w:locked="1"/>
    <w:lsdException w:unhideWhenUsed="0" w:uiPriority="0" w:semiHidden="0" w:name="List 4" w:locked="1"/>
    <w:lsdException w:unhideWhenUsed="0" w:uiPriority="0" w:semiHidden="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semiHidden="0" w:name="Default Paragraph Font"/>
    <w:lsdException w:qFormat="1" w:unhideWhenUsed="0" w:uiPriority="1" w:semiHidden="0" w:name="Body Text"/>
    <w:lsdException w:qFormat="1" w:unhideWhenUsed="0" w:uiPriority="99" w:semiHidden="0" w:name="Body Text Indent"/>
    <w:lsdException w:uiPriority="0" w:name="List Continue" w:locked="1"/>
    <w:lsdException w:uiPriority="0" w:name="List Continue 2" w:locked="1"/>
    <w:lsdException w:uiPriority="0" w:name="List Continue 3" w:locked="1"/>
    <w:lsdException w:uiPriority="0" w:name="List Continue 4" w:locked="1"/>
    <w:lsdException w:uiPriority="0" w:name="List Continue 5" w:locked="1"/>
    <w:lsdException w:uiPriority="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name="Body Text First Indent 2" w:locked="1"/>
    <w:lsdException w:uiPriority="0" w:name="Note Heading" w:locked="1"/>
    <w:lsdException w:uiPriority="0" w:name="Body Text 2" w:locked="1"/>
    <w:lsdException w:uiPriority="0" w:name="Body Text 3" w:locked="1"/>
    <w:lsdException w:uiPriority="0" w:name="Body Text Indent 2" w:locked="1"/>
    <w:lsdException w:uiPriority="0" w:name="Body Text Indent 3" w:locked="1"/>
    <w:lsdException w:uiPriority="0" w:name="Block Text" w:locked="1"/>
    <w:lsdException w:qFormat="1" w:uiPriority="99" w:name="Hyperlink" w:locked="1"/>
    <w:lsdException w:qFormat="1" w:uiPriority="99" w:name="FollowedHyperlink" w:locked="1"/>
    <w:lsdException w:qFormat="1" w:unhideWhenUsed="0" w:uiPriority="0" w:semiHidden="0" w:name="Strong" w:locked="1"/>
    <w:lsdException w:qFormat="1" w:unhideWhenUsed="0" w:uiPriority="0" w:semiHidden="0" w:name="Emphasis" w:locked="1"/>
    <w:lsdException w:uiPriority="0" w:name="Document Map" w:locked="1"/>
    <w:lsdException w:qFormat="1" w:unhideWhenUsed="0" w:uiPriority="99" w:semiHidden="0" w:name="Plain Text" w:locked="1"/>
    <w:lsdException w:uiPriority="0" w:name="E-mail Signature" w:locked="1"/>
    <w:lsdException w:qFormat="1" w:unhideWhenUsed="0" w:uiPriority="99"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3"/>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06"/>
    <w:semiHidden/>
    <w:unhideWhenUsed/>
    <w:qFormat/>
    <w:locked/>
    <w:uiPriority w:val="9"/>
    <w:pPr>
      <w:autoSpaceDE w:val="0"/>
      <w:autoSpaceDN w:val="0"/>
      <w:ind w:left="1141" w:hanging="401"/>
      <w:jc w:val="left"/>
      <w:outlineLvl w:val="1"/>
    </w:pPr>
    <w:rPr>
      <w:rFonts w:ascii="宋体" w:hAnsi="宋体" w:cs="宋体"/>
      <w:b/>
      <w:bCs/>
      <w:kern w:val="0"/>
      <w:sz w:val="32"/>
      <w:szCs w:val="32"/>
      <w:lang w:eastAsia="en-US"/>
    </w:rPr>
  </w:style>
  <w:style w:type="paragraph" w:styleId="4">
    <w:name w:val="heading 3"/>
    <w:basedOn w:val="1"/>
    <w:next w:val="1"/>
    <w:link w:val="71"/>
    <w:semiHidden/>
    <w:unhideWhenUsed/>
    <w:qFormat/>
    <w:locked/>
    <w:uiPriority w:val="9"/>
    <w:pPr>
      <w:autoSpaceDE w:val="0"/>
      <w:autoSpaceDN w:val="0"/>
      <w:ind w:left="1301" w:hanging="561"/>
      <w:jc w:val="left"/>
      <w:outlineLvl w:val="2"/>
    </w:pPr>
    <w:rPr>
      <w:rFonts w:ascii="宋体" w:hAnsi="宋体" w:cs="宋体"/>
      <w:b/>
      <w:bCs/>
      <w:kern w:val="0"/>
      <w:sz w:val="28"/>
      <w:szCs w:val="28"/>
      <w:lang w:eastAsia="en-US"/>
    </w:rPr>
  </w:style>
  <w:style w:type="paragraph" w:styleId="5">
    <w:name w:val="heading 4"/>
    <w:basedOn w:val="1"/>
    <w:next w:val="1"/>
    <w:link w:val="112"/>
    <w:qFormat/>
    <w:locked/>
    <w:uiPriority w:val="0"/>
    <w:pPr>
      <w:keepNext/>
      <w:keepLines/>
      <w:spacing w:before="280" w:after="290" w:line="376" w:lineRule="auto"/>
      <w:outlineLvl w:val="3"/>
    </w:pPr>
    <w:rPr>
      <w:rFonts w:ascii="Arial" w:hAnsi="Arial" w:eastAsia="黑体"/>
      <w:b/>
      <w:bCs/>
      <w:sz w:val="28"/>
      <w:szCs w:val="28"/>
      <w:lang w:val="zh-CN"/>
    </w:rPr>
  </w:style>
  <w:style w:type="paragraph" w:styleId="6">
    <w:name w:val="heading 5"/>
    <w:basedOn w:val="1"/>
    <w:next w:val="1"/>
    <w:link w:val="76"/>
    <w:semiHidden/>
    <w:unhideWhenUsed/>
    <w:qFormat/>
    <w:locked/>
    <w:uiPriority w:val="9"/>
    <w:pPr>
      <w:keepNext/>
      <w:keepLines/>
      <w:autoSpaceDE w:val="0"/>
      <w:autoSpaceDN w:val="0"/>
      <w:spacing w:before="280" w:after="290" w:line="374" w:lineRule="auto"/>
      <w:jc w:val="left"/>
      <w:outlineLvl w:val="4"/>
    </w:pPr>
    <w:rPr>
      <w:rFonts w:ascii="宋体" w:hAnsi="宋体" w:cs="宋体"/>
      <w:b/>
      <w:bCs/>
      <w:kern w:val="0"/>
      <w:sz w:val="28"/>
      <w:szCs w:val="28"/>
      <w:lang w:eastAsia="en-US"/>
    </w:rPr>
  </w:style>
  <w:style w:type="paragraph" w:styleId="7">
    <w:name w:val="heading 6"/>
    <w:basedOn w:val="1"/>
    <w:next w:val="1"/>
    <w:link w:val="53"/>
    <w:semiHidden/>
    <w:unhideWhenUsed/>
    <w:qFormat/>
    <w:locked/>
    <w:uiPriority w:val="9"/>
    <w:pPr>
      <w:keepNext/>
      <w:keepLines/>
      <w:autoSpaceDE w:val="0"/>
      <w:autoSpaceDN w:val="0"/>
      <w:spacing w:before="240" w:after="64" w:line="319" w:lineRule="auto"/>
      <w:jc w:val="left"/>
      <w:outlineLvl w:val="5"/>
    </w:pPr>
    <w:rPr>
      <w:rFonts w:ascii="Calibri Light" w:hAnsi="Calibri Light"/>
      <w:b/>
      <w:bCs/>
      <w:kern w:val="0"/>
      <w:sz w:val="24"/>
      <w:lang w:eastAsia="en-US"/>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8">
    <w:name w:val="List 3"/>
    <w:basedOn w:val="1"/>
    <w:link w:val="68"/>
    <w:qFormat/>
    <w:locked/>
    <w:uiPriority w:val="99"/>
    <w:pPr>
      <w:ind w:left="100" w:leftChars="400" w:hanging="200" w:hangingChars="200"/>
      <w:contextualSpacing/>
    </w:pPr>
    <w:rPr>
      <w:rFonts w:ascii="Arial" w:hAnsi="Arial"/>
      <w:sz w:val="24"/>
      <w:lang w:val="zh-CN"/>
    </w:rPr>
  </w:style>
  <w:style w:type="paragraph" w:styleId="9">
    <w:name w:val="List Number"/>
    <w:basedOn w:val="1"/>
    <w:qFormat/>
    <w:locked/>
    <w:uiPriority w:val="0"/>
    <w:pPr>
      <w:numPr>
        <w:ilvl w:val="0"/>
        <w:numId w:val="1"/>
      </w:numPr>
    </w:pPr>
  </w:style>
  <w:style w:type="paragraph" w:styleId="10">
    <w:name w:val="Normal Indent"/>
    <w:basedOn w:val="1"/>
    <w:link w:val="97"/>
    <w:qFormat/>
    <w:locked/>
    <w:uiPriority w:val="0"/>
    <w:pPr>
      <w:spacing w:line="264" w:lineRule="auto"/>
      <w:ind w:firstLine="476"/>
    </w:pPr>
    <w:rPr>
      <w:rFonts w:ascii="Arial" w:hAnsi="Arial" w:cs="Arial"/>
      <w:spacing w:val="10"/>
      <w:sz w:val="24"/>
      <w:szCs w:val="20"/>
    </w:rPr>
  </w:style>
  <w:style w:type="paragraph" w:styleId="11">
    <w:name w:val="caption"/>
    <w:basedOn w:val="1"/>
    <w:next w:val="1"/>
    <w:qFormat/>
    <w:locked/>
    <w:uiPriority w:val="0"/>
    <w:pPr>
      <w:spacing w:before="152" w:after="160"/>
    </w:pPr>
    <w:rPr>
      <w:rFonts w:ascii="Arial" w:hAnsi="Arial" w:eastAsia="黑体"/>
      <w:sz w:val="20"/>
      <w:szCs w:val="20"/>
      <w:lang w:val="zh-CN"/>
    </w:rPr>
  </w:style>
  <w:style w:type="paragraph" w:styleId="12">
    <w:name w:val="annotation text"/>
    <w:basedOn w:val="1"/>
    <w:link w:val="62"/>
    <w:qFormat/>
    <w:uiPriority w:val="0"/>
    <w:pPr>
      <w:jc w:val="left"/>
    </w:pPr>
    <w:rPr>
      <w:kern w:val="0"/>
      <w:sz w:val="24"/>
      <w:szCs w:val="20"/>
    </w:rPr>
  </w:style>
  <w:style w:type="paragraph" w:styleId="13">
    <w:name w:val="Body Text"/>
    <w:basedOn w:val="1"/>
    <w:link w:val="49"/>
    <w:qFormat/>
    <w:uiPriority w:val="1"/>
    <w:pPr>
      <w:widowControl/>
      <w:snapToGrid w:val="0"/>
      <w:spacing w:before="60" w:after="160" w:line="259" w:lineRule="auto"/>
      <w:ind w:right="113"/>
    </w:pPr>
    <w:rPr>
      <w:kern w:val="0"/>
      <w:sz w:val="18"/>
      <w:szCs w:val="20"/>
    </w:rPr>
  </w:style>
  <w:style w:type="paragraph" w:styleId="14">
    <w:name w:val="Body Text Indent"/>
    <w:basedOn w:val="1"/>
    <w:link w:val="115"/>
    <w:qFormat/>
    <w:uiPriority w:val="99"/>
    <w:pPr>
      <w:spacing w:after="120"/>
      <w:ind w:left="420" w:leftChars="200"/>
    </w:pPr>
    <w:rPr>
      <w:kern w:val="0"/>
      <w:sz w:val="24"/>
      <w:szCs w:val="20"/>
    </w:rPr>
  </w:style>
  <w:style w:type="paragraph" w:styleId="15">
    <w:name w:val="toc 3"/>
    <w:basedOn w:val="1"/>
    <w:next w:val="1"/>
    <w:qFormat/>
    <w:locked/>
    <w:uiPriority w:val="0"/>
    <w:pPr>
      <w:ind w:left="840" w:leftChars="400"/>
    </w:pPr>
  </w:style>
  <w:style w:type="paragraph" w:styleId="16">
    <w:name w:val="Plain Text"/>
    <w:basedOn w:val="1"/>
    <w:next w:val="17"/>
    <w:link w:val="113"/>
    <w:qFormat/>
    <w:locked/>
    <w:uiPriority w:val="99"/>
    <w:rPr>
      <w:rFonts w:ascii="宋体" w:hAnsi="Courier New" w:cs="Courier New"/>
      <w:szCs w:val="21"/>
    </w:rPr>
  </w:style>
  <w:style w:type="paragraph" w:styleId="17">
    <w:name w:val="toc 1"/>
    <w:basedOn w:val="1"/>
    <w:next w:val="1"/>
    <w:qFormat/>
    <w:locked/>
    <w:uiPriority w:val="0"/>
  </w:style>
  <w:style w:type="paragraph" w:styleId="18">
    <w:name w:val="Date"/>
    <w:basedOn w:val="1"/>
    <w:next w:val="1"/>
    <w:link w:val="73"/>
    <w:qFormat/>
    <w:uiPriority w:val="0"/>
    <w:pPr>
      <w:ind w:left="100" w:leftChars="2500"/>
    </w:pPr>
    <w:rPr>
      <w:kern w:val="0"/>
      <w:sz w:val="24"/>
      <w:szCs w:val="20"/>
    </w:rPr>
  </w:style>
  <w:style w:type="paragraph" w:styleId="19">
    <w:name w:val="Balloon Text"/>
    <w:basedOn w:val="1"/>
    <w:link w:val="110"/>
    <w:semiHidden/>
    <w:qFormat/>
    <w:uiPriority w:val="0"/>
    <w:rPr>
      <w:kern w:val="0"/>
      <w:sz w:val="18"/>
      <w:szCs w:val="20"/>
    </w:rPr>
  </w:style>
  <w:style w:type="paragraph" w:styleId="20">
    <w:name w:val="footer"/>
    <w:basedOn w:val="1"/>
    <w:link w:val="129"/>
    <w:qFormat/>
    <w:uiPriority w:val="0"/>
    <w:pPr>
      <w:tabs>
        <w:tab w:val="center" w:pos="4153"/>
        <w:tab w:val="right" w:pos="8306"/>
      </w:tabs>
      <w:snapToGrid w:val="0"/>
      <w:jc w:val="left"/>
    </w:pPr>
    <w:rPr>
      <w:kern w:val="0"/>
      <w:sz w:val="18"/>
      <w:szCs w:val="20"/>
    </w:rPr>
  </w:style>
  <w:style w:type="paragraph" w:styleId="21">
    <w:name w:val="header"/>
    <w:basedOn w:val="1"/>
    <w:link w:val="39"/>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Normal (Web)"/>
    <w:basedOn w:val="1"/>
    <w:link w:val="86"/>
    <w:qFormat/>
    <w:uiPriority w:val="99"/>
    <w:pPr>
      <w:widowControl/>
      <w:spacing w:before="100" w:beforeAutospacing="1" w:after="100" w:afterAutospacing="1"/>
      <w:jc w:val="left"/>
    </w:pPr>
    <w:rPr>
      <w:rFonts w:ascii="宋体" w:hAnsi="宋体"/>
      <w:kern w:val="0"/>
      <w:sz w:val="24"/>
      <w:szCs w:val="20"/>
    </w:rPr>
  </w:style>
  <w:style w:type="paragraph" w:styleId="23">
    <w:name w:val="annotation subject"/>
    <w:basedOn w:val="12"/>
    <w:next w:val="12"/>
    <w:link w:val="45"/>
    <w:semiHidden/>
    <w:qFormat/>
    <w:uiPriority w:val="0"/>
    <w:rPr>
      <w:b/>
    </w:rPr>
  </w:style>
  <w:style w:type="paragraph" w:styleId="24">
    <w:name w:val="Body Text First Indent"/>
    <w:basedOn w:val="13"/>
    <w:link w:val="48"/>
    <w:qFormat/>
    <w:locked/>
    <w:uiPriority w:val="0"/>
    <w:pPr>
      <w:widowControl w:val="0"/>
      <w:snapToGrid/>
      <w:spacing w:before="0" w:after="120" w:line="240" w:lineRule="auto"/>
      <w:ind w:right="0" w:firstLine="420" w:firstLineChars="100"/>
    </w:pPr>
    <w:rPr>
      <w:kern w:val="2"/>
      <w:sz w:val="21"/>
      <w:szCs w:val="24"/>
    </w:rPr>
  </w:style>
  <w:style w:type="paragraph" w:styleId="25">
    <w:name w:val="Body Text First Indent 2"/>
    <w:basedOn w:val="14"/>
    <w:next w:val="1"/>
    <w:link w:val="154"/>
    <w:semiHidden/>
    <w:unhideWhenUsed/>
    <w:qFormat/>
    <w:locked/>
    <w:uiPriority w:val="99"/>
    <w:pPr>
      <w:autoSpaceDE w:val="0"/>
      <w:autoSpaceDN w:val="0"/>
      <w:ind w:firstLine="420" w:firstLineChars="200"/>
      <w:jc w:val="left"/>
    </w:pPr>
    <w:rPr>
      <w:rFonts w:ascii="宋体" w:hAnsi="宋体" w:cs="宋体"/>
      <w:sz w:val="22"/>
      <w:szCs w:val="22"/>
      <w:lang w:eastAsia="en-US"/>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locked/>
    <w:uiPriority w:val="0"/>
    <w:rPr>
      <w:b/>
    </w:rPr>
  </w:style>
  <w:style w:type="character" w:styleId="30">
    <w:name w:val="page number"/>
    <w:basedOn w:val="28"/>
    <w:qFormat/>
    <w:locked/>
    <w:uiPriority w:val="0"/>
  </w:style>
  <w:style w:type="character" w:styleId="31">
    <w:name w:val="FollowedHyperlink"/>
    <w:basedOn w:val="28"/>
    <w:semiHidden/>
    <w:unhideWhenUsed/>
    <w:qFormat/>
    <w:locked/>
    <w:uiPriority w:val="99"/>
    <w:rPr>
      <w:color w:val="954F72"/>
      <w:u w:val="single"/>
    </w:rPr>
  </w:style>
  <w:style w:type="character" w:styleId="32">
    <w:name w:val="Hyperlink"/>
    <w:basedOn w:val="28"/>
    <w:semiHidden/>
    <w:unhideWhenUsed/>
    <w:qFormat/>
    <w:locked/>
    <w:uiPriority w:val="99"/>
    <w:rPr>
      <w:color w:val="0563C1"/>
      <w:u w:val="single"/>
    </w:rPr>
  </w:style>
  <w:style w:type="character" w:styleId="33">
    <w:name w:val="annotation reference"/>
    <w:qFormat/>
    <w:uiPriority w:val="0"/>
    <w:rPr>
      <w:sz w:val="21"/>
    </w:rPr>
  </w:style>
  <w:style w:type="character" w:customStyle="1" w:styleId="34">
    <w:name w:val="title-text"/>
    <w:basedOn w:val="28"/>
    <w:qFormat/>
    <w:uiPriority w:val="0"/>
  </w:style>
  <w:style w:type="character" w:customStyle="1" w:styleId="35">
    <w:name w:val="my Char"/>
    <w:link w:val="36"/>
    <w:qFormat/>
    <w:uiPriority w:val="0"/>
    <w:rPr>
      <w:sz w:val="24"/>
      <w:szCs w:val="24"/>
    </w:rPr>
  </w:style>
  <w:style w:type="paragraph" w:customStyle="1" w:styleId="36">
    <w:name w:val="my"/>
    <w:link w:val="35"/>
    <w:qFormat/>
    <w:uiPriority w:val="0"/>
    <w:pPr>
      <w:widowControl w:val="0"/>
      <w:spacing w:before="60" w:line="460" w:lineRule="exact"/>
      <w:ind w:firstLine="200" w:firstLineChars="200"/>
    </w:pPr>
    <w:rPr>
      <w:rFonts w:ascii="Times New Roman" w:hAnsi="Times New Roman" w:eastAsia="宋体" w:cs="Times New Roman"/>
      <w:sz w:val="24"/>
      <w:szCs w:val="24"/>
      <w:lang w:val="en-US" w:eastAsia="zh-CN" w:bidi="ar-SA"/>
    </w:rPr>
  </w:style>
  <w:style w:type="paragraph" w:customStyle="1" w:styleId="37">
    <w:name w:val="表格"/>
    <w:basedOn w:val="1"/>
    <w:next w:val="1"/>
    <w:link w:val="126"/>
    <w:qFormat/>
    <w:uiPriority w:val="0"/>
    <w:pPr>
      <w:adjustRightInd w:val="0"/>
      <w:snapToGrid w:val="0"/>
      <w:spacing w:beforeLines="10" w:afterLines="10" w:line="259" w:lineRule="auto"/>
      <w:jc w:val="center"/>
    </w:pPr>
    <w:rPr>
      <w:rFonts w:ascii="宋体"/>
      <w:kern w:val="0"/>
      <w:szCs w:val="20"/>
    </w:rPr>
  </w:style>
  <w:style w:type="character" w:customStyle="1" w:styleId="38">
    <w:name w:val="font21"/>
    <w:basedOn w:val="28"/>
    <w:qFormat/>
    <w:uiPriority w:val="0"/>
    <w:rPr>
      <w:rFonts w:hint="default" w:ascii="Times New Roman" w:hAnsi="Times New Roman" w:cs="Times New Roman"/>
      <w:color w:val="000000"/>
      <w:sz w:val="18"/>
      <w:szCs w:val="18"/>
      <w:u w:val="none"/>
    </w:rPr>
  </w:style>
  <w:style w:type="character" w:customStyle="1" w:styleId="39">
    <w:name w:val="页眉 字符"/>
    <w:link w:val="21"/>
    <w:qFormat/>
    <w:locked/>
    <w:uiPriority w:val="0"/>
    <w:rPr>
      <w:sz w:val="18"/>
    </w:rPr>
  </w:style>
  <w:style w:type="paragraph" w:customStyle="1" w:styleId="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42">
    <w:name w:val="日期 字符"/>
    <w:semiHidden/>
    <w:qFormat/>
    <w:uiPriority w:val="0"/>
    <w:rPr>
      <w:rFonts w:ascii="Times New Roman" w:hAnsi="Times New Roman" w:eastAsia="宋体"/>
      <w:sz w:val="24"/>
    </w:rPr>
  </w:style>
  <w:style w:type="paragraph" w:customStyle="1" w:styleId="43">
    <w:name w:val="xl76"/>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b/>
      <w:bCs/>
      <w:kern w:val="0"/>
      <w:szCs w:val="21"/>
    </w:rPr>
  </w:style>
  <w:style w:type="character" w:customStyle="1" w:styleId="44">
    <w:name w:val="表格正文 Char2"/>
    <w:qFormat/>
    <w:uiPriority w:val="0"/>
    <w:rPr>
      <w:rFonts w:eastAsia="宋体"/>
      <w:kern w:val="2"/>
      <w:sz w:val="21"/>
      <w:szCs w:val="21"/>
      <w:lang w:val="en-US" w:eastAsia="zh-CN" w:bidi="ar-SA"/>
    </w:rPr>
  </w:style>
  <w:style w:type="character" w:customStyle="1" w:styleId="45">
    <w:name w:val="批注主题 字符"/>
    <w:link w:val="23"/>
    <w:semiHidden/>
    <w:qFormat/>
    <w:locked/>
    <w:uiPriority w:val="0"/>
    <w:rPr>
      <w:rFonts w:ascii="Times New Roman" w:hAnsi="Times New Roman" w:eastAsia="宋体"/>
      <w:b/>
      <w:kern w:val="2"/>
      <w:sz w:val="24"/>
    </w:rPr>
  </w:style>
  <w:style w:type="character" w:customStyle="1" w:styleId="46">
    <w:name w:val="正文缩进 Char"/>
    <w:qFormat/>
    <w:uiPriority w:val="0"/>
    <w:rPr>
      <w:rFonts w:eastAsia="宋体"/>
      <w:kern w:val="2"/>
      <w:sz w:val="21"/>
      <w:lang w:val="en-US" w:eastAsia="zh-CN" w:bidi="ar-SA"/>
    </w:rPr>
  </w:style>
  <w:style w:type="character" w:customStyle="1" w:styleId="47">
    <w:name w:val="列出段落 Char"/>
    <w:qFormat/>
    <w:locked/>
    <w:uiPriority w:val="34"/>
    <w:rPr>
      <w:kern w:val="2"/>
      <w:sz w:val="24"/>
      <w:szCs w:val="24"/>
      <w:lang w:val="zh-CN"/>
    </w:rPr>
  </w:style>
  <w:style w:type="character" w:customStyle="1" w:styleId="48">
    <w:name w:val="正文文本首行缩进 字符"/>
    <w:basedOn w:val="49"/>
    <w:link w:val="24"/>
    <w:qFormat/>
    <w:uiPriority w:val="0"/>
    <w:rPr>
      <w:kern w:val="2"/>
      <w:sz w:val="21"/>
      <w:szCs w:val="24"/>
    </w:rPr>
  </w:style>
  <w:style w:type="character" w:customStyle="1" w:styleId="49">
    <w:name w:val="正文文本 字符"/>
    <w:link w:val="13"/>
    <w:qFormat/>
    <w:locked/>
    <w:uiPriority w:val="1"/>
    <w:rPr>
      <w:sz w:val="18"/>
    </w:rPr>
  </w:style>
  <w:style w:type="character" w:customStyle="1" w:styleId="50">
    <w:name w:val="表 Char"/>
    <w:link w:val="51"/>
    <w:qFormat/>
    <w:uiPriority w:val="0"/>
    <w:rPr>
      <w:rFonts w:ascii="宋体" w:hAnsi="宋体" w:cs="宋体"/>
      <w:spacing w:val="2"/>
      <w:sz w:val="24"/>
    </w:rPr>
  </w:style>
  <w:style w:type="paragraph" w:customStyle="1" w:styleId="51">
    <w:name w:val="表"/>
    <w:basedOn w:val="1"/>
    <w:link w:val="50"/>
    <w:qFormat/>
    <w:uiPriority w:val="0"/>
    <w:pPr>
      <w:widowControl/>
      <w:snapToGrid w:val="0"/>
      <w:jc w:val="center"/>
    </w:pPr>
    <w:rPr>
      <w:rFonts w:ascii="宋体" w:hAnsi="宋体" w:cs="宋体"/>
      <w:spacing w:val="2"/>
      <w:kern w:val="0"/>
      <w:sz w:val="24"/>
      <w:szCs w:val="20"/>
    </w:rPr>
  </w:style>
  <w:style w:type="paragraph" w:customStyle="1" w:styleId="5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
    <w:name w:val="标题 6 字符"/>
    <w:basedOn w:val="28"/>
    <w:link w:val="7"/>
    <w:semiHidden/>
    <w:qFormat/>
    <w:uiPriority w:val="9"/>
    <w:rPr>
      <w:rFonts w:ascii="Calibri Light" w:hAnsi="Calibri Light"/>
      <w:b/>
      <w:bCs/>
      <w:sz w:val="24"/>
      <w:szCs w:val="24"/>
      <w:lang w:eastAsia="en-US"/>
    </w:rPr>
  </w:style>
  <w:style w:type="character" w:customStyle="1" w:styleId="54">
    <w:name w:val="批注文字 字符3"/>
    <w:qFormat/>
    <w:locked/>
    <w:uiPriority w:val="99"/>
    <w:rPr>
      <w:sz w:val="24"/>
    </w:rPr>
  </w:style>
  <w:style w:type="paragraph" w:customStyle="1" w:styleId="55">
    <w:name w:val="xl80"/>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character" w:customStyle="1" w:styleId="56">
    <w:name w:val="表格正文 Char"/>
    <w:link w:val="57"/>
    <w:qFormat/>
    <w:uiPriority w:val="0"/>
    <w:rPr>
      <w:kern w:val="2"/>
      <w:sz w:val="21"/>
      <w:szCs w:val="24"/>
    </w:rPr>
  </w:style>
  <w:style w:type="paragraph" w:customStyle="1" w:styleId="57">
    <w:name w:val="表格正文"/>
    <w:basedOn w:val="58"/>
    <w:link w:val="56"/>
    <w:qFormat/>
    <w:uiPriority w:val="0"/>
    <w:pPr>
      <w:spacing w:line="360" w:lineRule="exact"/>
    </w:pPr>
  </w:style>
  <w:style w:type="paragraph" w:customStyle="1" w:styleId="58">
    <w:name w:val="表格标题"/>
    <w:basedOn w:val="59"/>
    <w:qFormat/>
    <w:uiPriority w:val="0"/>
    <w:pPr>
      <w:ind w:firstLine="0" w:firstLineChars="0"/>
      <w:jc w:val="center"/>
    </w:pPr>
  </w:style>
  <w:style w:type="paragraph" w:customStyle="1" w:styleId="59">
    <w:name w:val="正文01"/>
    <w:basedOn w:val="60"/>
    <w:link w:val="135"/>
    <w:qFormat/>
    <w:uiPriority w:val="0"/>
    <w:pPr>
      <w:ind w:firstLine="200" w:firstLineChars="200"/>
    </w:pPr>
    <w:rPr>
      <w:sz w:val="24"/>
    </w:rPr>
  </w:style>
  <w:style w:type="paragraph" w:customStyle="1" w:styleId="60">
    <w:name w:val="二级标题"/>
    <w:basedOn w:val="1"/>
    <w:qFormat/>
    <w:uiPriority w:val="0"/>
    <w:pPr>
      <w:spacing w:before="60" w:line="460" w:lineRule="exact"/>
      <w:jc w:val="left"/>
      <w:outlineLvl w:val="1"/>
    </w:pPr>
    <w:rPr>
      <w:b/>
    </w:rPr>
  </w:style>
  <w:style w:type="character" w:styleId="61">
    <w:name w:val="Placeholder Text"/>
    <w:basedOn w:val="28"/>
    <w:semiHidden/>
    <w:qFormat/>
    <w:uiPriority w:val="99"/>
    <w:rPr>
      <w:color w:val="808080"/>
    </w:rPr>
  </w:style>
  <w:style w:type="character" w:customStyle="1" w:styleId="62">
    <w:name w:val="批注文字 字符"/>
    <w:link w:val="12"/>
    <w:qFormat/>
    <w:locked/>
    <w:uiPriority w:val="0"/>
    <w:rPr>
      <w:rFonts w:ascii="Times New Roman" w:hAnsi="Times New Roman" w:eastAsia="宋体"/>
      <w:sz w:val="24"/>
    </w:rPr>
  </w:style>
  <w:style w:type="paragraph" w:customStyle="1" w:styleId="6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character" w:customStyle="1" w:styleId="64">
    <w:name w:val="批注文字 Char"/>
    <w:qFormat/>
    <w:uiPriority w:val="0"/>
    <w:rPr>
      <w:rFonts w:ascii="宋体" w:hAnsi="宋体" w:eastAsia="宋体" w:cs="宋体"/>
      <w:sz w:val="24"/>
      <w:szCs w:val="24"/>
      <w:lang w:val="en-US" w:eastAsia="zh-CN" w:bidi="ar-SA"/>
    </w:rPr>
  </w:style>
  <w:style w:type="character" w:customStyle="1" w:styleId="65">
    <w:name w:val="font101"/>
    <w:basedOn w:val="28"/>
    <w:qFormat/>
    <w:uiPriority w:val="0"/>
    <w:rPr>
      <w:rFonts w:hint="default" w:ascii="Tahoma" w:hAnsi="Tahoma" w:eastAsia="Tahoma" w:cs="Tahoma"/>
      <w:color w:val="000000"/>
      <w:sz w:val="18"/>
      <w:szCs w:val="18"/>
      <w:u w:val="none"/>
    </w:rPr>
  </w:style>
  <w:style w:type="paragraph" w:customStyle="1" w:styleId="6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67">
    <w:name w:val="xl79"/>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character" w:customStyle="1" w:styleId="68">
    <w:name w:val="列表 3 字符"/>
    <w:link w:val="8"/>
    <w:qFormat/>
    <w:uiPriority w:val="0"/>
    <w:rPr>
      <w:rFonts w:ascii="Arial" w:hAnsi="Arial"/>
      <w:kern w:val="2"/>
      <w:sz w:val="24"/>
      <w:szCs w:val="24"/>
      <w:lang w:val="zh-CN"/>
    </w:rPr>
  </w:style>
  <w:style w:type="paragraph" w:customStyle="1" w:styleId="69">
    <w:name w:val="xl84"/>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70">
    <w:name w:val="Picture caption|1"/>
    <w:basedOn w:val="1"/>
    <w:qFormat/>
    <w:uiPriority w:val="0"/>
    <w:pPr>
      <w:autoSpaceDE w:val="0"/>
      <w:autoSpaceDN w:val="0"/>
      <w:jc w:val="left"/>
    </w:pPr>
    <w:rPr>
      <w:rFonts w:ascii="宋体" w:hAnsi="宋体" w:cs="宋体"/>
      <w:b/>
      <w:bCs/>
      <w:kern w:val="0"/>
      <w:sz w:val="20"/>
      <w:szCs w:val="20"/>
      <w:lang w:val="zh-TW" w:eastAsia="zh-TW" w:bidi="zh-TW"/>
    </w:rPr>
  </w:style>
  <w:style w:type="character" w:customStyle="1" w:styleId="71">
    <w:name w:val="标题 3 字符"/>
    <w:basedOn w:val="28"/>
    <w:link w:val="4"/>
    <w:semiHidden/>
    <w:qFormat/>
    <w:uiPriority w:val="9"/>
    <w:rPr>
      <w:rFonts w:ascii="宋体" w:hAnsi="宋体" w:cs="宋体"/>
      <w:b/>
      <w:bCs/>
      <w:sz w:val="28"/>
      <w:szCs w:val="28"/>
      <w:lang w:eastAsia="en-US"/>
    </w:rPr>
  </w:style>
  <w:style w:type="character" w:customStyle="1" w:styleId="72">
    <w:name w:val="font41"/>
    <w:basedOn w:val="28"/>
    <w:qFormat/>
    <w:uiPriority w:val="0"/>
    <w:rPr>
      <w:rFonts w:hint="default" w:ascii="Times New Roman" w:hAnsi="Times New Roman" w:cs="Times New Roman"/>
      <w:color w:val="000000"/>
      <w:sz w:val="18"/>
      <w:szCs w:val="18"/>
      <w:u w:val="none"/>
    </w:rPr>
  </w:style>
  <w:style w:type="character" w:customStyle="1" w:styleId="73">
    <w:name w:val="日期 字符1"/>
    <w:link w:val="18"/>
    <w:qFormat/>
    <w:locked/>
    <w:uiPriority w:val="0"/>
    <w:rPr>
      <w:rFonts w:ascii="Times New Roman" w:hAnsi="Times New Roman" w:eastAsia="宋体"/>
      <w:sz w:val="24"/>
    </w:rPr>
  </w:style>
  <w:style w:type="paragraph" w:customStyle="1" w:styleId="7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75">
    <w:name w:val="font5"/>
    <w:basedOn w:val="1"/>
    <w:qFormat/>
    <w:uiPriority w:val="0"/>
    <w:pPr>
      <w:widowControl/>
      <w:spacing w:before="100" w:beforeAutospacing="1" w:after="100" w:afterAutospacing="1"/>
      <w:jc w:val="left"/>
    </w:pPr>
    <w:rPr>
      <w:rFonts w:ascii="宋体" w:hAnsi="宋体" w:cs="宋体"/>
      <w:color w:val="000000"/>
      <w:kern w:val="0"/>
      <w:sz w:val="18"/>
      <w:szCs w:val="18"/>
    </w:rPr>
  </w:style>
  <w:style w:type="character" w:customStyle="1" w:styleId="76">
    <w:name w:val="标题 5 字符"/>
    <w:basedOn w:val="28"/>
    <w:link w:val="6"/>
    <w:semiHidden/>
    <w:qFormat/>
    <w:uiPriority w:val="9"/>
    <w:rPr>
      <w:rFonts w:ascii="宋体" w:hAnsi="宋体" w:cs="宋体"/>
      <w:b/>
      <w:bCs/>
      <w:sz w:val="28"/>
      <w:szCs w:val="28"/>
      <w:lang w:eastAsia="en-US"/>
    </w:rPr>
  </w:style>
  <w:style w:type="character" w:customStyle="1" w:styleId="77">
    <w:name w:val="标题 4 Char"/>
    <w:qFormat/>
    <w:uiPriority w:val="0"/>
    <w:rPr>
      <w:rFonts w:ascii="Arial" w:hAnsi="Arial" w:eastAsia="黑体"/>
      <w:b/>
      <w:bCs/>
      <w:kern w:val="2"/>
      <w:sz w:val="28"/>
      <w:szCs w:val="28"/>
      <w:lang w:val="zh-CN"/>
    </w:rPr>
  </w:style>
  <w:style w:type="paragraph" w:customStyle="1" w:styleId="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79">
    <w:name w:val="Heading #1|1"/>
    <w:basedOn w:val="1"/>
    <w:qFormat/>
    <w:uiPriority w:val="0"/>
    <w:pPr>
      <w:autoSpaceDE w:val="0"/>
      <w:autoSpaceDN w:val="0"/>
      <w:spacing w:after="300"/>
      <w:jc w:val="left"/>
      <w:outlineLvl w:val="0"/>
    </w:pPr>
    <w:rPr>
      <w:rFonts w:ascii="宋体" w:hAnsi="宋体" w:cs="宋体"/>
      <w:kern w:val="0"/>
      <w:sz w:val="28"/>
      <w:szCs w:val="28"/>
      <w:lang w:val="zh-TW" w:eastAsia="zh-TW" w:bidi="zh-TW"/>
    </w:rPr>
  </w:style>
  <w:style w:type="paragraph" w:customStyle="1" w:styleId="80">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81">
    <w:name w:val="font01"/>
    <w:basedOn w:val="28"/>
    <w:qFormat/>
    <w:uiPriority w:val="0"/>
    <w:rPr>
      <w:rFonts w:hint="eastAsia" w:ascii="宋体" w:hAnsi="宋体" w:eastAsia="宋体" w:cs="宋体"/>
      <w:color w:val="000000"/>
      <w:sz w:val="24"/>
      <w:szCs w:val="24"/>
      <w:u w:val="none"/>
    </w:rPr>
  </w:style>
  <w:style w:type="paragraph" w:customStyle="1" w:styleId="82">
    <w:name w:val="Default"/>
    <w:basedOn w:val="63"/>
    <w:qFormat/>
    <w:uiPriority w:val="0"/>
    <w:pPr>
      <w:autoSpaceDE w:val="0"/>
      <w:autoSpaceDN w:val="0"/>
      <w:adjustRightInd w:val="0"/>
    </w:pPr>
    <w:rPr>
      <w:rFonts w:ascii="宋体" w:cs="宋体"/>
      <w:sz w:val="24"/>
    </w:rPr>
  </w:style>
  <w:style w:type="paragraph" w:customStyle="1" w:styleId="83">
    <w:name w:val="居中正文"/>
    <w:basedOn w:val="24"/>
    <w:link w:val="94"/>
    <w:qFormat/>
    <w:uiPriority w:val="0"/>
    <w:pPr>
      <w:widowControl/>
      <w:adjustRightInd w:val="0"/>
      <w:spacing w:before="120" w:after="0" w:line="360" w:lineRule="auto"/>
      <w:ind w:firstLine="0" w:firstLineChars="0"/>
      <w:jc w:val="center"/>
      <w:textAlignment w:val="baseline"/>
    </w:pPr>
    <w:rPr>
      <w:rFonts w:ascii="宋体"/>
      <w:kern w:val="28"/>
      <w:sz w:val="24"/>
      <w:szCs w:val="20"/>
    </w:rPr>
  </w:style>
  <w:style w:type="paragraph" w:customStyle="1" w:styleId="8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85">
    <w:name w:val="B正文"/>
    <w:basedOn w:val="1"/>
    <w:qFormat/>
    <w:uiPriority w:val="0"/>
    <w:pPr>
      <w:spacing w:line="360" w:lineRule="auto"/>
      <w:ind w:firstLine="200" w:firstLineChars="200"/>
      <w:contextualSpacing/>
    </w:pPr>
    <w:rPr>
      <w:sz w:val="24"/>
    </w:rPr>
  </w:style>
  <w:style w:type="character" w:customStyle="1" w:styleId="86">
    <w:name w:val="普通(网站) 字符"/>
    <w:link w:val="22"/>
    <w:qFormat/>
    <w:locked/>
    <w:uiPriority w:val="0"/>
    <w:rPr>
      <w:rFonts w:ascii="宋体" w:hAnsi="宋体" w:eastAsia="宋体"/>
      <w:sz w:val="24"/>
    </w:rPr>
  </w:style>
  <w:style w:type="table" w:customStyle="1" w:styleId="87">
    <w:name w:val="Table Normal"/>
    <w:semiHidden/>
    <w:qFormat/>
    <w:uiPriority w:val="2"/>
    <w:pPr>
      <w:widowControl w:val="0"/>
      <w:autoSpaceDE w:val="0"/>
      <w:autoSpaceDN w:val="0"/>
    </w:pPr>
    <w:rPr>
      <w:rFonts w:ascii="Calibri" w:hAnsi="Calibri" w:eastAsia="Times New Roman" w:cs="Arial"/>
      <w:sz w:val="22"/>
      <w:lang w:eastAsia="en-US"/>
    </w:rPr>
    <w:tblPr>
      <w:tblCellMar>
        <w:top w:w="0" w:type="dxa"/>
        <w:left w:w="0" w:type="dxa"/>
        <w:bottom w:w="0" w:type="dxa"/>
        <w:right w:w="0" w:type="dxa"/>
      </w:tblCellMar>
    </w:tblPr>
  </w:style>
  <w:style w:type="character" w:customStyle="1" w:styleId="88">
    <w:name w:val="页脚 字符"/>
    <w:basedOn w:val="28"/>
    <w:qFormat/>
    <w:uiPriority w:val="0"/>
  </w:style>
  <w:style w:type="paragraph" w:customStyle="1" w:styleId="8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character" w:customStyle="1" w:styleId="90">
    <w:name w:val="列表 3 Char1"/>
    <w:qFormat/>
    <w:uiPriority w:val="0"/>
    <w:rPr>
      <w:rFonts w:ascii="Arial" w:hAnsi="Arial"/>
      <w:kern w:val="2"/>
      <w:sz w:val="24"/>
      <w:szCs w:val="24"/>
      <w:lang w:val="zh-CN"/>
    </w:rPr>
  </w:style>
  <w:style w:type="paragraph" w:customStyle="1" w:styleId="91">
    <w:name w:val="xl26"/>
    <w:basedOn w:val="1"/>
    <w:link w:val="96"/>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1"/>
    </w:rPr>
  </w:style>
  <w:style w:type="character" w:customStyle="1" w:styleId="92">
    <w:name w:val="15"/>
    <w:basedOn w:val="28"/>
    <w:qFormat/>
    <w:uiPriority w:val="0"/>
    <w:rPr>
      <w:rFonts w:hint="default" w:ascii="Calibri" w:hAnsi="Calibri" w:cs="Calibri"/>
      <w:sz w:val="21"/>
      <w:szCs w:val="21"/>
    </w:rPr>
  </w:style>
  <w:style w:type="paragraph" w:customStyle="1" w:styleId="93">
    <w:name w:val="font9"/>
    <w:basedOn w:val="1"/>
    <w:qFormat/>
    <w:uiPriority w:val="0"/>
    <w:pPr>
      <w:widowControl/>
      <w:spacing w:before="100" w:beforeAutospacing="1" w:after="100" w:afterAutospacing="1"/>
      <w:jc w:val="left"/>
    </w:pPr>
    <w:rPr>
      <w:color w:val="000000"/>
      <w:kern w:val="0"/>
      <w:sz w:val="18"/>
      <w:szCs w:val="18"/>
    </w:rPr>
  </w:style>
  <w:style w:type="character" w:customStyle="1" w:styleId="94">
    <w:name w:val="居中正文 Char"/>
    <w:link w:val="83"/>
    <w:qFormat/>
    <w:uiPriority w:val="0"/>
    <w:rPr>
      <w:rFonts w:ascii="宋体"/>
      <w:kern w:val="28"/>
      <w:sz w:val="24"/>
    </w:rPr>
  </w:style>
  <w:style w:type="paragraph" w:customStyle="1" w:styleId="95">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b/>
      <w:bCs/>
      <w:kern w:val="0"/>
      <w:szCs w:val="21"/>
    </w:rPr>
  </w:style>
  <w:style w:type="character" w:customStyle="1" w:styleId="96">
    <w:name w:val="xl26 Char"/>
    <w:link w:val="91"/>
    <w:qFormat/>
    <w:uiPriority w:val="0"/>
    <w:rPr>
      <w:rFonts w:ascii="宋体" w:hAnsi="宋体" w:cs="宋体"/>
      <w:sz w:val="24"/>
      <w:szCs w:val="21"/>
    </w:rPr>
  </w:style>
  <w:style w:type="character" w:customStyle="1" w:styleId="97">
    <w:name w:val="正文缩进 字符"/>
    <w:link w:val="10"/>
    <w:qFormat/>
    <w:uiPriority w:val="0"/>
    <w:rPr>
      <w:rFonts w:ascii="Arial" w:hAnsi="Arial" w:cs="Arial"/>
      <w:spacing w:val="10"/>
      <w:kern w:val="2"/>
      <w:sz w:val="24"/>
    </w:rPr>
  </w:style>
  <w:style w:type="paragraph" w:customStyle="1" w:styleId="98">
    <w:name w:val="xl82"/>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99">
    <w:name w:val="font6"/>
    <w:basedOn w:val="1"/>
    <w:qFormat/>
    <w:uiPriority w:val="0"/>
    <w:pPr>
      <w:widowControl/>
      <w:spacing w:before="100" w:beforeAutospacing="1" w:after="100" w:afterAutospacing="1"/>
      <w:jc w:val="left"/>
    </w:pPr>
    <w:rPr>
      <w:color w:val="000000"/>
      <w:kern w:val="0"/>
      <w:sz w:val="18"/>
      <w:szCs w:val="18"/>
    </w:rPr>
  </w:style>
  <w:style w:type="character" w:customStyle="1" w:styleId="100">
    <w:name w:val="font11"/>
    <w:basedOn w:val="28"/>
    <w:qFormat/>
    <w:uiPriority w:val="0"/>
    <w:rPr>
      <w:rFonts w:hint="eastAsia" w:ascii="宋体" w:hAnsi="宋体" w:eastAsia="宋体" w:cs="宋体"/>
      <w:color w:val="000000"/>
      <w:sz w:val="18"/>
      <w:szCs w:val="18"/>
      <w:u w:val="none"/>
    </w:rPr>
  </w:style>
  <w:style w:type="paragraph" w:customStyle="1" w:styleId="101">
    <w:name w:val="xl83"/>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character" w:customStyle="1" w:styleId="102">
    <w:name w:val="正文文本 字符1"/>
    <w:semiHidden/>
    <w:qFormat/>
    <w:uiPriority w:val="0"/>
    <w:rPr>
      <w:rFonts w:ascii="Times New Roman" w:hAnsi="Times New Roman" w:eastAsia="宋体"/>
      <w:sz w:val="24"/>
    </w:rPr>
  </w:style>
  <w:style w:type="paragraph" w:customStyle="1" w:styleId="103">
    <w:name w:val="Table Paragraph"/>
    <w:basedOn w:val="1"/>
    <w:qFormat/>
    <w:uiPriority w:val="1"/>
    <w:pPr>
      <w:autoSpaceDE w:val="0"/>
      <w:autoSpaceDN w:val="0"/>
      <w:jc w:val="left"/>
    </w:pPr>
    <w:rPr>
      <w:rFonts w:eastAsia="Times New Roman"/>
      <w:kern w:val="0"/>
      <w:sz w:val="22"/>
      <w:szCs w:val="22"/>
      <w:lang w:eastAsia="en-US"/>
    </w:rPr>
  </w:style>
  <w:style w:type="paragraph" w:customStyle="1" w:styleId="104">
    <w:name w:val="Heading #3|1"/>
    <w:basedOn w:val="1"/>
    <w:qFormat/>
    <w:uiPriority w:val="0"/>
    <w:pPr>
      <w:autoSpaceDE w:val="0"/>
      <w:autoSpaceDN w:val="0"/>
      <w:spacing w:after="200"/>
      <w:jc w:val="left"/>
      <w:outlineLvl w:val="2"/>
    </w:pPr>
    <w:rPr>
      <w:rFonts w:ascii="宋体" w:hAnsi="宋体" w:cs="宋体"/>
      <w:kern w:val="0"/>
      <w:sz w:val="28"/>
      <w:szCs w:val="28"/>
      <w:lang w:val="zh-TW" w:eastAsia="zh-TW" w:bidi="zh-TW"/>
    </w:rPr>
  </w:style>
  <w:style w:type="character" w:customStyle="1" w:styleId="105">
    <w:name w:val="正文01 Char Char Char"/>
    <w:qFormat/>
    <w:uiPriority w:val="0"/>
    <w:rPr>
      <w:rFonts w:eastAsia="宋体"/>
      <w:snapToGrid w:val="0"/>
      <w:sz w:val="24"/>
      <w:lang w:val="en-US" w:eastAsia="zh-CN" w:bidi="ar-SA"/>
    </w:rPr>
  </w:style>
  <w:style w:type="character" w:customStyle="1" w:styleId="106">
    <w:name w:val="标题 2 字符"/>
    <w:basedOn w:val="28"/>
    <w:link w:val="3"/>
    <w:semiHidden/>
    <w:qFormat/>
    <w:uiPriority w:val="9"/>
    <w:rPr>
      <w:rFonts w:ascii="宋体" w:hAnsi="宋体" w:cs="宋体"/>
      <w:b/>
      <w:bCs/>
      <w:sz w:val="32"/>
      <w:szCs w:val="32"/>
      <w:lang w:eastAsia="en-US"/>
    </w:rPr>
  </w:style>
  <w:style w:type="paragraph" w:customStyle="1" w:styleId="107">
    <w:name w:val="xl78"/>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paragraph" w:customStyle="1" w:styleId="108">
    <w:name w:val="Char4"/>
    <w:basedOn w:val="1"/>
    <w:qFormat/>
    <w:uiPriority w:val="0"/>
    <w:pPr>
      <w:spacing w:line="360" w:lineRule="auto"/>
      <w:ind w:firstLine="200" w:firstLineChars="200"/>
    </w:pPr>
    <w:rPr>
      <w:rFonts w:ascii="宋体" w:hAnsi="宋体" w:cs="宋体"/>
      <w:sz w:val="24"/>
    </w:rPr>
  </w:style>
  <w:style w:type="paragraph" w:customStyle="1" w:styleId="109">
    <w:name w:val="xl72"/>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000000"/>
      <w:kern w:val="0"/>
      <w:sz w:val="20"/>
      <w:szCs w:val="20"/>
    </w:rPr>
  </w:style>
  <w:style w:type="character" w:customStyle="1" w:styleId="110">
    <w:name w:val="批注框文本 字符"/>
    <w:link w:val="19"/>
    <w:semiHidden/>
    <w:qFormat/>
    <w:locked/>
    <w:uiPriority w:val="0"/>
    <w:rPr>
      <w:rFonts w:ascii="Times New Roman" w:hAnsi="Times New Roman" w:eastAsia="宋体"/>
      <w:sz w:val="18"/>
    </w:rPr>
  </w:style>
  <w:style w:type="paragraph" w:customStyle="1" w:styleId="111">
    <w:name w:val="修订4"/>
    <w:hidden/>
    <w:unhideWhenUsed/>
    <w:qFormat/>
    <w:uiPriority w:val="99"/>
    <w:rPr>
      <w:rFonts w:ascii="Times New Roman" w:hAnsi="Times New Roman" w:eastAsia="宋体" w:cs="Times New Roman"/>
      <w:kern w:val="2"/>
      <w:sz w:val="21"/>
      <w:szCs w:val="24"/>
      <w:lang w:val="en-US" w:eastAsia="zh-CN" w:bidi="ar-SA"/>
    </w:rPr>
  </w:style>
  <w:style w:type="character" w:customStyle="1" w:styleId="112">
    <w:name w:val="标题 4 字符1"/>
    <w:link w:val="5"/>
    <w:qFormat/>
    <w:uiPriority w:val="0"/>
    <w:rPr>
      <w:rFonts w:ascii="Arial" w:hAnsi="Arial" w:eastAsia="黑体"/>
      <w:b/>
      <w:bCs/>
      <w:kern w:val="2"/>
      <w:sz w:val="28"/>
      <w:szCs w:val="28"/>
      <w:lang w:val="zh-CN"/>
    </w:rPr>
  </w:style>
  <w:style w:type="character" w:customStyle="1" w:styleId="113">
    <w:name w:val="纯文本 字符1"/>
    <w:link w:val="16"/>
    <w:qFormat/>
    <w:uiPriority w:val="0"/>
    <w:rPr>
      <w:rFonts w:ascii="宋体" w:hAnsi="Courier New" w:cs="Courier New"/>
      <w:kern w:val="2"/>
      <w:sz w:val="21"/>
      <w:szCs w:val="21"/>
    </w:rPr>
  </w:style>
  <w:style w:type="paragraph" w:customStyle="1" w:styleId="1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18"/>
      <w:szCs w:val="18"/>
    </w:rPr>
  </w:style>
  <w:style w:type="character" w:customStyle="1" w:styleId="115">
    <w:name w:val="正文文本缩进 字符"/>
    <w:link w:val="14"/>
    <w:semiHidden/>
    <w:qFormat/>
    <w:locked/>
    <w:uiPriority w:val="99"/>
    <w:rPr>
      <w:rFonts w:ascii="Times New Roman" w:hAnsi="Times New Roman" w:eastAsia="宋体"/>
      <w:sz w:val="24"/>
    </w:rPr>
  </w:style>
  <w:style w:type="paragraph" w:customStyle="1" w:styleId="116">
    <w:name w:val="Heading #2|1"/>
    <w:basedOn w:val="1"/>
    <w:qFormat/>
    <w:uiPriority w:val="0"/>
    <w:pPr>
      <w:autoSpaceDE w:val="0"/>
      <w:autoSpaceDN w:val="0"/>
      <w:spacing w:after="200"/>
      <w:jc w:val="left"/>
      <w:outlineLvl w:val="1"/>
    </w:pPr>
    <w:rPr>
      <w:rFonts w:ascii="宋体" w:hAnsi="宋体" w:cs="宋体"/>
      <w:kern w:val="0"/>
      <w:sz w:val="28"/>
      <w:szCs w:val="28"/>
      <w:lang w:val="zh-TW" w:eastAsia="zh-TW" w:bidi="zh-TW"/>
    </w:rPr>
  </w:style>
  <w:style w:type="paragraph" w:customStyle="1" w:styleId="117">
    <w:name w:val="xl7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character" w:customStyle="1" w:styleId="118">
    <w:name w:val="批注文字 字符1"/>
    <w:semiHidden/>
    <w:qFormat/>
    <w:uiPriority w:val="0"/>
    <w:rPr>
      <w:rFonts w:ascii="Times New Roman" w:hAnsi="Times New Roman" w:eastAsia="宋体"/>
      <w:sz w:val="24"/>
    </w:rPr>
  </w:style>
  <w:style w:type="character" w:customStyle="1" w:styleId="119">
    <w:name w:val="正文wwwww Char"/>
    <w:link w:val="120"/>
    <w:qFormat/>
    <w:uiPriority w:val="0"/>
    <w:rPr>
      <w:rFonts w:ascii="Arial" w:hAnsi="Arial" w:cs="宋体"/>
      <w:sz w:val="24"/>
      <w:szCs w:val="24"/>
      <w:lang w:val="zh-CN"/>
    </w:rPr>
  </w:style>
  <w:style w:type="paragraph" w:customStyle="1" w:styleId="120">
    <w:name w:val="正文wwwww"/>
    <w:basedOn w:val="1"/>
    <w:next w:val="1"/>
    <w:link w:val="119"/>
    <w:qFormat/>
    <w:uiPriority w:val="0"/>
    <w:pPr>
      <w:widowControl/>
      <w:snapToGrid w:val="0"/>
      <w:spacing w:line="360" w:lineRule="auto"/>
      <w:ind w:firstLine="482"/>
      <w:jc w:val="left"/>
    </w:pPr>
    <w:rPr>
      <w:rFonts w:ascii="Arial" w:hAnsi="Arial" w:cs="宋体"/>
      <w:kern w:val="0"/>
      <w:sz w:val="24"/>
      <w:lang w:val="zh-CN"/>
    </w:rPr>
  </w:style>
  <w:style w:type="paragraph" w:customStyle="1" w:styleId="121">
    <w:name w:val="xl70"/>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character" w:customStyle="1" w:styleId="122">
    <w:name w:val="font51"/>
    <w:basedOn w:val="28"/>
    <w:qFormat/>
    <w:uiPriority w:val="0"/>
    <w:rPr>
      <w:rFonts w:hint="default" w:ascii="Times New Roman" w:hAnsi="Times New Roman" w:cs="Times New Roman"/>
      <w:color w:val="000000"/>
      <w:sz w:val="18"/>
      <w:szCs w:val="18"/>
      <w:u w:val="none"/>
    </w:rPr>
  </w:style>
  <w:style w:type="character" w:customStyle="1" w:styleId="123">
    <w:name w:val="font71"/>
    <w:basedOn w:val="28"/>
    <w:qFormat/>
    <w:uiPriority w:val="0"/>
    <w:rPr>
      <w:rFonts w:hint="default" w:ascii="Times New Roman" w:hAnsi="Times New Roman" w:cs="Times New Roman"/>
      <w:color w:val="000000"/>
      <w:sz w:val="18"/>
      <w:szCs w:val="18"/>
      <w:u w:val="none"/>
    </w:rPr>
  </w:style>
  <w:style w:type="paragraph" w:customStyle="1" w:styleId="124">
    <w:name w:val="Body text|1"/>
    <w:basedOn w:val="1"/>
    <w:qFormat/>
    <w:uiPriority w:val="0"/>
    <w:pPr>
      <w:autoSpaceDE w:val="0"/>
      <w:autoSpaceDN w:val="0"/>
      <w:spacing w:after="330" w:line="480" w:lineRule="auto"/>
      <w:ind w:firstLine="400"/>
      <w:jc w:val="left"/>
    </w:pPr>
    <w:rPr>
      <w:rFonts w:ascii="宋体" w:hAnsi="宋体" w:cs="宋体"/>
      <w:kern w:val="0"/>
      <w:sz w:val="20"/>
      <w:szCs w:val="20"/>
      <w:lang w:val="zh-TW" w:eastAsia="zh-TW" w:bidi="zh-TW"/>
    </w:rPr>
  </w:style>
  <w:style w:type="paragraph" w:customStyle="1" w:styleId="125">
    <w:name w:val="Header or footer|1"/>
    <w:basedOn w:val="1"/>
    <w:qFormat/>
    <w:uiPriority w:val="0"/>
    <w:pPr>
      <w:autoSpaceDE w:val="0"/>
      <w:autoSpaceDN w:val="0"/>
      <w:jc w:val="left"/>
    </w:pPr>
    <w:rPr>
      <w:rFonts w:ascii="宋体" w:hAnsi="宋体" w:cs="宋体"/>
      <w:kern w:val="0"/>
      <w:sz w:val="20"/>
      <w:szCs w:val="20"/>
      <w:lang w:val="zh-TW" w:eastAsia="zh-TW" w:bidi="zh-TW"/>
    </w:rPr>
  </w:style>
  <w:style w:type="character" w:customStyle="1" w:styleId="126">
    <w:name w:val="表格 Char"/>
    <w:link w:val="37"/>
    <w:qFormat/>
    <w:locked/>
    <w:uiPriority w:val="0"/>
    <w:rPr>
      <w:rFonts w:ascii="宋体"/>
      <w:sz w:val="21"/>
    </w:rPr>
  </w:style>
  <w:style w:type="paragraph" w:customStyle="1" w:styleId="127">
    <w:name w:val="xl73"/>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28">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29">
    <w:name w:val="页脚 字符1"/>
    <w:link w:val="20"/>
    <w:qFormat/>
    <w:locked/>
    <w:uiPriority w:val="99"/>
    <w:rPr>
      <w:sz w:val="18"/>
    </w:rPr>
  </w:style>
  <w:style w:type="paragraph" w:customStyle="1" w:styleId="130">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character" w:customStyle="1" w:styleId="131">
    <w:name w:val="批注文字 字符2"/>
    <w:qFormat/>
    <w:locked/>
    <w:uiPriority w:val="0"/>
    <w:rPr>
      <w:sz w:val="24"/>
    </w:rPr>
  </w:style>
  <w:style w:type="paragraph" w:customStyle="1" w:styleId="132">
    <w:name w:val="Table caption|1"/>
    <w:basedOn w:val="1"/>
    <w:qFormat/>
    <w:uiPriority w:val="0"/>
    <w:pPr>
      <w:autoSpaceDE w:val="0"/>
      <w:autoSpaceDN w:val="0"/>
      <w:jc w:val="left"/>
    </w:pPr>
    <w:rPr>
      <w:rFonts w:ascii="宋体" w:hAnsi="宋体" w:cs="宋体"/>
      <w:b/>
      <w:bCs/>
      <w:kern w:val="0"/>
      <w:sz w:val="20"/>
      <w:szCs w:val="20"/>
      <w:lang w:val="zh-TW" w:eastAsia="zh-TW" w:bidi="zh-TW"/>
    </w:rPr>
  </w:style>
  <w:style w:type="paragraph" w:customStyle="1" w:styleId="133">
    <w:name w:val="表格正文8"/>
    <w:basedOn w:val="1"/>
    <w:qFormat/>
    <w:uiPriority w:val="0"/>
    <w:pPr>
      <w:spacing w:line="360" w:lineRule="exact"/>
      <w:jc w:val="center"/>
    </w:pPr>
    <w:rPr>
      <w:snapToGrid w:val="0"/>
      <w:kern w:val="0"/>
      <w:szCs w:val="21"/>
    </w:rPr>
  </w:style>
  <w:style w:type="paragraph" w:customStyle="1" w:styleId="134">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35">
    <w:name w:val="正文01 Char"/>
    <w:link w:val="59"/>
    <w:qFormat/>
    <w:uiPriority w:val="0"/>
    <w:rPr>
      <w:kern w:val="2"/>
      <w:sz w:val="24"/>
      <w:szCs w:val="24"/>
    </w:rPr>
  </w:style>
  <w:style w:type="character" w:customStyle="1" w:styleId="136">
    <w:name w:val="font61"/>
    <w:basedOn w:val="28"/>
    <w:qFormat/>
    <w:uiPriority w:val="0"/>
    <w:rPr>
      <w:rFonts w:hint="eastAsia" w:ascii="宋体" w:hAnsi="宋体" w:eastAsia="宋体" w:cs="宋体"/>
      <w:color w:val="000000"/>
      <w:sz w:val="18"/>
      <w:szCs w:val="18"/>
      <w:u w:val="none"/>
    </w:rPr>
  </w:style>
  <w:style w:type="paragraph" w:customStyle="1" w:styleId="13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38">
    <w:name w:val="xl85"/>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 w:val="24"/>
    </w:rPr>
  </w:style>
  <w:style w:type="paragraph" w:styleId="139">
    <w:name w:val="List Paragraph"/>
    <w:basedOn w:val="1"/>
    <w:link w:val="147"/>
    <w:qFormat/>
    <w:uiPriority w:val="1"/>
    <w:pPr>
      <w:ind w:firstLine="420" w:firstLineChars="200"/>
    </w:pPr>
  </w:style>
  <w:style w:type="character" w:customStyle="1" w:styleId="140">
    <w:name w:val="标题 4 字符"/>
    <w:semiHidden/>
    <w:qFormat/>
    <w:uiPriority w:val="0"/>
    <w:rPr>
      <w:rFonts w:ascii="等线 Light" w:hAnsi="等线 Light" w:eastAsia="等线 Light" w:cs="Times New Roman"/>
      <w:b/>
      <w:bCs/>
      <w:kern w:val="2"/>
      <w:sz w:val="28"/>
      <w:szCs w:val="28"/>
    </w:rPr>
  </w:style>
  <w:style w:type="paragraph" w:customStyle="1" w:styleId="141">
    <w:name w:val="font8"/>
    <w:basedOn w:val="1"/>
    <w:qFormat/>
    <w:uiPriority w:val="0"/>
    <w:pPr>
      <w:widowControl/>
      <w:spacing w:before="100" w:beforeAutospacing="1" w:after="100" w:afterAutospacing="1"/>
      <w:jc w:val="left"/>
    </w:pPr>
    <w:rPr>
      <w:color w:val="000000"/>
      <w:kern w:val="0"/>
      <w:sz w:val="18"/>
      <w:szCs w:val="18"/>
    </w:rPr>
  </w:style>
  <w:style w:type="paragraph" w:customStyle="1" w:styleId="142">
    <w:name w:val="表头"/>
    <w:next w:val="1"/>
    <w:link w:val="152"/>
    <w:qFormat/>
    <w:uiPriority w:val="0"/>
    <w:pPr>
      <w:spacing w:line="288" w:lineRule="auto"/>
      <w:jc w:val="center"/>
    </w:pPr>
    <w:rPr>
      <w:rFonts w:ascii="黑体" w:hAnsi="黑体" w:eastAsia="黑体" w:cs="Times New Roman"/>
      <w:sz w:val="24"/>
      <w:lang w:val="en-US" w:eastAsia="zh-CN" w:bidi="ar-SA"/>
    </w:rPr>
  </w:style>
  <w:style w:type="character" w:customStyle="1" w:styleId="143">
    <w:name w:val="标题 1 字符"/>
    <w:basedOn w:val="28"/>
    <w:link w:val="2"/>
    <w:qFormat/>
    <w:uiPriority w:val="0"/>
    <w:rPr>
      <w:rFonts w:eastAsia="黑体"/>
      <w:b/>
      <w:bCs/>
      <w:color w:val="000000"/>
      <w:kern w:val="44"/>
      <w:sz w:val="30"/>
      <w:szCs w:val="30"/>
    </w:rPr>
  </w:style>
  <w:style w:type="character" w:customStyle="1" w:styleId="144">
    <w:name w:val="font81"/>
    <w:basedOn w:val="28"/>
    <w:qFormat/>
    <w:uiPriority w:val="0"/>
    <w:rPr>
      <w:rFonts w:hint="default" w:ascii="Times New Roman" w:hAnsi="Times New Roman" w:cs="Times New Roman"/>
      <w:color w:val="000000"/>
      <w:sz w:val="18"/>
      <w:szCs w:val="18"/>
      <w:u w:val="none"/>
    </w:rPr>
  </w:style>
  <w:style w:type="character" w:customStyle="1" w:styleId="145">
    <w:name w:val="纯文本 字符"/>
    <w:qFormat/>
    <w:uiPriority w:val="99"/>
    <w:rPr>
      <w:rFonts w:ascii="宋体" w:hAnsi="Courier New" w:cs="Courier New"/>
      <w:kern w:val="2"/>
      <w:sz w:val="21"/>
      <w:szCs w:val="21"/>
    </w:rPr>
  </w:style>
  <w:style w:type="paragraph" w:customStyle="1" w:styleId="146">
    <w:name w:val="环评正文"/>
    <w:basedOn w:val="1"/>
    <w:qFormat/>
    <w:uiPriority w:val="0"/>
    <w:pPr>
      <w:spacing w:line="360" w:lineRule="auto"/>
      <w:ind w:firstLine="480" w:firstLineChars="200"/>
    </w:pPr>
    <w:rPr>
      <w:sz w:val="24"/>
    </w:rPr>
  </w:style>
  <w:style w:type="character" w:customStyle="1" w:styleId="147">
    <w:name w:val="列表段落 字符"/>
    <w:link w:val="139"/>
    <w:qFormat/>
    <w:locked/>
    <w:uiPriority w:val="99"/>
    <w:rPr>
      <w:kern w:val="2"/>
      <w:sz w:val="21"/>
      <w:szCs w:val="24"/>
    </w:rPr>
  </w:style>
  <w:style w:type="character" w:customStyle="1" w:styleId="148">
    <w:name w:val="font31"/>
    <w:basedOn w:val="28"/>
    <w:qFormat/>
    <w:uiPriority w:val="0"/>
    <w:rPr>
      <w:rFonts w:hint="default" w:ascii="Times New Roman" w:hAnsi="Times New Roman" w:cs="Times New Roman"/>
      <w:color w:val="FF0000"/>
      <w:sz w:val="18"/>
      <w:szCs w:val="18"/>
      <w:u w:val="none"/>
    </w:rPr>
  </w:style>
  <w:style w:type="character" w:customStyle="1" w:styleId="149">
    <w:name w:val="font91"/>
    <w:basedOn w:val="28"/>
    <w:qFormat/>
    <w:uiPriority w:val="0"/>
    <w:rPr>
      <w:rFonts w:ascii="Arial" w:hAnsi="Arial" w:cs="Arial"/>
      <w:color w:val="000000"/>
      <w:sz w:val="18"/>
      <w:szCs w:val="18"/>
      <w:u w:val="none"/>
    </w:rPr>
  </w:style>
  <w:style w:type="paragraph" w:customStyle="1" w:styleId="150">
    <w:name w:val="xl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151">
    <w:name w:val="Other|1"/>
    <w:basedOn w:val="1"/>
    <w:qFormat/>
    <w:uiPriority w:val="0"/>
    <w:pPr>
      <w:autoSpaceDE w:val="0"/>
      <w:autoSpaceDN w:val="0"/>
      <w:jc w:val="left"/>
    </w:pPr>
    <w:rPr>
      <w:rFonts w:ascii="宋体" w:hAnsi="宋体" w:cs="宋体"/>
      <w:kern w:val="0"/>
      <w:sz w:val="20"/>
      <w:szCs w:val="20"/>
      <w:lang w:val="zh-TW" w:eastAsia="zh-TW" w:bidi="zh-TW"/>
    </w:rPr>
  </w:style>
  <w:style w:type="character" w:customStyle="1" w:styleId="152">
    <w:name w:val="表头 Char"/>
    <w:link w:val="142"/>
    <w:qFormat/>
    <w:uiPriority w:val="0"/>
    <w:rPr>
      <w:rFonts w:ascii="黑体" w:hAnsi="黑体" w:eastAsia="黑体"/>
      <w:sz w:val="24"/>
    </w:rPr>
  </w:style>
  <w:style w:type="paragraph" w:customStyle="1" w:styleId="153">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154">
    <w:name w:val="正文文本首行缩进 2 字符"/>
    <w:basedOn w:val="115"/>
    <w:link w:val="25"/>
    <w:semiHidden/>
    <w:qFormat/>
    <w:uiPriority w:val="99"/>
    <w:rPr>
      <w:rFonts w:ascii="宋体" w:hAnsi="宋体" w:eastAsia="宋体" w:cs="宋体"/>
      <w:sz w:val="22"/>
      <w:szCs w:val="22"/>
      <w:lang w:eastAsia="en-US"/>
    </w:rPr>
  </w:style>
  <w:style w:type="paragraph" w:customStyle="1" w:styleId="155">
    <w:name w:val="xl77"/>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b/>
      <w:bCs/>
      <w:kern w:val="0"/>
      <w:szCs w:val="21"/>
    </w:rPr>
  </w:style>
  <w:style w:type="character" w:customStyle="1" w:styleId="156">
    <w:name w:val="正文缩进 字符1"/>
    <w:qFormat/>
    <w:uiPriority w:val="0"/>
    <w:rPr>
      <w:rFonts w:ascii="Arial" w:hAnsi="Arial" w:cs="Arial"/>
      <w:spacing w:val="10"/>
      <w:kern w:val="2"/>
      <w:sz w:val="24"/>
    </w:rPr>
  </w:style>
  <w:style w:type="paragraph" w:customStyle="1" w:styleId="157">
    <w:name w:val="表格（环评）"/>
    <w:basedOn w:val="1"/>
    <w:qFormat/>
    <w:uiPriority w:val="0"/>
    <w:pPr>
      <w:spacing w:line="240" w:lineRule="auto"/>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76</Pages>
  <Words>352</Words>
  <Characters>374</Characters>
  <TotalTime>51</TotalTime>
  <ScaleCrop>false</ScaleCrop>
  <LinksUpToDate>false</LinksUpToDate>
  <CharactersWithSpaces>423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2026-09-20T12:09:00Z</dcterms:created>
  <dc:creator>H</dc:creator>
  <cp:lastModifiedBy>朱自煜</cp:lastModifiedBy>
  <dcterms:modified xsi:type="dcterms:W3CDTF">2026-10-13T02:59:45Z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eyJoZGlkIjoiOGE3NWI0MGFmYTZkNGVkMzI2MTU4MmE0NWRlNzBjNTYiLCJ1c2VySWQiOiIyNjI4NzkzNjQifQ==</vt:lpwstr>
  </property>
  <property fmtid="{D5CDD505-2E9C-101B-9397-08002B2CF9AE}" pid="3" name="KSOProductBuildVer">
    <vt:lpwstr>2052-12.1.0.28043</vt:lpwstr>
  </property>
  <property fmtid="{D5CDD505-2E9C-101B-9397-08002B2CF9AE}" pid="4" name="ICV">
    <vt:lpwstr>70039D889456492B84460E38E320DD3A_12</vt:lpwstr>
  </property>
</Properties>
</file>