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8495D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 w:val="0"/>
          <w:color w:val="auto"/>
          <w:sz w:val="24"/>
          <w:szCs w:val="24"/>
          <w:lang w:eastAsia="zh-CN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 w:val="0"/>
          <w:color w:val="auto"/>
          <w:sz w:val="24"/>
          <w:szCs w:val="24"/>
        </w:rPr>
        <w:t>武原街道鱼鳞塘路东（B-20-2）住宅地块土壤污染状况初步调查</w:t>
      </w:r>
      <w:r>
        <w:rPr>
          <w:rFonts w:hint="default" w:ascii="Times New Roman" w:hAnsi="Times New Roman" w:eastAsia="宋体" w:cs="Times New Roman"/>
          <w:b/>
          <w:bCs w:val="0"/>
          <w:color w:val="auto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b/>
          <w:bCs w:val="0"/>
          <w:color w:val="auto"/>
          <w:sz w:val="24"/>
          <w:szCs w:val="24"/>
          <w:lang w:val="en-US" w:eastAsia="zh-CN"/>
        </w:rPr>
        <w:t>公示稿</w:t>
      </w:r>
      <w:r>
        <w:rPr>
          <w:rFonts w:hint="default" w:ascii="Times New Roman" w:hAnsi="Times New Roman" w:eastAsia="宋体" w:cs="Times New Roman"/>
          <w:b/>
          <w:bCs w:val="0"/>
          <w:color w:val="auto"/>
          <w:sz w:val="24"/>
          <w:szCs w:val="24"/>
          <w:lang w:eastAsia="zh-CN"/>
        </w:rPr>
        <w:t>）</w:t>
      </w:r>
    </w:p>
    <w:bookmarkEnd w:id="0"/>
    <w:p w14:paraId="593E355D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本调查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地块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为武原街道鱼鳞塘路东（B-20-2）住宅地块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位于浙江省嘉兴市海盐县武原街道，地块西侧为鱼鳞塘路、东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侧为近海河，北侧为空杂地，南侧为近海河。占地面积约55600m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vertAlign w:val="superscript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，规划为二类居住用地。</w:t>
      </w:r>
    </w:p>
    <w:p w14:paraId="0EFC7D46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本次调查地块历史上原用途为海塘及滩涂围垦地，规划调整为二类居住用地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。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根据《中华人民共和国土壤污染防治法》、《国务院关于印发土壤污染防治行动计划的通知》（国发[2016]31号）、《浙江省人民政府关于印发浙江省土壤污染防治工作方案的通知》（浙政发[2016]47号）及《嘉兴市土壤污染防治工作方案的通知》（嘉政发[2017]15号）等文件要求，用途变更为住宅、公共管理与公共服务用地的，变更前应当按照规定进行土壤污染状况调查。</w:t>
      </w:r>
    </w:p>
    <w:p w14:paraId="0C1621CD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(1)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地块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描述</w:t>
      </w:r>
    </w:p>
    <w:p w14:paraId="18A86592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本调查场地为武原街道鱼鳞塘路东（B-20-2）住宅地块位于浙江省嘉兴市海盐县武原街道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，地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块西侧为鱼鳞塘路、东侧为近海河，北侧为空杂地，南侧为近海河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（中心点经纬度：E120°57′40.648″，N30°31′34.510″）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。地块总占地面积约55600m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vertAlign w:val="superscript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。调查地块历史上为武原街道海塘及滩涂围垦地，现状为空杂地，地块内堆放了东侧映月里建设小区建设开挖的土壤，堆土深度约1.0~2.0m，本次采样区域内堆土已清理完成，剩余堆土预计三月底清运出地块。地块内未发生过工业固废等堆放或填埋情况，无家庭小作坊等工业企业，无明显疑似污染区域，未发生过泄露和污染事故，无地下设施。</w:t>
      </w:r>
    </w:p>
    <w:p w14:paraId="5E0692CC">
      <w:pPr>
        <w:pStyle w:val="26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地块内污染识别情况</w:t>
      </w:r>
    </w:p>
    <w:p w14:paraId="580C1C52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根据现场踏勘和资料分析，该地块位于武原街道新、老海堤之间，历史上为海塘，2008年经行了围垦，地块内多为滩涂地，2015年后地块进行了人工填土，填土为海堤外海塘土，填土完成后一直闲置，2020年，地块内大部分区域堆放了1.0~2.0m深度的堆土，堆土来自东侧映月里小区建设开挖土壤。因此，地块内可能的污染主要为原海塘土填土及堆土可能带来的污染，关注污染物主要为pH、重金属类。</w:t>
      </w:r>
    </w:p>
    <w:p w14:paraId="69BEC979">
      <w:pPr>
        <w:pStyle w:val="26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地块周边污染识别情况</w:t>
      </w:r>
    </w:p>
    <w:p w14:paraId="732C2FFF">
      <w:pPr>
        <w:pStyle w:val="2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通过查阅地块历史卫星影像资料、现场踏勘及人员访谈，地块周边原为明珠村农居点及海塘，后期围垦填土后，地块外西侧明珠村农居点拆除，有滨海新城工程项目部及山水六旗酒店建设，地块外北侧为空杂地，东侧为在建小区映月里及近海河，南侧为近海河，地块周边无工业企业，综合分析，地块周边使用历史对本地块的土壤及地下水环境基本无影响。</w:t>
      </w:r>
    </w:p>
    <w:p w14:paraId="60BB9DC2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土壤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及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地下水采样监测工作</w:t>
      </w:r>
    </w:p>
    <w:p w14:paraId="05AC8C8C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根据现场踏勘、人员访谈及资料收集情况，本次调查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/>
        </w:rPr>
        <w:t>采用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分区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24"/>
          <w:szCs w:val="24"/>
          <w:lang w:val="en-US" w:eastAsia="zh-CN"/>
        </w:rPr>
        <w:t>布点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24"/>
          <w:szCs w:val="24"/>
          <w:lang w:val="en-US"/>
        </w:rPr>
        <w:t>法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24"/>
          <w:szCs w:val="24"/>
          <w:lang w:val="en-US" w:eastAsia="zh-CN"/>
        </w:rPr>
        <w:t>进行布点。</w:t>
      </w:r>
    </w:p>
    <w:p w14:paraId="309A375F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本次调查在地块内设置11个土壤采样点，3个堆土点位，地块外1个对照点。每个土壤点位选取4个样品送检，每个堆土点位送检3个样品，共计送检57个土壤样品（含9个堆土样品，4个对照点样品），另现场采集并送检6个土壤平行样，土壤合计监测63个样品。调查地块内设4个地下水水井，地块外1个对照点，每个水井送检1个地下水样品，另现场采集1个地下水平行样，共计监测6个地下水样品（含1个对照点地下水样品及1个地下水平行样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。</w:t>
      </w:r>
    </w:p>
    <w:p w14:paraId="5B6B0411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地块内土壤主要检测《土壤环境质量 建设用地土壤污染风险管控标准（试行）》(GB36600-2018)中表1所列45项基本项目。地下水主要为《地下水质量标准》(GB/T 14848-2017)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表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中35项常规指标（总大肠菌群、细菌总数、放射性指标除外）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。</w:t>
      </w:r>
    </w:p>
    <w:p w14:paraId="4CEEFA79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评价标准</w:t>
      </w:r>
    </w:p>
    <w:p w14:paraId="1E0D8DD7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根据规划条件，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本次调查地块规划用地性质为二类居住用地（R2）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本次调查土壤环境质量采用《土壤环境质量 建设用地土壤污染风险管控标准（试行）》(GB36600-2018)中的第一类用地筛选值进行评价，</w:t>
      </w:r>
    </w:p>
    <w:p w14:paraId="7BAEDB74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本次调查地块西侧地表水为白洋河，水功能区为白洋河海盐景观娱乐用水区，水环境功能区为景观娱乐用水区，目标水质为Ⅳ类，因此，参照周边地表水目标水质类别，本次地下水质量评估参考《地下水质量标准》(GB/T14848-2017)中Ⅳ类标准执行。</w:t>
      </w:r>
    </w:p>
    <w:p w14:paraId="457C2858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调查结果分析</w:t>
      </w:r>
    </w:p>
    <w:p w14:paraId="6CDBCF4A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本次调查共检测了57个土壤样品（不含平行样），检测结果表明，地块内及对照点所有土壤样品中27种挥发性有机物（VOCs）、11种半挥发性有机物（SVOCs）、六价铬均未检出，镉、汞、砷、铅、铜、镍共6种重金属及pH有检出，且其含量均未超过GB36600-2018中的第一类用地筛选值。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即所有检测指标浓度均满足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《土壤环境质量 建设用地土壤污染风险管控标准（试行）》第一类用地筛选值。</w:t>
      </w:r>
    </w:p>
    <w:p w14:paraId="388A9861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本次调查共采集并送检地下水样品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个（地块内4个，对照点1个，平行样1个），所有样品均进行了35项地下水常规指标检测分析，检测结果表明，地块内及对照点所有地下水样品中15项指标检出浓度均未超过《地下水质量标准》(GB/T14848-2017) 中Ⅳ类标准，各项指标检出浓度与地块外对照点相差不大，地下水总体能达到Ⅳ类水质。</w:t>
      </w:r>
    </w:p>
    <w:p w14:paraId="52DBEC5D">
      <w:pPr>
        <w:pStyle w:val="26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结论和建议</w:t>
      </w:r>
    </w:p>
    <w:p w14:paraId="6F9D6322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根据前期调查及检测数据分析，地块内各点位土壤样品中各污染物浓度均未超过</w:t>
      </w:r>
    </w:p>
    <w:p w14:paraId="249CD148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sectPr>
          <w:footerReference r:id="rId3" w:type="default"/>
          <w:pgSz w:w="11906" w:h="16838"/>
          <w:pgMar w:top="1531" w:right="1474" w:bottom="1474" w:left="1588" w:header="851" w:footer="90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《土壤环境质量 建设用地土壤污染风险管控标准（试行）》(GB36600-2018)中第一类用地筛选值，地下水样品各检测指标均满足《地下水质量标准》(GB/T14848-2017) Ⅳ类水质标准限值，地块区域地下水达到Ⅳ类水质。综上，武原街道鱼鳞塘路东（B-20-2）住宅地块不属于污染地块，无需开展详细调查，满足二类居住用地开发建设要求，可安全开发利用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。</w:t>
      </w:r>
    </w:p>
    <w:p w14:paraId="019C7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Bold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2A494">
    <w:pPr>
      <w:pStyle w:val="15"/>
      <w:pBdr>
        <w:top w:val="single" w:color="auto" w:sz="4" w:space="1"/>
      </w:pBdr>
      <w:tabs>
        <w:tab w:val="center" w:pos="4422"/>
        <w:tab w:val="right" w:pos="8844"/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0808CE">
                          <w:pPr>
                            <w:pStyle w:val="1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70808CE"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1DAD62">
                          <w:pPr>
                            <w:pStyle w:val="15"/>
                            <w:pBdr>
                              <w:top w:val="single" w:color="auto" w:sz="4" w:space="1"/>
                            </w:pBdr>
                            <w:tabs>
                              <w:tab w:val="center" w:pos="4422"/>
                              <w:tab w:val="right" w:pos="8844"/>
                              <w:tab w:val="clear" w:pos="4153"/>
                              <w:tab w:val="clear" w:pos="8306"/>
                            </w:tabs>
                          </w:pPr>
                        </w:p>
                        <w:p w14:paraId="5B39E684"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1DAD62">
                    <w:pPr>
                      <w:pStyle w:val="15"/>
                      <w:pBdr>
                        <w:top w:val="single" w:color="auto" w:sz="4" w:space="1"/>
                      </w:pBdr>
                      <w:tabs>
                        <w:tab w:val="center" w:pos="4422"/>
                        <w:tab w:val="right" w:pos="8844"/>
                        <w:tab w:val="clear" w:pos="4153"/>
                        <w:tab w:val="clear" w:pos="8306"/>
                      </w:tabs>
                    </w:pPr>
                  </w:p>
                  <w:p w14:paraId="5B39E684"/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3D2C01"/>
    <w:multiLevelType w:val="multilevel"/>
    <w:tmpl w:val="0C3D2C01"/>
    <w:lvl w:ilvl="0" w:tentative="0">
      <w:start w:val="1"/>
      <w:numFmt w:val="decimal"/>
      <w:pStyle w:val="24"/>
      <w:suff w:val="nothing"/>
      <w:lvlText w:val="%1    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z w:val="32"/>
      </w:rPr>
    </w:lvl>
    <w:lvl w:ilvl="1" w:tentative="0">
      <w:start w:val="1"/>
      <w:numFmt w:val="decimal"/>
      <w:lvlText w:val="5.%2"/>
      <w:lvlJc w:val="left"/>
      <w:pPr>
        <w:ind w:left="0" w:firstLine="0"/>
      </w:pPr>
      <w:rPr>
        <w:rFonts w:hint="eastAsia"/>
        <w:b/>
        <w:i w:val="0"/>
        <w:sz w:val="28"/>
      </w:rPr>
    </w:lvl>
    <w:lvl w:ilvl="2" w:tentative="0">
      <w:start w:val="1"/>
      <w:numFmt w:val="decimal"/>
      <w:suff w:val="nothing"/>
      <w:lvlText w:val="%1.%2.%3 "/>
      <w:lvlJc w:val="left"/>
      <w:pPr>
        <w:ind w:left="993" w:firstLine="0"/>
      </w:pPr>
      <w:rPr>
        <w:rFonts w:hint="default" w:ascii="Times New Roman" w:hAnsi="Times New Roman" w:eastAsia="宋体"/>
        <w:b/>
        <w:i w:val="0"/>
        <w:sz w:val="28"/>
      </w:rPr>
    </w:lvl>
    <w:lvl w:ilvl="3" w:tentative="0">
      <w:start w:val="1"/>
      <w:numFmt w:val="decimal"/>
      <w:lvlRestart w:val="1"/>
      <w:pStyle w:val="25"/>
      <w:suff w:val="nothing"/>
      <w:lvlText w:val="表%1-%4    "/>
      <w:lvlJc w:val="center"/>
      <w:pPr>
        <w:ind w:left="3539" w:firstLine="288"/>
      </w:pPr>
      <w:rPr>
        <w:rFonts w:hint="default" w:ascii="Times New Roman" w:hAnsi="Times New Roman" w:eastAsia="宋体"/>
        <w:b/>
        <w:i w:val="0"/>
        <w:sz w:val="24"/>
        <w:lang w:val="en-US"/>
      </w:rPr>
    </w:lvl>
    <w:lvl w:ilvl="4" w:tentative="0">
      <w:start w:val="1"/>
      <w:numFmt w:val="decimal"/>
      <w:lvlRestart w:val="1"/>
      <w:suff w:val="nothing"/>
      <w:lvlText w:val="图%1-%5    "/>
      <w:lvlJc w:val="center"/>
      <w:pPr>
        <w:ind w:left="2977" w:firstLine="0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>
    <w:nsid w:val="2BE6C689"/>
    <w:multiLevelType w:val="singleLevel"/>
    <w:tmpl w:val="2BE6C689"/>
    <w:lvl w:ilvl="0" w:tentative="0">
      <w:start w:val="2"/>
      <w:numFmt w:val="decimal"/>
      <w:lvlText w:val="(%1)"/>
      <w:lvlJc w:val="left"/>
      <w:pPr>
        <w:tabs>
          <w:tab w:val="left" w:pos="312"/>
        </w:tabs>
      </w:pPr>
    </w:lvl>
  </w:abstractNum>
  <w:abstractNum w:abstractNumId="2">
    <w:nsid w:val="41968D8A"/>
    <w:multiLevelType w:val="singleLevel"/>
    <w:tmpl w:val="41968D8A"/>
    <w:lvl w:ilvl="0" w:tentative="0">
      <w:start w:val="7"/>
      <w:numFmt w:val="decimal"/>
      <w:suff w:val="nothing"/>
      <w:lvlText w:val="（%1）"/>
      <w:lvlJc w:val="left"/>
    </w:lvl>
  </w:abstractNum>
  <w:abstractNum w:abstractNumId="3">
    <w:nsid w:val="58002612"/>
    <w:multiLevelType w:val="multilevel"/>
    <w:tmpl w:val="58002612"/>
    <w:lvl w:ilvl="0" w:tentative="0">
      <w:start w:val="1"/>
      <w:numFmt w:val="decimal"/>
      <w:pStyle w:val="3"/>
      <w:lvlText w:val="%1"/>
      <w:lvlJc w:val="left"/>
      <w:pPr>
        <w:ind w:left="432" w:hanging="432"/>
      </w:pPr>
      <w:rPr>
        <w:rFonts w:hint="default" w:ascii="Times New Roman Bold" w:hAnsi="Times New Roman Bold" w:eastAsia="宋体" w:cs="宋体"/>
        <w:b/>
        <w:sz w:val="32"/>
      </w:rPr>
    </w:lvl>
    <w:lvl w:ilvl="1" w:tentative="0">
      <w:start w:val="1"/>
      <w:numFmt w:val="decimal"/>
      <w:pStyle w:val="4"/>
      <w:lvlText w:val="%1.%2"/>
      <w:lvlJc w:val="left"/>
      <w:pPr>
        <w:ind w:left="575" w:hanging="575"/>
      </w:pPr>
      <w:rPr>
        <w:rFonts w:hint="default" w:ascii="Times New Roman Bold" w:hAnsi="Times New Roman Bold" w:eastAsia="宋体" w:cs="宋体"/>
        <w:b/>
        <w:sz w:val="30"/>
      </w:r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  <w:rPr>
        <w:rFonts w:hint="default" w:ascii="Times New Roman Bold" w:hAnsi="Times New Roman Bold" w:eastAsia="宋体" w:cs="宋体"/>
        <w:b/>
        <w:sz w:val="28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default" w:ascii="Times New Roman Bold" w:hAnsi="Times New Roman Bold" w:eastAsia="宋体" w:cs="宋体"/>
        <w:b/>
        <w:sz w:val="24"/>
      </w:rPr>
    </w:lvl>
    <w:lvl w:ilvl="4" w:tentative="0">
      <w:start w:val="1"/>
      <w:numFmt w:val="decimal"/>
      <w:pStyle w:val="7"/>
      <w:lvlText w:val="%1.%2.%3.%4.%5"/>
      <w:lvlJc w:val="left"/>
      <w:pPr>
        <w:ind w:left="1008" w:hanging="1008"/>
      </w:pPr>
      <w:rPr>
        <w:rFonts w:hint="default" w:ascii="Times New Roman Bold" w:hAnsi="Times New Roman Bold" w:eastAsia="宋体" w:cs="宋体"/>
        <w:b/>
        <w:sz w:val="24"/>
      </w:rPr>
    </w:lvl>
    <w:lvl w:ilvl="5" w:tentative="0">
      <w:start w:val="1"/>
      <w:numFmt w:val="decimal"/>
      <w:pStyle w:val="8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9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10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1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4">
    <w:nsid w:val="6F32AE46"/>
    <w:multiLevelType w:val="multilevel"/>
    <w:tmpl w:val="6F32AE46"/>
    <w:lvl w:ilvl="0" w:tentative="0">
      <w:start w:val="1"/>
      <w:numFmt w:val="decimal"/>
      <w:pStyle w:val="21"/>
      <w:lvlText w:val="图3-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AF7243F"/>
    <w:multiLevelType w:val="multilevel"/>
    <w:tmpl w:val="7AF7243F"/>
    <w:lvl w:ilvl="0" w:tentative="0">
      <w:start w:val="1"/>
      <w:numFmt w:val="decimal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32"/>
      </w:rPr>
    </w:lvl>
    <w:lvl w:ilvl="1" w:tentative="0">
      <w:start w:val="1"/>
      <w:numFmt w:val="decimal"/>
      <w:isLgl/>
      <w:lvlText w:val="%1.%2"/>
      <w:lvlJc w:val="left"/>
      <w:pPr>
        <w:ind w:left="141" w:firstLine="0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isLgl/>
      <w:lvlText w:val="%1.%2.%3"/>
      <w:lvlJc w:val="left"/>
      <w:pPr>
        <w:ind w:left="0" w:firstLine="0"/>
      </w:pPr>
      <w:rPr>
        <w:rFonts w:hint="default" w:ascii="Times New Roman" w:hAnsi="Times New Roman"/>
        <w:b/>
        <w:i w:val="0"/>
        <w:sz w:val="28"/>
      </w:rPr>
    </w:lvl>
    <w:lvl w:ilvl="3" w:tentative="0">
      <w:start w:val="1"/>
      <w:numFmt w:val="decimal"/>
      <w:pStyle w:val="6"/>
      <w:lvlText w:val="3.5.3.%4"/>
      <w:lvlJc w:val="left"/>
      <w:pPr>
        <w:ind w:left="0" w:firstLine="0"/>
      </w:pPr>
      <w:rPr>
        <w:rFonts w:hint="eastAsia"/>
        <w:b/>
        <w:i w:val="0"/>
        <w:sz w:val="24"/>
        <w:lang w:val="en-US"/>
      </w:rPr>
    </w:lvl>
    <w:lvl w:ilvl="4" w:tentative="0">
      <w:start w:val="1"/>
      <w:numFmt w:val="decimal"/>
      <w:isLgl/>
      <w:lvlText w:val="%1.%2.%3.%4.%5"/>
      <w:lvlJc w:val="left"/>
      <w:pPr>
        <w:ind w:left="0" w:firstLine="0"/>
      </w:pPr>
      <w:rPr>
        <w:rFonts w:hint="default" w:ascii="Times New Roman" w:hAnsi="Times New Roman"/>
        <w:b/>
        <w:i w:val="0"/>
        <w:sz w:val="24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8103D6"/>
    <w:rsid w:val="242A2361"/>
    <w:rsid w:val="26C225BA"/>
    <w:rsid w:val="29143320"/>
    <w:rsid w:val="38BA5430"/>
    <w:rsid w:val="38F207D6"/>
    <w:rsid w:val="3ADB7AF9"/>
    <w:rsid w:val="4EC7620B"/>
    <w:rsid w:val="61CD7293"/>
    <w:rsid w:val="62324A39"/>
    <w:rsid w:val="63293BA0"/>
    <w:rsid w:val="64037F8B"/>
    <w:rsid w:val="6C8103D6"/>
    <w:rsid w:val="6E84454F"/>
    <w:rsid w:val="7A517581"/>
    <w:rsid w:val="7BB8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after="50" w:afterLines="50" w:line="360" w:lineRule="auto"/>
      <w:ind w:left="432" w:hanging="432" w:firstLineChars="0"/>
      <w:outlineLvl w:val="0"/>
    </w:pPr>
    <w:rPr>
      <w:b/>
      <w:bCs/>
      <w:kern w:val="44"/>
      <w:sz w:val="32"/>
      <w:szCs w:val="44"/>
    </w:rPr>
  </w:style>
  <w:style w:type="paragraph" w:styleId="4">
    <w:name w:val="heading 2"/>
    <w:basedOn w:val="1"/>
    <w:next w:val="1"/>
    <w:link w:val="19"/>
    <w:semiHidden/>
    <w:unhideWhenUsed/>
    <w:qFormat/>
    <w:uiPriority w:val="0"/>
    <w:pPr>
      <w:keepNext/>
      <w:keepLines/>
      <w:numPr>
        <w:ilvl w:val="1"/>
        <w:numId w:val="1"/>
      </w:numPr>
      <w:adjustRightInd w:val="0"/>
      <w:snapToGrid w:val="0"/>
      <w:spacing w:line="360" w:lineRule="auto"/>
      <w:ind w:left="575" w:hanging="575" w:firstLineChars="0"/>
      <w:outlineLvl w:val="1"/>
    </w:pPr>
    <w:rPr>
      <w:b/>
      <w:bCs/>
      <w:sz w:val="30"/>
      <w:szCs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adjustRightInd w:val="0"/>
      <w:snapToGrid w:val="0"/>
      <w:ind w:left="0" w:firstLine="0" w:firstLineChars="0"/>
      <w:outlineLvl w:val="2"/>
    </w:pPr>
    <w:rPr>
      <w:b/>
      <w:bCs/>
      <w:sz w:val="28"/>
      <w:szCs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2"/>
      </w:numPr>
      <w:ind w:firstLineChars="0"/>
      <w:outlineLvl w:val="3"/>
    </w:pPr>
    <w:rPr>
      <w:rFonts w:eastAsiaTheme="minorEastAsia"/>
      <w:b/>
      <w:szCs w:val="24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line="360" w:lineRule="auto"/>
      <w:jc w:val="center"/>
    </w:pPr>
    <w:rPr>
      <w:rFonts w:eastAsia="黑体"/>
      <w:b/>
      <w:sz w:val="24"/>
      <w:szCs w:val="20"/>
    </w:rPr>
  </w:style>
  <w:style w:type="paragraph" w:styleId="1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3">
    <w:name w:val="Plain Text"/>
    <w:basedOn w:val="1"/>
    <w:qFormat/>
    <w:uiPriority w:val="0"/>
    <w:rPr>
      <w:rFonts w:ascii="宋体" w:hAnsi="Courier New"/>
    </w:rPr>
  </w:style>
  <w:style w:type="paragraph" w:styleId="14">
    <w:name w:val="Balloon Text"/>
    <w:basedOn w:val="1"/>
    <w:link w:val="23"/>
    <w:qFormat/>
    <w:uiPriority w:val="0"/>
    <w:pPr>
      <w:spacing w:line="240" w:lineRule="auto"/>
      <w:ind w:firstLine="0" w:firstLineChars="0"/>
    </w:pPr>
    <w:rPr>
      <w:rFonts w:eastAsiaTheme="minorEastAsia"/>
      <w:color w:val="000000" w:themeColor="text1"/>
      <w:sz w:val="21"/>
      <w:szCs w:val="21"/>
      <w14:textFill>
        <w14:solidFill>
          <w14:schemeClr w14:val="tx1"/>
        </w14:solidFill>
      </w14:textFill>
    </w:rPr>
  </w:style>
  <w:style w:type="paragraph" w:styleId="1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Body Text First Indent 2"/>
    <w:basedOn w:val="12"/>
    <w:qFormat/>
    <w:uiPriority w:val="0"/>
    <w:pPr>
      <w:ind w:firstLine="420" w:firstLineChars="200"/>
    </w:pPr>
  </w:style>
  <w:style w:type="character" w:customStyle="1" w:styleId="19">
    <w:name w:val="标题 2 字符"/>
    <w:link w:val="4"/>
    <w:autoRedefine/>
    <w:qFormat/>
    <w:uiPriority w:val="0"/>
    <w:rPr>
      <w:rFonts w:ascii="宋体" w:hAnsi="宋体" w:cs="宋体" w:eastAsiaTheme="minorEastAsia"/>
      <w:b/>
      <w:bCs/>
      <w:sz w:val="30"/>
      <w:szCs w:val="32"/>
    </w:rPr>
  </w:style>
  <w:style w:type="paragraph" w:customStyle="1" w:styleId="20">
    <w:name w:val="A7 图"/>
    <w:basedOn w:val="1"/>
    <w:next w:val="1"/>
    <w:autoRedefine/>
    <w:qFormat/>
    <w:uiPriority w:val="0"/>
    <w:pPr>
      <w:adjustRightInd w:val="0"/>
      <w:snapToGrid w:val="0"/>
      <w:spacing w:line="240" w:lineRule="auto"/>
      <w:ind w:firstLine="0" w:firstLineChars="0"/>
      <w:jc w:val="center"/>
    </w:pPr>
    <w:rPr>
      <w:rFonts w:eastAsiaTheme="minorEastAsia"/>
      <w:bCs/>
      <w:sz w:val="21"/>
    </w:rPr>
  </w:style>
  <w:style w:type="paragraph" w:customStyle="1" w:styleId="21">
    <w:name w:val="A5 图号"/>
    <w:basedOn w:val="12"/>
    <w:next w:val="1"/>
    <w:autoRedefine/>
    <w:qFormat/>
    <w:uiPriority w:val="0"/>
    <w:pPr>
      <w:numPr>
        <w:ilvl w:val="0"/>
        <w:numId w:val="3"/>
      </w:numPr>
      <w:spacing w:line="240" w:lineRule="auto"/>
      <w:ind w:left="0" w:firstLine="0" w:firstLineChars="0"/>
      <w:jc w:val="center"/>
    </w:pPr>
    <w:rPr>
      <w:rFonts w:eastAsiaTheme="minorEastAsia"/>
      <w:b/>
      <w:lang w:val="en-GB"/>
    </w:rPr>
  </w:style>
  <w:style w:type="paragraph" w:customStyle="1" w:styleId="22">
    <w:name w:val="表格"/>
    <w:basedOn w:val="1"/>
    <w:autoRedefine/>
    <w:qFormat/>
    <w:uiPriority w:val="0"/>
    <w:pPr>
      <w:spacing w:line="240" w:lineRule="auto"/>
      <w:ind w:firstLine="0" w:firstLineChars="0"/>
      <w:jc w:val="center"/>
    </w:pPr>
    <w:rPr>
      <w:rFonts w:eastAsiaTheme="minorEastAsia"/>
      <w:sz w:val="21"/>
      <w:szCs w:val="21"/>
    </w:rPr>
  </w:style>
  <w:style w:type="character" w:customStyle="1" w:styleId="23">
    <w:name w:val="批注框文本 字符"/>
    <w:basedOn w:val="18"/>
    <w:link w:val="14"/>
    <w:autoRedefine/>
    <w:qFormat/>
    <w:uiPriority w:val="0"/>
    <w:rPr>
      <w:rFonts w:ascii="宋体" w:hAnsi="宋体" w:cs="宋体" w:eastAsiaTheme="minorEastAsia"/>
      <w:color w:val="000000" w:themeColor="text1"/>
      <w:sz w:val="21"/>
      <w:szCs w:val="21"/>
      <w14:textFill>
        <w14:solidFill>
          <w14:schemeClr w14:val="tx1"/>
        </w14:solidFill>
      </w14:textFill>
    </w:rPr>
  </w:style>
  <w:style w:type="paragraph" w:customStyle="1" w:styleId="24">
    <w:name w:val="A1"/>
    <w:basedOn w:val="3"/>
    <w:next w:val="25"/>
    <w:qFormat/>
    <w:uiPriority w:val="0"/>
    <w:pPr>
      <w:numPr>
        <w:ilvl w:val="0"/>
        <w:numId w:val="4"/>
      </w:numPr>
      <w:spacing w:beforeAutospacing="0" w:after="100"/>
      <w:contextualSpacing/>
    </w:pPr>
    <w:rPr>
      <w:sz w:val="32"/>
      <w:szCs w:val="32"/>
    </w:rPr>
  </w:style>
  <w:style w:type="paragraph" w:customStyle="1" w:styleId="25">
    <w:name w:val="A4 表号"/>
    <w:basedOn w:val="1"/>
    <w:next w:val="26"/>
    <w:qFormat/>
    <w:uiPriority w:val="0"/>
    <w:pPr>
      <w:numPr>
        <w:ilvl w:val="3"/>
        <w:numId w:val="4"/>
      </w:numPr>
      <w:adjustRightInd w:val="0"/>
      <w:snapToGrid w:val="0"/>
      <w:spacing w:before="50" w:beforeLines="50" w:line="360" w:lineRule="auto"/>
      <w:ind w:left="0" w:firstLine="0"/>
      <w:jc w:val="center"/>
      <w:outlineLvl w:val="3"/>
    </w:pPr>
    <w:rPr>
      <w:rFonts w:ascii="Times New Roman" w:hAnsi="Times New Roman" w:eastAsia="宋体"/>
      <w:b/>
      <w:bCs/>
      <w:sz w:val="24"/>
    </w:rPr>
  </w:style>
  <w:style w:type="paragraph" w:customStyle="1" w:styleId="26">
    <w:name w:val="A6  正文"/>
    <w:basedOn w:val="12"/>
    <w:qFormat/>
    <w:uiPriority w:val="0"/>
    <w:pPr>
      <w:adjustRightInd w:val="0"/>
      <w:snapToGrid w:val="0"/>
      <w:ind w:firstLine="200"/>
    </w:pPr>
    <w:rPr>
      <w:bCs/>
    </w:rPr>
  </w:style>
  <w:style w:type="paragraph" w:customStyle="1" w:styleId="27">
    <w:name w:val="文本正文"/>
    <w:basedOn w:val="12"/>
    <w:qFormat/>
    <w:uiPriority w:val="0"/>
    <w:pPr>
      <w:adjustRightInd w:val="0"/>
      <w:snapToGrid w:val="0"/>
      <w:ind w:firstLine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2026-10-12T14:31:00Z</dcterms:created>
  <dc:creator>沈信权</dc:creator>
  <cp:lastModifiedBy>沈信权</cp:lastModifiedBy>
  <dcterms:modified xsi:type="dcterms:W3CDTF">2026-10-12T14:32:28Z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ABCA42594BEE413B9B8A7FBE7D152BF7_11</vt:lpwstr>
  </property>
  <property fmtid="{D5CDD505-2E9C-101B-9397-08002B2CF9AE}" pid="4" name="KSOTemplateDocerSaveRecord">
    <vt:lpwstr>eyJoZGlkIjoiZDM5MGFmYWIxODBjOWRlZjdhODQyOWI4MDk0MmU4NDciLCJ1c2VySWQiOiIxNzgxMTA4NjQwIn0=</vt:lpwstr>
  </property>
</Properties>
</file>