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634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z w:val="24"/>
          <w:szCs w:val="24"/>
        </w:rPr>
        <w:t>武原街道鱼鳞塘路东（B-20-1）住宅地块土壤污染状况初步调查</w:t>
      </w:r>
    </w:p>
    <w:p w14:paraId="25B9F56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武原街道鱼鳞塘路东（B-20-1）住宅地块位于嘉兴市海盐县武原街道鱼鳞塘路东，四至范围：地块西侧为鱼鳞塘路、东侧为近海河，北侧为在建小区朗逸苑，南侧为空杂地。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占地面积约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42037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m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，规划为二类居住用地。</w:t>
      </w:r>
    </w:p>
    <w:p w14:paraId="59B522C8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本次调查地块历史上原用途为海塘及滩涂围垦地，规划调整为二类居住用地。根据《中华人民共和国土壤污染防治法》、《国务院关于印发土壤污染防治行动计划的通知》(国发[2016]31号)、《浙江省人民政府关于印发浙江省土壤污染防治工作方案的通知》(浙政发[2016147号)及《嘉兴市土壤污染防治工作方案的通知》(嘉政发[2017]15号)等文件要求，用途变更为住宅、公共管理与公共服务用地的，变更前应当按照规定进行土壤污染状况调查。</w:t>
      </w:r>
    </w:p>
    <w:p w14:paraId="61B73CD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(1)地块描述</w:t>
      </w:r>
    </w:p>
    <w:p w14:paraId="02BB847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武原街道鱼鳞塘路东（B-20-1）住宅地块位于嘉兴市海盐县武原街道鱼鳞塘路东，四至范围：地块西侧为鱼鳞塘路、东侧为近海河，北侧为在建小区朗逸苑，南侧为空杂地。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地块总占地面积约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42037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m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vertAlign w:val="superscript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。调查地块历史上为武原街道海塘及滩涂围垦地，现状为空杂地，地块内堆放了东侧映月里建设小区建设开挖的土壤，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堆土深度约1.0~2.0m，最北侧一角堆土深度较高，约3.8m，地块北侧有道路及项目部办公生活，项目部附近有建筑材料堆放。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本次采样区域内堆土已清理完成，剩余堆土预计三月底清运出地块。地块内未发生过工业固废等堆放或填埋情况，无家庭小作坊等工业企业，无明显疑似污染区域，未发生过泄露和污染事故，无地下设施。</w:t>
      </w:r>
    </w:p>
    <w:p w14:paraId="49C34E8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(2) 地块内污染识别情况</w:t>
      </w:r>
    </w:p>
    <w:p w14:paraId="5CC761C2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根据前期资料收集调查、现场人员访谈及实地踏勘，武原街道鱼鳞塘路东（B-20-1）住宅地块历史上为海塘，2008年进行了围垦，地块内多为滩涂地，2015年后地块进行了人工填土，填土为海堤外海塘土，填土完成后一直闲置，2020年，地块内大部分区域堆放了1.0~2.0m深度的堆土（仅最北侧土堆较高，约3.8m），堆土来自东侧映月里小区建设开挖土壤，采样前小区建设堆土会及时清运。地块内北侧区域有项目部办公生活，项目部附近有建筑材料堆放。因此，地块内主要关注意原海塘土填土及堆土、建筑材料可能带来的污染，关注污染物主要为pH、重金属类，项目部区域主要关注职工办公生活造成的生活污染，关注污染物为生活污水中的COD、氨氮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。</w:t>
      </w:r>
    </w:p>
    <w:p w14:paraId="2442E86A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(3) 地块周边污染识别情况</w:t>
      </w:r>
    </w:p>
    <w:p w14:paraId="4834B89C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通过查阅地块历史卫星影像资料、现场踏勘及人员访谈，地块周边原为明珠村农居点及海塘，后期围垦填土后，地块外西侧明珠村农居点拆除，地块外北侧为在建小区朗逸苑，东侧为在建小区映月里及近海河，南侧为空杂地，无工业企业，无外源污染影响。</w:t>
      </w:r>
    </w:p>
    <w:p w14:paraId="0D86890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(4)土壤及地下水采样监测工作</w:t>
      </w:r>
    </w:p>
    <w:p w14:paraId="7B73393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根据现场踏勘、人员访谈及资料收集情况，本次调查采用分区布点法进行布点。本次调查在地块内设置1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个土壤采样点，3个堆土点位，地块外1个对照点。每个土壤点位选取4个样品送检，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/>
        </w:rPr>
        <w:t>每个堆土点位根据堆土深度送检2或3个样品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，共计送检 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 xml:space="preserve"> 个土壤样品(含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个堆土样品，4个对照点样品)，另现场采集并送检6 个土壤平行样，土壤合计监测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58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个样品。调查地块内设4个地下水水井，地块外1个对照点，每个水井送检1个地下水样品，另现场采集1个地下水平行样，共计监测6个地下水样品(含1个对照点地下水样品及1个地下水平行样)。</w:t>
      </w:r>
    </w:p>
    <w:p w14:paraId="039EE6A9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地块内土壤主要检测《土壤环境质量建设用地土壤污染风险管控标准(试行)&gt;(GB36600-2018)中表1所列 45项基本项目。地下水主要为《地下水质量标准》(GBT14848-2017)表1中35项常规指标(总大肠菌群、细菌总数、放射性指标除外)。</w:t>
      </w:r>
    </w:p>
    <w:p w14:paraId="1E9C8ADB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(5)评价标准</w:t>
      </w:r>
    </w:p>
    <w:p w14:paraId="2FB321C3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根据规划条件，本次调查地块规划用地性质为二类居住用地(R2)，本次调查土壤环境质量采用《土壤环境质量建设用地土壤污染风险管控标准(试行)》(GB36600-2018)中的第一类用地筛选值进行评价，</w:t>
      </w:r>
    </w:p>
    <w:p w14:paraId="67CB3330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本次调查地块西侧地表水为白洋河，水功能区为白洋河海盐景观娱乐用水区，水环境功能区为景观娱乐用水区，目标水质为V类，因此，参照周边地表水目标水质类别，本次地下水质量评估参考《地下水质量标准》(GB/T14848-2017)中V类标准执行。</w:t>
      </w:r>
    </w:p>
    <w:p w14:paraId="6D120FB4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(6)调查结果分析</w:t>
      </w:r>
    </w:p>
    <w:p w14:paraId="08099905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本次调查共检测了5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个土壤样品(不含平行样)，检测结果表明，地块内及对照点所有土壤样品中27种挥发性有机物(VOCs)、11种半挥发性有机物(SVOCs)六价铬均未检出，镉、汞、砷铅、铜、镍共6种重金属及pH 有检出，且其含量均未超过GB36600-2018中的第一类用地筛选值。即所有检测指标浓度均满足《土壤环境质量 建设用地土壤污染风险管控标准(试行)》第一类用地筛选值。</w:t>
      </w:r>
    </w:p>
    <w:p w14:paraId="2D868F8E">
      <w:pPr>
        <w:pStyle w:val="1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本次调查共采集并送检地下水样品6个(地块内4个，对照点1个，平行样1个)，所有样品均进行了35项地下水常规指标检测分析，检测结果表明，地块内及对照点所有地下水样品中1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项指标检出浓度均未超过《地下水质量标准》(GBT14848-2017)中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Ⅳ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类标准，各项指标检出浓度与地块外对照点相差不大，地下水总体能达到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Ⅳ</w:t>
      </w: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类水质。</w:t>
      </w:r>
    </w:p>
    <w:p w14:paraId="4AEFD4F6">
      <w:pPr>
        <w:pStyle w:val="13"/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  <w:t>结论和建议</w:t>
      </w:r>
    </w:p>
    <w:p w14:paraId="62C35E56">
      <w:pPr>
        <w:pStyle w:val="13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afterLines="0"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color w:val="auto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auto"/>
          <w:sz w:val="24"/>
          <w:szCs w:val="24"/>
        </w:rPr>
        <w:t>根据前期调查及检测数据分析，地块内各点位土壤样品中各污染物浓度均未超过《土壤环境质量 建设用地土壤污染风险管控标准（试行）》(GB36600-2018)中第一类用地筛选值，地下水各检测指标均未超过《地下水质量标准》(GB/T14848-2017) IV类水质标准限值，地块区域地下水达到Ⅳ类水质。综上，本地块不属于污染地块，无需开展详细调查，满足二类居住用地开发建设要求，可安全开发利用。</w:t>
      </w:r>
    </w:p>
    <w:p w14:paraId="7DFDFA9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Bold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4F3F54"/>
    <w:multiLevelType w:val="singleLevel"/>
    <w:tmpl w:val="A94F3F54"/>
    <w:lvl w:ilvl="0" w:tentative="0">
      <w:start w:val="7"/>
      <w:numFmt w:val="decimal"/>
      <w:suff w:val="nothing"/>
      <w:lvlText w:val="（%1）"/>
      <w:lvlJc w:val="left"/>
    </w:lvl>
  </w:abstractNum>
  <w:abstractNum w:abstractNumId="1">
    <w:nsid w:val="58002612"/>
    <w:multiLevelType w:val="multilevel"/>
    <w:tmpl w:val="58002612"/>
    <w:lvl w:ilvl="0" w:tentative="0">
      <w:start w:val="1"/>
      <w:numFmt w:val="decimal"/>
      <w:pStyle w:val="4"/>
      <w:lvlText w:val="%1"/>
      <w:lvlJc w:val="left"/>
      <w:pPr>
        <w:ind w:left="432" w:hanging="432"/>
      </w:pPr>
      <w:rPr>
        <w:rFonts w:hint="default" w:ascii="Times New Roman Bold" w:hAnsi="Times New Roman Bold" w:eastAsia="宋体" w:cs="宋体"/>
        <w:b/>
        <w:sz w:val="32"/>
      </w:rPr>
    </w:lvl>
    <w:lvl w:ilvl="1" w:tentative="0">
      <w:start w:val="1"/>
      <w:numFmt w:val="decimal"/>
      <w:pStyle w:val="5"/>
      <w:lvlText w:val="%1.%2"/>
      <w:lvlJc w:val="left"/>
      <w:pPr>
        <w:ind w:left="575" w:hanging="575"/>
      </w:pPr>
      <w:rPr>
        <w:rFonts w:hint="default" w:ascii="Times New Roman Bold" w:hAnsi="Times New Roman Bold" w:eastAsia="宋体" w:cs="宋体"/>
        <w:b/>
        <w:sz w:val="30"/>
      </w:rPr>
    </w:lvl>
    <w:lvl w:ilvl="2" w:tentative="0">
      <w:start w:val="1"/>
      <w:numFmt w:val="decimal"/>
      <w:pStyle w:val="6"/>
      <w:lvlText w:val="%1.%2.%3"/>
      <w:lvlJc w:val="left"/>
      <w:pPr>
        <w:ind w:left="720" w:hanging="720"/>
      </w:pPr>
      <w:rPr>
        <w:rFonts w:hint="default" w:ascii="Times New Roman Bold" w:hAnsi="Times New Roman Bold" w:eastAsia="宋体" w:cs="宋体"/>
        <w:b/>
        <w:sz w:val="28"/>
      </w:rPr>
    </w:lvl>
    <w:lvl w:ilvl="3" w:tentative="0">
      <w:start w:val="1"/>
      <w:numFmt w:val="decimal"/>
      <w:lvlText w:val="%1.%2.%3.%4"/>
      <w:lvlJc w:val="left"/>
      <w:pPr>
        <w:ind w:left="864" w:hanging="864"/>
      </w:pPr>
      <w:rPr>
        <w:rFonts w:hint="default" w:ascii="Times New Roman Bold" w:hAnsi="Times New Roman Bold" w:eastAsia="宋体" w:cs="宋体"/>
        <w:b/>
        <w:sz w:val="24"/>
      </w:rPr>
    </w:lvl>
    <w:lvl w:ilvl="4" w:tentative="0">
      <w:start w:val="1"/>
      <w:numFmt w:val="decimal"/>
      <w:pStyle w:val="8"/>
      <w:lvlText w:val="%1.%2.%3.%4.%5"/>
      <w:lvlJc w:val="left"/>
      <w:pPr>
        <w:ind w:left="1008" w:hanging="1008"/>
      </w:pPr>
      <w:rPr>
        <w:rFonts w:hint="default" w:ascii="Times New Roman Bold" w:hAnsi="Times New Roman Bold" w:eastAsia="宋体" w:cs="宋体"/>
        <w:b/>
        <w:sz w:val="24"/>
      </w:rPr>
    </w:lvl>
    <w:lvl w:ilvl="5" w:tentative="0">
      <w:start w:val="1"/>
      <w:numFmt w:val="decimal"/>
      <w:pStyle w:val="9"/>
      <w:lvlText w:val="%1.%2.%3.%4.%5.%6."/>
      <w:lvlJc w:val="left"/>
      <w:pPr>
        <w:ind w:left="1151" w:hanging="1151"/>
      </w:pPr>
      <w:rPr>
        <w:rFonts w:hint="default"/>
      </w:rPr>
    </w:lvl>
    <w:lvl w:ilvl="6" w:tentative="0">
      <w:start w:val="1"/>
      <w:numFmt w:val="decimal"/>
      <w:pStyle w:val="10"/>
      <w:lvlText w:val="%1.%2.%3.%4.%5.%6.%7."/>
      <w:lvlJc w:val="left"/>
      <w:pPr>
        <w:ind w:left="1296" w:hanging="1296"/>
      </w:pPr>
      <w:rPr>
        <w:rFonts w:hint="default"/>
      </w:rPr>
    </w:lvl>
    <w:lvl w:ilvl="7" w:tentative="0">
      <w:start w:val="1"/>
      <w:numFmt w:val="decimal"/>
      <w:pStyle w:val="11"/>
      <w:lvlText w:val="%1.%2.%3.%4.%5.%6.%7.%8."/>
      <w:lvlJc w:val="left"/>
      <w:pPr>
        <w:ind w:left="1440" w:hanging="1440"/>
      </w:pPr>
      <w:rPr>
        <w:rFonts w:hint="default"/>
      </w:rPr>
    </w:lvl>
    <w:lvl w:ilvl="8" w:tentative="0">
      <w:start w:val="1"/>
      <w:numFmt w:val="decimal"/>
      <w:pStyle w:val="12"/>
      <w:lvlText w:val="%1.%2.%3.%4.%5.%6.%7.%8.%9."/>
      <w:lvlJc w:val="left"/>
      <w:pPr>
        <w:ind w:left="1583" w:hanging="1583"/>
      </w:pPr>
      <w:rPr>
        <w:rFonts w:hint="default"/>
      </w:rPr>
    </w:lvl>
  </w:abstractNum>
  <w:abstractNum w:abstractNumId="2">
    <w:nsid w:val="6F32AE46"/>
    <w:multiLevelType w:val="multilevel"/>
    <w:tmpl w:val="6F32AE46"/>
    <w:lvl w:ilvl="0" w:tentative="0">
      <w:start w:val="1"/>
      <w:numFmt w:val="decimal"/>
      <w:pStyle w:val="20"/>
      <w:lvlText w:val="图3-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AF7243F"/>
    <w:multiLevelType w:val="multilevel"/>
    <w:tmpl w:val="7AF7243F"/>
    <w:lvl w:ilvl="0" w:tentative="0">
      <w:start w:val="1"/>
      <w:numFmt w:val="decimal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32"/>
      </w:rPr>
    </w:lvl>
    <w:lvl w:ilvl="1" w:tentative="0">
      <w:start w:val="1"/>
      <w:numFmt w:val="decimal"/>
      <w:isLgl/>
      <w:lvlText w:val="%1.%2"/>
      <w:lvlJc w:val="left"/>
      <w:pPr>
        <w:ind w:left="141" w:firstLine="0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isLgl/>
      <w:lvlText w:val="%1.%2.%3"/>
      <w:lvlJc w:val="left"/>
      <w:pPr>
        <w:ind w:left="0" w:firstLine="0"/>
      </w:pPr>
      <w:rPr>
        <w:rFonts w:hint="default" w:ascii="Times New Roman" w:hAnsi="Times New Roman"/>
        <w:b/>
        <w:i w:val="0"/>
        <w:sz w:val="28"/>
      </w:rPr>
    </w:lvl>
    <w:lvl w:ilvl="3" w:tentative="0">
      <w:start w:val="1"/>
      <w:numFmt w:val="decimal"/>
      <w:pStyle w:val="7"/>
      <w:lvlText w:val="3.5.3.%4"/>
      <w:lvlJc w:val="left"/>
      <w:pPr>
        <w:ind w:left="0" w:firstLine="0"/>
      </w:pPr>
      <w:rPr>
        <w:rFonts w:hint="eastAsia"/>
        <w:b/>
        <w:i w:val="0"/>
        <w:sz w:val="24"/>
        <w:lang w:val="en-US"/>
      </w:rPr>
    </w:lvl>
    <w:lvl w:ilvl="4" w:tentative="0">
      <w:start w:val="1"/>
      <w:numFmt w:val="decimal"/>
      <w:isLgl/>
      <w:lvlText w:val="%1.%2.%3.%4.%5"/>
      <w:lvlJc w:val="left"/>
      <w:pPr>
        <w:ind w:left="0" w:firstLine="0"/>
      </w:pPr>
      <w:rPr>
        <w:rFonts w:hint="default" w:ascii="Times New Roman" w:hAnsi="Times New Roman"/>
        <w:b/>
        <w:i w:val="0"/>
        <w:sz w:val="24"/>
      </w:rPr>
    </w:lvl>
    <w:lvl w:ilvl="5" w:tentative="0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D9B4128"/>
    <w:rsid w:val="242A2361"/>
    <w:rsid w:val="26C225BA"/>
    <w:rsid w:val="29143320"/>
    <w:rsid w:val="38BA5430"/>
    <w:rsid w:val="38F207D6"/>
    <w:rsid w:val="3ADB7AF9"/>
    <w:rsid w:val="4EC7620B"/>
    <w:rsid w:val="5D9B4128"/>
    <w:rsid w:val="61CD7293"/>
    <w:rsid w:val="62324A39"/>
    <w:rsid w:val="63293BA0"/>
    <w:rsid w:val="64037F8B"/>
    <w:rsid w:val="6E84454F"/>
    <w:rsid w:val="7A517581"/>
    <w:rsid w:val="7BB87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after="50" w:afterLines="50" w:line="360" w:lineRule="auto"/>
      <w:ind w:left="432" w:hanging="432" w:firstLineChars="0"/>
      <w:outlineLvl w:val="0"/>
    </w:pPr>
    <w:rPr>
      <w:b/>
      <w:bCs/>
      <w:kern w:val="44"/>
      <w:sz w:val="32"/>
      <w:szCs w:val="44"/>
    </w:rPr>
  </w:style>
  <w:style w:type="paragraph" w:styleId="5">
    <w:name w:val="heading 2"/>
    <w:basedOn w:val="1"/>
    <w:next w:val="1"/>
    <w:link w:val="18"/>
    <w:semiHidden/>
    <w:unhideWhenUsed/>
    <w:qFormat/>
    <w:uiPriority w:val="0"/>
    <w:pPr>
      <w:keepNext/>
      <w:keepLines/>
      <w:numPr>
        <w:ilvl w:val="1"/>
        <w:numId w:val="1"/>
      </w:numPr>
      <w:adjustRightInd w:val="0"/>
      <w:snapToGrid w:val="0"/>
      <w:spacing w:line="360" w:lineRule="auto"/>
      <w:ind w:left="575" w:hanging="575" w:firstLineChars="0"/>
      <w:outlineLvl w:val="1"/>
    </w:pPr>
    <w:rPr>
      <w:b/>
      <w:bCs/>
      <w:sz w:val="30"/>
      <w:szCs w:val="32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adjustRightInd w:val="0"/>
      <w:snapToGrid w:val="0"/>
      <w:ind w:left="0" w:firstLine="0" w:firstLineChars="0"/>
      <w:outlineLvl w:val="2"/>
    </w:pPr>
    <w:rPr>
      <w:b/>
      <w:bCs/>
      <w:sz w:val="28"/>
      <w:szCs w:val="32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2"/>
      </w:numPr>
      <w:ind w:firstLineChars="0"/>
      <w:outlineLvl w:val="3"/>
    </w:pPr>
    <w:rPr>
      <w:rFonts w:eastAsiaTheme="minorEastAsia"/>
      <w:b/>
      <w:szCs w:val="24"/>
    </w:rPr>
  </w:style>
  <w:style w:type="paragraph" w:styleId="8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9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10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11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2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iPriority w:val="0"/>
    <w:rPr>
      <w:rFonts w:ascii="宋体" w:hAnsi="Courier New"/>
    </w:rPr>
  </w:style>
  <w:style w:type="paragraph" w:styleId="3">
    <w:name w:val="toc 1"/>
    <w:basedOn w:val="1"/>
    <w:next w:val="1"/>
    <w:uiPriority w:val="39"/>
    <w:pPr>
      <w:spacing w:before="120" w:after="120"/>
      <w:jc w:val="left"/>
    </w:pPr>
    <w:rPr>
      <w:b/>
      <w:bCs/>
      <w:caps/>
      <w:sz w:val="20"/>
      <w:szCs w:val="20"/>
    </w:rPr>
  </w:style>
  <w:style w:type="paragraph" w:styleId="1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14">
    <w:name w:val="Balloon Text"/>
    <w:basedOn w:val="1"/>
    <w:link w:val="22"/>
    <w:uiPriority w:val="0"/>
    <w:pPr>
      <w:spacing w:line="240" w:lineRule="auto"/>
      <w:ind w:firstLine="0" w:firstLineChars="0"/>
    </w:pPr>
    <w:rPr>
      <w:rFonts w:eastAsiaTheme="minorEastAsia"/>
      <w:color w:val="000000" w:themeColor="text1"/>
      <w:sz w:val="21"/>
      <w:szCs w:val="21"/>
      <w14:textFill>
        <w14:solidFill>
          <w14:schemeClr w14:val="tx1"/>
        </w14:solidFill>
      </w14:textFill>
    </w:rPr>
  </w:style>
  <w:style w:type="paragraph" w:styleId="15">
    <w:name w:val="Body Text First Indent 2"/>
    <w:basedOn w:val="13"/>
    <w:uiPriority w:val="0"/>
    <w:pPr>
      <w:ind w:firstLine="420" w:firstLineChars="200"/>
    </w:pPr>
  </w:style>
  <w:style w:type="character" w:customStyle="1" w:styleId="18">
    <w:name w:val="标题 2 字符"/>
    <w:link w:val="5"/>
    <w:autoRedefine/>
    <w:qFormat/>
    <w:uiPriority w:val="0"/>
    <w:rPr>
      <w:rFonts w:ascii="宋体" w:hAnsi="宋体" w:cs="宋体" w:eastAsiaTheme="minorEastAsia"/>
      <w:b/>
      <w:bCs/>
      <w:sz w:val="30"/>
      <w:szCs w:val="32"/>
    </w:rPr>
  </w:style>
  <w:style w:type="paragraph" w:customStyle="1" w:styleId="19">
    <w:name w:val="A7 图"/>
    <w:basedOn w:val="1"/>
    <w:next w:val="1"/>
    <w:autoRedefine/>
    <w:qFormat/>
    <w:uiPriority w:val="0"/>
    <w:pPr>
      <w:adjustRightInd w:val="0"/>
      <w:snapToGrid w:val="0"/>
      <w:spacing w:line="240" w:lineRule="auto"/>
      <w:ind w:firstLine="0" w:firstLineChars="0"/>
      <w:jc w:val="center"/>
    </w:pPr>
    <w:rPr>
      <w:rFonts w:eastAsiaTheme="minorEastAsia"/>
      <w:bCs/>
      <w:sz w:val="21"/>
    </w:rPr>
  </w:style>
  <w:style w:type="paragraph" w:customStyle="1" w:styleId="20">
    <w:name w:val="A5 图号"/>
    <w:basedOn w:val="13"/>
    <w:next w:val="1"/>
    <w:autoRedefine/>
    <w:qFormat/>
    <w:uiPriority w:val="0"/>
    <w:pPr>
      <w:numPr>
        <w:ilvl w:val="0"/>
        <w:numId w:val="3"/>
      </w:numPr>
      <w:spacing w:line="240" w:lineRule="auto"/>
      <w:ind w:left="0" w:firstLine="0" w:firstLineChars="0"/>
      <w:jc w:val="center"/>
    </w:pPr>
    <w:rPr>
      <w:rFonts w:eastAsiaTheme="minorEastAsia"/>
      <w:b/>
      <w:lang w:val="en-GB"/>
    </w:rPr>
  </w:style>
  <w:style w:type="paragraph" w:customStyle="1" w:styleId="21">
    <w:name w:val="表格"/>
    <w:basedOn w:val="1"/>
    <w:autoRedefine/>
    <w:qFormat/>
    <w:uiPriority w:val="0"/>
    <w:pPr>
      <w:spacing w:line="240" w:lineRule="auto"/>
      <w:ind w:firstLine="0" w:firstLineChars="0"/>
      <w:jc w:val="center"/>
    </w:pPr>
    <w:rPr>
      <w:rFonts w:eastAsiaTheme="minorEastAsia"/>
      <w:sz w:val="21"/>
      <w:szCs w:val="21"/>
    </w:rPr>
  </w:style>
  <w:style w:type="character" w:customStyle="1" w:styleId="22">
    <w:name w:val="批注框文本 字符"/>
    <w:basedOn w:val="17"/>
    <w:link w:val="14"/>
    <w:autoRedefine/>
    <w:qFormat/>
    <w:uiPriority w:val="0"/>
    <w:rPr>
      <w:rFonts w:ascii="宋体" w:hAnsi="宋体" w:cs="宋体" w:eastAsiaTheme="minorEastAsia"/>
      <w:color w:val="000000" w:themeColor="text1"/>
      <w:sz w:val="21"/>
      <w:szCs w:val="21"/>
      <w14:textFill>
        <w14:solidFill>
          <w14:schemeClr w14:val="tx1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2026-10-12T14:09:00Z</dcterms:created>
  <dc:creator>沈信权</dc:creator>
  <cp:lastModifiedBy>沈信权</cp:lastModifiedBy>
  <dcterms:modified xsi:type="dcterms:W3CDTF">2026-10-12T14:10:32Z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CEC78F97288D42288CD004F3556CDDBD_11</vt:lpwstr>
  </property>
  <property fmtid="{D5CDD505-2E9C-101B-9397-08002B2CF9AE}" pid="4" name="KSOTemplateDocerSaveRecord">
    <vt:lpwstr>eyJoZGlkIjoiZDM5MGFmYWIxODBjOWRlZjdhODQyOWI4MDk0MmU4NDciLCJ1c2VySWQiOiIxNzgxMTA4NjQwIn0=</vt:lpwstr>
  </property>
</Properties>
</file>