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7508ED">
      <w:pPr>
        <w:spacing w:line="440" w:lineRule="exact"/>
        <w:jc w:val="center"/>
        <w:rPr>
          <w:rStyle w:val="8"/>
          <w:rFonts w:hint="eastAsia" w:eastAsia="方正小标宋简体"/>
          <w:b w:val="0"/>
          <w:color w:val="auto"/>
          <w:sz w:val="36"/>
          <w:szCs w:val="36"/>
        </w:rPr>
      </w:pPr>
      <w:r>
        <w:rPr>
          <w:rStyle w:val="8"/>
          <w:rFonts w:hint="eastAsia" w:eastAsia="方正小标宋简体"/>
          <w:b w:val="0"/>
          <w:color w:val="auto"/>
          <w:sz w:val="36"/>
          <w:szCs w:val="36"/>
        </w:rPr>
        <w:t>浙江省生态环境科学技术奖公示信息表</w:t>
      </w:r>
    </w:p>
    <w:p w14:paraId="4D750091">
      <w:pPr>
        <w:spacing w:line="440" w:lineRule="exact"/>
        <w:rPr>
          <w:rStyle w:val="8"/>
          <w:rFonts w:hint="eastAsia" w:eastAsia="方正小标宋简体"/>
          <w:b w:val="0"/>
          <w:color w:val="auto"/>
          <w:sz w:val="36"/>
          <w:szCs w:val="36"/>
        </w:rPr>
      </w:pPr>
    </w:p>
    <w:tbl>
      <w:tblPr>
        <w:tblStyle w:val="5"/>
        <w:tblW w:w="4999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5"/>
        <w:gridCol w:w="8005"/>
      </w:tblGrid>
      <w:tr w14:paraId="22D5AB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pct"/>
            <w:vAlign w:val="center"/>
          </w:tcPr>
          <w:p w14:paraId="5DBB1577">
            <w:pPr>
              <w:spacing w:line="288" w:lineRule="auto"/>
              <w:jc w:val="center"/>
              <w:rPr>
                <w:rStyle w:val="8"/>
                <w:rFonts w:eastAsia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Style w:val="8"/>
                <w:rFonts w:eastAsia="仿宋_GB2312"/>
                <w:b/>
                <w:bCs/>
                <w:color w:val="auto"/>
                <w:sz w:val="28"/>
                <w:szCs w:val="28"/>
              </w:rPr>
              <w:t>成果名称</w:t>
            </w:r>
          </w:p>
        </w:tc>
        <w:tc>
          <w:tcPr>
            <w:tcW w:w="4018" w:type="pct"/>
            <w:vAlign w:val="center"/>
          </w:tcPr>
          <w:p w14:paraId="5B591CF4">
            <w:pPr>
              <w:spacing w:line="288" w:lineRule="auto"/>
              <w:jc w:val="center"/>
              <w:rPr>
                <w:rStyle w:val="8"/>
                <w:rFonts w:eastAsia="仿宋_GB2312"/>
                <w:b w:val="0"/>
                <w:color w:val="auto"/>
                <w:sz w:val="28"/>
                <w:szCs w:val="28"/>
              </w:rPr>
            </w:pPr>
            <w:r>
              <w:rPr>
                <w:rStyle w:val="8"/>
                <w:rFonts w:hint="eastAsia" w:eastAsia="仿宋_GB2312"/>
                <w:b w:val="0"/>
                <w:color w:val="auto"/>
                <w:sz w:val="28"/>
                <w:szCs w:val="28"/>
              </w:rPr>
              <w:t>多源混合污水强化解毒与动态适配处理关键技术及应用</w:t>
            </w:r>
          </w:p>
        </w:tc>
      </w:tr>
      <w:tr w14:paraId="07A514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pct"/>
            <w:vAlign w:val="center"/>
          </w:tcPr>
          <w:p w14:paraId="7A68BE1C">
            <w:pPr>
              <w:spacing w:line="288" w:lineRule="auto"/>
              <w:jc w:val="center"/>
              <w:rPr>
                <w:rStyle w:val="8"/>
                <w:rFonts w:eastAsia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Style w:val="8"/>
                <w:rFonts w:eastAsia="仿宋_GB2312"/>
                <w:b/>
                <w:bCs/>
                <w:color w:val="auto"/>
                <w:sz w:val="28"/>
                <w:szCs w:val="28"/>
              </w:rPr>
              <w:t>提名等级</w:t>
            </w:r>
          </w:p>
        </w:tc>
        <w:tc>
          <w:tcPr>
            <w:tcW w:w="4018" w:type="pct"/>
            <w:vAlign w:val="center"/>
          </w:tcPr>
          <w:p w14:paraId="7F72EA56">
            <w:pPr>
              <w:spacing w:line="288" w:lineRule="auto"/>
              <w:jc w:val="center"/>
              <w:rPr>
                <w:rStyle w:val="8"/>
                <w:rFonts w:eastAsia="仿宋_GB2312"/>
                <w:b w:val="0"/>
                <w:color w:val="auto"/>
                <w:sz w:val="28"/>
                <w:szCs w:val="28"/>
              </w:rPr>
            </w:pPr>
            <w:bookmarkStart w:id="0" w:name="OLE_LINK1"/>
            <w:r>
              <w:rPr>
                <w:rStyle w:val="8"/>
                <w:rFonts w:hint="eastAsia" w:eastAsia="仿宋_GB2312"/>
                <w:b w:val="0"/>
                <w:color w:val="auto"/>
                <w:sz w:val="28"/>
                <w:szCs w:val="28"/>
              </w:rPr>
              <w:t>一等奖</w:t>
            </w:r>
            <w:bookmarkEnd w:id="0"/>
          </w:p>
        </w:tc>
      </w:tr>
      <w:tr w14:paraId="500D12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55" w:type="dxa"/>
            <w:tcBorders>
              <w:right w:val="single" w:color="auto" w:sz="4" w:space="0"/>
            </w:tcBorders>
            <w:vAlign w:val="center"/>
          </w:tcPr>
          <w:p w14:paraId="2E8F49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Style w:val="8"/>
                <w:rFonts w:hint="eastAsia" w:ascii="Calibri" w:hAnsi="Calibri" w:eastAsia="仿宋_GB2312"/>
                <w:color w:val="auto"/>
                <w:sz w:val="28"/>
                <w:lang w:val="en-US" w:eastAsia="zh-CN"/>
              </w:rPr>
              <w:t>主要知识产权</w:t>
            </w:r>
          </w:p>
        </w:tc>
        <w:tc>
          <w:tcPr>
            <w:tcW w:w="8005" w:type="dxa"/>
            <w:tcBorders>
              <w:left w:val="single" w:color="auto" w:sz="4" w:space="0"/>
            </w:tcBorders>
            <w:vAlign w:val="center"/>
          </w:tcPr>
          <w:p w14:paraId="2FAA3B7C">
            <w:pPr>
              <w:pStyle w:val="9"/>
              <w:numPr>
                <w:ilvl w:val="0"/>
                <w:numId w:val="1"/>
              </w:numPr>
              <w:spacing w:line="288" w:lineRule="auto"/>
              <w:ind w:firstLineChars="0"/>
              <w:rPr>
                <w:rFonts w:hint="eastAsia" w:eastAsia="仿宋_GB2312"/>
                <w:bCs/>
                <w:sz w:val="22"/>
                <w:szCs w:val="22"/>
              </w:rPr>
            </w:pPr>
            <w:r>
              <w:rPr>
                <w:rFonts w:hint="eastAsia" w:eastAsia="仿宋_GB2312"/>
                <w:bCs/>
                <w:sz w:val="22"/>
                <w:szCs w:val="22"/>
              </w:rPr>
              <w:t>传感器故障检测与诊断方法、介质、电子设备及系统</w:t>
            </w:r>
            <w:r>
              <w:rPr>
                <w:rFonts w:hint="eastAsia" w:eastAsia="仿宋_GB2312"/>
                <w:bCs/>
                <w:sz w:val="22"/>
                <w:szCs w:val="22"/>
                <w:lang w:eastAsia="zh-CN"/>
              </w:rPr>
              <w:t>，</w:t>
            </w:r>
            <w:r>
              <w:rPr>
                <w:rFonts w:hint="eastAsia" w:eastAsia="仿宋_GB2312"/>
                <w:bCs/>
                <w:sz w:val="22"/>
                <w:szCs w:val="22"/>
              </w:rPr>
              <w:t>江南大学，赵顺毅; 朱林风; 栾小丽; 刘飞，202210440771.7；</w:t>
            </w:r>
          </w:p>
          <w:p w14:paraId="1AC44724">
            <w:pPr>
              <w:pStyle w:val="9"/>
              <w:numPr>
                <w:ilvl w:val="0"/>
                <w:numId w:val="1"/>
              </w:numPr>
              <w:spacing w:line="288" w:lineRule="auto"/>
              <w:ind w:firstLineChars="0"/>
              <w:rPr>
                <w:rFonts w:hint="eastAsia" w:eastAsia="仿宋_GB2312"/>
                <w:bCs/>
                <w:sz w:val="22"/>
                <w:szCs w:val="22"/>
              </w:rPr>
            </w:pPr>
            <w:r>
              <w:rPr>
                <w:rFonts w:hint="eastAsia" w:eastAsia="仿宋_GB2312"/>
                <w:bCs/>
                <w:sz w:val="22"/>
                <w:szCs w:val="22"/>
              </w:rPr>
              <w:t>基于图像识别的活性污泥颜色检测方法及相关装置，北京金控数据技术股份有限公司; 北方工业大学，杨斌; 庞中华; 李妍欧; 焦赟仪; 唐丽娜; 郭海彬; 高胜男; 薛同来，202411048814.2；</w:t>
            </w:r>
          </w:p>
          <w:p w14:paraId="57F220E0">
            <w:pPr>
              <w:pStyle w:val="9"/>
              <w:numPr>
                <w:ilvl w:val="0"/>
                <w:numId w:val="1"/>
              </w:numPr>
              <w:spacing w:line="288" w:lineRule="auto"/>
              <w:ind w:firstLineChars="0"/>
              <w:rPr>
                <w:rFonts w:hint="eastAsia" w:eastAsia="仿宋_GB2312"/>
                <w:bCs/>
                <w:sz w:val="22"/>
                <w:szCs w:val="22"/>
              </w:rPr>
            </w:pPr>
            <w:r>
              <w:rPr>
                <w:rFonts w:hint="eastAsia" w:eastAsia="仿宋_GB2312"/>
                <w:bCs/>
                <w:sz w:val="22"/>
                <w:szCs w:val="22"/>
              </w:rPr>
              <w:t>一种用于水体毒性监测的生物电极及其制备和应用，浙江百诺数智环境科技股份有限公司，陈英; 詹东青; 梁禹翔; 朱晓晴; 陈杰; 张孝宁; 宜俊; 张显军; 周赫; 冯华军，202411841108.3；</w:t>
            </w:r>
          </w:p>
          <w:p w14:paraId="0C936BC5">
            <w:pPr>
              <w:pStyle w:val="9"/>
              <w:numPr>
                <w:ilvl w:val="0"/>
                <w:numId w:val="1"/>
              </w:numPr>
              <w:spacing w:line="288" w:lineRule="auto"/>
              <w:ind w:firstLineChars="0"/>
              <w:rPr>
                <w:rFonts w:hint="eastAsia" w:eastAsia="仿宋_GB2312"/>
                <w:bCs/>
                <w:sz w:val="22"/>
                <w:szCs w:val="22"/>
              </w:rPr>
            </w:pPr>
            <w:r>
              <w:rPr>
                <w:rFonts w:hint="eastAsia" w:eastAsia="仿宋_GB2312"/>
                <w:bCs/>
                <w:sz w:val="22"/>
                <w:szCs w:val="22"/>
              </w:rPr>
              <w:t>一种快速重启的生物毒性在线监测设备及方法，浙江农林大学，冯华军; 梁禹翔; 李平丽; 叶芳芳; 张艳晴; 项海; 丁养城; 邱夏雯，202410107420.3；</w:t>
            </w:r>
          </w:p>
          <w:p w14:paraId="0BE128F2">
            <w:pPr>
              <w:pStyle w:val="9"/>
              <w:numPr>
                <w:ilvl w:val="0"/>
                <w:numId w:val="1"/>
              </w:numPr>
              <w:spacing w:line="288" w:lineRule="auto"/>
              <w:ind w:firstLineChars="0"/>
              <w:rPr>
                <w:rFonts w:hint="eastAsia" w:eastAsia="仿宋_GB2312"/>
                <w:bCs/>
                <w:sz w:val="22"/>
                <w:szCs w:val="22"/>
              </w:rPr>
            </w:pPr>
            <w:r>
              <w:rPr>
                <w:rFonts w:hint="eastAsia" w:eastAsia="仿宋_GB2312"/>
                <w:bCs/>
                <w:sz w:val="22"/>
                <w:szCs w:val="22"/>
              </w:rPr>
              <w:t>一种高盐废水生物强化处理的方法，浙江工商大学</w:t>
            </w:r>
            <w:r>
              <w:rPr>
                <w:rFonts w:hint="eastAsia" w:eastAsia="仿宋_GB2312"/>
                <w:bCs/>
                <w:sz w:val="22"/>
                <w:szCs w:val="22"/>
              </w:rPr>
              <w:tab/>
            </w:r>
            <w:r>
              <w:rPr>
                <w:rFonts w:hint="eastAsia" w:eastAsia="仿宋_GB2312"/>
                <w:bCs/>
                <w:sz w:val="22"/>
                <w:szCs w:val="22"/>
              </w:rPr>
              <w:t>冯华军; 陈龙; 周丽婷; 陈儒雅; 夏伊静; 丁养城，202211237994.X；</w:t>
            </w:r>
          </w:p>
          <w:p w14:paraId="4DBEC3FA">
            <w:pPr>
              <w:pStyle w:val="9"/>
              <w:numPr>
                <w:ilvl w:val="0"/>
                <w:numId w:val="1"/>
              </w:numPr>
              <w:spacing w:line="288" w:lineRule="auto"/>
              <w:ind w:firstLineChars="0"/>
              <w:rPr>
                <w:rFonts w:hint="eastAsia" w:eastAsia="仿宋_GB2312"/>
                <w:bCs/>
                <w:sz w:val="22"/>
                <w:szCs w:val="22"/>
              </w:rPr>
            </w:pPr>
            <w:r>
              <w:rPr>
                <w:rFonts w:hint="eastAsia" w:eastAsia="仿宋_GB2312"/>
                <w:bCs/>
                <w:sz w:val="22"/>
                <w:szCs w:val="22"/>
              </w:rPr>
              <w:t>一种SKL三相催化氧化-BAF深度处理化工废水的方法，南京神克隆科技有限公司，田宝凤; 江双双; 秦志兵，201511016689.8；</w:t>
            </w:r>
          </w:p>
          <w:p w14:paraId="393DDB01">
            <w:pPr>
              <w:pStyle w:val="9"/>
              <w:numPr>
                <w:ilvl w:val="0"/>
                <w:numId w:val="1"/>
              </w:numPr>
              <w:spacing w:line="288" w:lineRule="auto"/>
              <w:ind w:firstLineChars="0"/>
              <w:rPr>
                <w:rFonts w:hint="eastAsia" w:eastAsia="仿宋_GB2312"/>
                <w:bCs/>
                <w:sz w:val="22"/>
                <w:szCs w:val="22"/>
              </w:rPr>
            </w:pPr>
            <w:r>
              <w:rPr>
                <w:rFonts w:hint="eastAsia" w:eastAsia="仿宋_GB2312"/>
                <w:bCs/>
                <w:sz w:val="22"/>
                <w:szCs w:val="22"/>
              </w:rPr>
              <w:t>一种用于污水处理碳源投加的智能控制方法及系统，北京金控数据技术股份有限公司，杨斌; 任国辉; 徐长建; 郝启文，202011082144.8；</w:t>
            </w:r>
          </w:p>
          <w:p w14:paraId="432CE6D9">
            <w:pPr>
              <w:pStyle w:val="9"/>
              <w:numPr>
                <w:ilvl w:val="0"/>
                <w:numId w:val="1"/>
              </w:numPr>
              <w:spacing w:line="288" w:lineRule="auto"/>
              <w:ind w:firstLineChars="0"/>
              <w:rPr>
                <w:rFonts w:hint="eastAsia" w:eastAsia="仿宋_GB2312"/>
                <w:bCs/>
                <w:sz w:val="22"/>
                <w:szCs w:val="22"/>
              </w:rPr>
            </w:pPr>
            <w:r>
              <w:rPr>
                <w:rFonts w:hint="eastAsia" w:eastAsia="仿宋_GB2312"/>
                <w:bCs/>
                <w:sz w:val="22"/>
                <w:szCs w:val="22"/>
              </w:rPr>
              <w:t>一种连续性活性污泥法的曝气控制方法及系统，北京金控数据技术股份有限公司，任艳真; 杨斌; 刘萌，201510175884.9；</w:t>
            </w:r>
          </w:p>
          <w:p w14:paraId="61AE7CB2">
            <w:pPr>
              <w:pStyle w:val="9"/>
              <w:numPr>
                <w:ilvl w:val="0"/>
                <w:numId w:val="1"/>
              </w:numPr>
              <w:spacing w:line="288" w:lineRule="auto"/>
              <w:ind w:firstLineChars="0"/>
              <w:rPr>
                <w:rFonts w:hint="eastAsia" w:eastAsia="仿宋_GB2312"/>
                <w:bCs/>
                <w:sz w:val="22"/>
                <w:szCs w:val="22"/>
              </w:rPr>
            </w:pPr>
            <w:r>
              <w:rPr>
                <w:rFonts w:hint="eastAsia" w:eastAsia="仿宋_GB2312"/>
                <w:bCs/>
                <w:sz w:val="22"/>
                <w:szCs w:val="22"/>
              </w:rPr>
              <w:t>一种污水处理厂三维仿真系统，北京金控数据技术股份有限公司;南京慧筑信息技术研究院有限公司，杨斌; 景阔; 倪树新，202010954629.5；</w:t>
            </w:r>
          </w:p>
          <w:p w14:paraId="75F8CBB2">
            <w:pPr>
              <w:pStyle w:val="9"/>
              <w:numPr>
                <w:ilvl w:val="0"/>
                <w:numId w:val="0"/>
              </w:numPr>
              <w:spacing w:line="288" w:lineRule="auto"/>
              <w:ind w:leftChars="0"/>
              <w:rPr>
                <w:rFonts w:hint="eastAsia" w:ascii="仿宋_GB2312" w:eastAsia="仿宋_GB2312" w:cs="仿宋_GB2312"/>
                <w:bCs/>
                <w:sz w:val="24"/>
                <w:szCs w:val="24"/>
                <w:lang w:bidi="ar"/>
              </w:rPr>
            </w:pPr>
            <w:r>
              <w:rPr>
                <w:rFonts w:hint="eastAsia" w:eastAsia="仿宋_GB2312"/>
                <w:bCs/>
                <w:sz w:val="22"/>
                <w:szCs w:val="22"/>
                <w:lang w:val="en-US" w:eastAsia="zh-CN"/>
              </w:rPr>
              <w:t>[10]</w:t>
            </w:r>
            <w:r>
              <w:rPr>
                <w:rFonts w:hint="eastAsia" w:eastAsia="仿宋_GB2312"/>
                <w:bCs/>
                <w:sz w:val="22"/>
                <w:szCs w:val="22"/>
              </w:rPr>
              <w:t>一种通过污泥回流实现好氧池自充氧的方法，浙江百诺数智环境科技股份有限公司，梁禹翔; 陈英; 叶宗贇; 冯华军; 周赫; 陈钦钦; 连梦莹; 杨敏; 厉炯慧，202310379539.1。</w:t>
            </w:r>
          </w:p>
        </w:tc>
      </w:tr>
      <w:tr w14:paraId="36649F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3" w:hRule="atLeast"/>
          <w:jc w:val="center"/>
        </w:trPr>
        <w:tc>
          <w:tcPr>
            <w:tcW w:w="981" w:type="pct"/>
            <w:tcBorders>
              <w:right w:val="single" w:color="auto" w:sz="4" w:space="0"/>
            </w:tcBorders>
            <w:vAlign w:val="center"/>
          </w:tcPr>
          <w:p w14:paraId="108EEDCD">
            <w:pPr>
              <w:spacing w:line="288" w:lineRule="auto"/>
              <w:jc w:val="center"/>
              <w:rPr>
                <w:rFonts w:eastAsia="仿宋_GB2312"/>
                <w:b/>
                <w:bCs w:val="0"/>
                <w:sz w:val="28"/>
                <w:szCs w:val="28"/>
              </w:rPr>
            </w:pPr>
            <w:r>
              <w:rPr>
                <w:rFonts w:eastAsia="仿宋_GB2312"/>
                <w:b/>
                <w:bCs w:val="0"/>
                <w:sz w:val="28"/>
                <w:szCs w:val="28"/>
              </w:rPr>
              <w:t>主要完成人</w:t>
            </w:r>
          </w:p>
        </w:tc>
        <w:tc>
          <w:tcPr>
            <w:tcW w:w="4018" w:type="pct"/>
            <w:tcBorders>
              <w:left w:val="single" w:color="auto" w:sz="4" w:space="0"/>
            </w:tcBorders>
            <w:vAlign w:val="center"/>
          </w:tcPr>
          <w:p w14:paraId="2EB95D03">
            <w:pPr>
              <w:spacing w:line="288" w:lineRule="auto"/>
              <w:jc w:val="both"/>
              <w:rPr>
                <w:rFonts w:hint="eastAsia" w:ascii="仿宋_GB2312" w:eastAsia="仿宋_GB2312" w:cs="仿宋_GB2312"/>
                <w:bCs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仿宋_GB2312"/>
                <w:bCs/>
                <w:sz w:val="24"/>
                <w:szCs w:val="24"/>
                <w:lang w:bidi="ar"/>
              </w:rPr>
              <w:t>厉炯慧，排名1，正高级工程师，浙江农林大学；</w:t>
            </w:r>
          </w:p>
          <w:p w14:paraId="7254926F">
            <w:pPr>
              <w:spacing w:line="288" w:lineRule="auto"/>
              <w:jc w:val="both"/>
              <w:rPr>
                <w:rFonts w:hint="eastAsia" w:ascii="仿宋_GB2312" w:eastAsia="仿宋_GB2312" w:cs="仿宋_GB2312"/>
                <w:bCs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仿宋_GB2312"/>
                <w:bCs/>
                <w:sz w:val="24"/>
                <w:szCs w:val="24"/>
                <w:lang w:bidi="ar"/>
              </w:rPr>
              <w:t>杨</w:t>
            </w:r>
            <w:r>
              <w:rPr>
                <w:rFonts w:hint="eastAsia" w:ascii="仿宋_GB2312" w:eastAsia="仿宋_GB2312" w:cs="仿宋_GB2312"/>
                <w:bCs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仿宋_GB2312" w:eastAsia="仿宋_GB2312" w:cs="仿宋_GB2312"/>
                <w:bCs/>
                <w:sz w:val="24"/>
                <w:szCs w:val="24"/>
                <w:lang w:bidi="ar"/>
              </w:rPr>
              <w:t>斌，排名</w:t>
            </w:r>
            <w:r>
              <w:rPr>
                <w:rFonts w:hint="eastAsia" w:ascii="仿宋_GB2312" w:eastAsia="仿宋_GB2312" w:cs="仿宋_GB2312"/>
                <w:bCs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仿宋_GB2312" w:eastAsia="仿宋_GB2312" w:cs="仿宋_GB2312"/>
                <w:bCs/>
                <w:sz w:val="24"/>
                <w:szCs w:val="24"/>
                <w:lang w:bidi="ar"/>
              </w:rPr>
              <w:t>，高级工程师，北京金控数据技术股份有限公司；</w:t>
            </w:r>
          </w:p>
          <w:p w14:paraId="10575CA4">
            <w:pPr>
              <w:spacing w:line="288" w:lineRule="auto"/>
              <w:jc w:val="both"/>
              <w:rPr>
                <w:rFonts w:hint="eastAsia" w:ascii="仿宋_GB2312" w:eastAsia="仿宋_GB2312" w:cs="仿宋_GB2312"/>
                <w:bCs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仿宋_GB2312"/>
                <w:bCs/>
                <w:sz w:val="24"/>
                <w:szCs w:val="24"/>
                <w:lang w:bidi="ar"/>
              </w:rPr>
              <w:t>陈</w:t>
            </w:r>
            <w:r>
              <w:rPr>
                <w:rFonts w:hint="eastAsia" w:ascii="仿宋_GB2312" w:eastAsia="仿宋_GB2312" w:cs="仿宋_GB2312"/>
                <w:bCs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仿宋_GB2312" w:eastAsia="仿宋_GB2312" w:cs="仿宋_GB2312"/>
                <w:bCs/>
                <w:sz w:val="24"/>
                <w:szCs w:val="24"/>
                <w:lang w:bidi="ar"/>
              </w:rPr>
              <w:t>英</w:t>
            </w:r>
            <w:r>
              <w:rPr>
                <w:rFonts w:hint="eastAsia" w:ascii="仿宋_GB2312" w:eastAsia="仿宋_GB2312" w:cs="仿宋_GB2312"/>
                <w:bCs/>
                <w:sz w:val="24"/>
                <w:szCs w:val="24"/>
                <w:lang w:eastAsia="zh-CN" w:bidi="ar"/>
              </w:rPr>
              <w:t>，</w:t>
            </w:r>
            <w:r>
              <w:rPr>
                <w:rFonts w:hint="eastAsia" w:ascii="仿宋_GB2312" w:eastAsia="仿宋_GB2312" w:cs="仿宋_GB2312"/>
                <w:bCs/>
                <w:sz w:val="24"/>
                <w:szCs w:val="24"/>
                <w:lang w:bidi="ar"/>
              </w:rPr>
              <w:t>排名</w:t>
            </w:r>
            <w:r>
              <w:rPr>
                <w:rFonts w:hint="eastAsia" w:ascii="仿宋_GB2312" w:eastAsia="仿宋_GB2312" w:cs="仿宋_GB2312"/>
                <w:bCs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eastAsia" w:ascii="仿宋_GB2312" w:eastAsia="仿宋_GB2312" w:cs="仿宋_GB2312"/>
                <w:bCs/>
                <w:sz w:val="24"/>
                <w:szCs w:val="24"/>
                <w:lang w:bidi="ar"/>
              </w:rPr>
              <w:t>，高级工程师，浙江百诺数智环境科技股份有限公司；</w:t>
            </w:r>
          </w:p>
          <w:p w14:paraId="7F64863C">
            <w:pPr>
              <w:spacing w:line="288" w:lineRule="auto"/>
              <w:jc w:val="both"/>
              <w:rPr>
                <w:rFonts w:hint="eastAsia" w:ascii="仿宋_GB2312" w:eastAsia="仿宋_GB2312" w:cs="仿宋_GB2312"/>
                <w:bCs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仿宋_GB2312"/>
                <w:bCs/>
                <w:sz w:val="24"/>
                <w:szCs w:val="24"/>
                <w:lang w:bidi="ar"/>
              </w:rPr>
              <w:t>赵顺毅，排名4，教授，江南大学；</w:t>
            </w:r>
          </w:p>
          <w:p w14:paraId="15360B5D">
            <w:pPr>
              <w:spacing w:line="288" w:lineRule="auto"/>
              <w:jc w:val="both"/>
              <w:rPr>
                <w:rFonts w:hint="eastAsia" w:ascii="仿宋_GB2312" w:eastAsia="仿宋_GB2312" w:cs="仿宋_GB2312"/>
                <w:bCs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仿宋_GB2312"/>
                <w:bCs/>
                <w:sz w:val="24"/>
                <w:szCs w:val="24"/>
                <w:lang w:val="en-US" w:eastAsia="zh-CN" w:bidi="ar"/>
              </w:rPr>
              <w:t>刘  文</w:t>
            </w:r>
            <w:r>
              <w:rPr>
                <w:rFonts w:hint="eastAsia" w:ascii="仿宋_GB2312" w:eastAsia="仿宋_GB2312" w:cs="仿宋_GB2312"/>
                <w:bCs/>
                <w:sz w:val="24"/>
                <w:szCs w:val="24"/>
                <w:lang w:bidi="ar"/>
              </w:rPr>
              <w:t>，排名</w:t>
            </w:r>
            <w:r>
              <w:rPr>
                <w:rFonts w:hint="eastAsia" w:ascii="仿宋_GB2312" w:eastAsia="仿宋_GB2312" w:cs="仿宋_GB2312"/>
                <w:bCs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eastAsia" w:ascii="仿宋_GB2312" w:eastAsia="仿宋_GB2312" w:cs="仿宋_GB2312"/>
                <w:bCs/>
                <w:sz w:val="24"/>
                <w:szCs w:val="24"/>
                <w:lang w:bidi="ar"/>
              </w:rPr>
              <w:t>，讲师，浙江农林大学；</w:t>
            </w:r>
          </w:p>
          <w:p w14:paraId="4B627CC7">
            <w:pPr>
              <w:spacing w:line="288" w:lineRule="auto"/>
              <w:jc w:val="both"/>
              <w:rPr>
                <w:rFonts w:hint="eastAsia" w:ascii="仿宋_GB2312" w:eastAsia="仿宋_GB2312" w:cs="仿宋_GB2312"/>
                <w:bCs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仿宋_GB2312"/>
                <w:bCs/>
                <w:sz w:val="24"/>
                <w:szCs w:val="24"/>
                <w:lang w:bidi="ar"/>
              </w:rPr>
              <w:t>田宝凤，排名6，高级工程师，南京神克隆科技有限公司；</w:t>
            </w:r>
          </w:p>
          <w:p w14:paraId="66979A08">
            <w:pPr>
              <w:spacing w:line="288" w:lineRule="auto"/>
              <w:jc w:val="both"/>
              <w:rPr>
                <w:rFonts w:hint="eastAsia" w:ascii="仿宋_GB2312" w:eastAsia="仿宋_GB2312" w:cs="仿宋_GB2312"/>
                <w:bCs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仿宋_GB2312"/>
                <w:bCs/>
                <w:sz w:val="24"/>
                <w:szCs w:val="24"/>
                <w:lang w:bidi="ar"/>
              </w:rPr>
              <w:t>陈儒雅，排名</w:t>
            </w:r>
            <w:r>
              <w:rPr>
                <w:rFonts w:hint="eastAsia" w:ascii="仿宋_GB2312" w:eastAsia="仿宋_GB2312" w:cs="仿宋_GB2312"/>
                <w:bCs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仿宋_GB2312" w:eastAsia="仿宋_GB2312" w:cs="仿宋_GB2312"/>
                <w:bCs/>
                <w:sz w:val="24"/>
                <w:szCs w:val="24"/>
                <w:lang w:bidi="ar"/>
              </w:rPr>
              <w:t>，讲师，浙江工商大学；</w:t>
            </w:r>
          </w:p>
          <w:p w14:paraId="34D8F096">
            <w:pPr>
              <w:spacing w:line="288" w:lineRule="auto"/>
              <w:jc w:val="both"/>
              <w:rPr>
                <w:rFonts w:hint="eastAsia" w:ascii="仿宋_GB2312" w:eastAsia="仿宋_GB2312" w:cs="仿宋_GB2312"/>
                <w:bCs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仿宋_GB2312"/>
                <w:bCs/>
                <w:sz w:val="24"/>
                <w:szCs w:val="24"/>
                <w:lang w:bidi="ar"/>
              </w:rPr>
              <w:t>唐丽娜，排名</w:t>
            </w:r>
            <w:r>
              <w:rPr>
                <w:rFonts w:hint="eastAsia" w:ascii="仿宋_GB2312" w:eastAsia="仿宋_GB2312" w:cs="仿宋_GB2312"/>
                <w:bCs/>
                <w:sz w:val="24"/>
                <w:szCs w:val="24"/>
                <w:lang w:val="en-US" w:eastAsia="zh-CN" w:bidi="ar"/>
              </w:rPr>
              <w:t>8</w:t>
            </w:r>
            <w:r>
              <w:rPr>
                <w:rFonts w:hint="eastAsia" w:ascii="仿宋_GB2312" w:eastAsia="仿宋_GB2312" w:cs="仿宋_GB2312"/>
                <w:bCs/>
                <w:sz w:val="24"/>
                <w:szCs w:val="24"/>
                <w:lang w:bidi="ar"/>
              </w:rPr>
              <w:t>，高级工程师，北京金控数据技术股份有限公司；</w:t>
            </w:r>
          </w:p>
          <w:p w14:paraId="3604B0CB">
            <w:pPr>
              <w:spacing w:line="288" w:lineRule="auto"/>
              <w:jc w:val="both"/>
              <w:rPr>
                <w:rFonts w:hint="eastAsia" w:ascii="仿宋_GB2312" w:eastAsia="仿宋_GB2312" w:cs="仿宋_GB2312"/>
                <w:bCs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仿宋_GB2312"/>
                <w:bCs/>
                <w:sz w:val="24"/>
                <w:szCs w:val="24"/>
                <w:lang w:val="en-US" w:eastAsia="zh-CN" w:bidi="ar"/>
              </w:rPr>
              <w:t>梁  颖</w:t>
            </w:r>
            <w:r>
              <w:rPr>
                <w:rFonts w:hint="eastAsia" w:ascii="仿宋_GB2312" w:eastAsia="仿宋_GB2312" w:cs="仿宋_GB2312"/>
                <w:bCs/>
                <w:sz w:val="24"/>
                <w:szCs w:val="24"/>
                <w:lang w:bidi="ar"/>
              </w:rPr>
              <w:t>，排名</w:t>
            </w:r>
            <w:r>
              <w:rPr>
                <w:rFonts w:hint="eastAsia" w:ascii="仿宋_GB2312" w:eastAsia="仿宋_GB2312" w:cs="仿宋_GB2312"/>
                <w:bCs/>
                <w:sz w:val="24"/>
                <w:szCs w:val="24"/>
                <w:lang w:val="en-US" w:eastAsia="zh-CN" w:bidi="ar"/>
              </w:rPr>
              <w:t>9</w:t>
            </w:r>
            <w:r>
              <w:rPr>
                <w:rFonts w:hint="eastAsia" w:ascii="仿宋_GB2312" w:eastAsia="仿宋_GB2312" w:cs="仿宋_GB2312"/>
                <w:bCs/>
                <w:sz w:val="24"/>
                <w:szCs w:val="24"/>
                <w:lang w:bidi="ar"/>
              </w:rPr>
              <w:t>，中级工程师，浙江百诺数智环境科技股份有限公司；</w:t>
            </w:r>
          </w:p>
          <w:p w14:paraId="19A40DA6">
            <w:pPr>
              <w:spacing w:line="288" w:lineRule="auto"/>
              <w:jc w:val="both"/>
              <w:rPr>
                <w:rFonts w:hint="eastAsia" w:ascii="仿宋_GB2312" w:eastAsia="仿宋_GB2312" w:cs="仿宋_GB2312"/>
                <w:bCs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eastAsia="仿宋_GB2312" w:cs="仿宋_GB2312"/>
                <w:bCs/>
                <w:sz w:val="24"/>
                <w:szCs w:val="24"/>
                <w:lang w:bidi="ar"/>
              </w:rPr>
              <w:t>康雅茹，排名1</w:t>
            </w:r>
            <w:r>
              <w:rPr>
                <w:rFonts w:hint="eastAsia" w:ascii="仿宋_GB2312" w:eastAsia="仿宋_GB2312" w:cs="仿宋_GB2312"/>
                <w:bCs/>
                <w:sz w:val="24"/>
                <w:szCs w:val="24"/>
                <w:lang w:val="en-US" w:eastAsia="zh-CN" w:bidi="ar"/>
              </w:rPr>
              <w:t>0</w:t>
            </w:r>
            <w:r>
              <w:rPr>
                <w:rFonts w:hint="eastAsia" w:ascii="仿宋_GB2312" w:eastAsia="仿宋_GB2312" w:cs="仿宋_GB2312"/>
                <w:bCs/>
                <w:sz w:val="24"/>
                <w:szCs w:val="24"/>
                <w:lang w:bidi="ar"/>
              </w:rPr>
              <w:t>，中级工程师，浙江百诺数智环境科技股份有限公司</w:t>
            </w:r>
            <w:r>
              <w:rPr>
                <w:rFonts w:hint="eastAsia" w:ascii="仿宋_GB2312" w:eastAsia="仿宋_GB2312" w:cs="仿宋_GB2312"/>
                <w:bCs/>
                <w:sz w:val="24"/>
                <w:szCs w:val="24"/>
                <w:lang w:eastAsia="zh-CN" w:bidi="ar"/>
              </w:rPr>
              <w:t>；</w:t>
            </w:r>
          </w:p>
          <w:p w14:paraId="2AE13B0C">
            <w:pPr>
              <w:spacing w:line="288" w:lineRule="auto"/>
              <w:jc w:val="both"/>
              <w:rPr>
                <w:rFonts w:hint="eastAsia" w:eastAsia="仿宋_GB2312"/>
                <w:bCs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bCs/>
                <w:sz w:val="24"/>
                <w:szCs w:val="24"/>
                <w:lang w:bidi="ar"/>
              </w:rPr>
              <w:t>沈信权，排名1</w:t>
            </w:r>
            <w:r>
              <w:rPr>
                <w:rFonts w:hint="eastAsia" w:ascii="仿宋_GB2312" w:eastAsia="仿宋_GB2312" w:cs="仿宋_GB2312"/>
                <w:bCs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eastAsia" w:ascii="仿宋_GB2312" w:eastAsia="仿宋_GB2312" w:cs="仿宋_GB2312"/>
                <w:bCs/>
                <w:sz w:val="24"/>
                <w:szCs w:val="24"/>
                <w:lang w:bidi="ar"/>
              </w:rPr>
              <w:t>，高级工程师，浙江百诺数智环境科技股份有限公司。</w:t>
            </w:r>
          </w:p>
        </w:tc>
      </w:tr>
      <w:tr w14:paraId="337E23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pct"/>
            <w:tcBorders>
              <w:right w:val="single" w:color="auto" w:sz="4" w:space="0"/>
            </w:tcBorders>
            <w:vAlign w:val="center"/>
          </w:tcPr>
          <w:p w14:paraId="13330567">
            <w:pPr>
              <w:spacing w:line="288" w:lineRule="auto"/>
              <w:jc w:val="center"/>
              <w:rPr>
                <w:rFonts w:eastAsia="仿宋"/>
                <w:b/>
                <w:bCs w:val="0"/>
                <w:sz w:val="28"/>
                <w:szCs w:val="28"/>
              </w:rPr>
            </w:pPr>
            <w:r>
              <w:rPr>
                <w:rFonts w:eastAsia="仿宋"/>
                <w:b/>
                <w:bCs w:val="0"/>
                <w:sz w:val="28"/>
                <w:szCs w:val="28"/>
              </w:rPr>
              <w:t>主要完成单位</w:t>
            </w:r>
          </w:p>
        </w:tc>
        <w:tc>
          <w:tcPr>
            <w:tcW w:w="4018" w:type="pct"/>
            <w:tcBorders>
              <w:left w:val="single" w:color="auto" w:sz="4" w:space="0"/>
            </w:tcBorders>
            <w:vAlign w:val="center"/>
          </w:tcPr>
          <w:p w14:paraId="5384176C">
            <w:pPr>
              <w:spacing w:line="288" w:lineRule="auto"/>
              <w:jc w:val="left"/>
              <w:rPr>
                <w:rFonts w:hint="eastAsia" w:eastAsia="仿宋_GB2312"/>
                <w:bCs/>
                <w:sz w:val="24"/>
                <w:szCs w:val="24"/>
              </w:rPr>
            </w:pPr>
            <w:r>
              <w:rPr>
                <w:rFonts w:hint="eastAsia" w:eastAsia="仿宋_GB2312"/>
                <w:bCs/>
                <w:sz w:val="24"/>
                <w:szCs w:val="24"/>
              </w:rPr>
              <w:t>1.单位名称：浙江农林大学</w:t>
            </w:r>
          </w:p>
          <w:p w14:paraId="686491A8">
            <w:pPr>
              <w:spacing w:line="288" w:lineRule="auto"/>
              <w:jc w:val="left"/>
              <w:rPr>
                <w:rFonts w:hint="eastAsia" w:eastAsia="仿宋_GB2312"/>
                <w:bCs/>
                <w:sz w:val="24"/>
                <w:szCs w:val="24"/>
              </w:rPr>
            </w:pPr>
            <w:r>
              <w:rPr>
                <w:rFonts w:hint="eastAsia" w:eastAsia="仿宋_GB2312"/>
                <w:bCs/>
                <w:sz w:val="24"/>
                <w:szCs w:val="24"/>
              </w:rPr>
              <w:t>2.单位名称：浙江百诺数智环境科技股份有限公司</w:t>
            </w:r>
          </w:p>
          <w:p w14:paraId="4B31CCDB">
            <w:pPr>
              <w:spacing w:line="288" w:lineRule="auto"/>
              <w:jc w:val="left"/>
              <w:rPr>
                <w:rFonts w:hint="eastAsia" w:eastAsia="仿宋_GB2312"/>
                <w:bCs/>
                <w:sz w:val="24"/>
                <w:szCs w:val="24"/>
              </w:rPr>
            </w:pPr>
            <w:r>
              <w:rPr>
                <w:rFonts w:hint="eastAsia" w:eastAsia="仿宋_GB2312"/>
                <w:bCs/>
                <w:sz w:val="24"/>
                <w:szCs w:val="24"/>
              </w:rPr>
              <w:t>3.单位名称：北京金控数据技术股份有限公司</w:t>
            </w:r>
          </w:p>
          <w:p w14:paraId="1507C87F">
            <w:pPr>
              <w:spacing w:line="288" w:lineRule="auto"/>
              <w:jc w:val="left"/>
              <w:rPr>
                <w:rFonts w:hint="eastAsia" w:eastAsia="仿宋_GB2312"/>
                <w:bCs/>
                <w:sz w:val="24"/>
                <w:szCs w:val="24"/>
              </w:rPr>
            </w:pPr>
            <w:r>
              <w:rPr>
                <w:rFonts w:hint="eastAsia" w:eastAsia="仿宋_GB2312"/>
                <w:bCs/>
                <w:sz w:val="24"/>
                <w:szCs w:val="24"/>
              </w:rPr>
              <w:t>4.单位名称：浙江工商大学</w:t>
            </w:r>
          </w:p>
          <w:p w14:paraId="12E069B7">
            <w:pPr>
              <w:spacing w:line="288" w:lineRule="auto"/>
              <w:jc w:val="left"/>
              <w:rPr>
                <w:rFonts w:hint="eastAsia" w:eastAsia="仿宋_GB2312"/>
                <w:bCs/>
                <w:sz w:val="24"/>
                <w:szCs w:val="24"/>
              </w:rPr>
            </w:pPr>
            <w:r>
              <w:rPr>
                <w:rFonts w:hint="eastAsia" w:eastAsia="仿宋_GB2312"/>
                <w:bCs/>
                <w:sz w:val="24"/>
                <w:szCs w:val="24"/>
              </w:rPr>
              <w:t>5.单位名称：南京神克隆科技有限公司</w:t>
            </w:r>
          </w:p>
          <w:p w14:paraId="4F3DF6BC">
            <w:pPr>
              <w:spacing w:line="288" w:lineRule="auto"/>
              <w:jc w:val="left"/>
              <w:rPr>
                <w:rFonts w:eastAsia="仿宋"/>
                <w:bCs/>
                <w:sz w:val="24"/>
                <w:szCs w:val="24"/>
              </w:rPr>
            </w:pPr>
            <w:r>
              <w:rPr>
                <w:rFonts w:hint="eastAsia" w:eastAsia="仿宋_GB2312"/>
                <w:bCs/>
                <w:sz w:val="24"/>
                <w:szCs w:val="24"/>
              </w:rPr>
              <w:t>6.单位名称：江南大学</w:t>
            </w:r>
          </w:p>
        </w:tc>
      </w:tr>
      <w:tr w14:paraId="18055A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55" w:type="dxa"/>
            <w:tcBorders>
              <w:right w:val="single" w:color="auto" w:sz="4" w:space="0"/>
            </w:tcBorders>
            <w:vAlign w:val="center"/>
          </w:tcPr>
          <w:p w14:paraId="449989D2">
            <w:pPr>
              <w:jc w:val="center"/>
              <w:rPr>
                <w:rFonts w:eastAsia="仿宋"/>
                <w:bCs/>
                <w:sz w:val="28"/>
                <w:szCs w:val="28"/>
              </w:rPr>
            </w:pPr>
            <w:r>
              <w:rPr>
                <w:rStyle w:val="8"/>
                <w:rFonts w:eastAsia="仿宋_GB2312"/>
                <w:color w:val="auto"/>
                <w:sz w:val="28"/>
              </w:rPr>
              <w:t>提名单位</w:t>
            </w:r>
          </w:p>
        </w:tc>
        <w:tc>
          <w:tcPr>
            <w:tcW w:w="4018" w:type="pct"/>
            <w:tcBorders>
              <w:left w:val="single" w:color="auto" w:sz="4" w:space="0"/>
            </w:tcBorders>
            <w:vAlign w:val="center"/>
          </w:tcPr>
          <w:p w14:paraId="0F1EDC7F">
            <w:pPr>
              <w:spacing w:line="288" w:lineRule="auto"/>
              <w:jc w:val="center"/>
              <w:rPr>
                <w:rFonts w:hint="eastAsia" w:eastAsia="仿宋_GB2312"/>
                <w:bCs/>
                <w:sz w:val="24"/>
                <w:szCs w:val="24"/>
              </w:rPr>
            </w:pPr>
            <w:r>
              <w:rPr>
                <w:rFonts w:hint="eastAsia" w:eastAsia="仿宋_GB2312"/>
                <w:bCs/>
                <w:sz w:val="24"/>
                <w:szCs w:val="24"/>
              </w:rPr>
              <w:t>浙江农林大学</w:t>
            </w:r>
          </w:p>
        </w:tc>
      </w:tr>
      <w:tr w14:paraId="429356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55" w:type="dxa"/>
            <w:tcBorders>
              <w:right w:val="single" w:color="auto" w:sz="4" w:space="0"/>
            </w:tcBorders>
            <w:vAlign w:val="center"/>
          </w:tcPr>
          <w:p w14:paraId="5C42159D">
            <w:pPr>
              <w:jc w:val="center"/>
              <w:rPr>
                <w:rFonts w:eastAsia="仿宋"/>
                <w:bCs/>
                <w:sz w:val="28"/>
                <w:szCs w:val="28"/>
              </w:rPr>
            </w:pPr>
            <w:r>
              <w:rPr>
                <w:rStyle w:val="8"/>
                <w:rFonts w:hint="eastAsia" w:eastAsia="仿宋_GB2312"/>
                <w:color w:val="auto"/>
                <w:sz w:val="28"/>
                <w:lang w:val="en-US" w:eastAsia="zh-CN"/>
              </w:rPr>
              <w:t>提名意见</w:t>
            </w:r>
          </w:p>
        </w:tc>
        <w:tc>
          <w:tcPr>
            <w:tcW w:w="4018" w:type="pct"/>
            <w:tcBorders>
              <w:left w:val="single" w:color="auto" w:sz="4" w:space="0"/>
            </w:tcBorders>
            <w:vAlign w:val="center"/>
          </w:tcPr>
          <w:p w14:paraId="1FE8782D">
            <w:pPr>
              <w:spacing w:line="288" w:lineRule="auto"/>
              <w:ind w:firstLine="440" w:firstLineChars="200"/>
              <w:contextualSpacing/>
              <w:rPr>
                <w:rFonts w:hint="eastAsia"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城镇污水处理厂同时承担着工业废水与生活污水混合处理的任务。由于工业</w:t>
            </w:r>
          </w:p>
          <w:p w14:paraId="0D02C3BA">
            <w:pPr>
              <w:spacing w:line="288" w:lineRule="auto"/>
              <w:contextualSpacing/>
              <w:rPr>
                <w:rFonts w:hint="eastAsia"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废水排放具有随机性、组分复杂且毒性冲击频繁等特点，致使生化系统长期陷入“毒性冲击-系统失稳-超标排放”的恶性循环。面对突发性、复合性及未知性毒性冲击，传统处理体系既缺乏有效的感知与响应能力，也难以实现精准预警与动态适配的协同调控，这已成为制约行业安全运行与绿色转型的核心瓶颈。</w:t>
            </w:r>
          </w:p>
          <w:p w14:paraId="16C764CE">
            <w:pPr>
              <w:spacing w:line="288" w:lineRule="auto"/>
              <w:ind w:firstLine="440" w:firstLineChars="200"/>
              <w:contextualSpacing/>
              <w:rPr>
                <w:rFonts w:hint="eastAsia"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针对上述重大需求，团队在国家重点研发计划等项目支持下，历经十余年产学研协同攻关，创新性的研发毒性智能感知、强化解毒调控及系统动态适配等核心技术，并形成全套自主可控的智能化装备与管控平台。</w:t>
            </w:r>
          </w:p>
          <w:p w14:paraId="223F4040">
            <w:pPr>
              <w:spacing w:line="288" w:lineRule="auto"/>
              <w:ind w:firstLine="440" w:firstLineChars="200"/>
              <w:contextualSpacing/>
              <w:rPr>
                <w:rFonts w:hint="eastAsia"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项目获授权发明专利</w:t>
            </w:r>
            <w:r>
              <w:rPr>
                <w:rFonts w:hint="eastAsia" w:eastAsia="仿宋_GB2312"/>
                <w:sz w:val="22"/>
                <w:szCs w:val="22"/>
                <w:lang w:val="en-US" w:eastAsia="zh-CN"/>
              </w:rPr>
              <w:t>54</w:t>
            </w:r>
            <w:r>
              <w:rPr>
                <w:rFonts w:hint="eastAsia" w:eastAsia="仿宋_GB2312"/>
                <w:sz w:val="22"/>
                <w:szCs w:val="22"/>
              </w:rPr>
              <w:t>件，成果已推广至全国308项工程，总日处理规模达1275.75万吨，近三年</w:t>
            </w:r>
            <w:bookmarkStart w:id="1" w:name="_GoBack"/>
            <w:bookmarkEnd w:id="1"/>
            <w:r>
              <w:rPr>
                <w:rFonts w:hint="eastAsia" w:eastAsia="仿宋_GB2312"/>
                <w:sz w:val="22"/>
                <w:szCs w:val="22"/>
              </w:rPr>
              <w:t>新增销售额71.08亿元，入选国家级标杆与典型案例。该成果实现了我国混合型污水处理厂从被动应对向主动防御、从经验运行向智慧管控的跨越，为行业减污降碳与高质量发展提供了系统性解决方案。。</w:t>
            </w:r>
          </w:p>
          <w:p w14:paraId="25A19C5F">
            <w:pPr>
              <w:spacing w:line="288" w:lineRule="auto"/>
              <w:ind w:firstLine="440" w:firstLineChars="200"/>
              <w:jc w:val="left"/>
              <w:rPr>
                <w:rFonts w:hint="eastAsia" w:eastAsia="仿宋_GB2312"/>
                <w:bCs/>
                <w:sz w:val="24"/>
                <w:szCs w:val="24"/>
              </w:rPr>
            </w:pPr>
            <w:r>
              <w:rPr>
                <w:rStyle w:val="8"/>
                <w:rFonts w:hint="eastAsia" w:eastAsia="仿宋_GB2312"/>
                <w:b w:val="0"/>
                <w:color w:val="auto"/>
                <w:sz w:val="22"/>
                <w:szCs w:val="22"/>
              </w:rPr>
              <w:t>对照浙江省生态环境科学技术奖一等奖授奖条件，特提名该项成果为省生态环境科学技术奖一等奖。</w:t>
            </w:r>
          </w:p>
        </w:tc>
      </w:tr>
    </w:tbl>
    <w:p w14:paraId="32601129">
      <w:pPr>
        <w:adjustRightInd w:val="0"/>
        <w:snapToGrid w:val="0"/>
        <w:spacing w:line="560" w:lineRule="exact"/>
        <w:rPr>
          <w:rFonts w:eastAsia="仿宋_GB2312"/>
          <w:sz w:val="32"/>
          <w:szCs w:val="32"/>
        </w:rPr>
      </w:pPr>
    </w:p>
    <w:sectPr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D2C6FBA-72C0-4CAC-A5A0-F44C3FB0DFF3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EC382F3C-C759-4F8D-A8A2-8B980F4EF6BA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3" w:fontKey="{40AB98DB-75C0-4089-A37C-EFCAA203FB4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29EF4E2A-DDB4-4E60-A5E3-0AC0448C8FAC}"/>
  </w:font>
  <w:font w:name="WPSEMBED28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444E46"/>
    <w:multiLevelType w:val="multilevel"/>
    <w:tmpl w:val="3F444E46"/>
    <w:lvl w:ilvl="0" w:tentative="0">
      <w:start w:val="1"/>
      <w:numFmt w:val="decimal"/>
      <w:lvlText w:val="[%1]"/>
      <w:lvlJc w:val="left"/>
      <w:pPr>
        <w:ind w:left="440" w:hanging="440"/>
      </w:pPr>
      <w:rPr>
        <w:rFonts w:hint="eastAsia"/>
        <w:b w:val="0"/>
        <w:bCs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TrueTypeFonts/>
  <w:saveSubsetFont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CBC"/>
    <w:rsid w:val="00084907"/>
    <w:rsid w:val="000C151C"/>
    <w:rsid w:val="00124E47"/>
    <w:rsid w:val="001B0873"/>
    <w:rsid w:val="002736FD"/>
    <w:rsid w:val="00305B94"/>
    <w:rsid w:val="00313FC0"/>
    <w:rsid w:val="003C5301"/>
    <w:rsid w:val="00431E22"/>
    <w:rsid w:val="00490A0E"/>
    <w:rsid w:val="00656CBC"/>
    <w:rsid w:val="007D71B8"/>
    <w:rsid w:val="00872F2A"/>
    <w:rsid w:val="009278B3"/>
    <w:rsid w:val="00A9251A"/>
    <w:rsid w:val="00AA2F71"/>
    <w:rsid w:val="00B725F9"/>
    <w:rsid w:val="00BA2175"/>
    <w:rsid w:val="00D55C03"/>
    <w:rsid w:val="00D73543"/>
    <w:rsid w:val="00EF7718"/>
    <w:rsid w:val="039A65F4"/>
    <w:rsid w:val="042B5143"/>
    <w:rsid w:val="0A951569"/>
    <w:rsid w:val="14213E6D"/>
    <w:rsid w:val="16E55626"/>
    <w:rsid w:val="1A1C2EA7"/>
    <w:rsid w:val="1DC30EE4"/>
    <w:rsid w:val="20711CD8"/>
    <w:rsid w:val="23294033"/>
    <w:rsid w:val="2E7B3D22"/>
    <w:rsid w:val="2EBD258D"/>
    <w:rsid w:val="2FC242FE"/>
    <w:rsid w:val="32226D24"/>
    <w:rsid w:val="36777300"/>
    <w:rsid w:val="376163AC"/>
    <w:rsid w:val="3C2A1290"/>
    <w:rsid w:val="4E375A60"/>
    <w:rsid w:val="50BA65E4"/>
    <w:rsid w:val="54BE6593"/>
    <w:rsid w:val="5AA224B3"/>
    <w:rsid w:val="5E5C5C69"/>
    <w:rsid w:val="5EF9595D"/>
    <w:rsid w:val="5FBA8D65"/>
    <w:rsid w:val="5FCF8820"/>
    <w:rsid w:val="64D92B07"/>
    <w:rsid w:val="76474E84"/>
    <w:rsid w:val="79254583"/>
    <w:rsid w:val="79FEF2FB"/>
    <w:rsid w:val="7BDF52B1"/>
    <w:rsid w:val="7DFCA661"/>
    <w:rsid w:val="B9EB2C55"/>
    <w:rsid w:val="DEFF2021"/>
    <w:rsid w:val="F7F78B18"/>
    <w:rsid w:val="FB7F2BFD"/>
    <w:rsid w:val="FD6FBE2E"/>
    <w:rsid w:val="FEFFB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widowControl/>
      <w:spacing w:before="340" w:after="330" w:line="578" w:lineRule="auto"/>
      <w:jc w:val="left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qFormat/>
    <w:uiPriority w:val="0"/>
    <w:rPr>
      <w:color w:val="0563C1"/>
      <w:u w:val="single"/>
    </w:rPr>
  </w:style>
  <w:style w:type="character" w:customStyle="1" w:styleId="8">
    <w:name w:val="title1"/>
    <w:qFormat/>
    <w:uiPriority w:val="0"/>
    <w:rPr>
      <w:b/>
      <w:bCs/>
      <w:color w:val="999900"/>
      <w:sz w:val="24"/>
      <w:szCs w:val="24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Unresolved Mention"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1481</Words>
  <Characters>1640</Characters>
  <Lines>10</Lines>
  <Paragraphs>3</Paragraphs>
  <TotalTime>0</TotalTime>
  <ScaleCrop>false</ScaleCrop>
  <LinksUpToDate>false</LinksUpToDate>
  <CharactersWithSpaces>1696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2025-09-24T05:35:00Z</dcterms:created>
  <dc:creator>Lenovo</dc:creator>
  <cp:lastModifiedBy>梁梁</cp:lastModifiedBy>
  <dcterms:modified xsi:type="dcterms:W3CDTF">2026-09-01T06:03:11Z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eyJoZGlkIjoiNWI0OWE4ZWZmZWQxNjAyM2RlOTBiYTZiNTU4MjczNmIiLCJ1c2VySWQiOiI0MjkzNzMwMzIifQ==</vt:lpwstr>
  </property>
  <property fmtid="{D5CDD505-2E9C-101B-9397-08002B2CF9AE}" pid="4" name="ICV">
    <vt:lpwstr>DEE56BF02AE04C48862AD6CF624C7F07_13</vt:lpwstr>
  </property>
</Properties>
</file>