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F182C">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pPr>
      <w:r>
        <w:rPr>
          <w:rFonts w:ascii="FZShuSong-Z01" w:hAnsi="FZShuSong-Z01" w:eastAsia="FZShuSong-Z01" w:cs="FZShuSong-Z01"/>
          <w:color w:val="000000"/>
          <w:kern w:val="0"/>
          <w:sz w:val="43"/>
          <w:szCs w:val="43"/>
          <w:lang w:val="en-US" w:eastAsia="zh-CN" w:bidi="ar"/>
        </w:rPr>
        <w:t>杭州市建设项目生</w:t>
      </w:r>
      <w:bookmarkStart w:id="96" w:name="_GoBack"/>
      <w:bookmarkEnd w:id="96"/>
      <w:r>
        <w:rPr>
          <w:rFonts w:ascii="FZShuSong-Z01" w:hAnsi="FZShuSong-Z01" w:eastAsia="FZShuSong-Z01" w:cs="FZShuSong-Z01"/>
          <w:color w:val="000000"/>
          <w:kern w:val="0"/>
          <w:sz w:val="43"/>
          <w:szCs w:val="43"/>
          <w:lang w:val="en-US" w:eastAsia="zh-CN" w:bidi="ar"/>
        </w:rPr>
        <w:t>态环境影响登记表</w:t>
      </w:r>
    </w:p>
    <w:p w14:paraId="6B42AFE7">
      <w:pPr>
        <w:keepNext w:val="0"/>
        <w:keepLines w:val="0"/>
        <w:widowControl/>
        <w:suppressLineNumbers w:val="0"/>
        <w:jc w:val="right"/>
      </w:pPr>
      <w:r>
        <w:rPr>
          <w:rFonts w:ascii="仿宋_GB2312" w:hAnsi="仿宋_GB2312" w:eastAsia="仿宋_GB2312" w:cs="仿宋_GB2312"/>
          <w:color w:val="000000"/>
          <w:kern w:val="0"/>
          <w:sz w:val="28"/>
          <w:szCs w:val="28"/>
          <w:lang w:val="en-US" w:eastAsia="zh-CN" w:bidi="ar"/>
        </w:rPr>
        <w:t>填表日期：</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年</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 xml:space="preserve"> 月</w:t>
      </w:r>
      <w:r>
        <w:rPr>
          <w:rFonts w:hint="eastAsia" w:ascii="仿宋_GB2312" w:hAnsi="仿宋_GB2312" w:eastAsia="仿宋_GB2312" w:cs="仿宋_GB2312"/>
          <w:color w:val="000000"/>
          <w:kern w:val="0"/>
          <w:sz w:val="28"/>
          <w:szCs w:val="28"/>
          <w:lang w:val="en-US" w:eastAsia="zh-CN" w:bidi="ar"/>
        </w:rPr>
        <w:t xml:space="preserve">  </w:t>
      </w:r>
      <w:r>
        <w:rPr>
          <w:rFonts w:ascii="仿宋_GB2312" w:hAnsi="仿宋_GB2312" w:eastAsia="仿宋_GB2312" w:cs="仿宋_GB2312"/>
          <w:color w:val="000000"/>
          <w:kern w:val="0"/>
          <w:sz w:val="28"/>
          <w:szCs w:val="28"/>
          <w:lang w:val="en-US" w:eastAsia="zh-CN" w:bidi="ar"/>
        </w:rPr>
        <w:t xml:space="preserve"> 日</w:t>
      </w:r>
    </w:p>
    <w:tbl>
      <w:tblPr>
        <w:tblStyle w:val="31"/>
        <w:tblW w:w="62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9"/>
        <w:gridCol w:w="1218"/>
        <w:gridCol w:w="1420"/>
        <w:gridCol w:w="1539"/>
        <w:gridCol w:w="1683"/>
        <w:gridCol w:w="2121"/>
        <w:gridCol w:w="1138"/>
      </w:tblGrid>
      <w:tr w14:paraId="6BB1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158815E6">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项目名称</w:t>
            </w:r>
          </w:p>
        </w:tc>
        <w:tc>
          <w:tcPr>
            <w:tcW w:w="8578" w:type="dxa"/>
            <w:gridSpan w:val="6"/>
            <w:tcMar>
              <w:top w:w="113" w:type="dxa"/>
              <w:left w:w="113" w:type="dxa"/>
              <w:bottom w:w="113" w:type="dxa"/>
              <w:right w:w="113" w:type="dxa"/>
            </w:tcMar>
            <w:vAlign w:val="center"/>
          </w:tcPr>
          <w:p w14:paraId="509676A8">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青西二路（江东大道-河景路）道路工程</w:t>
            </w:r>
          </w:p>
        </w:tc>
      </w:tr>
      <w:tr w14:paraId="04B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087BC4D7">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生态环境影响</w:t>
            </w:r>
          </w:p>
          <w:p w14:paraId="144CEC14">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评价项目类别</w:t>
            </w:r>
          </w:p>
        </w:tc>
        <w:tc>
          <w:tcPr>
            <w:tcW w:w="8578" w:type="dxa"/>
            <w:gridSpan w:val="6"/>
            <w:tcMar>
              <w:top w:w="113" w:type="dxa"/>
              <w:left w:w="113" w:type="dxa"/>
              <w:bottom w:w="113" w:type="dxa"/>
              <w:right w:w="113" w:type="dxa"/>
            </w:tcMar>
            <w:vAlign w:val="center"/>
          </w:tcPr>
          <w:p w14:paraId="012C69C9">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五十二、交通运输业、管道运输业-131城市道路（不含维护；不含支路、人行天桥、人行地道）</w:t>
            </w:r>
          </w:p>
        </w:tc>
      </w:tr>
      <w:tr w14:paraId="0A28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6AA256FF">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排污许可</w:t>
            </w:r>
          </w:p>
          <w:p w14:paraId="79AF828A">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行业类别</w:t>
            </w:r>
          </w:p>
        </w:tc>
        <w:tc>
          <w:tcPr>
            <w:tcW w:w="8578" w:type="dxa"/>
            <w:gridSpan w:val="6"/>
            <w:tcMar>
              <w:top w:w="113" w:type="dxa"/>
              <w:left w:w="113" w:type="dxa"/>
              <w:bottom w:w="113" w:type="dxa"/>
              <w:right w:w="113" w:type="dxa"/>
            </w:tcMar>
            <w:vAlign w:val="center"/>
          </w:tcPr>
          <w:p w14:paraId="42324217">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无</w:t>
            </w:r>
          </w:p>
        </w:tc>
      </w:tr>
      <w:tr w14:paraId="5D32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518A8EFF">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所属改革区域</w:t>
            </w:r>
          </w:p>
        </w:tc>
        <w:tc>
          <w:tcPr>
            <w:tcW w:w="2482" w:type="dxa"/>
            <w:gridSpan w:val="2"/>
            <w:tcMar>
              <w:top w:w="113" w:type="dxa"/>
              <w:left w:w="113" w:type="dxa"/>
              <w:bottom w:w="113" w:type="dxa"/>
              <w:right w:w="113" w:type="dxa"/>
            </w:tcMar>
            <w:vAlign w:val="center"/>
          </w:tcPr>
          <w:p w14:paraId="7F531DFA">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lang w:val="en-US" w:eastAsia="zh-CN"/>
              </w:rPr>
              <w:t>杭州大江东产业集聚区</w:t>
            </w:r>
          </w:p>
        </w:tc>
        <w:tc>
          <w:tcPr>
            <w:tcW w:w="3031" w:type="dxa"/>
            <w:gridSpan w:val="2"/>
            <w:tcMar>
              <w:top w:w="113" w:type="dxa"/>
              <w:left w:w="113" w:type="dxa"/>
              <w:bottom w:w="113" w:type="dxa"/>
              <w:right w:w="113" w:type="dxa"/>
            </w:tcMar>
            <w:vAlign w:val="center"/>
          </w:tcPr>
          <w:p w14:paraId="1EA25CBD">
            <w:pPr>
              <w:keepNext w:val="0"/>
              <w:keepLines w:val="0"/>
              <w:widowControl/>
              <w:suppressLineNumbers w:val="0"/>
              <w:jc w:val="center"/>
              <w:rPr>
                <w:rFonts w:hint="default" w:ascii="Times New Roman" w:hAnsi="Times New Roman" w:eastAsia="黑体" w:cs="Times New Roman"/>
                <w:b w:val="0"/>
                <w:bCs w:val="0"/>
                <w:sz w:val="21"/>
                <w:szCs w:val="21"/>
              </w:rPr>
            </w:pPr>
            <w:r>
              <w:rPr>
                <w:rFonts w:hint="default" w:ascii="Times New Roman" w:hAnsi="Times New Roman" w:eastAsia="黑体" w:cs="Times New Roman"/>
                <w:b w:val="0"/>
                <w:bCs w:val="0"/>
                <w:color w:val="000000"/>
                <w:kern w:val="0"/>
                <w:sz w:val="21"/>
                <w:szCs w:val="21"/>
                <w:lang w:val="en-US" w:eastAsia="zh-CN" w:bidi="ar"/>
              </w:rPr>
              <w:t>改革区域规划环评文件审</w:t>
            </w:r>
          </w:p>
          <w:p w14:paraId="7D48F68A">
            <w:pPr>
              <w:keepNext w:val="0"/>
              <w:keepLines w:val="0"/>
              <w:widowControl/>
              <w:suppressLineNumbers w:val="0"/>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color w:val="000000"/>
                <w:kern w:val="0"/>
                <w:sz w:val="21"/>
                <w:szCs w:val="21"/>
                <w:lang w:val="en-US" w:eastAsia="zh-CN" w:bidi="ar"/>
              </w:rPr>
              <w:t>查和实施文件名称和编号</w:t>
            </w:r>
          </w:p>
        </w:tc>
        <w:tc>
          <w:tcPr>
            <w:tcW w:w="3065" w:type="dxa"/>
            <w:gridSpan w:val="2"/>
            <w:tcMar>
              <w:top w:w="113" w:type="dxa"/>
              <w:left w:w="113" w:type="dxa"/>
              <w:bottom w:w="113" w:type="dxa"/>
              <w:right w:w="113" w:type="dxa"/>
            </w:tcMar>
            <w:vAlign w:val="center"/>
          </w:tcPr>
          <w:p w14:paraId="0626E3AE">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lang w:val="en-US" w:eastAsia="zh-CN"/>
              </w:rPr>
              <w:t>《杭州大江东产业集聚区（大江东新区）分区规划环境影响报告书》（浙环函[2018]533号）</w:t>
            </w:r>
          </w:p>
        </w:tc>
      </w:tr>
      <w:tr w14:paraId="314F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3594B752">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建设地点</w:t>
            </w:r>
          </w:p>
        </w:tc>
        <w:tc>
          <w:tcPr>
            <w:tcW w:w="2482" w:type="dxa"/>
            <w:gridSpan w:val="2"/>
            <w:tcMar>
              <w:top w:w="113" w:type="dxa"/>
              <w:left w:w="113" w:type="dxa"/>
              <w:bottom w:w="113" w:type="dxa"/>
              <w:right w:w="113" w:type="dxa"/>
            </w:tcMar>
            <w:vAlign w:val="center"/>
          </w:tcPr>
          <w:p w14:paraId="7DE0A195">
            <w:pPr>
              <w:jc w:val="center"/>
              <w:rPr>
                <w:rFonts w:hint="eastAsia"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rPr>
              <w:t>浙江省杭州市钱塘区</w:t>
            </w:r>
            <w:r>
              <w:rPr>
                <w:rFonts w:hint="eastAsia" w:ascii="Times New Roman" w:hAnsi="Times New Roman" w:eastAsia="宋体" w:cs="Times New Roman"/>
                <w:sz w:val="21"/>
                <w:szCs w:val="21"/>
                <w:vertAlign w:val="baseline"/>
                <w:lang w:val="en-US" w:eastAsia="zh-CN"/>
              </w:rPr>
              <w:t>河庄街道</w:t>
            </w:r>
          </w:p>
        </w:tc>
        <w:tc>
          <w:tcPr>
            <w:tcW w:w="3031" w:type="dxa"/>
            <w:gridSpan w:val="2"/>
            <w:tcMar>
              <w:top w:w="113" w:type="dxa"/>
              <w:left w:w="113" w:type="dxa"/>
              <w:bottom w:w="113" w:type="dxa"/>
              <w:right w:w="113" w:type="dxa"/>
            </w:tcMar>
            <w:vAlign w:val="center"/>
          </w:tcPr>
          <w:p w14:paraId="3A2E7CC4">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建设面积（平方米）</w:t>
            </w:r>
          </w:p>
        </w:tc>
        <w:tc>
          <w:tcPr>
            <w:tcW w:w="3065" w:type="dxa"/>
            <w:gridSpan w:val="2"/>
            <w:tcMar>
              <w:top w:w="113" w:type="dxa"/>
              <w:left w:w="113" w:type="dxa"/>
              <w:bottom w:w="113" w:type="dxa"/>
              <w:right w:w="113" w:type="dxa"/>
            </w:tcMar>
            <w:vAlign w:val="center"/>
          </w:tcPr>
          <w:p w14:paraId="7F798C80">
            <w:pPr>
              <w:jc w:val="center"/>
              <w:rPr>
                <w:rFonts w:hint="default" w:ascii="Times New Roman" w:hAnsi="Times New Roman" w:eastAsia="宋体" w:cs="Times New Roman"/>
                <w:sz w:val="21"/>
                <w:szCs w:val="21"/>
                <w:vertAlign w:val="baseline"/>
                <w:lang w:val="en-US" w:eastAsia="zh-CN"/>
              </w:rPr>
            </w:pPr>
            <w:r>
              <w:rPr>
                <w:rFonts w:hint="eastAsia" w:ascii="Times New Roman" w:hAnsi="Times New Roman" w:eastAsia="宋体" w:cs="Times New Roman"/>
                <w:sz w:val="21"/>
                <w:szCs w:val="21"/>
                <w:vertAlign w:val="baseline"/>
                <w:lang w:val="en-US" w:eastAsia="zh-CN"/>
              </w:rPr>
              <w:t>道路全长约868m，其中新建长度 853m，标准断面宽度24米，用地规模约2.3203 hm</w:t>
            </w:r>
            <w:r>
              <w:rPr>
                <w:rFonts w:hint="eastAsia" w:ascii="Times New Roman" w:hAnsi="Times New Roman" w:eastAsia="宋体" w:cs="Times New Roman"/>
                <w:sz w:val="21"/>
                <w:szCs w:val="21"/>
                <w:vertAlign w:val="superscript"/>
                <w:lang w:val="en-US" w:eastAsia="zh-CN"/>
              </w:rPr>
              <w:t>2</w:t>
            </w:r>
          </w:p>
        </w:tc>
      </w:tr>
      <w:tr w14:paraId="68F4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51DF511D">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建设单位</w:t>
            </w:r>
          </w:p>
        </w:tc>
        <w:tc>
          <w:tcPr>
            <w:tcW w:w="2482" w:type="dxa"/>
            <w:gridSpan w:val="2"/>
            <w:tcMar>
              <w:top w:w="113" w:type="dxa"/>
              <w:left w:w="113" w:type="dxa"/>
              <w:bottom w:w="113" w:type="dxa"/>
              <w:right w:w="113" w:type="dxa"/>
            </w:tcMar>
            <w:vAlign w:val="center"/>
          </w:tcPr>
          <w:p w14:paraId="71632F50">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杭州青西建设开发有限公司</w:t>
            </w:r>
          </w:p>
        </w:tc>
        <w:tc>
          <w:tcPr>
            <w:tcW w:w="3031" w:type="dxa"/>
            <w:gridSpan w:val="2"/>
            <w:tcMar>
              <w:top w:w="113" w:type="dxa"/>
              <w:left w:w="113" w:type="dxa"/>
              <w:bottom w:w="113" w:type="dxa"/>
              <w:right w:w="113" w:type="dxa"/>
            </w:tcMar>
            <w:vAlign w:val="center"/>
          </w:tcPr>
          <w:p w14:paraId="2FC91059">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法定代表人</w:t>
            </w:r>
          </w:p>
        </w:tc>
        <w:tc>
          <w:tcPr>
            <w:tcW w:w="3065" w:type="dxa"/>
            <w:gridSpan w:val="2"/>
            <w:tcMar>
              <w:top w:w="113" w:type="dxa"/>
              <w:left w:w="113" w:type="dxa"/>
              <w:bottom w:w="113" w:type="dxa"/>
              <w:right w:w="113" w:type="dxa"/>
            </w:tcMar>
            <w:vAlign w:val="center"/>
          </w:tcPr>
          <w:p w14:paraId="1BE0A750">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lang w:val="en-US" w:eastAsia="zh-CN"/>
              </w:rPr>
              <w:t>王晓成</w:t>
            </w:r>
          </w:p>
        </w:tc>
      </w:tr>
      <w:tr w14:paraId="3F3F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06E13BD5">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联系人</w:t>
            </w:r>
          </w:p>
        </w:tc>
        <w:tc>
          <w:tcPr>
            <w:tcW w:w="2482" w:type="dxa"/>
            <w:gridSpan w:val="2"/>
            <w:tcMar>
              <w:top w:w="113" w:type="dxa"/>
              <w:left w:w="113" w:type="dxa"/>
              <w:bottom w:w="113" w:type="dxa"/>
              <w:right w:w="113" w:type="dxa"/>
            </w:tcMar>
            <w:vAlign w:val="center"/>
          </w:tcPr>
          <w:p w14:paraId="134B7E68">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许鹏</w:t>
            </w:r>
          </w:p>
        </w:tc>
        <w:tc>
          <w:tcPr>
            <w:tcW w:w="3031" w:type="dxa"/>
            <w:gridSpan w:val="2"/>
            <w:tcMar>
              <w:top w:w="113" w:type="dxa"/>
              <w:left w:w="113" w:type="dxa"/>
              <w:bottom w:w="113" w:type="dxa"/>
              <w:right w:w="113" w:type="dxa"/>
            </w:tcMar>
            <w:vAlign w:val="center"/>
          </w:tcPr>
          <w:p w14:paraId="1601E24F">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联系电话</w:t>
            </w:r>
          </w:p>
        </w:tc>
        <w:tc>
          <w:tcPr>
            <w:tcW w:w="3065" w:type="dxa"/>
            <w:gridSpan w:val="2"/>
            <w:tcMar>
              <w:top w:w="113" w:type="dxa"/>
              <w:left w:w="113" w:type="dxa"/>
              <w:bottom w:w="113" w:type="dxa"/>
              <w:right w:w="113" w:type="dxa"/>
            </w:tcMar>
            <w:vAlign w:val="center"/>
          </w:tcPr>
          <w:p w14:paraId="05AD6F59">
            <w:pPr>
              <w:jc w:val="center"/>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13989485232</w:t>
            </w:r>
          </w:p>
        </w:tc>
      </w:tr>
      <w:tr w14:paraId="5F2C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086A1C19">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项目投资（万元）</w:t>
            </w:r>
          </w:p>
        </w:tc>
        <w:tc>
          <w:tcPr>
            <w:tcW w:w="2482" w:type="dxa"/>
            <w:gridSpan w:val="2"/>
            <w:tcMar>
              <w:top w:w="113" w:type="dxa"/>
              <w:left w:w="113" w:type="dxa"/>
              <w:bottom w:w="113" w:type="dxa"/>
              <w:right w:w="113" w:type="dxa"/>
            </w:tcMar>
            <w:vAlign w:val="center"/>
          </w:tcPr>
          <w:p w14:paraId="31F08C1B">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8674.92</w:t>
            </w:r>
          </w:p>
        </w:tc>
        <w:tc>
          <w:tcPr>
            <w:tcW w:w="3031" w:type="dxa"/>
            <w:gridSpan w:val="2"/>
            <w:tcMar>
              <w:top w:w="113" w:type="dxa"/>
              <w:left w:w="113" w:type="dxa"/>
              <w:bottom w:w="113" w:type="dxa"/>
              <w:right w:w="113" w:type="dxa"/>
            </w:tcMar>
            <w:vAlign w:val="center"/>
          </w:tcPr>
          <w:p w14:paraId="4231DA9B">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环保投资（万元）</w:t>
            </w:r>
          </w:p>
        </w:tc>
        <w:tc>
          <w:tcPr>
            <w:tcW w:w="3065" w:type="dxa"/>
            <w:gridSpan w:val="2"/>
            <w:tcMar>
              <w:top w:w="113" w:type="dxa"/>
              <w:left w:w="113" w:type="dxa"/>
              <w:bottom w:w="113" w:type="dxa"/>
              <w:right w:w="113" w:type="dxa"/>
            </w:tcMar>
            <w:vAlign w:val="center"/>
          </w:tcPr>
          <w:p w14:paraId="1310EF45">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65</w:t>
            </w:r>
          </w:p>
        </w:tc>
      </w:tr>
      <w:tr w14:paraId="0509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3A78289F">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拟投入生产</w:t>
            </w:r>
          </w:p>
          <w:p w14:paraId="273E9AE5">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运营日期</w:t>
            </w:r>
          </w:p>
        </w:tc>
        <w:tc>
          <w:tcPr>
            <w:tcW w:w="8578" w:type="dxa"/>
            <w:gridSpan w:val="6"/>
            <w:tcMar>
              <w:top w:w="113" w:type="dxa"/>
              <w:left w:w="113" w:type="dxa"/>
              <w:bottom w:w="113" w:type="dxa"/>
              <w:right w:w="113" w:type="dxa"/>
            </w:tcMar>
            <w:vAlign w:val="center"/>
          </w:tcPr>
          <w:p w14:paraId="5376BEA7">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2027年</w:t>
            </w:r>
            <w:r>
              <w:rPr>
                <w:rFonts w:hint="eastAsia" w:ascii="Times New Roman" w:hAnsi="Times New Roman" w:eastAsia="宋体" w:cs="Times New Roman"/>
                <w:sz w:val="21"/>
                <w:szCs w:val="21"/>
                <w:vertAlign w:val="baseline"/>
                <w:lang w:val="en-US" w:eastAsia="zh-CN"/>
              </w:rPr>
              <w:t>9</w:t>
            </w:r>
            <w:r>
              <w:rPr>
                <w:rFonts w:hint="default" w:ascii="Times New Roman" w:hAnsi="Times New Roman" w:eastAsia="宋体" w:cs="Times New Roman"/>
                <w:sz w:val="21"/>
                <w:szCs w:val="21"/>
                <w:vertAlign w:val="baseline"/>
                <w:lang w:val="en-US" w:eastAsia="zh-CN"/>
              </w:rPr>
              <w:t>月</w:t>
            </w:r>
          </w:p>
        </w:tc>
      </w:tr>
      <w:tr w14:paraId="5F53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5083F0EB">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建设性质</w:t>
            </w:r>
          </w:p>
        </w:tc>
        <w:tc>
          <w:tcPr>
            <w:tcW w:w="8578" w:type="dxa"/>
            <w:gridSpan w:val="6"/>
            <w:tcMar>
              <w:top w:w="113" w:type="dxa"/>
              <w:left w:w="113" w:type="dxa"/>
              <w:bottom w:w="113" w:type="dxa"/>
              <w:right w:w="113" w:type="dxa"/>
            </w:tcMar>
            <w:vAlign w:val="center"/>
          </w:tcPr>
          <w:p w14:paraId="40D67041">
            <w:pPr>
              <w:jc w:val="left"/>
              <w:rPr>
                <w:rFonts w:hint="default" w:ascii="Times New Roman" w:hAnsi="Times New Roman" w:eastAsia="黑体" w:cs="Times New Roman"/>
                <w:sz w:val="21"/>
                <w:szCs w:val="21"/>
                <w:vertAlign w:val="baseline"/>
              </w:rPr>
            </w:pPr>
            <w:r>
              <w:rPr>
                <w:rFonts w:hint="default" w:ascii="Times New Roman" w:hAnsi="Times New Roman" w:eastAsia="黑体" w:cs="Times New Roman"/>
                <w:sz w:val="21"/>
                <w:szCs w:val="21"/>
                <w:vertAlign w:val="baseline"/>
                <w:lang w:eastAsia="zh-CN"/>
              </w:rPr>
              <w:t>☑</w:t>
            </w:r>
            <w:r>
              <w:rPr>
                <w:rFonts w:hint="default" w:ascii="Times New Roman" w:hAnsi="Times New Roman" w:eastAsia="黑体" w:cs="Times New Roman"/>
                <w:sz w:val="21"/>
                <w:szCs w:val="21"/>
                <w:vertAlign w:val="baseline"/>
              </w:rPr>
              <w:t>新建</w:t>
            </w:r>
            <w:r>
              <w:rPr>
                <w:rFonts w:hint="default" w:ascii="Times New Roman" w:hAnsi="Times New Roman" w:eastAsia="黑体" w:cs="Times New Roman"/>
                <w:sz w:val="21"/>
                <w:szCs w:val="21"/>
                <w:vertAlign w:val="baseline"/>
                <w:lang w:val="en-US" w:eastAsia="zh-CN"/>
              </w:rPr>
              <w:t xml:space="preserve">    </w:t>
            </w:r>
            <w:r>
              <w:rPr>
                <w:rFonts w:hint="default" w:ascii="Times New Roman" w:hAnsi="Times New Roman" w:eastAsia="黑体" w:cs="Times New Roman"/>
                <w:sz w:val="21"/>
                <w:szCs w:val="21"/>
                <w:vertAlign w:val="baseline"/>
                <w:lang w:eastAsia="zh-CN"/>
              </w:rPr>
              <w:t>□</w:t>
            </w:r>
            <w:r>
              <w:rPr>
                <w:rFonts w:hint="default" w:ascii="Times New Roman" w:hAnsi="Times New Roman" w:eastAsia="黑体" w:cs="Times New Roman"/>
                <w:sz w:val="21"/>
                <w:szCs w:val="21"/>
                <w:vertAlign w:val="baseline"/>
              </w:rPr>
              <w:t>改建</w:t>
            </w:r>
            <w:r>
              <w:rPr>
                <w:rFonts w:hint="default" w:ascii="Times New Roman" w:hAnsi="Times New Roman" w:eastAsia="黑体" w:cs="Times New Roman"/>
                <w:sz w:val="21"/>
                <w:szCs w:val="21"/>
                <w:vertAlign w:val="baseline"/>
                <w:lang w:val="en-US" w:eastAsia="zh-CN"/>
              </w:rPr>
              <w:t xml:space="preserve">    </w:t>
            </w:r>
            <w:r>
              <w:rPr>
                <w:rFonts w:hint="default" w:ascii="Times New Roman" w:hAnsi="Times New Roman" w:eastAsia="黑体" w:cs="Times New Roman"/>
                <w:sz w:val="21"/>
                <w:szCs w:val="21"/>
                <w:vertAlign w:val="baseline"/>
                <w:lang w:eastAsia="zh-CN"/>
              </w:rPr>
              <w:t>□</w:t>
            </w:r>
            <w:r>
              <w:rPr>
                <w:rFonts w:hint="default" w:ascii="Times New Roman" w:hAnsi="Times New Roman" w:eastAsia="黑体" w:cs="Times New Roman"/>
                <w:sz w:val="21"/>
                <w:szCs w:val="21"/>
                <w:vertAlign w:val="baseline"/>
              </w:rPr>
              <w:t>扩建</w:t>
            </w:r>
          </w:p>
        </w:tc>
      </w:tr>
      <w:tr w14:paraId="6AB5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48F72815">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生态环境分区管控单元名称</w:t>
            </w:r>
          </w:p>
        </w:tc>
        <w:tc>
          <w:tcPr>
            <w:tcW w:w="2482" w:type="dxa"/>
            <w:gridSpan w:val="2"/>
            <w:tcMar>
              <w:top w:w="113" w:type="dxa"/>
              <w:left w:w="113" w:type="dxa"/>
              <w:bottom w:w="113" w:type="dxa"/>
              <w:right w:w="113" w:type="dxa"/>
            </w:tcMar>
            <w:vAlign w:val="center"/>
          </w:tcPr>
          <w:p w14:paraId="0E40ECDF">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宋体" w:cs="Times New Roman"/>
                <w:sz w:val="21"/>
                <w:szCs w:val="21"/>
                <w:vertAlign w:val="baseline"/>
              </w:rPr>
              <w:t>钱塘区大江东城镇生活重点管控单元ZH33011420002</w:t>
            </w:r>
          </w:p>
        </w:tc>
        <w:tc>
          <w:tcPr>
            <w:tcW w:w="3031" w:type="dxa"/>
            <w:gridSpan w:val="2"/>
            <w:tcMar>
              <w:top w:w="113" w:type="dxa"/>
              <w:left w:w="113" w:type="dxa"/>
              <w:bottom w:w="113" w:type="dxa"/>
              <w:right w:w="113" w:type="dxa"/>
            </w:tcMar>
            <w:vAlign w:val="center"/>
          </w:tcPr>
          <w:p w14:paraId="39D6D7A7">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生态环境分区主要管</w:t>
            </w:r>
          </w:p>
          <w:p w14:paraId="0957DE1A">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控要求</w:t>
            </w:r>
          </w:p>
        </w:tc>
        <w:tc>
          <w:tcPr>
            <w:tcW w:w="3065" w:type="dxa"/>
            <w:gridSpan w:val="2"/>
            <w:tcMar>
              <w:top w:w="113" w:type="dxa"/>
              <w:left w:w="113" w:type="dxa"/>
              <w:bottom w:w="113" w:type="dxa"/>
              <w:right w:w="113" w:type="dxa"/>
            </w:tcMar>
            <w:vAlign w:val="center"/>
          </w:tcPr>
          <w:p w14:paraId="65C1E136">
            <w:pPr>
              <w:jc w:val="both"/>
              <w:rPr>
                <w:rFonts w:hint="eastAsia"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空间布局引导</w:t>
            </w:r>
            <w:r>
              <w:rPr>
                <w:rFonts w:hint="eastAsia" w:ascii="Times New Roman" w:hAnsi="Times New Roman" w:eastAsia="宋体" w:cs="Times New Roman"/>
                <w:sz w:val="21"/>
                <w:szCs w:val="21"/>
                <w:vertAlign w:val="baseline"/>
                <w:lang w:val="en-US" w:eastAsia="zh-CN"/>
              </w:rPr>
              <w:t>：</w:t>
            </w:r>
          </w:p>
          <w:p w14:paraId="534C8DCB">
            <w:pPr>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禁止新建、扩建三类工业项目，现有三类工业项目改建不得增加污染物排放总量，鼓励现有三类工业项目搬迁关闭。除工业功能区（小微园区、工业集聚点）外，原则上禁止新建其他二类工业项目。现有二类工业项目改建、扩建，不得增加管控单元污染物排放总量。严格执行畜禽养殖禁养区规定。</w:t>
            </w:r>
          </w:p>
          <w:p w14:paraId="5C574274">
            <w:pPr>
              <w:jc w:val="both"/>
              <w:rPr>
                <w:rFonts w:hint="eastAsia"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污染物排放管控</w:t>
            </w:r>
            <w:r>
              <w:rPr>
                <w:rFonts w:hint="eastAsia" w:ascii="Times New Roman" w:hAnsi="Times New Roman" w:eastAsia="宋体" w:cs="Times New Roman"/>
                <w:sz w:val="21"/>
                <w:szCs w:val="21"/>
                <w:vertAlign w:val="baseline"/>
                <w:lang w:val="en-US" w:eastAsia="zh-CN"/>
              </w:rPr>
              <w:t>：</w:t>
            </w:r>
          </w:p>
          <w:p w14:paraId="610BD8C9">
            <w:pPr>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深化城镇“污水零直排区”建设。加强噪声和臭气异味防治，强化餐饮油烟治理，严格施工扬尘监管。</w:t>
            </w:r>
          </w:p>
          <w:p w14:paraId="1E84973A">
            <w:pPr>
              <w:jc w:val="both"/>
              <w:rPr>
                <w:rFonts w:hint="eastAsia"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环境风险防控</w:t>
            </w:r>
            <w:r>
              <w:rPr>
                <w:rFonts w:hint="eastAsia" w:ascii="Times New Roman" w:hAnsi="Times New Roman" w:eastAsia="宋体" w:cs="Times New Roman"/>
                <w:sz w:val="21"/>
                <w:szCs w:val="21"/>
                <w:vertAlign w:val="baseline"/>
                <w:lang w:val="en-US" w:eastAsia="zh-CN"/>
              </w:rPr>
              <w:t>：</w:t>
            </w:r>
          </w:p>
          <w:p w14:paraId="13DDF7CC">
            <w:pPr>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合理布局工业、商业、居住、科教等功能区块，严格控制噪声、恶臭、油烟等污染排放较大的建设项目布局。</w:t>
            </w:r>
          </w:p>
          <w:p w14:paraId="3EECAB17">
            <w:pPr>
              <w:jc w:val="both"/>
              <w:rPr>
                <w:rFonts w:hint="eastAsia"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资源开发效率要求</w:t>
            </w:r>
            <w:r>
              <w:rPr>
                <w:rFonts w:hint="eastAsia" w:ascii="Times New Roman" w:hAnsi="Times New Roman" w:eastAsia="宋体" w:cs="Times New Roman"/>
                <w:sz w:val="21"/>
                <w:szCs w:val="21"/>
                <w:vertAlign w:val="baseline"/>
                <w:lang w:val="en-US" w:eastAsia="zh-CN"/>
              </w:rPr>
              <w:t>：</w:t>
            </w:r>
          </w:p>
          <w:p w14:paraId="3951741D">
            <w:pPr>
              <w:jc w:val="both"/>
              <w:rPr>
                <w:rFonts w:hint="default" w:ascii="Times New Roman" w:hAnsi="Times New Roman" w:eastAsia="黑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全面开展节水型社会建设，推进节水产品推广普及，限制高耗水服务业用水。</w:t>
            </w:r>
          </w:p>
        </w:tc>
      </w:tr>
      <w:tr w14:paraId="5FFC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63E1D87D">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规划环评相符性</w:t>
            </w:r>
          </w:p>
        </w:tc>
        <w:tc>
          <w:tcPr>
            <w:tcW w:w="2482" w:type="dxa"/>
            <w:gridSpan w:val="2"/>
            <w:tcMar>
              <w:top w:w="113" w:type="dxa"/>
              <w:left w:w="113" w:type="dxa"/>
              <w:bottom w:w="113" w:type="dxa"/>
              <w:right w:w="113" w:type="dxa"/>
            </w:tcMar>
            <w:vAlign w:val="center"/>
          </w:tcPr>
          <w:p w14:paraId="54943829">
            <w:pPr>
              <w:jc w:val="center"/>
              <w:rPr>
                <w:rFonts w:hint="default" w:ascii="Times New Roman" w:hAnsi="Times New Roman" w:eastAsia="黑体" w:cs="Times New Roman"/>
                <w:sz w:val="21"/>
                <w:szCs w:val="21"/>
                <w:vertAlign w:val="baseline"/>
                <w:lang w:val="en-US"/>
              </w:rPr>
            </w:pPr>
            <w:r>
              <w:rPr>
                <w:rFonts w:hint="default" w:ascii="Times New Roman" w:hAnsi="Times New Roman" w:eastAsia="黑体" w:cs="Times New Roman"/>
                <w:sz w:val="21"/>
                <w:szCs w:val="21"/>
                <w:vertAlign w:val="baseline"/>
                <w:lang w:eastAsia="zh-CN"/>
              </w:rPr>
              <w:t>☑</w:t>
            </w:r>
            <w:r>
              <w:rPr>
                <w:rFonts w:hint="default" w:ascii="Times New Roman" w:hAnsi="Times New Roman" w:eastAsia="黑体" w:cs="Times New Roman"/>
                <w:sz w:val="21"/>
                <w:szCs w:val="21"/>
                <w:vertAlign w:val="baseline"/>
                <w:lang w:val="en-US" w:eastAsia="zh-CN"/>
              </w:rPr>
              <w:t xml:space="preserve">是  </w:t>
            </w:r>
            <w:r>
              <w:rPr>
                <w:rFonts w:hint="default" w:ascii="Times New Roman" w:hAnsi="Times New Roman" w:eastAsia="黑体" w:cs="Times New Roman"/>
                <w:sz w:val="21"/>
                <w:szCs w:val="21"/>
                <w:vertAlign w:val="baseline"/>
                <w:lang w:eastAsia="zh-CN"/>
              </w:rPr>
              <w:t>□</w:t>
            </w:r>
            <w:r>
              <w:rPr>
                <w:rFonts w:hint="default" w:ascii="Times New Roman" w:hAnsi="Times New Roman" w:eastAsia="黑体" w:cs="Times New Roman"/>
                <w:sz w:val="21"/>
                <w:szCs w:val="21"/>
                <w:vertAlign w:val="baseline"/>
                <w:lang w:val="en-US" w:eastAsia="zh-CN"/>
              </w:rPr>
              <w:t>否</w:t>
            </w:r>
          </w:p>
        </w:tc>
        <w:tc>
          <w:tcPr>
            <w:tcW w:w="3031" w:type="dxa"/>
            <w:gridSpan w:val="2"/>
            <w:tcMar>
              <w:top w:w="113" w:type="dxa"/>
              <w:left w:w="113" w:type="dxa"/>
              <w:bottom w:w="113" w:type="dxa"/>
              <w:right w:w="113" w:type="dxa"/>
            </w:tcMar>
            <w:vAlign w:val="center"/>
          </w:tcPr>
          <w:p w14:paraId="17241298">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生态环境分区相符性</w:t>
            </w:r>
          </w:p>
        </w:tc>
        <w:tc>
          <w:tcPr>
            <w:tcW w:w="3065" w:type="dxa"/>
            <w:gridSpan w:val="2"/>
            <w:tcMar>
              <w:top w:w="113" w:type="dxa"/>
              <w:left w:w="113" w:type="dxa"/>
              <w:bottom w:w="113" w:type="dxa"/>
              <w:right w:w="113" w:type="dxa"/>
            </w:tcMar>
            <w:vAlign w:val="center"/>
          </w:tcPr>
          <w:p w14:paraId="64295E14">
            <w:pPr>
              <w:jc w:val="center"/>
              <w:rPr>
                <w:rFonts w:hint="default" w:ascii="Times New Roman" w:hAnsi="Times New Roman" w:eastAsia="黑体" w:cs="Times New Roman"/>
                <w:sz w:val="21"/>
                <w:szCs w:val="21"/>
                <w:vertAlign w:val="baseline"/>
              </w:rPr>
            </w:pPr>
            <w:r>
              <w:rPr>
                <w:rFonts w:hint="default" w:ascii="Times New Roman" w:hAnsi="Times New Roman" w:eastAsia="黑体" w:cs="Times New Roman"/>
                <w:sz w:val="21"/>
                <w:szCs w:val="21"/>
                <w:vertAlign w:val="baseline"/>
                <w:lang w:eastAsia="zh-CN"/>
              </w:rPr>
              <w:t>☑</w:t>
            </w:r>
            <w:r>
              <w:rPr>
                <w:rFonts w:hint="default" w:ascii="Times New Roman" w:hAnsi="Times New Roman" w:eastAsia="黑体" w:cs="Times New Roman"/>
                <w:sz w:val="21"/>
                <w:szCs w:val="21"/>
                <w:vertAlign w:val="baseline"/>
                <w:lang w:val="en-US" w:eastAsia="zh-CN"/>
              </w:rPr>
              <w:t xml:space="preserve">是  </w:t>
            </w:r>
            <w:r>
              <w:rPr>
                <w:rFonts w:hint="default" w:ascii="Times New Roman" w:hAnsi="Times New Roman" w:eastAsia="黑体" w:cs="Times New Roman"/>
                <w:sz w:val="21"/>
                <w:szCs w:val="21"/>
                <w:vertAlign w:val="baseline"/>
                <w:lang w:eastAsia="zh-CN"/>
              </w:rPr>
              <w:t>□</w:t>
            </w:r>
            <w:r>
              <w:rPr>
                <w:rFonts w:hint="default" w:ascii="Times New Roman" w:hAnsi="Times New Roman" w:eastAsia="黑体" w:cs="Times New Roman"/>
                <w:sz w:val="21"/>
                <w:szCs w:val="21"/>
                <w:vertAlign w:val="baseline"/>
                <w:lang w:val="en-US" w:eastAsia="zh-CN"/>
              </w:rPr>
              <w:t>否</w:t>
            </w:r>
          </w:p>
        </w:tc>
      </w:tr>
      <w:tr w14:paraId="66F2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tcMar>
              <w:top w:w="113" w:type="dxa"/>
              <w:left w:w="113" w:type="dxa"/>
              <w:bottom w:w="113" w:type="dxa"/>
              <w:right w:w="113" w:type="dxa"/>
            </w:tcMar>
            <w:vAlign w:val="center"/>
          </w:tcPr>
          <w:p w14:paraId="02C9E151">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建设内容及规模</w:t>
            </w:r>
          </w:p>
        </w:tc>
        <w:tc>
          <w:tcPr>
            <w:tcW w:w="8578" w:type="dxa"/>
            <w:gridSpan w:val="6"/>
            <w:tcMar>
              <w:top w:w="113" w:type="dxa"/>
              <w:left w:w="113" w:type="dxa"/>
              <w:bottom w:w="113" w:type="dxa"/>
              <w:right w:w="113" w:type="dxa"/>
            </w:tcMar>
            <w:vAlign w:val="center"/>
          </w:tcPr>
          <w:p w14:paraId="337663CA">
            <w:pPr>
              <w:jc w:val="both"/>
              <w:rPr>
                <w:rFonts w:hint="eastAsia" w:ascii="Times New Roman" w:hAnsi="Times New Roman" w:eastAsia="宋体" w:cs="Times New Roman"/>
                <w:sz w:val="21"/>
                <w:szCs w:val="21"/>
                <w:vertAlign w:val="baseline"/>
                <w:lang w:eastAsia="zh-CN"/>
              </w:rPr>
            </w:pPr>
            <w:r>
              <w:rPr>
                <w:rFonts w:hint="default" w:ascii="Times New Roman" w:hAnsi="Times New Roman" w:eastAsia="宋体" w:cs="Times New Roman"/>
                <w:sz w:val="21"/>
                <w:szCs w:val="21"/>
                <w:vertAlign w:val="baseline"/>
              </w:rPr>
              <w:t>本项目位于杭州市钱塘区河庄街道江东村，工程北起江东大道，南至河景路，沿线与向民路、向河路、向景路、向湖路等规划道路平面交叉，标准断面宽度为24米，道路全长约868m，其中新建长度 853m，用地规模约为2.3203 hm</w:t>
            </w:r>
            <w:r>
              <w:rPr>
                <w:rFonts w:hint="default" w:ascii="Times New Roman" w:hAnsi="Times New Roman" w:eastAsia="宋体" w:cs="Times New Roman"/>
                <w:sz w:val="21"/>
                <w:szCs w:val="21"/>
                <w:vertAlign w:val="superscript"/>
              </w:rPr>
              <w:t>2</w:t>
            </w:r>
            <w:r>
              <w:rPr>
                <w:rFonts w:hint="eastAsia" w:ascii="Times New Roman" w:hAnsi="Times New Roman" w:eastAsia="宋体" w:cs="Times New Roman"/>
                <w:sz w:val="21"/>
                <w:szCs w:val="21"/>
                <w:vertAlign w:val="baseline"/>
                <w:lang w:eastAsia="zh-CN"/>
              </w:rPr>
              <w:t>，工程建设内容</w:t>
            </w:r>
            <w:r>
              <w:rPr>
                <w:rFonts w:hint="eastAsia" w:ascii="Times New Roman" w:hAnsi="Times New Roman" w:eastAsia="宋体" w:cs="Times New Roman"/>
                <w:sz w:val="21"/>
                <w:szCs w:val="21"/>
                <w:vertAlign w:val="baseline"/>
                <w:lang w:val="en-US" w:eastAsia="zh-CN"/>
              </w:rPr>
              <w:t>主要包括</w:t>
            </w:r>
            <w:r>
              <w:rPr>
                <w:rFonts w:hint="eastAsia" w:ascii="Times New Roman" w:hAnsi="Times New Roman" w:eastAsia="宋体" w:cs="Times New Roman"/>
                <w:sz w:val="21"/>
                <w:szCs w:val="21"/>
                <w:vertAlign w:val="baseline"/>
                <w:lang w:eastAsia="zh-CN"/>
              </w:rPr>
              <w:t>：道路工程、交通工程、桥梁工程、建筑工程、结构工程、 给排水工程、照明工程、电力工程、绿化工程等。</w:t>
            </w:r>
          </w:p>
        </w:tc>
      </w:tr>
      <w:tr w14:paraId="6A08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vMerge w:val="restart"/>
            <w:tcMar>
              <w:top w:w="113" w:type="dxa"/>
              <w:left w:w="113" w:type="dxa"/>
              <w:bottom w:w="113" w:type="dxa"/>
              <w:right w:w="113" w:type="dxa"/>
            </w:tcMar>
            <w:vAlign w:val="center"/>
          </w:tcPr>
          <w:p w14:paraId="4CED82D9">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主要环境影响及</w:t>
            </w:r>
          </w:p>
          <w:p w14:paraId="348B4C1F">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排放标准</w:t>
            </w:r>
          </w:p>
        </w:tc>
        <w:tc>
          <w:tcPr>
            <w:tcW w:w="1146" w:type="dxa"/>
            <w:tcMar>
              <w:top w:w="113" w:type="dxa"/>
              <w:left w:w="113" w:type="dxa"/>
              <w:bottom w:w="113" w:type="dxa"/>
              <w:right w:w="113" w:type="dxa"/>
            </w:tcMar>
            <w:vAlign w:val="center"/>
          </w:tcPr>
          <w:p w14:paraId="3BD34E35">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污染类别</w:t>
            </w:r>
          </w:p>
        </w:tc>
        <w:tc>
          <w:tcPr>
            <w:tcW w:w="2784" w:type="dxa"/>
            <w:gridSpan w:val="2"/>
            <w:tcMar>
              <w:top w:w="113" w:type="dxa"/>
              <w:left w:w="113" w:type="dxa"/>
              <w:bottom w:w="113" w:type="dxa"/>
              <w:right w:w="113" w:type="dxa"/>
            </w:tcMar>
            <w:vAlign w:val="center"/>
          </w:tcPr>
          <w:p w14:paraId="6FE5CE64">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主要产排污节点及污染治理设施</w:t>
            </w:r>
          </w:p>
        </w:tc>
        <w:tc>
          <w:tcPr>
            <w:tcW w:w="1583" w:type="dxa"/>
            <w:tcMar>
              <w:top w:w="113" w:type="dxa"/>
              <w:left w:w="113" w:type="dxa"/>
              <w:bottom w:w="113" w:type="dxa"/>
              <w:right w:w="113" w:type="dxa"/>
            </w:tcMar>
            <w:vAlign w:val="center"/>
          </w:tcPr>
          <w:p w14:paraId="666DC121">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排放去向</w:t>
            </w:r>
          </w:p>
        </w:tc>
        <w:tc>
          <w:tcPr>
            <w:tcW w:w="1995" w:type="dxa"/>
            <w:tcMar>
              <w:top w:w="113" w:type="dxa"/>
              <w:left w:w="113" w:type="dxa"/>
              <w:bottom w:w="113" w:type="dxa"/>
              <w:right w:w="113" w:type="dxa"/>
            </w:tcMar>
            <w:vAlign w:val="center"/>
          </w:tcPr>
          <w:p w14:paraId="3A60BFE9">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执行的排放标准</w:t>
            </w:r>
          </w:p>
        </w:tc>
        <w:tc>
          <w:tcPr>
            <w:tcW w:w="1070" w:type="dxa"/>
            <w:tcMar>
              <w:top w:w="113" w:type="dxa"/>
              <w:left w:w="113" w:type="dxa"/>
              <w:bottom w:w="113" w:type="dxa"/>
              <w:right w:w="113" w:type="dxa"/>
            </w:tcMar>
            <w:vAlign w:val="center"/>
          </w:tcPr>
          <w:p w14:paraId="2610387B">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污染物排放总量</w:t>
            </w:r>
          </w:p>
        </w:tc>
      </w:tr>
      <w:tr w14:paraId="2F1A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vMerge w:val="continue"/>
            <w:tcMar>
              <w:top w:w="113" w:type="dxa"/>
              <w:left w:w="113" w:type="dxa"/>
              <w:bottom w:w="113" w:type="dxa"/>
              <w:right w:w="113" w:type="dxa"/>
            </w:tcMar>
            <w:vAlign w:val="center"/>
          </w:tcPr>
          <w:p w14:paraId="7F926004">
            <w:pPr>
              <w:jc w:val="center"/>
              <w:rPr>
                <w:rFonts w:hint="default" w:ascii="Times New Roman" w:hAnsi="Times New Roman" w:eastAsia="黑体" w:cs="Times New Roman"/>
                <w:b w:val="0"/>
                <w:bCs w:val="0"/>
                <w:sz w:val="21"/>
                <w:szCs w:val="21"/>
                <w:vertAlign w:val="baseline"/>
              </w:rPr>
            </w:pPr>
          </w:p>
        </w:tc>
        <w:tc>
          <w:tcPr>
            <w:tcW w:w="1146" w:type="dxa"/>
            <w:tcMar>
              <w:top w:w="113" w:type="dxa"/>
              <w:left w:w="113" w:type="dxa"/>
              <w:bottom w:w="113" w:type="dxa"/>
              <w:right w:w="113" w:type="dxa"/>
            </w:tcMar>
            <w:vAlign w:val="center"/>
          </w:tcPr>
          <w:p w14:paraId="00497887">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废气</w:t>
            </w:r>
          </w:p>
        </w:tc>
        <w:tc>
          <w:tcPr>
            <w:tcW w:w="2784" w:type="dxa"/>
            <w:gridSpan w:val="2"/>
            <w:tcMar>
              <w:top w:w="113" w:type="dxa"/>
              <w:left w:w="113" w:type="dxa"/>
              <w:bottom w:w="113" w:type="dxa"/>
              <w:right w:w="113" w:type="dxa"/>
            </w:tcMar>
            <w:vAlign w:val="center"/>
          </w:tcPr>
          <w:p w14:paraId="6AE845CD">
            <w:pPr>
              <w:jc w:val="both"/>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施工过程中产生的大气污染物主要是各类施工作业（如平整、挖土、铺浇路面等）及砂石料、水泥、黄沙、石灰的装卸和投料过程以及运输过程中产生扬尘；施工机械和各类运输车辆产生的汽车尾气；沥青烟等。</w:t>
            </w:r>
            <w:r>
              <w:rPr>
                <w:rFonts w:hint="eastAsia" w:ascii="Times New Roman" w:hAnsi="Times New Roman" w:eastAsia="宋体" w:cs="Times New Roman"/>
                <w:b w:val="0"/>
                <w:bCs w:val="0"/>
                <w:sz w:val="21"/>
                <w:szCs w:val="21"/>
                <w:vertAlign w:val="baseline"/>
                <w:lang w:val="en-US" w:eastAsia="zh-CN"/>
              </w:rPr>
              <w:t>运营期废气主要为车辆尾气和交通扬尘。</w:t>
            </w:r>
          </w:p>
          <w:p w14:paraId="690DCDF3">
            <w:pPr>
              <w:jc w:val="both"/>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1、建设工地封闭作业,落实“八个100%”长效机制；</w:t>
            </w:r>
          </w:p>
          <w:p w14:paraId="764EBA4B">
            <w:pPr>
              <w:jc w:val="both"/>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2、渣土运输、工地起尘、道路扬尘等采用洒水、车辆冲洗等措施；</w:t>
            </w:r>
          </w:p>
          <w:p w14:paraId="50C1CA2C">
            <w:pPr>
              <w:jc w:val="both"/>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3、弃渣设置毡布或塑料薄膜覆盖；</w:t>
            </w:r>
          </w:p>
          <w:p w14:paraId="0FDE46FE">
            <w:pPr>
              <w:jc w:val="both"/>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4、物料堆场合理布局，并采用覆盖等措施；</w:t>
            </w:r>
          </w:p>
          <w:p w14:paraId="779E6B69">
            <w:pPr>
              <w:jc w:val="both"/>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5、工地安装扬尘在线监测系统。</w:t>
            </w:r>
          </w:p>
        </w:tc>
        <w:tc>
          <w:tcPr>
            <w:tcW w:w="1583" w:type="dxa"/>
            <w:tcMar>
              <w:top w:w="113" w:type="dxa"/>
              <w:left w:w="113" w:type="dxa"/>
              <w:bottom w:w="113" w:type="dxa"/>
              <w:right w:w="113" w:type="dxa"/>
            </w:tcMar>
            <w:vAlign w:val="center"/>
          </w:tcPr>
          <w:p w14:paraId="2F0C6797">
            <w:pPr>
              <w:jc w:val="center"/>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val="0"/>
                <w:bCs w:val="0"/>
                <w:sz w:val="21"/>
                <w:szCs w:val="21"/>
                <w:vertAlign w:val="baseline"/>
                <w:lang w:val="en-US" w:eastAsia="zh-CN"/>
              </w:rPr>
              <w:t>/</w:t>
            </w:r>
          </w:p>
        </w:tc>
        <w:tc>
          <w:tcPr>
            <w:tcW w:w="1995" w:type="dxa"/>
            <w:tcMar>
              <w:top w:w="113" w:type="dxa"/>
              <w:left w:w="113" w:type="dxa"/>
              <w:bottom w:w="113" w:type="dxa"/>
              <w:right w:w="113" w:type="dxa"/>
            </w:tcMar>
            <w:vAlign w:val="center"/>
          </w:tcPr>
          <w:p w14:paraId="05ED3D65">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宋体" w:cs="Times New Roman"/>
                <w:sz w:val="21"/>
                <w:szCs w:val="21"/>
                <w:vertAlign w:val="baseline"/>
              </w:rPr>
            </w:pPr>
            <w:r>
              <w:rPr>
                <w:rFonts w:hint="default" w:ascii="Times New Roman" w:hAnsi="Times New Roman" w:eastAsia="宋体" w:cs="Times New Roman"/>
                <w:sz w:val="21"/>
                <w:szCs w:val="21"/>
                <w:vertAlign w:val="baseline"/>
              </w:rPr>
              <w:t>《大气污染物综合排放标准》（GB16297-1996）新污染源二级标准</w:t>
            </w:r>
          </w:p>
        </w:tc>
        <w:tc>
          <w:tcPr>
            <w:tcW w:w="1070" w:type="dxa"/>
            <w:tcMar>
              <w:top w:w="113" w:type="dxa"/>
              <w:left w:w="113" w:type="dxa"/>
              <w:bottom w:w="113" w:type="dxa"/>
              <w:right w:w="113" w:type="dxa"/>
            </w:tcMar>
            <w:vAlign w:val="center"/>
          </w:tcPr>
          <w:p w14:paraId="71883AD6">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w:t>
            </w:r>
          </w:p>
        </w:tc>
      </w:tr>
      <w:tr w14:paraId="1D0C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vMerge w:val="continue"/>
            <w:tcMar>
              <w:top w:w="113" w:type="dxa"/>
              <w:left w:w="113" w:type="dxa"/>
              <w:bottom w:w="113" w:type="dxa"/>
              <w:right w:w="113" w:type="dxa"/>
            </w:tcMar>
            <w:vAlign w:val="center"/>
          </w:tcPr>
          <w:p w14:paraId="604FA7CF">
            <w:pPr>
              <w:jc w:val="center"/>
              <w:rPr>
                <w:rFonts w:hint="default" w:ascii="Times New Roman" w:hAnsi="Times New Roman" w:eastAsia="黑体" w:cs="Times New Roman"/>
                <w:b w:val="0"/>
                <w:bCs w:val="0"/>
                <w:sz w:val="21"/>
                <w:szCs w:val="21"/>
                <w:vertAlign w:val="baseline"/>
              </w:rPr>
            </w:pPr>
          </w:p>
        </w:tc>
        <w:tc>
          <w:tcPr>
            <w:tcW w:w="1146" w:type="dxa"/>
            <w:tcMar>
              <w:top w:w="113" w:type="dxa"/>
              <w:left w:w="113" w:type="dxa"/>
              <w:bottom w:w="113" w:type="dxa"/>
              <w:right w:w="113" w:type="dxa"/>
            </w:tcMar>
            <w:vAlign w:val="center"/>
          </w:tcPr>
          <w:p w14:paraId="7C9F9F62">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废水</w:t>
            </w:r>
          </w:p>
          <w:p w14:paraId="5D5A6AC1">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生活污水</w:t>
            </w:r>
          </w:p>
        </w:tc>
        <w:tc>
          <w:tcPr>
            <w:tcW w:w="2784" w:type="dxa"/>
            <w:gridSpan w:val="2"/>
            <w:tcMar>
              <w:top w:w="113" w:type="dxa"/>
              <w:left w:w="113" w:type="dxa"/>
              <w:bottom w:w="113" w:type="dxa"/>
              <w:right w:w="113" w:type="dxa"/>
            </w:tcMar>
            <w:vAlign w:val="center"/>
          </w:tcPr>
          <w:p w14:paraId="6E9F84E0">
            <w:pPr>
              <w:jc w:val="both"/>
              <w:rPr>
                <w:rFonts w:hint="eastAsia" w:ascii="Times New Roman" w:hAnsi="Times New Roman" w:eastAsia="宋体" w:cs="Times New Roman"/>
                <w:b w:val="0"/>
                <w:bCs w:val="0"/>
                <w:sz w:val="21"/>
                <w:szCs w:val="21"/>
                <w:highlight w:val="none"/>
                <w:vertAlign w:val="baseline"/>
                <w:lang w:val="en-US" w:eastAsia="zh-CN"/>
              </w:rPr>
            </w:pPr>
            <w:r>
              <w:rPr>
                <w:rFonts w:hint="default" w:ascii="Times New Roman" w:hAnsi="Times New Roman" w:eastAsia="宋体" w:cs="Times New Roman"/>
                <w:b w:val="0"/>
                <w:bCs w:val="0"/>
                <w:sz w:val="21"/>
                <w:szCs w:val="21"/>
                <w:highlight w:val="none"/>
                <w:vertAlign w:val="baseline"/>
                <w:lang w:eastAsia="zh-CN"/>
              </w:rPr>
              <w:t>本项目施工期产生的废水主要来自于两个方面：施工废水和施工人员生活污水</w:t>
            </w:r>
            <w:r>
              <w:rPr>
                <w:rFonts w:hint="eastAsia" w:ascii="Times New Roman" w:hAnsi="Times New Roman" w:eastAsia="宋体" w:cs="Times New Roman"/>
                <w:b w:val="0"/>
                <w:bCs w:val="0"/>
                <w:sz w:val="21"/>
                <w:szCs w:val="21"/>
                <w:highlight w:val="none"/>
                <w:vertAlign w:val="baseline"/>
                <w:lang w:eastAsia="zh-CN"/>
              </w:rPr>
              <w:t>，</w:t>
            </w:r>
            <w:r>
              <w:rPr>
                <w:rFonts w:hint="eastAsia" w:ascii="Times New Roman" w:hAnsi="Times New Roman" w:eastAsia="宋体" w:cs="Times New Roman"/>
                <w:b w:val="0"/>
                <w:bCs w:val="0"/>
                <w:sz w:val="21"/>
                <w:szCs w:val="21"/>
                <w:highlight w:val="none"/>
                <w:vertAlign w:val="baseline"/>
                <w:lang w:val="en-US" w:eastAsia="zh-CN"/>
              </w:rPr>
              <w:t>生活污水主要来源于所设置的生活营地。</w:t>
            </w:r>
          </w:p>
          <w:p w14:paraId="6B51AFFE">
            <w:pPr>
              <w:jc w:val="both"/>
              <w:rPr>
                <w:rFonts w:hint="default" w:ascii="Times New Roman" w:hAnsi="Times New Roman" w:eastAsia="宋体" w:cs="Times New Roman"/>
                <w:b w:val="0"/>
                <w:bCs w:val="0"/>
                <w:sz w:val="21"/>
                <w:szCs w:val="21"/>
                <w:highlight w:val="none"/>
                <w:vertAlign w:val="baseline"/>
                <w:lang w:val="en-US" w:eastAsia="zh-CN"/>
              </w:rPr>
            </w:pPr>
            <w:r>
              <w:rPr>
                <w:rFonts w:hint="default" w:ascii="Times New Roman" w:hAnsi="Times New Roman" w:eastAsia="宋体" w:cs="Times New Roman"/>
                <w:b w:val="0"/>
                <w:bCs w:val="0"/>
                <w:sz w:val="21"/>
                <w:szCs w:val="21"/>
                <w:highlight w:val="none"/>
                <w:vertAlign w:val="baseline"/>
                <w:lang w:val="en-US" w:eastAsia="zh-CN"/>
              </w:rPr>
              <w:t>1、本工程在生活区东北面围栏外侧设置临时三级沉淀池1个，施工产生的冲洗废水等经沉淀分离后集中处理；</w:t>
            </w:r>
          </w:p>
          <w:p w14:paraId="1FC7922B">
            <w:pPr>
              <w:jc w:val="both"/>
              <w:rPr>
                <w:rFonts w:hint="default" w:ascii="Times New Roman" w:hAnsi="Times New Roman" w:eastAsia="宋体" w:cs="Times New Roman"/>
                <w:b w:val="0"/>
                <w:bCs w:val="0"/>
                <w:sz w:val="21"/>
                <w:szCs w:val="21"/>
                <w:highlight w:val="none"/>
                <w:vertAlign w:val="baseline"/>
                <w:lang w:val="en-US" w:eastAsia="zh-CN"/>
              </w:rPr>
            </w:pPr>
            <w:r>
              <w:rPr>
                <w:rFonts w:hint="default" w:ascii="Times New Roman" w:hAnsi="Times New Roman" w:eastAsia="宋体" w:cs="Times New Roman"/>
                <w:b w:val="0"/>
                <w:bCs w:val="0"/>
                <w:sz w:val="21"/>
                <w:szCs w:val="21"/>
                <w:highlight w:val="none"/>
                <w:vertAlign w:val="baseline"/>
                <w:lang w:val="en-US" w:eastAsia="zh-CN"/>
              </w:rPr>
              <w:t>2、物料堆场位于生活区西南侧围栏外棚内，配备遮盖措施，防止雨水冲刷进入地表水体；</w:t>
            </w:r>
          </w:p>
          <w:p w14:paraId="113B6644">
            <w:pPr>
              <w:jc w:val="both"/>
              <w:rPr>
                <w:rFonts w:hint="default" w:ascii="Times New Roman" w:hAnsi="Times New Roman" w:eastAsia="宋体" w:cs="Times New Roman"/>
                <w:b w:val="0"/>
                <w:bCs w:val="0"/>
                <w:sz w:val="21"/>
                <w:szCs w:val="21"/>
                <w:highlight w:val="none"/>
                <w:vertAlign w:val="baseline"/>
                <w:lang w:val="en-US" w:eastAsia="zh-CN"/>
              </w:rPr>
            </w:pPr>
            <w:r>
              <w:rPr>
                <w:rFonts w:hint="default" w:ascii="Times New Roman" w:hAnsi="Times New Roman" w:eastAsia="宋体" w:cs="Times New Roman"/>
                <w:b w:val="0"/>
                <w:bCs w:val="0"/>
                <w:sz w:val="21"/>
                <w:szCs w:val="21"/>
                <w:highlight w:val="none"/>
                <w:vertAlign w:val="baseline"/>
                <w:lang w:val="en-US" w:eastAsia="zh-CN"/>
              </w:rPr>
              <w:t>3、建材、弃渣、生活垃圾的堆放、弃置需集中堆放于生活区西北面的生活垃圾堆放点，严禁乱堆、乱弃；</w:t>
            </w:r>
          </w:p>
          <w:p w14:paraId="6A160423">
            <w:pPr>
              <w:jc w:val="both"/>
              <w:rPr>
                <w:rFonts w:hint="default" w:ascii="Times New Roman" w:hAnsi="Times New Roman" w:eastAsia="宋体" w:cs="Times New Roman"/>
                <w:b w:val="0"/>
                <w:bCs w:val="0"/>
                <w:sz w:val="21"/>
                <w:szCs w:val="21"/>
                <w:highlight w:val="yellow"/>
                <w:vertAlign w:val="baseline"/>
                <w:lang w:val="en-US" w:eastAsia="zh-CN"/>
              </w:rPr>
            </w:pPr>
            <w:r>
              <w:rPr>
                <w:rFonts w:hint="default" w:ascii="Times New Roman" w:hAnsi="Times New Roman" w:eastAsia="宋体" w:cs="Times New Roman"/>
                <w:b w:val="0"/>
                <w:bCs w:val="0"/>
                <w:sz w:val="21"/>
                <w:szCs w:val="21"/>
                <w:highlight w:val="none"/>
                <w:vertAlign w:val="baseline"/>
                <w:lang w:val="en-US" w:eastAsia="zh-CN"/>
              </w:rPr>
              <w:t>4、施工人员生活废水将委托第三方处理单位外运，不外排。</w:t>
            </w:r>
          </w:p>
        </w:tc>
        <w:tc>
          <w:tcPr>
            <w:tcW w:w="1583" w:type="dxa"/>
            <w:tcMar>
              <w:top w:w="113" w:type="dxa"/>
              <w:left w:w="113" w:type="dxa"/>
              <w:bottom w:w="113" w:type="dxa"/>
              <w:right w:w="113" w:type="dxa"/>
            </w:tcMar>
            <w:vAlign w:val="center"/>
          </w:tcPr>
          <w:p w14:paraId="21F5639B">
            <w:pPr>
              <w:jc w:val="both"/>
              <w:rPr>
                <w:rFonts w:hint="default" w:ascii="Times New Roman" w:hAnsi="Times New Roman" w:eastAsia="宋体" w:cs="Times New Roman"/>
                <w:b w:val="0"/>
                <w:bCs w:val="0"/>
                <w:sz w:val="21"/>
                <w:szCs w:val="21"/>
                <w:highlight w:val="yellow"/>
                <w:vertAlign w:val="baseline"/>
                <w:lang w:val="en-US" w:eastAsia="zh-CN"/>
              </w:rPr>
            </w:pPr>
            <w:r>
              <w:rPr>
                <w:rFonts w:hint="default" w:ascii="Times New Roman" w:hAnsi="Times New Roman" w:eastAsia="宋体" w:cs="Times New Roman"/>
                <w:b w:val="0"/>
                <w:bCs w:val="0"/>
                <w:sz w:val="21"/>
                <w:szCs w:val="21"/>
                <w:highlight w:val="none"/>
                <w:vertAlign w:val="baseline"/>
              </w:rPr>
              <w:t>在施工</w:t>
            </w:r>
            <w:r>
              <w:rPr>
                <w:rFonts w:hint="eastAsia" w:ascii="Times New Roman" w:hAnsi="Times New Roman" w:eastAsia="宋体" w:cs="Times New Roman"/>
                <w:b w:val="0"/>
                <w:bCs w:val="0"/>
                <w:sz w:val="21"/>
                <w:szCs w:val="21"/>
                <w:highlight w:val="none"/>
                <w:vertAlign w:val="baseline"/>
                <w:lang w:val="en-US" w:eastAsia="zh-CN"/>
              </w:rPr>
              <w:t>场地</w:t>
            </w:r>
            <w:r>
              <w:rPr>
                <w:rFonts w:hint="default" w:ascii="Times New Roman" w:hAnsi="Times New Roman" w:eastAsia="宋体" w:cs="Times New Roman"/>
                <w:b w:val="0"/>
                <w:bCs w:val="0"/>
                <w:sz w:val="21"/>
                <w:szCs w:val="21"/>
                <w:highlight w:val="none"/>
                <w:vertAlign w:val="baseline"/>
              </w:rPr>
              <w:t>设置简易隔油沉淀池，经沉淀后上清液回用，不外排</w:t>
            </w:r>
            <w:r>
              <w:rPr>
                <w:rFonts w:hint="eastAsia" w:ascii="Times New Roman" w:hAnsi="Times New Roman" w:eastAsia="宋体" w:cs="Times New Roman"/>
                <w:b w:val="0"/>
                <w:bCs w:val="0"/>
                <w:sz w:val="21"/>
                <w:szCs w:val="21"/>
                <w:highlight w:val="none"/>
                <w:vertAlign w:val="baseline"/>
                <w:lang w:eastAsia="zh-CN"/>
              </w:rPr>
              <w:t>。</w:t>
            </w:r>
            <w:r>
              <w:rPr>
                <w:rFonts w:hint="eastAsia" w:ascii="Times New Roman" w:hAnsi="Times New Roman" w:eastAsia="宋体" w:cs="Times New Roman"/>
                <w:b w:val="0"/>
                <w:bCs w:val="0"/>
                <w:sz w:val="21"/>
                <w:szCs w:val="21"/>
                <w:highlight w:val="none"/>
                <w:vertAlign w:val="baseline"/>
                <w:lang w:val="en-US" w:eastAsia="zh-CN"/>
              </w:rPr>
              <w:t>生活污水计划将委托洁洁城市管理有限公司定期进行收集清运，不外排。</w:t>
            </w:r>
          </w:p>
        </w:tc>
        <w:tc>
          <w:tcPr>
            <w:tcW w:w="1995" w:type="dxa"/>
            <w:tcMar>
              <w:top w:w="113" w:type="dxa"/>
              <w:left w:w="113" w:type="dxa"/>
              <w:bottom w:w="113" w:type="dxa"/>
              <w:right w:w="113" w:type="dxa"/>
            </w:tcMar>
            <w:vAlign w:val="center"/>
          </w:tcPr>
          <w:p w14:paraId="77BF4773">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宋体" w:cs="Times New Roman"/>
                <w:sz w:val="21"/>
                <w:szCs w:val="21"/>
                <w:highlight w:val="yellow"/>
                <w:vertAlign w:val="baseline"/>
              </w:rPr>
            </w:pPr>
            <w:r>
              <w:rPr>
                <w:rFonts w:hint="default" w:ascii="Times New Roman" w:hAnsi="Times New Roman" w:eastAsia="宋体" w:cs="Times New Roman"/>
                <w:sz w:val="21"/>
                <w:szCs w:val="21"/>
                <w:highlight w:val="none"/>
                <w:vertAlign w:val="baseline"/>
              </w:rPr>
              <w:t>回用水标准参照《城市污水再生利用城市杂用水水质》（GB/T18920-2020）执行。</w:t>
            </w:r>
          </w:p>
        </w:tc>
        <w:tc>
          <w:tcPr>
            <w:tcW w:w="1070" w:type="dxa"/>
            <w:tcMar>
              <w:top w:w="113" w:type="dxa"/>
              <w:left w:w="113" w:type="dxa"/>
              <w:bottom w:w="113" w:type="dxa"/>
              <w:right w:w="113" w:type="dxa"/>
            </w:tcMar>
            <w:vAlign w:val="center"/>
          </w:tcPr>
          <w:p w14:paraId="72B1EAE2">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w:t>
            </w:r>
          </w:p>
        </w:tc>
      </w:tr>
      <w:tr w14:paraId="79A47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vMerge w:val="continue"/>
            <w:tcMar>
              <w:top w:w="113" w:type="dxa"/>
              <w:left w:w="113" w:type="dxa"/>
              <w:bottom w:w="113" w:type="dxa"/>
              <w:right w:w="113" w:type="dxa"/>
            </w:tcMar>
            <w:vAlign w:val="center"/>
          </w:tcPr>
          <w:p w14:paraId="0069025D">
            <w:pPr>
              <w:jc w:val="center"/>
              <w:rPr>
                <w:rFonts w:hint="default" w:ascii="Times New Roman" w:hAnsi="Times New Roman" w:eastAsia="黑体" w:cs="Times New Roman"/>
                <w:b w:val="0"/>
                <w:bCs w:val="0"/>
                <w:sz w:val="21"/>
                <w:szCs w:val="21"/>
                <w:vertAlign w:val="baseline"/>
              </w:rPr>
            </w:pPr>
          </w:p>
        </w:tc>
        <w:tc>
          <w:tcPr>
            <w:tcW w:w="1146" w:type="dxa"/>
            <w:tcMar>
              <w:top w:w="113" w:type="dxa"/>
              <w:left w:w="113" w:type="dxa"/>
              <w:bottom w:w="113" w:type="dxa"/>
              <w:right w:w="113" w:type="dxa"/>
            </w:tcMar>
            <w:vAlign w:val="center"/>
          </w:tcPr>
          <w:p w14:paraId="38D45703">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固废</w:t>
            </w:r>
          </w:p>
        </w:tc>
        <w:tc>
          <w:tcPr>
            <w:tcW w:w="2784" w:type="dxa"/>
            <w:gridSpan w:val="2"/>
            <w:tcMar>
              <w:top w:w="113" w:type="dxa"/>
              <w:left w:w="113" w:type="dxa"/>
              <w:bottom w:w="113" w:type="dxa"/>
              <w:right w:w="113" w:type="dxa"/>
            </w:tcMar>
            <w:vAlign w:val="center"/>
          </w:tcPr>
          <w:p w14:paraId="483A988E">
            <w:pPr>
              <w:jc w:val="both"/>
              <w:rPr>
                <w:rFonts w:hint="default" w:ascii="Times New Roman" w:hAnsi="Times New Roman" w:eastAsia="宋体" w:cs="Times New Roman"/>
                <w:b w:val="0"/>
                <w:bCs w:val="0"/>
                <w:sz w:val="21"/>
                <w:szCs w:val="21"/>
                <w:highlight w:val="none"/>
                <w:vertAlign w:val="baseline"/>
                <w:lang w:val="en-US" w:eastAsia="zh-CN"/>
              </w:rPr>
            </w:pPr>
            <w:r>
              <w:rPr>
                <w:rFonts w:hint="default" w:ascii="Times New Roman" w:hAnsi="Times New Roman" w:eastAsia="宋体" w:cs="Times New Roman"/>
                <w:b w:val="0"/>
                <w:bCs w:val="0"/>
                <w:sz w:val="21"/>
                <w:szCs w:val="21"/>
                <w:highlight w:val="none"/>
                <w:vertAlign w:val="baseline"/>
              </w:rPr>
              <w:t>本项目在施工过程中固体废物主要为生活垃圾、施工建筑垃圾固废以及施工过程产生的危险废物。</w:t>
            </w:r>
            <w:r>
              <w:rPr>
                <w:rFonts w:hint="eastAsia" w:ascii="Times New Roman" w:hAnsi="Times New Roman" w:eastAsia="宋体" w:cs="Times New Roman"/>
                <w:b w:val="0"/>
                <w:bCs w:val="0"/>
                <w:sz w:val="21"/>
                <w:szCs w:val="21"/>
                <w:highlight w:val="none"/>
                <w:vertAlign w:val="baseline"/>
                <w:lang w:val="en-US" w:eastAsia="zh-CN"/>
              </w:rPr>
              <w:t>运营期固废主要为生活垃圾。</w:t>
            </w:r>
          </w:p>
          <w:p w14:paraId="3BE0676E">
            <w:pPr>
              <w:jc w:val="both"/>
              <w:rPr>
                <w:rFonts w:hint="default" w:ascii="Times New Roman" w:hAnsi="Times New Roman" w:eastAsia="宋体" w:cs="Times New Roman"/>
                <w:b w:val="0"/>
                <w:bCs w:val="0"/>
                <w:sz w:val="21"/>
                <w:szCs w:val="21"/>
                <w:highlight w:val="none"/>
                <w:vertAlign w:val="baseline"/>
              </w:rPr>
            </w:pPr>
            <w:r>
              <w:rPr>
                <w:rFonts w:hint="default" w:ascii="Times New Roman" w:hAnsi="Times New Roman" w:eastAsia="宋体" w:cs="Times New Roman"/>
                <w:b w:val="0"/>
                <w:bCs w:val="0"/>
                <w:sz w:val="21"/>
                <w:szCs w:val="21"/>
                <w:highlight w:val="none"/>
                <w:vertAlign w:val="baseline"/>
              </w:rPr>
              <w:t>1、弃渣应及时清运至指定弃渣场；</w:t>
            </w:r>
          </w:p>
          <w:p w14:paraId="3492C2A2">
            <w:pPr>
              <w:jc w:val="both"/>
              <w:rPr>
                <w:rFonts w:hint="default" w:ascii="Times New Roman" w:hAnsi="Times New Roman" w:eastAsia="宋体" w:cs="Times New Roman"/>
                <w:b w:val="0"/>
                <w:bCs w:val="0"/>
                <w:sz w:val="21"/>
                <w:szCs w:val="21"/>
                <w:highlight w:val="none"/>
                <w:vertAlign w:val="baseline"/>
              </w:rPr>
            </w:pPr>
            <w:r>
              <w:rPr>
                <w:rFonts w:hint="default" w:ascii="Times New Roman" w:hAnsi="Times New Roman" w:eastAsia="宋体" w:cs="Times New Roman"/>
                <w:b w:val="0"/>
                <w:bCs w:val="0"/>
                <w:sz w:val="21"/>
                <w:szCs w:val="21"/>
                <w:highlight w:val="none"/>
                <w:vertAlign w:val="baseline"/>
              </w:rPr>
              <w:t>2、临时堆放必须覆布遮盖，同时四周设置围挡；</w:t>
            </w:r>
          </w:p>
          <w:p w14:paraId="27157E99">
            <w:pPr>
              <w:jc w:val="both"/>
              <w:rPr>
                <w:rFonts w:hint="default" w:ascii="Times New Roman" w:hAnsi="Times New Roman" w:eastAsia="宋体" w:cs="Times New Roman"/>
                <w:b w:val="0"/>
                <w:bCs w:val="0"/>
                <w:sz w:val="21"/>
                <w:szCs w:val="21"/>
                <w:highlight w:val="none"/>
                <w:vertAlign w:val="baseline"/>
              </w:rPr>
            </w:pPr>
            <w:r>
              <w:rPr>
                <w:rFonts w:hint="default" w:ascii="Times New Roman" w:hAnsi="Times New Roman" w:eastAsia="宋体" w:cs="Times New Roman"/>
                <w:b w:val="0"/>
                <w:bCs w:val="0"/>
                <w:sz w:val="21"/>
                <w:szCs w:val="21"/>
                <w:highlight w:val="none"/>
                <w:vertAlign w:val="baseline"/>
              </w:rPr>
              <w:t>3、生活垃圾由环卫部门</w:t>
            </w:r>
            <w:r>
              <w:rPr>
                <w:rFonts w:hint="eastAsia" w:ascii="Times New Roman" w:hAnsi="Times New Roman" w:eastAsia="宋体" w:cs="Times New Roman"/>
                <w:b w:val="0"/>
                <w:bCs w:val="0"/>
                <w:sz w:val="21"/>
                <w:szCs w:val="21"/>
                <w:highlight w:val="none"/>
                <w:vertAlign w:val="baseline"/>
                <w:lang w:val="en-US" w:eastAsia="zh-CN"/>
              </w:rPr>
              <w:t>定期</w:t>
            </w:r>
            <w:r>
              <w:rPr>
                <w:rFonts w:hint="default" w:ascii="Times New Roman" w:hAnsi="Times New Roman" w:eastAsia="宋体" w:cs="Times New Roman"/>
                <w:b w:val="0"/>
                <w:bCs w:val="0"/>
                <w:sz w:val="21"/>
                <w:szCs w:val="21"/>
                <w:highlight w:val="none"/>
                <w:vertAlign w:val="baseline"/>
              </w:rPr>
              <w:t>统一收集处理；</w:t>
            </w:r>
          </w:p>
          <w:p w14:paraId="4F648CBF">
            <w:pPr>
              <w:jc w:val="both"/>
              <w:rPr>
                <w:rFonts w:hint="default" w:ascii="Times New Roman" w:hAnsi="Times New Roman" w:eastAsia="宋体" w:cs="Times New Roman"/>
                <w:b w:val="0"/>
                <w:bCs w:val="0"/>
                <w:sz w:val="21"/>
                <w:szCs w:val="21"/>
                <w:highlight w:val="yellow"/>
                <w:vertAlign w:val="baseline"/>
              </w:rPr>
            </w:pPr>
            <w:r>
              <w:rPr>
                <w:rFonts w:hint="default" w:ascii="Times New Roman" w:hAnsi="Times New Roman" w:eastAsia="宋体" w:cs="Times New Roman"/>
                <w:b w:val="0"/>
                <w:bCs w:val="0"/>
                <w:sz w:val="21"/>
                <w:szCs w:val="21"/>
                <w:highlight w:val="none"/>
                <w:vertAlign w:val="baseline"/>
              </w:rPr>
              <w:t>4、施工涉及的废油、废机油、废手套、油漆桶等危废委托有资质单位集中处置。</w:t>
            </w:r>
          </w:p>
          <w:p w14:paraId="47C839C7">
            <w:pPr>
              <w:jc w:val="both"/>
              <w:rPr>
                <w:rFonts w:hint="default" w:ascii="Times New Roman" w:hAnsi="Times New Roman" w:eastAsia="宋体" w:cs="Times New Roman"/>
                <w:b w:val="0"/>
                <w:bCs w:val="0"/>
                <w:sz w:val="21"/>
                <w:szCs w:val="21"/>
                <w:highlight w:val="yellow"/>
                <w:vertAlign w:val="baseline"/>
              </w:rPr>
            </w:pPr>
          </w:p>
        </w:tc>
        <w:tc>
          <w:tcPr>
            <w:tcW w:w="1583" w:type="dxa"/>
            <w:tcMar>
              <w:top w:w="113" w:type="dxa"/>
              <w:left w:w="113" w:type="dxa"/>
              <w:bottom w:w="113" w:type="dxa"/>
              <w:right w:w="113" w:type="dxa"/>
            </w:tcMar>
            <w:vAlign w:val="center"/>
          </w:tcPr>
          <w:p w14:paraId="1A4204A0">
            <w:pPr>
              <w:jc w:val="left"/>
              <w:rPr>
                <w:rFonts w:hint="default" w:ascii="Times New Roman" w:hAnsi="Times New Roman" w:eastAsia="宋体" w:cs="Times New Roman"/>
                <w:b w:val="0"/>
                <w:bCs w:val="0"/>
                <w:sz w:val="21"/>
                <w:szCs w:val="21"/>
                <w:highlight w:val="none"/>
                <w:vertAlign w:val="baseline"/>
                <w:lang w:val="en-US" w:eastAsia="zh-CN"/>
              </w:rPr>
            </w:pPr>
            <w:r>
              <w:rPr>
                <w:rFonts w:hint="eastAsia" w:ascii="Times New Roman" w:hAnsi="Times New Roman" w:eastAsia="宋体" w:cs="Times New Roman"/>
                <w:b w:val="0"/>
                <w:bCs w:val="0"/>
                <w:sz w:val="21"/>
                <w:szCs w:val="21"/>
                <w:highlight w:val="none"/>
                <w:vertAlign w:val="baseline"/>
                <w:lang w:val="en-US" w:eastAsia="zh-CN"/>
              </w:rPr>
              <w:t>建筑垃圾部分可利用的</w:t>
            </w:r>
            <w:r>
              <w:rPr>
                <w:rFonts w:hint="default" w:ascii="Times New Roman" w:hAnsi="Times New Roman" w:eastAsia="宋体" w:cs="Times New Roman"/>
                <w:b w:val="0"/>
                <w:bCs w:val="0"/>
                <w:sz w:val="21"/>
                <w:szCs w:val="21"/>
                <w:highlight w:val="none"/>
                <w:vertAlign w:val="baseline"/>
                <w:lang w:val="en-US" w:eastAsia="zh-CN"/>
              </w:rPr>
              <w:t>将直接在现场破碎后再生利用用于路基填筑，不可再利用的将外运至弃渣场进行集中处置。</w:t>
            </w:r>
          </w:p>
          <w:p w14:paraId="5A969821">
            <w:pPr>
              <w:jc w:val="left"/>
              <w:rPr>
                <w:rFonts w:hint="eastAsia" w:ascii="Times New Roman" w:hAnsi="Times New Roman" w:eastAsia="宋体" w:cs="Times New Roman"/>
                <w:b w:val="0"/>
                <w:bCs w:val="0"/>
                <w:sz w:val="21"/>
                <w:szCs w:val="21"/>
                <w:highlight w:val="none"/>
                <w:vertAlign w:val="baseline"/>
                <w:lang w:val="en-US" w:eastAsia="zh-CN"/>
              </w:rPr>
            </w:pPr>
            <w:r>
              <w:rPr>
                <w:rFonts w:hint="eastAsia" w:ascii="Times New Roman" w:hAnsi="Times New Roman" w:eastAsia="宋体" w:cs="Times New Roman"/>
                <w:b w:val="0"/>
                <w:bCs w:val="0"/>
                <w:sz w:val="21"/>
                <w:szCs w:val="21"/>
                <w:highlight w:val="none"/>
                <w:vertAlign w:val="baseline"/>
                <w:lang w:val="en-US" w:eastAsia="zh-CN"/>
              </w:rPr>
              <w:t>生活垃圾将委托环卫部门定期清运集中处理</w:t>
            </w:r>
          </w:p>
          <w:p w14:paraId="27F74802">
            <w:pPr>
              <w:jc w:val="left"/>
              <w:rPr>
                <w:rFonts w:hint="default" w:ascii="Times New Roman" w:hAnsi="Times New Roman" w:eastAsia="宋体" w:cs="Times New Roman"/>
                <w:b w:val="0"/>
                <w:bCs w:val="0"/>
                <w:sz w:val="21"/>
                <w:szCs w:val="21"/>
                <w:highlight w:val="yellow"/>
                <w:vertAlign w:val="baseline"/>
                <w:lang w:val="en-US" w:eastAsia="zh-CN"/>
              </w:rPr>
            </w:pPr>
            <w:r>
              <w:rPr>
                <w:rFonts w:hint="eastAsia" w:ascii="Times New Roman" w:hAnsi="Times New Roman" w:eastAsia="宋体" w:cs="Times New Roman"/>
                <w:b w:val="0"/>
                <w:bCs w:val="0"/>
                <w:sz w:val="21"/>
                <w:szCs w:val="21"/>
                <w:highlight w:val="none"/>
                <w:vertAlign w:val="baseline"/>
                <w:lang w:val="en-US" w:eastAsia="zh-CN"/>
              </w:rPr>
              <w:t>危废将暂存于危废暂存点并定期统一安排外运处理</w:t>
            </w:r>
          </w:p>
        </w:tc>
        <w:tc>
          <w:tcPr>
            <w:tcW w:w="1995" w:type="dxa"/>
            <w:tcMar>
              <w:top w:w="113" w:type="dxa"/>
              <w:left w:w="113" w:type="dxa"/>
              <w:bottom w:w="113" w:type="dxa"/>
              <w:right w:w="113" w:type="dxa"/>
            </w:tcMar>
            <w:vAlign w:val="center"/>
          </w:tcPr>
          <w:p w14:paraId="012E04A9">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宋体" w:cs="Times New Roman"/>
                <w:sz w:val="21"/>
                <w:szCs w:val="21"/>
                <w:highlight w:val="yellow"/>
                <w:vertAlign w:val="baseline"/>
                <w:lang w:eastAsia="zh-CN"/>
              </w:rPr>
            </w:pPr>
            <w:r>
              <w:rPr>
                <w:rFonts w:hint="default" w:ascii="Times New Roman" w:hAnsi="Times New Roman" w:eastAsia="宋体" w:cs="Times New Roman"/>
                <w:sz w:val="21"/>
                <w:szCs w:val="21"/>
                <w:highlight w:val="none"/>
                <w:vertAlign w:val="baseline"/>
                <w:lang w:val="en-GB"/>
              </w:rPr>
              <w:t>《中华人民共和国固体废物污染环境防治法》(2020年4月20日修订)中有关规定</w:t>
            </w:r>
            <w:r>
              <w:rPr>
                <w:rFonts w:hint="default" w:ascii="Times New Roman" w:hAnsi="Times New Roman" w:eastAsia="宋体" w:cs="Times New Roman"/>
                <w:sz w:val="21"/>
                <w:szCs w:val="21"/>
                <w:highlight w:val="none"/>
                <w:vertAlign w:val="baseline"/>
                <w:lang w:val="en-GB" w:eastAsia="zh-CN"/>
              </w:rPr>
              <w:t>、《一般工业固体废物贮存和填埋污染控制标准》（GB18599-2020）、《危险废物贮存污染控制标准》（GB18597-2023）</w:t>
            </w:r>
          </w:p>
        </w:tc>
        <w:tc>
          <w:tcPr>
            <w:tcW w:w="1070" w:type="dxa"/>
            <w:tcMar>
              <w:top w:w="113" w:type="dxa"/>
              <w:left w:w="113" w:type="dxa"/>
              <w:bottom w:w="113" w:type="dxa"/>
              <w:right w:w="113" w:type="dxa"/>
            </w:tcMar>
            <w:vAlign w:val="center"/>
          </w:tcPr>
          <w:p w14:paraId="361905F8">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w:t>
            </w:r>
          </w:p>
        </w:tc>
      </w:tr>
      <w:tr w14:paraId="3CA8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vMerge w:val="continue"/>
            <w:tcMar>
              <w:top w:w="113" w:type="dxa"/>
              <w:left w:w="113" w:type="dxa"/>
              <w:bottom w:w="113" w:type="dxa"/>
              <w:right w:w="113" w:type="dxa"/>
            </w:tcMar>
            <w:vAlign w:val="center"/>
          </w:tcPr>
          <w:p w14:paraId="1F8A89D2">
            <w:pPr>
              <w:jc w:val="center"/>
              <w:rPr>
                <w:rFonts w:hint="default" w:ascii="Times New Roman" w:hAnsi="Times New Roman" w:eastAsia="黑体" w:cs="Times New Roman"/>
                <w:b w:val="0"/>
                <w:bCs w:val="0"/>
                <w:sz w:val="21"/>
                <w:szCs w:val="21"/>
                <w:vertAlign w:val="baseline"/>
              </w:rPr>
            </w:pPr>
          </w:p>
        </w:tc>
        <w:tc>
          <w:tcPr>
            <w:tcW w:w="1146" w:type="dxa"/>
            <w:tcMar>
              <w:top w:w="113" w:type="dxa"/>
              <w:left w:w="113" w:type="dxa"/>
              <w:bottom w:w="113" w:type="dxa"/>
              <w:right w:w="113" w:type="dxa"/>
            </w:tcMar>
            <w:vAlign w:val="center"/>
          </w:tcPr>
          <w:p w14:paraId="58CA10DA">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噪声</w:t>
            </w:r>
          </w:p>
        </w:tc>
        <w:tc>
          <w:tcPr>
            <w:tcW w:w="2784" w:type="dxa"/>
            <w:gridSpan w:val="2"/>
            <w:tcMar>
              <w:top w:w="113" w:type="dxa"/>
              <w:left w:w="113" w:type="dxa"/>
              <w:bottom w:w="113" w:type="dxa"/>
              <w:right w:w="113" w:type="dxa"/>
            </w:tcMar>
            <w:vAlign w:val="center"/>
          </w:tcPr>
          <w:p w14:paraId="77E50856">
            <w:pPr>
              <w:jc w:val="both"/>
              <w:rPr>
                <w:rFonts w:hint="default" w:ascii="Times New Roman" w:hAnsi="Times New Roman" w:eastAsia="宋体" w:cs="Times New Roman"/>
                <w:b w:val="0"/>
                <w:bCs w:val="0"/>
                <w:sz w:val="21"/>
                <w:szCs w:val="21"/>
                <w:highlight w:val="none"/>
                <w:vertAlign w:val="baseline"/>
                <w:lang w:val="en-US" w:eastAsia="zh-CN"/>
              </w:rPr>
            </w:pPr>
            <w:r>
              <w:rPr>
                <w:rFonts w:hint="default" w:ascii="Times New Roman" w:hAnsi="Times New Roman" w:eastAsia="宋体" w:cs="Times New Roman"/>
                <w:b w:val="0"/>
                <w:bCs w:val="0"/>
                <w:sz w:val="21"/>
                <w:szCs w:val="21"/>
                <w:highlight w:val="none"/>
                <w:vertAlign w:val="baseline"/>
              </w:rPr>
              <w:t>施工期间的噪声主要来源于各种筑路机械噪声和车辆运输产生的作业噪声。</w:t>
            </w:r>
            <w:r>
              <w:rPr>
                <w:rFonts w:hint="eastAsia" w:ascii="Times New Roman" w:hAnsi="Times New Roman" w:eastAsia="宋体" w:cs="Times New Roman"/>
                <w:b w:val="0"/>
                <w:bCs w:val="0"/>
                <w:sz w:val="21"/>
                <w:szCs w:val="21"/>
                <w:highlight w:val="none"/>
                <w:vertAlign w:val="baseline"/>
                <w:lang w:val="en-US" w:eastAsia="zh-CN"/>
              </w:rPr>
              <w:t>运营期噪声主要为交通车辆噪声。</w:t>
            </w:r>
            <w:r>
              <w:rPr>
                <w:rFonts w:hint="default" w:ascii="Times New Roman" w:hAnsi="Times New Roman" w:eastAsia="宋体" w:cs="Times New Roman"/>
                <w:b w:val="0"/>
                <w:bCs w:val="0"/>
                <w:sz w:val="21"/>
                <w:szCs w:val="21"/>
                <w:highlight w:val="none"/>
                <w:vertAlign w:val="baseline"/>
                <w:lang w:val="en-US" w:eastAsia="zh-CN"/>
              </w:rPr>
              <w:t>污染治理措施如下：</w:t>
            </w:r>
          </w:p>
          <w:p w14:paraId="2B8AA2C2">
            <w:pPr>
              <w:jc w:val="both"/>
              <w:rPr>
                <w:rFonts w:hint="default" w:ascii="Times New Roman" w:hAnsi="Times New Roman" w:eastAsia="宋体" w:cs="Times New Roman"/>
                <w:b w:val="0"/>
                <w:bCs w:val="0"/>
                <w:sz w:val="21"/>
                <w:szCs w:val="21"/>
                <w:highlight w:val="none"/>
                <w:vertAlign w:val="baseline"/>
              </w:rPr>
            </w:pPr>
            <w:r>
              <w:rPr>
                <w:rFonts w:hint="default" w:ascii="Times New Roman" w:hAnsi="Times New Roman" w:eastAsia="宋体" w:cs="Times New Roman"/>
                <w:b w:val="0"/>
                <w:bCs w:val="0"/>
                <w:sz w:val="21"/>
                <w:szCs w:val="21"/>
                <w:highlight w:val="none"/>
                <w:vertAlign w:val="baseline"/>
              </w:rPr>
              <w:t>1、合理安排施工计划，施工机械在远离保护目标的位置；禁止夜间施工，如需夜间施工，需申领夜间作业证明；</w:t>
            </w:r>
          </w:p>
          <w:p w14:paraId="727F0E03">
            <w:pPr>
              <w:jc w:val="both"/>
              <w:rPr>
                <w:rFonts w:hint="default" w:ascii="Times New Roman" w:hAnsi="Times New Roman" w:eastAsia="宋体" w:cs="Times New Roman"/>
                <w:b w:val="0"/>
                <w:bCs w:val="0"/>
                <w:sz w:val="21"/>
                <w:szCs w:val="21"/>
                <w:highlight w:val="none"/>
                <w:vertAlign w:val="baseline"/>
              </w:rPr>
            </w:pPr>
            <w:r>
              <w:rPr>
                <w:rFonts w:hint="default" w:ascii="Times New Roman" w:hAnsi="Times New Roman" w:eastAsia="宋体" w:cs="Times New Roman"/>
                <w:b w:val="0"/>
                <w:bCs w:val="0"/>
                <w:sz w:val="21"/>
                <w:szCs w:val="21"/>
                <w:highlight w:val="none"/>
                <w:vertAlign w:val="baseline"/>
              </w:rPr>
              <w:t>2、选用低噪设备，同时合理安排设备位置；</w:t>
            </w:r>
          </w:p>
          <w:p w14:paraId="2AFBED20">
            <w:pPr>
              <w:jc w:val="both"/>
              <w:rPr>
                <w:rFonts w:hint="default" w:ascii="Times New Roman" w:hAnsi="Times New Roman" w:eastAsia="宋体" w:cs="Times New Roman"/>
                <w:b w:val="0"/>
                <w:bCs w:val="0"/>
                <w:sz w:val="21"/>
                <w:szCs w:val="21"/>
                <w:highlight w:val="none"/>
                <w:vertAlign w:val="baseline"/>
                <w:lang w:val="en-US" w:eastAsia="zh-CN"/>
              </w:rPr>
            </w:pPr>
            <w:r>
              <w:rPr>
                <w:rFonts w:hint="default" w:ascii="Times New Roman" w:hAnsi="Times New Roman" w:eastAsia="宋体" w:cs="Times New Roman"/>
                <w:b w:val="0"/>
                <w:bCs w:val="0"/>
                <w:sz w:val="21"/>
                <w:szCs w:val="21"/>
                <w:highlight w:val="none"/>
                <w:vertAlign w:val="baseline"/>
              </w:rPr>
              <w:t>3、施工区域周边设置固定式硬质围栏。</w:t>
            </w:r>
          </w:p>
        </w:tc>
        <w:tc>
          <w:tcPr>
            <w:tcW w:w="1583" w:type="dxa"/>
            <w:tcMar>
              <w:top w:w="113" w:type="dxa"/>
              <w:left w:w="113" w:type="dxa"/>
              <w:bottom w:w="113" w:type="dxa"/>
              <w:right w:w="113" w:type="dxa"/>
            </w:tcMar>
            <w:vAlign w:val="center"/>
          </w:tcPr>
          <w:p w14:paraId="673279DF">
            <w:pPr>
              <w:jc w:val="center"/>
              <w:rPr>
                <w:rFonts w:hint="default" w:ascii="Times New Roman" w:hAnsi="Times New Roman" w:eastAsia="宋体" w:cs="Times New Roman"/>
                <w:b w:val="0"/>
                <w:bCs w:val="0"/>
                <w:sz w:val="21"/>
                <w:szCs w:val="21"/>
                <w:highlight w:val="none"/>
                <w:vertAlign w:val="baseline"/>
                <w:lang w:val="en-US" w:eastAsia="zh-CN"/>
              </w:rPr>
            </w:pPr>
            <w:r>
              <w:rPr>
                <w:rFonts w:hint="default" w:ascii="Times New Roman" w:hAnsi="Times New Roman" w:eastAsia="宋体" w:cs="Times New Roman"/>
                <w:b w:val="0"/>
                <w:bCs w:val="0"/>
                <w:sz w:val="21"/>
                <w:szCs w:val="21"/>
                <w:highlight w:val="none"/>
                <w:vertAlign w:val="baseline"/>
                <w:lang w:val="en-US" w:eastAsia="zh-CN"/>
              </w:rPr>
              <w:t>/</w:t>
            </w:r>
          </w:p>
        </w:tc>
        <w:tc>
          <w:tcPr>
            <w:tcW w:w="1995" w:type="dxa"/>
            <w:tcMar>
              <w:top w:w="113" w:type="dxa"/>
              <w:left w:w="113" w:type="dxa"/>
              <w:bottom w:w="113" w:type="dxa"/>
              <w:right w:w="113" w:type="dxa"/>
            </w:tcMar>
            <w:vAlign w:val="center"/>
          </w:tcPr>
          <w:p w14:paraId="3FFD5315">
            <w:pPr>
              <w:keepNext w:val="0"/>
              <w:keepLines w:val="0"/>
              <w:pageBreakBefore w:val="0"/>
              <w:widowControl w:val="0"/>
              <w:kinsoku/>
              <w:wordWrap w:val="0"/>
              <w:overflowPunct/>
              <w:topLinePunct w:val="0"/>
              <w:autoSpaceDE/>
              <w:autoSpaceDN/>
              <w:bidi w:val="0"/>
              <w:adjustRightInd/>
              <w:snapToGrid/>
              <w:jc w:val="both"/>
              <w:textAlignment w:val="auto"/>
              <w:rPr>
                <w:rFonts w:hint="default" w:ascii="Times New Roman" w:hAnsi="Times New Roman" w:eastAsia="宋体" w:cs="Times New Roman"/>
                <w:sz w:val="21"/>
                <w:szCs w:val="21"/>
                <w:highlight w:val="yellow"/>
                <w:vertAlign w:val="baseline"/>
                <w:lang w:eastAsia="zh-CN"/>
              </w:rPr>
            </w:pPr>
            <w:r>
              <w:rPr>
                <w:rFonts w:hint="default" w:ascii="Times New Roman" w:hAnsi="Times New Roman" w:eastAsia="宋体" w:cs="Times New Roman"/>
                <w:sz w:val="21"/>
                <w:szCs w:val="21"/>
                <w:highlight w:val="none"/>
                <w:vertAlign w:val="baseline"/>
              </w:rPr>
              <w:t>施工噪声执行《建筑施工噪声排放标准》（GB12523-2025）</w:t>
            </w:r>
          </w:p>
        </w:tc>
        <w:tc>
          <w:tcPr>
            <w:tcW w:w="1070" w:type="dxa"/>
            <w:tcMar>
              <w:top w:w="113" w:type="dxa"/>
              <w:left w:w="113" w:type="dxa"/>
              <w:bottom w:w="113" w:type="dxa"/>
              <w:right w:w="113" w:type="dxa"/>
            </w:tcMar>
            <w:vAlign w:val="center"/>
          </w:tcPr>
          <w:p w14:paraId="34F6CD89">
            <w:pPr>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w:t>
            </w:r>
          </w:p>
        </w:tc>
      </w:tr>
      <w:tr w14:paraId="6582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vMerge w:val="restart"/>
            <w:tcMar>
              <w:top w:w="113" w:type="dxa"/>
              <w:left w:w="113" w:type="dxa"/>
              <w:bottom w:w="113" w:type="dxa"/>
              <w:right w:w="113" w:type="dxa"/>
            </w:tcMar>
            <w:vAlign w:val="center"/>
          </w:tcPr>
          <w:p w14:paraId="75E3DA28">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辐射类项目</w:t>
            </w:r>
          </w:p>
        </w:tc>
        <w:tc>
          <w:tcPr>
            <w:tcW w:w="1146" w:type="dxa"/>
            <w:tcMar>
              <w:top w:w="113" w:type="dxa"/>
              <w:left w:w="113" w:type="dxa"/>
              <w:bottom w:w="113" w:type="dxa"/>
              <w:right w:w="113" w:type="dxa"/>
            </w:tcMar>
            <w:vAlign w:val="center"/>
          </w:tcPr>
          <w:p w14:paraId="0CE2ECCD">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辐射环境影响</w:t>
            </w:r>
          </w:p>
        </w:tc>
        <w:tc>
          <w:tcPr>
            <w:tcW w:w="2784" w:type="dxa"/>
            <w:gridSpan w:val="2"/>
            <w:tcMar>
              <w:top w:w="113" w:type="dxa"/>
              <w:left w:w="113" w:type="dxa"/>
              <w:bottom w:w="113" w:type="dxa"/>
              <w:right w:w="113" w:type="dxa"/>
            </w:tcMar>
            <w:vAlign w:val="center"/>
          </w:tcPr>
          <w:p w14:paraId="38F40267">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w:t>
            </w:r>
          </w:p>
        </w:tc>
        <w:tc>
          <w:tcPr>
            <w:tcW w:w="1583" w:type="dxa"/>
            <w:tcMar>
              <w:top w:w="113" w:type="dxa"/>
              <w:left w:w="113" w:type="dxa"/>
              <w:bottom w:w="113" w:type="dxa"/>
              <w:right w:w="113" w:type="dxa"/>
            </w:tcMar>
            <w:vAlign w:val="center"/>
          </w:tcPr>
          <w:p w14:paraId="3585D7BD">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c>
          <w:tcPr>
            <w:tcW w:w="1995" w:type="dxa"/>
            <w:tcMar>
              <w:top w:w="113" w:type="dxa"/>
              <w:left w:w="113" w:type="dxa"/>
              <w:bottom w:w="113" w:type="dxa"/>
              <w:right w:w="113" w:type="dxa"/>
            </w:tcMar>
            <w:vAlign w:val="center"/>
          </w:tcPr>
          <w:p w14:paraId="2E03A37B">
            <w:pPr>
              <w:jc w:val="center"/>
              <w:rPr>
                <w:rFonts w:hint="default" w:ascii="Times New Roman" w:hAnsi="Times New Roman" w:eastAsia="黑体" w:cs="Times New Roman"/>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c>
          <w:tcPr>
            <w:tcW w:w="1070" w:type="dxa"/>
            <w:tcMar>
              <w:top w:w="113" w:type="dxa"/>
              <w:left w:w="113" w:type="dxa"/>
              <w:bottom w:w="113" w:type="dxa"/>
              <w:right w:w="113" w:type="dxa"/>
            </w:tcMar>
            <w:vAlign w:val="center"/>
          </w:tcPr>
          <w:p w14:paraId="4A7C2FF4">
            <w:pPr>
              <w:jc w:val="center"/>
              <w:rPr>
                <w:rFonts w:hint="default" w:ascii="Times New Roman" w:hAnsi="Times New Roman" w:eastAsia="黑体" w:cs="Times New Roman"/>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r>
      <w:tr w14:paraId="289C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vMerge w:val="continue"/>
            <w:tcMar>
              <w:top w:w="113" w:type="dxa"/>
              <w:left w:w="113" w:type="dxa"/>
              <w:bottom w:w="113" w:type="dxa"/>
              <w:right w:w="113" w:type="dxa"/>
            </w:tcMar>
            <w:vAlign w:val="center"/>
          </w:tcPr>
          <w:p w14:paraId="1794BC20">
            <w:pPr>
              <w:jc w:val="center"/>
              <w:rPr>
                <w:rFonts w:hint="default" w:ascii="Times New Roman" w:hAnsi="Times New Roman" w:eastAsia="黑体" w:cs="Times New Roman"/>
                <w:b w:val="0"/>
                <w:bCs w:val="0"/>
                <w:sz w:val="21"/>
                <w:szCs w:val="21"/>
                <w:vertAlign w:val="baseline"/>
              </w:rPr>
            </w:pPr>
          </w:p>
        </w:tc>
        <w:tc>
          <w:tcPr>
            <w:tcW w:w="1146" w:type="dxa"/>
            <w:tcMar>
              <w:top w:w="113" w:type="dxa"/>
              <w:left w:w="113" w:type="dxa"/>
              <w:bottom w:w="113" w:type="dxa"/>
              <w:right w:w="113" w:type="dxa"/>
            </w:tcMar>
            <w:vAlign w:val="center"/>
          </w:tcPr>
          <w:p w14:paraId="28238BE4">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废弃物</w:t>
            </w:r>
          </w:p>
        </w:tc>
        <w:tc>
          <w:tcPr>
            <w:tcW w:w="2784" w:type="dxa"/>
            <w:gridSpan w:val="2"/>
            <w:tcMar>
              <w:top w:w="113" w:type="dxa"/>
              <w:left w:w="113" w:type="dxa"/>
              <w:bottom w:w="113" w:type="dxa"/>
              <w:right w:w="113" w:type="dxa"/>
            </w:tcMar>
            <w:vAlign w:val="center"/>
          </w:tcPr>
          <w:p w14:paraId="5C0BD946">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w:t>
            </w:r>
          </w:p>
        </w:tc>
        <w:tc>
          <w:tcPr>
            <w:tcW w:w="1583" w:type="dxa"/>
            <w:tcMar>
              <w:top w:w="113" w:type="dxa"/>
              <w:left w:w="113" w:type="dxa"/>
              <w:bottom w:w="113" w:type="dxa"/>
              <w:right w:w="113" w:type="dxa"/>
            </w:tcMar>
            <w:vAlign w:val="center"/>
          </w:tcPr>
          <w:p w14:paraId="054965EE">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c>
          <w:tcPr>
            <w:tcW w:w="1995" w:type="dxa"/>
            <w:tcMar>
              <w:top w:w="113" w:type="dxa"/>
              <w:left w:w="113" w:type="dxa"/>
              <w:bottom w:w="113" w:type="dxa"/>
              <w:right w:w="113" w:type="dxa"/>
            </w:tcMar>
            <w:vAlign w:val="center"/>
          </w:tcPr>
          <w:p w14:paraId="24E41757">
            <w:pPr>
              <w:jc w:val="center"/>
              <w:rPr>
                <w:rFonts w:hint="default" w:ascii="Times New Roman" w:hAnsi="Times New Roman" w:eastAsia="黑体" w:cs="Times New Roman"/>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c>
          <w:tcPr>
            <w:tcW w:w="1070" w:type="dxa"/>
            <w:tcMar>
              <w:top w:w="113" w:type="dxa"/>
              <w:left w:w="113" w:type="dxa"/>
              <w:bottom w:w="113" w:type="dxa"/>
              <w:right w:w="113" w:type="dxa"/>
            </w:tcMar>
            <w:vAlign w:val="center"/>
          </w:tcPr>
          <w:p w14:paraId="68E83A74">
            <w:pPr>
              <w:jc w:val="center"/>
              <w:rPr>
                <w:rFonts w:hint="default" w:ascii="Times New Roman" w:hAnsi="Times New Roman" w:eastAsia="黑体" w:cs="Times New Roman"/>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r>
      <w:tr w14:paraId="6139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vMerge w:val="continue"/>
            <w:tcMar>
              <w:top w:w="113" w:type="dxa"/>
              <w:left w:w="113" w:type="dxa"/>
              <w:bottom w:w="113" w:type="dxa"/>
              <w:right w:w="113" w:type="dxa"/>
            </w:tcMar>
            <w:vAlign w:val="center"/>
          </w:tcPr>
          <w:p w14:paraId="21E71C4E">
            <w:pPr>
              <w:jc w:val="center"/>
              <w:rPr>
                <w:rFonts w:hint="default" w:ascii="Times New Roman" w:hAnsi="Times New Roman" w:eastAsia="黑体" w:cs="Times New Roman"/>
                <w:b w:val="0"/>
                <w:bCs w:val="0"/>
                <w:sz w:val="21"/>
                <w:szCs w:val="21"/>
                <w:vertAlign w:val="baseline"/>
              </w:rPr>
            </w:pPr>
          </w:p>
        </w:tc>
        <w:tc>
          <w:tcPr>
            <w:tcW w:w="1146" w:type="dxa"/>
            <w:tcMar>
              <w:top w:w="113" w:type="dxa"/>
              <w:left w:w="113" w:type="dxa"/>
              <w:bottom w:w="113" w:type="dxa"/>
              <w:right w:w="113" w:type="dxa"/>
            </w:tcMar>
            <w:vAlign w:val="center"/>
          </w:tcPr>
          <w:p w14:paraId="51C7E4A9">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辐射剂量约束值</w:t>
            </w:r>
          </w:p>
        </w:tc>
        <w:tc>
          <w:tcPr>
            <w:tcW w:w="2784" w:type="dxa"/>
            <w:gridSpan w:val="2"/>
            <w:tcMar>
              <w:top w:w="113" w:type="dxa"/>
              <w:left w:w="113" w:type="dxa"/>
              <w:bottom w:w="113" w:type="dxa"/>
              <w:right w:w="113" w:type="dxa"/>
            </w:tcMar>
            <w:vAlign w:val="center"/>
          </w:tcPr>
          <w:p w14:paraId="0F198695">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w:t>
            </w:r>
          </w:p>
        </w:tc>
        <w:tc>
          <w:tcPr>
            <w:tcW w:w="1583" w:type="dxa"/>
            <w:tcMar>
              <w:top w:w="113" w:type="dxa"/>
              <w:left w:w="113" w:type="dxa"/>
              <w:bottom w:w="113" w:type="dxa"/>
              <w:right w:w="113" w:type="dxa"/>
            </w:tcMar>
            <w:vAlign w:val="center"/>
          </w:tcPr>
          <w:p w14:paraId="5D23FB8D">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c>
          <w:tcPr>
            <w:tcW w:w="1995" w:type="dxa"/>
            <w:tcMar>
              <w:top w:w="113" w:type="dxa"/>
              <w:left w:w="113" w:type="dxa"/>
              <w:bottom w:w="113" w:type="dxa"/>
              <w:right w:w="113" w:type="dxa"/>
            </w:tcMar>
            <w:vAlign w:val="center"/>
          </w:tcPr>
          <w:p w14:paraId="00A486F1">
            <w:pPr>
              <w:jc w:val="center"/>
              <w:rPr>
                <w:rFonts w:hint="default" w:ascii="Times New Roman" w:hAnsi="Times New Roman" w:eastAsia="黑体" w:cs="Times New Roman"/>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c>
          <w:tcPr>
            <w:tcW w:w="1070" w:type="dxa"/>
            <w:tcMar>
              <w:top w:w="113" w:type="dxa"/>
              <w:left w:w="113" w:type="dxa"/>
              <w:bottom w:w="113" w:type="dxa"/>
              <w:right w:w="113" w:type="dxa"/>
            </w:tcMar>
            <w:vAlign w:val="center"/>
          </w:tcPr>
          <w:p w14:paraId="6530597B">
            <w:pPr>
              <w:jc w:val="center"/>
              <w:rPr>
                <w:rFonts w:hint="default" w:ascii="Times New Roman" w:hAnsi="Times New Roman" w:eastAsia="黑体" w:cs="Times New Roman"/>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r>
      <w:tr w14:paraId="5EB1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7" w:type="dxa"/>
            <w:vMerge w:val="continue"/>
            <w:tcMar>
              <w:top w:w="113" w:type="dxa"/>
              <w:left w:w="113" w:type="dxa"/>
              <w:bottom w:w="113" w:type="dxa"/>
              <w:right w:w="113" w:type="dxa"/>
            </w:tcMar>
            <w:vAlign w:val="center"/>
          </w:tcPr>
          <w:p w14:paraId="31B820FA">
            <w:pPr>
              <w:jc w:val="center"/>
              <w:rPr>
                <w:rFonts w:hint="default" w:ascii="Times New Roman" w:hAnsi="Times New Roman" w:eastAsia="黑体" w:cs="Times New Roman"/>
                <w:b w:val="0"/>
                <w:bCs w:val="0"/>
                <w:sz w:val="21"/>
                <w:szCs w:val="21"/>
                <w:vertAlign w:val="baseline"/>
              </w:rPr>
            </w:pPr>
          </w:p>
        </w:tc>
        <w:tc>
          <w:tcPr>
            <w:tcW w:w="1146" w:type="dxa"/>
            <w:tcMar>
              <w:top w:w="113" w:type="dxa"/>
              <w:left w:w="113" w:type="dxa"/>
              <w:bottom w:w="113" w:type="dxa"/>
              <w:right w:w="113" w:type="dxa"/>
            </w:tcMar>
            <w:vAlign w:val="center"/>
          </w:tcPr>
          <w:p w14:paraId="63C77AB9">
            <w:pPr>
              <w:jc w:val="center"/>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辐射环境管理措施</w:t>
            </w:r>
          </w:p>
        </w:tc>
        <w:tc>
          <w:tcPr>
            <w:tcW w:w="2784" w:type="dxa"/>
            <w:gridSpan w:val="2"/>
            <w:tcMar>
              <w:top w:w="113" w:type="dxa"/>
              <w:left w:w="113" w:type="dxa"/>
              <w:bottom w:w="113" w:type="dxa"/>
              <w:right w:w="113" w:type="dxa"/>
            </w:tcMar>
            <w:vAlign w:val="center"/>
          </w:tcPr>
          <w:p w14:paraId="37E46D4A">
            <w:pPr>
              <w:jc w:val="center"/>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w:t>
            </w:r>
          </w:p>
        </w:tc>
        <w:tc>
          <w:tcPr>
            <w:tcW w:w="1583" w:type="dxa"/>
            <w:tcMar>
              <w:top w:w="113" w:type="dxa"/>
              <w:left w:w="113" w:type="dxa"/>
              <w:bottom w:w="113" w:type="dxa"/>
              <w:right w:w="113" w:type="dxa"/>
            </w:tcMar>
            <w:vAlign w:val="center"/>
          </w:tcPr>
          <w:p w14:paraId="729FFD76">
            <w:pPr>
              <w:jc w:val="center"/>
              <w:rPr>
                <w:rFonts w:hint="default" w:ascii="Times New Roman" w:hAnsi="Times New Roman" w:eastAsia="黑体" w:cs="Times New Roman"/>
                <w:b w:val="0"/>
                <w:bCs w:val="0"/>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c>
          <w:tcPr>
            <w:tcW w:w="1995" w:type="dxa"/>
            <w:tcMar>
              <w:top w:w="113" w:type="dxa"/>
              <w:left w:w="113" w:type="dxa"/>
              <w:bottom w:w="113" w:type="dxa"/>
              <w:right w:w="113" w:type="dxa"/>
            </w:tcMar>
            <w:vAlign w:val="center"/>
          </w:tcPr>
          <w:p w14:paraId="09BD5B03">
            <w:pPr>
              <w:jc w:val="center"/>
              <w:rPr>
                <w:rFonts w:hint="default" w:ascii="Times New Roman" w:hAnsi="Times New Roman" w:eastAsia="黑体" w:cs="Times New Roman"/>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c>
          <w:tcPr>
            <w:tcW w:w="1070" w:type="dxa"/>
            <w:tcMar>
              <w:top w:w="113" w:type="dxa"/>
              <w:left w:w="113" w:type="dxa"/>
              <w:bottom w:w="113" w:type="dxa"/>
              <w:right w:w="113" w:type="dxa"/>
            </w:tcMar>
            <w:vAlign w:val="center"/>
          </w:tcPr>
          <w:p w14:paraId="6FDAD467">
            <w:pPr>
              <w:jc w:val="center"/>
              <w:rPr>
                <w:rFonts w:hint="default" w:ascii="Times New Roman" w:hAnsi="Times New Roman" w:eastAsia="黑体" w:cs="Times New Roman"/>
                <w:sz w:val="21"/>
                <w:szCs w:val="21"/>
                <w:vertAlign w:val="baseline"/>
              </w:rPr>
            </w:pPr>
            <w:r>
              <w:rPr>
                <w:rFonts w:hint="default" w:ascii="Times New Roman" w:hAnsi="Times New Roman" w:eastAsia="黑体" w:cs="Times New Roman"/>
                <w:b w:val="0"/>
                <w:bCs w:val="0"/>
                <w:sz w:val="21"/>
                <w:szCs w:val="21"/>
                <w:vertAlign w:val="baseline"/>
                <w:lang w:val="en-US" w:eastAsia="zh-CN"/>
              </w:rPr>
              <w:t>/</w:t>
            </w:r>
          </w:p>
        </w:tc>
      </w:tr>
      <w:tr w14:paraId="4A95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65" w:type="dxa"/>
            <w:gridSpan w:val="7"/>
            <w:tcMar>
              <w:top w:w="113" w:type="dxa"/>
              <w:left w:w="113" w:type="dxa"/>
              <w:bottom w:w="113" w:type="dxa"/>
              <w:right w:w="113" w:type="dxa"/>
            </w:tcMar>
            <w:vAlign w:val="center"/>
          </w:tcPr>
          <w:p w14:paraId="132FD39D">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黑体" w:cs="Times New Roman"/>
                <w:b w:val="0"/>
                <w:bCs w:val="0"/>
                <w:sz w:val="21"/>
                <w:szCs w:val="21"/>
                <w:vertAlign w:val="baseline"/>
                <w:lang w:val="en-US" w:eastAsia="zh-CN"/>
              </w:rPr>
            </w:pPr>
            <w:r>
              <w:rPr>
                <w:rFonts w:hint="default" w:ascii="Times New Roman" w:hAnsi="Times New Roman" w:eastAsia="黑体" w:cs="Times New Roman"/>
                <w:b w:val="0"/>
                <w:bCs w:val="0"/>
                <w:sz w:val="21"/>
                <w:szCs w:val="21"/>
                <w:vertAlign w:val="baseline"/>
                <w:lang w:val="en-US" w:eastAsia="zh-CN"/>
              </w:rPr>
              <w:t>其他需要说明的问题：</w:t>
            </w:r>
          </w:p>
          <w:p w14:paraId="2019498B">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黑体" w:cs="Times New Roman"/>
                <w:sz w:val="21"/>
                <w:szCs w:val="21"/>
                <w:vertAlign w:val="baseline"/>
                <w:lang w:val="en-US"/>
              </w:rPr>
            </w:pPr>
            <w:r>
              <w:rPr>
                <w:rFonts w:hint="default" w:ascii="Times New Roman" w:hAnsi="Times New Roman" w:eastAsia="宋体" w:cs="Times New Roman"/>
                <w:b w:val="0"/>
                <w:bCs w:val="0"/>
                <w:sz w:val="21"/>
                <w:szCs w:val="21"/>
                <w:vertAlign w:val="baseline"/>
                <w:lang w:val="en-US" w:eastAsia="zh-CN"/>
              </w:rPr>
              <w:t>本建设项目为城市道路工程，属于非生产性建设项目，不属于工业类项目，无总量控制要求。</w:t>
            </w:r>
          </w:p>
        </w:tc>
      </w:tr>
      <w:tr w14:paraId="32D4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3" w:hRule="atLeast"/>
          <w:jc w:val="center"/>
        </w:trPr>
        <w:tc>
          <w:tcPr>
            <w:tcW w:w="10665" w:type="dxa"/>
            <w:gridSpan w:val="7"/>
            <w:tcMar>
              <w:top w:w="113" w:type="dxa"/>
              <w:left w:w="113" w:type="dxa"/>
              <w:bottom w:w="113" w:type="dxa"/>
              <w:right w:w="113" w:type="dxa"/>
            </w:tcMar>
            <w:vAlign w:val="center"/>
          </w:tcPr>
          <w:p w14:paraId="04B8F2D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Times New Roman" w:hAnsi="Times New Roman" w:eastAsia="黑体" w:cs="Times New Roman"/>
                <w:sz w:val="21"/>
                <w:szCs w:val="21"/>
                <w:vertAlign w:val="baseline"/>
                <w:lang w:val="en-US" w:eastAsia="zh-CN"/>
              </w:rPr>
            </w:pPr>
            <w:r>
              <w:rPr>
                <w:rFonts w:hint="default" w:ascii="Times New Roman" w:hAnsi="Times New Roman" w:eastAsia="黑体" w:cs="Times New Roman"/>
                <w:sz w:val="21"/>
                <w:szCs w:val="21"/>
                <w:vertAlign w:val="baseline"/>
                <w:lang w:val="en-US" w:eastAsia="zh-CN"/>
              </w:rPr>
              <w:t>承诺：</w:t>
            </w:r>
          </w:p>
          <w:p w14:paraId="1EF127E4">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仿宋_GB2312" w:cs="Times New Roman"/>
                <w:color w:val="000000"/>
                <w:kern w:val="0"/>
                <w:sz w:val="21"/>
                <w:szCs w:val="21"/>
                <w:lang w:val="en-US" w:eastAsia="zh-CN" w:bidi="ar"/>
              </w:rPr>
              <w:t>承诺所填写各项内容真实、准确、完整。如存在弄虚作假、隐瞒欺骗等情况及由此导致的一切后果由</w:t>
            </w:r>
            <w:r>
              <w:rPr>
                <w:rFonts w:hint="eastAsia" w:ascii="Times New Roman" w:hAnsi="Times New Roman" w:eastAsia="仿宋_GB2312" w:cs="Times New Roman"/>
                <w:color w:val="000000"/>
                <w:kern w:val="0"/>
                <w:sz w:val="21"/>
                <w:szCs w:val="21"/>
                <w:lang w:val="en-US" w:eastAsia="zh-CN" w:bidi="ar"/>
              </w:rPr>
              <w:t xml:space="preserve"> </w:t>
            </w:r>
            <w:r>
              <w:rPr>
                <w:rFonts w:hint="eastAsia" w:ascii="Times New Roman" w:hAnsi="Times New Roman" w:eastAsia="仿宋_GB2312" w:cs="Times New Roman"/>
                <w:b/>
                <w:bCs/>
                <w:color w:val="000000"/>
                <w:kern w:val="0"/>
                <w:sz w:val="21"/>
                <w:szCs w:val="21"/>
                <w:lang w:val="en-US" w:eastAsia="zh-CN" w:bidi="ar"/>
              </w:rPr>
              <w:t>杭州青西建设开发有限公司</w:t>
            </w:r>
            <w:r>
              <w:rPr>
                <w:rFonts w:hint="default" w:ascii="Times New Roman" w:hAnsi="Times New Roman" w:eastAsia="仿宋_GB2312" w:cs="Times New Roman"/>
                <w:color w:val="000000"/>
                <w:kern w:val="0"/>
                <w:sz w:val="21"/>
                <w:szCs w:val="21"/>
                <w:lang w:val="en-US" w:eastAsia="zh-CN" w:bidi="ar"/>
              </w:rPr>
              <w:t xml:space="preserve"> 承担全部责任。</w:t>
            </w:r>
          </w:p>
          <w:p w14:paraId="0EC495B7">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auto"/>
              <w:rPr>
                <w:rFonts w:hint="default" w:ascii="Times New Roman" w:hAnsi="Times New Roman" w:eastAsia="仿宋_GB2312" w:cs="Times New Roman"/>
                <w:color w:val="000000"/>
                <w:kern w:val="0"/>
                <w:sz w:val="21"/>
                <w:szCs w:val="21"/>
                <w:lang w:val="en-US" w:eastAsia="zh-CN" w:bidi="ar"/>
              </w:rPr>
            </w:pPr>
          </w:p>
          <w:p w14:paraId="63DB50F7">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auto"/>
              <w:rPr>
                <w:rFonts w:hint="default" w:ascii="Times New Roman" w:hAnsi="Times New Roman" w:eastAsia="仿宋_GB2312" w:cs="Times New Roman"/>
                <w:color w:val="000000"/>
                <w:kern w:val="0"/>
                <w:sz w:val="21"/>
                <w:szCs w:val="21"/>
                <w:lang w:val="en-US" w:eastAsia="zh-CN" w:bidi="ar"/>
              </w:rPr>
            </w:pPr>
          </w:p>
          <w:p w14:paraId="58DDB9C7">
            <w:pPr>
              <w:keepNext w:val="0"/>
              <w:keepLines w:val="0"/>
              <w:widowControl/>
              <w:suppressLineNumbers w:val="0"/>
              <w:wordWrap w:val="0"/>
              <w:jc w:val="right"/>
              <w:rPr>
                <w:rFonts w:hint="default" w:ascii="Times New Roman" w:hAnsi="Times New Roman" w:eastAsia="黑体" w:cs="Times New Roman"/>
                <w:sz w:val="21"/>
                <w:szCs w:val="21"/>
                <w:vertAlign w:val="baseline"/>
                <w:lang w:val="en-US" w:eastAsia="zh-CN"/>
              </w:rPr>
            </w:pPr>
            <w:r>
              <w:rPr>
                <w:rFonts w:hint="default" w:ascii="Times New Roman" w:hAnsi="Times New Roman" w:eastAsia="仿宋_GB2312" w:cs="Times New Roman"/>
                <w:color w:val="000000"/>
                <w:kern w:val="0"/>
                <w:sz w:val="21"/>
                <w:szCs w:val="21"/>
                <w:lang w:val="en-US" w:eastAsia="zh-CN" w:bidi="ar"/>
              </w:rPr>
              <w:t xml:space="preserve">法定代表人或主要负责人签字：                            </w:t>
            </w:r>
          </w:p>
        </w:tc>
      </w:tr>
      <w:tr w14:paraId="7084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8" w:hRule="atLeast"/>
          <w:jc w:val="center"/>
        </w:trPr>
        <w:tc>
          <w:tcPr>
            <w:tcW w:w="10665" w:type="dxa"/>
            <w:gridSpan w:val="7"/>
            <w:tcMar>
              <w:top w:w="113" w:type="dxa"/>
              <w:left w:w="113" w:type="dxa"/>
              <w:bottom w:w="113" w:type="dxa"/>
              <w:right w:w="113" w:type="dxa"/>
            </w:tcMar>
            <w:vAlign w:val="center"/>
          </w:tcPr>
          <w:p w14:paraId="01948B37">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sz w:val="21"/>
                <w:szCs w:val="21"/>
              </w:rPr>
            </w:pPr>
            <w:r>
              <w:rPr>
                <w:rFonts w:hint="default" w:ascii="Times New Roman" w:hAnsi="Times New Roman" w:eastAsia="黑体" w:cs="Times New Roman"/>
                <w:color w:val="000000"/>
                <w:kern w:val="0"/>
                <w:sz w:val="21"/>
                <w:szCs w:val="21"/>
                <w:lang w:val="en-US" w:eastAsia="zh-CN" w:bidi="ar"/>
              </w:rPr>
              <w:t xml:space="preserve">属地生态环境部门意见： </w:t>
            </w:r>
          </w:p>
          <w:p w14:paraId="4DBD558A">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auto"/>
              <w:rPr>
                <w:rFonts w:hint="default" w:ascii="Times New Roman" w:hAnsi="Times New Roman" w:eastAsia="黑体" w:cs="Times New Roman"/>
                <w:color w:val="000000"/>
                <w:kern w:val="0"/>
                <w:sz w:val="21"/>
                <w:szCs w:val="21"/>
                <w:lang w:val="en-US" w:eastAsia="zh-CN" w:bidi="ar"/>
              </w:rPr>
            </w:pPr>
            <w:r>
              <w:rPr>
                <w:rFonts w:hint="default" w:ascii="Times New Roman" w:hAnsi="Times New Roman" w:eastAsia="黑体" w:cs="Times New Roman"/>
                <w:color w:val="000000"/>
                <w:kern w:val="0"/>
                <w:sz w:val="21"/>
                <w:szCs w:val="21"/>
                <w:lang w:val="en-US" w:eastAsia="zh-CN" w:bidi="ar"/>
              </w:rPr>
              <w:t xml:space="preserve">备案文号： </w:t>
            </w:r>
          </w:p>
          <w:p w14:paraId="06950E04">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auto"/>
              <w:rPr>
                <w:rFonts w:hint="default" w:ascii="Times New Roman" w:hAnsi="Times New Roman" w:eastAsia="黑体" w:cs="Times New Roman"/>
                <w:color w:val="000000"/>
                <w:kern w:val="0"/>
                <w:sz w:val="21"/>
                <w:szCs w:val="21"/>
                <w:lang w:val="en-US" w:eastAsia="zh-CN" w:bidi="ar"/>
              </w:rPr>
            </w:pPr>
          </w:p>
          <w:p w14:paraId="63D10991">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auto"/>
              <w:rPr>
                <w:rFonts w:hint="default" w:ascii="Times New Roman" w:hAnsi="Times New Roman" w:eastAsia="黑体" w:cs="Times New Roman"/>
                <w:color w:val="000000"/>
                <w:kern w:val="0"/>
                <w:sz w:val="21"/>
                <w:szCs w:val="21"/>
                <w:lang w:val="en-US" w:eastAsia="zh-CN" w:bidi="ar"/>
              </w:rPr>
            </w:pPr>
          </w:p>
          <w:p w14:paraId="39D9D691">
            <w:pPr>
              <w:keepNext w:val="0"/>
              <w:keepLines w:val="0"/>
              <w:pageBreakBefore w:val="0"/>
              <w:widowControl/>
              <w:suppressLineNumbers w:val="0"/>
              <w:kinsoku/>
              <w:wordWrap w:val="0"/>
              <w:overflowPunct/>
              <w:topLinePunct w:val="0"/>
              <w:autoSpaceDE/>
              <w:autoSpaceDN/>
              <w:bidi w:val="0"/>
              <w:adjustRightInd/>
              <w:snapToGrid/>
              <w:ind w:firstLine="420" w:firstLineChars="200"/>
              <w:jc w:val="right"/>
              <w:textAlignment w:val="auto"/>
              <w:rPr>
                <w:rFonts w:hint="default" w:ascii="Times New Roman" w:hAnsi="Times New Roman" w:cs="Times New Roman"/>
                <w:sz w:val="21"/>
                <w:szCs w:val="21"/>
                <w:lang w:val="en-US"/>
              </w:rPr>
            </w:pPr>
            <w:r>
              <w:rPr>
                <w:rFonts w:hint="default" w:ascii="Times New Roman" w:hAnsi="Times New Roman" w:eastAsia="仿宋_GB2312" w:cs="Times New Roman"/>
                <w:color w:val="000000"/>
                <w:kern w:val="0"/>
                <w:sz w:val="21"/>
                <w:szCs w:val="21"/>
                <w:lang w:val="en-US" w:eastAsia="zh-CN" w:bidi="ar"/>
              </w:rPr>
              <w:t xml:space="preserve">（盖章）       </w:t>
            </w:r>
          </w:p>
          <w:p w14:paraId="1F2AF977">
            <w:pPr>
              <w:keepNext w:val="0"/>
              <w:keepLines w:val="0"/>
              <w:pageBreakBefore w:val="0"/>
              <w:widowControl/>
              <w:suppressLineNumbers w:val="0"/>
              <w:kinsoku/>
              <w:wordWrap w:val="0"/>
              <w:overflowPunct/>
              <w:topLinePunct w:val="0"/>
              <w:autoSpaceDE/>
              <w:autoSpaceDN/>
              <w:bidi w:val="0"/>
              <w:adjustRightInd/>
              <w:snapToGrid/>
              <w:ind w:firstLine="420" w:firstLineChars="200"/>
              <w:jc w:val="right"/>
              <w:textAlignment w:val="auto"/>
              <w:rPr>
                <w:rFonts w:hint="default" w:ascii="Times New Roman" w:hAnsi="Times New Roman" w:eastAsia="黑体" w:cs="Times New Roman"/>
                <w:sz w:val="21"/>
                <w:szCs w:val="21"/>
                <w:vertAlign w:val="baseline"/>
                <w:lang w:val="en-US"/>
              </w:rPr>
            </w:pPr>
            <w:r>
              <w:rPr>
                <w:rFonts w:hint="default" w:ascii="Times New Roman" w:hAnsi="Times New Roman" w:eastAsia="仿宋_GB2312" w:cs="Times New Roman"/>
                <w:color w:val="000000"/>
                <w:kern w:val="0"/>
                <w:sz w:val="21"/>
                <w:szCs w:val="21"/>
                <w:lang w:val="en-US" w:eastAsia="zh-CN" w:bidi="ar"/>
              </w:rPr>
              <w:t xml:space="preserve">年  月  日    </w:t>
            </w:r>
          </w:p>
        </w:tc>
      </w:tr>
    </w:tbl>
    <w:p w14:paraId="5D7CA313">
      <w:pPr>
        <w:rPr>
          <w:rFonts w:eastAsia="仿宋"/>
          <w:sz w:val="28"/>
          <w:szCs w:val="28"/>
          <w:highlight w:val="yellow"/>
        </w:rPr>
        <w:sectPr>
          <w:footerReference r:id="rId7" w:type="default"/>
          <w:pgSz w:w="11906" w:h="16838"/>
          <w:pgMar w:top="1701" w:right="1531" w:bottom="1701" w:left="1531" w:header="851" w:footer="1077" w:gutter="0"/>
          <w:pgNumType w:start="1"/>
          <w:cols w:space="720" w:num="1"/>
          <w:docGrid w:linePitch="312" w:charSpace="0"/>
        </w:sectPr>
      </w:pPr>
    </w:p>
    <w:p w14:paraId="5AC525E0">
      <w:pPr>
        <w:rPr>
          <w:rFonts w:eastAsia="仿宋"/>
          <w:sz w:val="28"/>
          <w:szCs w:val="28"/>
          <w:highlight w:val="yellow"/>
        </w:rPr>
      </w:pPr>
      <w:r>
        <w:rPr>
          <w:rFonts w:eastAsia="仿宋"/>
          <w:sz w:val="28"/>
          <w:szCs w:val="28"/>
          <w:highlight w:val="yellow"/>
        </w:rPr>
        <w:drawing>
          <wp:anchor distT="0" distB="0" distL="114300" distR="114300" simplePos="0" relativeHeight="251660288" behindDoc="0" locked="0" layoutInCell="1" allowOverlap="1">
            <wp:simplePos x="0" y="0"/>
            <wp:positionH relativeFrom="column">
              <wp:posOffset>-20955</wp:posOffset>
            </wp:positionH>
            <wp:positionV relativeFrom="paragraph">
              <wp:posOffset>-28575</wp:posOffset>
            </wp:positionV>
            <wp:extent cx="1440180" cy="467995"/>
            <wp:effectExtent l="0" t="0" r="7620" b="8255"/>
            <wp:wrapNone/>
            <wp:docPr id="1" name="图片 1026" descr="定稿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26" descr="定稿logo"/>
                    <pic:cNvPicPr>
                      <a:picLocks noChangeAspect="1"/>
                    </pic:cNvPicPr>
                  </pic:nvPicPr>
                  <pic:blipFill>
                    <a:blip r:embed="rId11" cstate="hqprint"/>
                    <a:stretch>
                      <a:fillRect/>
                    </a:stretch>
                  </pic:blipFill>
                  <pic:spPr>
                    <a:xfrm>
                      <a:off x="0" y="0"/>
                      <a:ext cx="1440180" cy="467995"/>
                    </a:xfrm>
                    <a:prstGeom prst="rect">
                      <a:avLst/>
                    </a:prstGeom>
                    <a:noFill/>
                    <a:ln>
                      <a:noFill/>
                    </a:ln>
                  </pic:spPr>
                </pic:pic>
              </a:graphicData>
            </a:graphic>
          </wp:anchor>
        </w:drawing>
      </w:r>
    </w:p>
    <w:p w14:paraId="584ADE03">
      <w:pPr>
        <w:rPr>
          <w:rFonts w:eastAsia="仿宋"/>
          <w:sz w:val="28"/>
          <w:szCs w:val="28"/>
          <w:highlight w:val="yellow"/>
        </w:rPr>
      </w:pPr>
    </w:p>
    <w:p w14:paraId="4B33F88C">
      <w:pPr>
        <w:rPr>
          <w:rFonts w:eastAsia="仿宋"/>
          <w:sz w:val="28"/>
          <w:szCs w:val="28"/>
          <w:highlight w:val="yellow"/>
        </w:rPr>
      </w:pPr>
    </w:p>
    <w:p w14:paraId="23D2FC6F">
      <w:pPr>
        <w:rPr>
          <w:sz w:val="36"/>
          <w:szCs w:val="36"/>
          <w:highlight w:val="yellow"/>
        </w:rPr>
      </w:pPr>
    </w:p>
    <w:p w14:paraId="702B058A">
      <w:pPr>
        <w:jc w:val="center"/>
        <w:rPr>
          <w:rFonts w:hint="eastAsia" w:ascii="微软雅黑" w:hAnsi="微软雅黑" w:eastAsia="微软雅黑"/>
          <w:sz w:val="48"/>
          <w:szCs w:val="48"/>
          <w:highlight w:val="yellow"/>
        </w:rPr>
      </w:pPr>
      <w:r>
        <w:rPr>
          <w:rFonts w:hint="eastAsia" w:ascii="微软雅黑" w:hAnsi="微软雅黑" w:eastAsia="微软雅黑"/>
          <w:sz w:val="48"/>
          <w:szCs w:val="48"/>
        </w:rPr>
        <w:t>“</w:t>
      </w:r>
      <w:r>
        <w:rPr>
          <w:rFonts w:ascii="微软雅黑" w:hAnsi="微软雅黑" w:eastAsia="微软雅黑"/>
          <w:sz w:val="48"/>
          <w:szCs w:val="48"/>
        </w:rPr>
        <w:t>规划环评+项目环评</w:t>
      </w:r>
      <w:r>
        <w:rPr>
          <w:rFonts w:hint="eastAsia" w:ascii="微软雅黑" w:hAnsi="微软雅黑" w:eastAsia="微软雅黑"/>
          <w:sz w:val="48"/>
          <w:szCs w:val="48"/>
        </w:rPr>
        <w:t>”</w:t>
      </w:r>
      <w:r>
        <w:rPr>
          <w:rFonts w:ascii="微软雅黑" w:hAnsi="微软雅黑" w:eastAsia="微软雅黑"/>
          <w:sz w:val="48"/>
          <w:szCs w:val="48"/>
        </w:rPr>
        <w:t>改革</w:t>
      </w:r>
    </w:p>
    <w:p w14:paraId="3D806975">
      <w:pPr>
        <w:jc w:val="center"/>
        <w:rPr>
          <w:rFonts w:hint="eastAsia" w:ascii="微软雅黑" w:hAnsi="微软雅黑" w:eastAsia="微软雅黑"/>
          <w:sz w:val="52"/>
          <w:szCs w:val="52"/>
        </w:rPr>
      </w:pPr>
      <w:bookmarkStart w:id="0" w:name="_Toc68128881"/>
      <w:bookmarkStart w:id="1" w:name="_Toc13452"/>
      <w:bookmarkStart w:id="2" w:name="_Toc115077729"/>
      <w:bookmarkStart w:id="3" w:name="_Toc68128720"/>
      <w:bookmarkStart w:id="4" w:name="_Toc115077432"/>
      <w:r>
        <w:rPr>
          <w:rFonts w:ascii="微软雅黑" w:hAnsi="微软雅黑" w:eastAsia="微软雅黑"/>
          <w:sz w:val="52"/>
          <w:szCs w:val="52"/>
        </w:rPr>
        <w:t>建设项目</w:t>
      </w:r>
      <w:r>
        <w:rPr>
          <w:rFonts w:hint="eastAsia" w:ascii="微软雅黑" w:hAnsi="微软雅黑" w:eastAsia="微软雅黑"/>
          <w:sz w:val="52"/>
          <w:szCs w:val="52"/>
        </w:rPr>
        <w:t>生态</w:t>
      </w:r>
      <w:commentRangeStart w:id="0"/>
      <w:commentRangeStart w:id="1"/>
      <w:r>
        <w:rPr>
          <w:rFonts w:ascii="微软雅黑" w:hAnsi="微软雅黑" w:eastAsia="微软雅黑"/>
          <w:sz w:val="52"/>
          <w:szCs w:val="52"/>
        </w:rPr>
        <w:t>环境</w:t>
      </w:r>
      <w:commentRangeEnd w:id="0"/>
      <w:r>
        <w:rPr>
          <w:rStyle w:val="38"/>
          <w:rFonts w:ascii="微软雅黑" w:hAnsi="微软雅黑" w:eastAsia="微软雅黑"/>
          <w:sz w:val="52"/>
          <w:szCs w:val="52"/>
        </w:rPr>
        <w:commentReference w:id="0"/>
      </w:r>
      <w:commentRangeEnd w:id="1"/>
      <w:r>
        <w:rPr>
          <w:rStyle w:val="38"/>
          <w:rFonts w:ascii="微软雅黑" w:hAnsi="微软雅黑" w:eastAsia="微软雅黑"/>
          <w:sz w:val="52"/>
          <w:szCs w:val="52"/>
        </w:rPr>
        <w:commentReference w:id="1"/>
      </w:r>
      <w:r>
        <w:rPr>
          <w:rFonts w:ascii="微软雅黑" w:hAnsi="微软雅黑" w:eastAsia="微软雅黑"/>
          <w:sz w:val="52"/>
          <w:szCs w:val="52"/>
        </w:rPr>
        <w:t>影响</w:t>
      </w:r>
      <w:bookmarkEnd w:id="0"/>
      <w:bookmarkEnd w:id="1"/>
      <w:bookmarkEnd w:id="2"/>
      <w:bookmarkEnd w:id="3"/>
      <w:bookmarkEnd w:id="4"/>
      <w:r>
        <w:rPr>
          <w:rFonts w:hint="eastAsia" w:ascii="微软雅黑" w:hAnsi="微软雅黑" w:eastAsia="微软雅黑"/>
          <w:sz w:val="52"/>
          <w:szCs w:val="52"/>
        </w:rPr>
        <w:t>登记表</w:t>
      </w:r>
    </w:p>
    <w:p w14:paraId="025A7DC2">
      <w:pPr>
        <w:pStyle w:val="71"/>
        <w:ind w:firstLine="0" w:firstLineChars="0"/>
        <w:jc w:val="center"/>
        <w:rPr>
          <w:rFonts w:eastAsia="黑体"/>
          <w:sz w:val="48"/>
          <w:szCs w:val="48"/>
        </w:rPr>
      </w:pPr>
      <w:bookmarkStart w:id="5" w:name="_Toc17133"/>
      <w:bookmarkStart w:id="6" w:name="_Toc12463"/>
      <w:bookmarkStart w:id="7" w:name="_Toc115077730"/>
      <w:bookmarkStart w:id="8" w:name="_Toc115077433"/>
      <w:commentRangeStart w:id="2"/>
      <w:commentRangeStart w:id="3"/>
      <w:r>
        <w:rPr>
          <w:rFonts w:eastAsia="黑体"/>
          <w:sz w:val="48"/>
          <w:szCs w:val="48"/>
        </w:rPr>
        <w:t>（</w:t>
      </w:r>
      <w:r>
        <w:rPr>
          <w:rFonts w:hint="eastAsia" w:eastAsia="黑体"/>
          <w:sz w:val="48"/>
          <w:szCs w:val="48"/>
        </w:rPr>
        <w:t>生态</w:t>
      </w:r>
      <w:r>
        <w:rPr>
          <w:rFonts w:eastAsia="黑体"/>
          <w:sz w:val="48"/>
          <w:szCs w:val="48"/>
        </w:rPr>
        <w:t>影响类）</w:t>
      </w:r>
      <w:bookmarkEnd w:id="5"/>
      <w:bookmarkEnd w:id="6"/>
      <w:commentRangeEnd w:id="2"/>
      <w:r>
        <w:rPr>
          <w:rStyle w:val="38"/>
          <w:rFonts w:eastAsia="黑体"/>
          <w:sz w:val="48"/>
          <w:szCs w:val="48"/>
        </w:rPr>
        <w:commentReference w:id="2"/>
      </w:r>
      <w:commentRangeEnd w:id="3"/>
      <w:r>
        <w:rPr>
          <w:rStyle w:val="38"/>
          <w:rFonts w:eastAsia="黑体"/>
          <w:sz w:val="48"/>
          <w:szCs w:val="48"/>
        </w:rPr>
        <w:commentReference w:id="3"/>
      </w:r>
    </w:p>
    <w:bookmarkEnd w:id="7"/>
    <w:bookmarkEnd w:id="8"/>
    <w:p w14:paraId="64971D31">
      <w:pPr>
        <w:rPr>
          <w:highlight w:val="yellow"/>
        </w:rPr>
      </w:pPr>
    </w:p>
    <w:p w14:paraId="1447D6F8">
      <w:pPr>
        <w:rPr>
          <w:highlight w:val="yellow"/>
        </w:rPr>
      </w:pPr>
    </w:p>
    <w:p w14:paraId="230E9D5F">
      <w:pPr>
        <w:rPr>
          <w:highlight w:val="yellow"/>
        </w:rPr>
      </w:pPr>
    </w:p>
    <w:p w14:paraId="02B7FE9C">
      <w:pPr>
        <w:rPr>
          <w:highlight w:val="yellow"/>
        </w:rPr>
      </w:pPr>
    </w:p>
    <w:p w14:paraId="67AF69E1">
      <w:pPr>
        <w:rPr>
          <w:highlight w:val="yellow"/>
        </w:rPr>
      </w:pPr>
    </w:p>
    <w:p w14:paraId="4F7DDA52">
      <w:pPr>
        <w:rPr>
          <w:highlight w:val="yellow"/>
        </w:rPr>
      </w:pPr>
    </w:p>
    <w:p w14:paraId="2A2D56C1">
      <w:pPr>
        <w:rPr>
          <w:highlight w:val="yellow"/>
        </w:rPr>
      </w:pPr>
    </w:p>
    <w:p w14:paraId="2865F139">
      <w:pPr>
        <w:rPr>
          <w:highlight w:val="yellow"/>
        </w:rPr>
      </w:pPr>
    </w:p>
    <w:p w14:paraId="69E3D9A4">
      <w:pPr>
        <w:rPr>
          <w:highlight w:val="yellow"/>
        </w:rPr>
      </w:pPr>
    </w:p>
    <w:p w14:paraId="652162C9">
      <w:pPr>
        <w:rPr>
          <w:highlight w:val="yellow"/>
        </w:rPr>
      </w:pPr>
    </w:p>
    <w:p w14:paraId="06A262A8">
      <w:pPr>
        <w:rPr>
          <w:highlight w:val="yellow"/>
        </w:rPr>
      </w:pPr>
    </w:p>
    <w:p w14:paraId="1EAF774A">
      <w:pPr>
        <w:rPr>
          <w:highlight w:val="yellow"/>
        </w:rPr>
      </w:pPr>
    </w:p>
    <w:tbl>
      <w:tblPr>
        <w:tblStyle w:val="30"/>
        <w:tblpPr w:leftFromText="180" w:rightFromText="180" w:vertAnchor="text" w:horzAnchor="page" w:tblpX="1907" w:tblpY="-1869"/>
        <w:tblOverlap w:val="never"/>
        <w:tblW w:w="0" w:type="auto"/>
        <w:tblInd w:w="0" w:type="dxa"/>
        <w:tblLayout w:type="fixed"/>
        <w:tblCellMar>
          <w:top w:w="0" w:type="dxa"/>
          <w:left w:w="108" w:type="dxa"/>
          <w:bottom w:w="0" w:type="dxa"/>
          <w:right w:w="108" w:type="dxa"/>
        </w:tblCellMar>
      </w:tblPr>
      <w:tblGrid>
        <w:gridCol w:w="1858"/>
        <w:gridCol w:w="1056"/>
        <w:gridCol w:w="5360"/>
      </w:tblGrid>
      <w:tr w14:paraId="0AA4B76C">
        <w:tc>
          <w:tcPr>
            <w:tcW w:w="1858" w:type="dxa"/>
            <w:vAlign w:val="center"/>
          </w:tcPr>
          <w:p w14:paraId="4C800475">
            <w:pPr>
              <w:rPr>
                <w:rFonts w:hint="eastAsia" w:ascii="仿宋" w:hAnsi="仿宋" w:eastAsia="仿宋"/>
                <w:sz w:val="32"/>
                <w:szCs w:val="32"/>
              </w:rPr>
            </w:pPr>
            <w:r>
              <w:rPr>
                <w:rFonts w:ascii="仿宋" w:hAnsi="仿宋" w:eastAsia="仿宋"/>
                <w:b/>
                <w:bCs/>
                <w:sz w:val="32"/>
                <w:szCs w:val="32"/>
              </w:rPr>
              <w:t>项目名称：</w:t>
            </w:r>
          </w:p>
        </w:tc>
        <w:tc>
          <w:tcPr>
            <w:tcW w:w="6416" w:type="dxa"/>
            <w:gridSpan w:val="2"/>
            <w:vAlign w:val="center"/>
          </w:tcPr>
          <w:p w14:paraId="6637EDA5">
            <w:pPr>
              <w:rPr>
                <w:rFonts w:hint="eastAsia" w:ascii="仿宋" w:hAnsi="仿宋" w:eastAsia="仿宋"/>
                <w:sz w:val="32"/>
                <w:szCs w:val="32"/>
              </w:rPr>
            </w:pPr>
            <w:bookmarkStart w:id="9" w:name="OLE_LINK17"/>
            <w:r>
              <w:rPr>
                <w:rFonts w:hint="eastAsia" w:ascii="仿宋" w:hAnsi="仿宋" w:eastAsia="仿宋"/>
                <w:sz w:val="32"/>
                <w:szCs w:val="32"/>
                <w:u w:val="single"/>
              </w:rPr>
              <w:t>青西二路（江东大道-河景路）道路工程</w:t>
            </w:r>
            <w:bookmarkEnd w:id="9"/>
            <w:r>
              <w:rPr>
                <w:rFonts w:hint="eastAsia" w:ascii="仿宋" w:hAnsi="仿宋" w:eastAsia="仿宋"/>
                <w:sz w:val="32"/>
                <w:szCs w:val="32"/>
                <w:u w:val="single"/>
              </w:rPr>
              <w:t xml:space="preserve">                            </w:t>
            </w:r>
          </w:p>
        </w:tc>
      </w:tr>
      <w:tr w14:paraId="4F8D5860">
        <w:tblPrEx>
          <w:tblCellMar>
            <w:top w:w="0" w:type="dxa"/>
            <w:left w:w="108" w:type="dxa"/>
            <w:bottom w:w="0" w:type="dxa"/>
            <w:right w:w="108" w:type="dxa"/>
          </w:tblCellMar>
        </w:tblPrEx>
        <w:tc>
          <w:tcPr>
            <w:tcW w:w="2914" w:type="dxa"/>
            <w:gridSpan w:val="2"/>
            <w:vAlign w:val="center"/>
          </w:tcPr>
          <w:p w14:paraId="6C1D73F6">
            <w:pPr>
              <w:rPr>
                <w:rFonts w:hint="eastAsia" w:ascii="仿宋" w:hAnsi="仿宋" w:eastAsia="仿宋"/>
                <w:b/>
                <w:bCs/>
                <w:sz w:val="32"/>
                <w:szCs w:val="32"/>
              </w:rPr>
            </w:pPr>
            <w:r>
              <w:rPr>
                <w:rFonts w:ascii="仿宋" w:hAnsi="仿宋" w:eastAsia="仿宋"/>
                <w:b/>
                <w:bCs/>
                <w:sz w:val="32"/>
                <w:szCs w:val="32"/>
              </w:rPr>
              <w:t>建设单位（盖章）：</w:t>
            </w:r>
          </w:p>
        </w:tc>
        <w:tc>
          <w:tcPr>
            <w:tcW w:w="5360" w:type="dxa"/>
            <w:vAlign w:val="center"/>
          </w:tcPr>
          <w:p w14:paraId="40F69A61">
            <w:pPr>
              <w:rPr>
                <w:rFonts w:hint="eastAsia" w:ascii="仿宋" w:hAnsi="仿宋" w:eastAsia="仿宋"/>
                <w:sz w:val="32"/>
                <w:szCs w:val="32"/>
              </w:rPr>
            </w:pPr>
            <w:r>
              <w:rPr>
                <w:rFonts w:hint="eastAsia" w:ascii="仿宋" w:hAnsi="仿宋" w:eastAsia="仿宋"/>
                <w:sz w:val="32"/>
                <w:szCs w:val="32"/>
                <w:u w:val="single"/>
              </w:rPr>
              <w:t xml:space="preserve">杭州青西建设开发有限公司                         </w:t>
            </w:r>
          </w:p>
        </w:tc>
      </w:tr>
      <w:tr w14:paraId="6F014DFC">
        <w:tblPrEx>
          <w:tblCellMar>
            <w:top w:w="0" w:type="dxa"/>
            <w:left w:w="108" w:type="dxa"/>
            <w:bottom w:w="0" w:type="dxa"/>
            <w:right w:w="108" w:type="dxa"/>
          </w:tblCellMar>
        </w:tblPrEx>
        <w:tc>
          <w:tcPr>
            <w:tcW w:w="1858" w:type="dxa"/>
            <w:vAlign w:val="center"/>
          </w:tcPr>
          <w:p w14:paraId="7C842C3E">
            <w:pPr>
              <w:rPr>
                <w:rFonts w:hint="eastAsia" w:ascii="仿宋" w:hAnsi="仿宋" w:eastAsia="仿宋"/>
                <w:sz w:val="32"/>
                <w:szCs w:val="32"/>
              </w:rPr>
            </w:pPr>
            <w:r>
              <w:rPr>
                <w:rFonts w:ascii="仿宋" w:hAnsi="仿宋" w:eastAsia="仿宋"/>
                <w:b/>
                <w:bCs/>
                <w:sz w:val="32"/>
                <w:szCs w:val="32"/>
              </w:rPr>
              <w:t>编制日期：</w:t>
            </w:r>
          </w:p>
        </w:tc>
        <w:tc>
          <w:tcPr>
            <w:tcW w:w="6416" w:type="dxa"/>
            <w:gridSpan w:val="2"/>
            <w:vAlign w:val="center"/>
          </w:tcPr>
          <w:p w14:paraId="75A250C3">
            <w:pPr>
              <w:rPr>
                <w:rFonts w:hint="eastAsia" w:ascii="仿宋" w:hAnsi="仿宋" w:eastAsia="仿宋"/>
                <w:sz w:val="32"/>
                <w:szCs w:val="32"/>
              </w:rPr>
            </w:pP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r>
              <w:rPr>
                <w:rFonts w:hint="eastAsia" w:ascii="仿宋" w:hAnsi="仿宋" w:eastAsia="仿宋"/>
                <w:sz w:val="32"/>
                <w:szCs w:val="32"/>
                <w:u w:val="single"/>
              </w:rPr>
              <w:t>2026年7</w:t>
            </w:r>
            <w:commentRangeStart w:id="4"/>
            <w:r>
              <w:rPr>
                <w:rFonts w:hint="eastAsia" w:ascii="仿宋" w:hAnsi="仿宋" w:eastAsia="仿宋"/>
                <w:sz w:val="32"/>
                <w:szCs w:val="32"/>
                <w:u w:val="single"/>
              </w:rPr>
              <w:t>月</w:t>
            </w:r>
            <w:commentRangeEnd w:id="4"/>
            <w:r>
              <w:rPr>
                <w:rStyle w:val="38"/>
                <w:rFonts w:hint="eastAsia" w:ascii="仿宋" w:hAnsi="仿宋" w:eastAsia="仿宋"/>
                <w:sz w:val="32"/>
                <w:szCs w:val="32"/>
                <w:u w:val="single"/>
              </w:rPr>
              <w:commentReference w:id="4"/>
            </w:r>
            <w:r>
              <w:rPr>
                <w:rFonts w:hint="eastAsia" w:ascii="仿宋" w:hAnsi="仿宋" w:eastAsia="仿宋"/>
                <w:sz w:val="32"/>
                <w:szCs w:val="32"/>
                <w:u w:val="single"/>
              </w:rPr>
              <w:t xml:space="preserve">                           </w:t>
            </w:r>
          </w:p>
        </w:tc>
      </w:tr>
    </w:tbl>
    <w:p w14:paraId="2019B436">
      <w:pPr>
        <w:rPr>
          <w:highlight w:val="yellow"/>
        </w:rPr>
      </w:pPr>
    </w:p>
    <w:p w14:paraId="1523323E">
      <w:pPr>
        <w:spacing w:line="288" w:lineRule="auto"/>
        <w:ind w:firstLine="1040"/>
        <w:jc w:val="center"/>
        <w:rPr>
          <w:rFonts w:eastAsia="仿宋_GB2312"/>
          <w:sz w:val="36"/>
          <w:szCs w:val="36"/>
          <w:highlight w:val="yellow"/>
        </w:rPr>
      </w:pPr>
      <w:bookmarkStart w:id="10" w:name="_Hlk57884087"/>
    </w:p>
    <w:bookmarkEnd w:id="10"/>
    <w:p w14:paraId="1DB4AC72">
      <w:pPr>
        <w:spacing w:line="240" w:lineRule="auto"/>
        <w:jc w:val="center"/>
        <w:rPr>
          <w:rFonts w:eastAsia="黑体"/>
          <w:sz w:val="28"/>
          <w:szCs w:val="28"/>
        </w:rPr>
      </w:pPr>
      <w:r>
        <w:rPr>
          <w:rFonts w:eastAsia="楷体_GB2312"/>
          <w:sz w:val="36"/>
          <w:szCs w:val="36"/>
        </w:rPr>
        <w:t>中华人民共和国生态环境部制</w:t>
      </w:r>
      <w:r>
        <w:rPr>
          <w:rFonts w:eastAsia="黑体"/>
          <w:sz w:val="28"/>
          <w:szCs w:val="28"/>
        </w:rPr>
        <w:br w:type="page"/>
      </w:r>
    </w:p>
    <w:p w14:paraId="024B37F7">
      <w:pPr>
        <w:rPr>
          <w:rFonts w:eastAsia="黑体"/>
          <w:sz w:val="28"/>
          <w:szCs w:val="28"/>
        </w:rPr>
        <w:sectPr>
          <w:pgSz w:w="11906" w:h="16838"/>
          <w:pgMar w:top="1701" w:right="1531" w:bottom="1701" w:left="1531" w:header="851" w:footer="1077" w:gutter="0"/>
          <w:pgNumType w:start="1"/>
          <w:cols w:space="720" w:num="1"/>
          <w:docGrid w:linePitch="312" w:charSpace="0"/>
        </w:sectPr>
      </w:pPr>
    </w:p>
    <w:p w14:paraId="1AAE9E21">
      <w:pPr>
        <w:spacing w:line="240" w:lineRule="auto"/>
        <w:jc w:val="center"/>
        <w:rPr>
          <w:rFonts w:eastAsia="黑体"/>
          <w:sz w:val="28"/>
          <w:szCs w:val="28"/>
        </w:rPr>
      </w:pPr>
      <w:r>
        <w:rPr>
          <w:rFonts w:eastAsia="黑体"/>
          <w:sz w:val="36"/>
          <w:szCs w:val="36"/>
        </w:rPr>
        <w:t>目录</w:t>
      </w:r>
    </w:p>
    <w:p w14:paraId="376799E3">
      <w:pPr>
        <w:pStyle w:val="19"/>
        <w:tabs>
          <w:tab w:val="right" w:leader="dot" w:pos="8834"/>
        </w:tabs>
        <w:rPr>
          <w:rFonts w:asciiTheme="minorHAnsi" w:hAnsiTheme="minorHAnsi" w:eastAsiaTheme="minorEastAsia" w:cstheme="minorBidi"/>
          <w:sz w:val="22"/>
          <w:szCs w:val="24"/>
          <w14:ligatures w14:val="standardContextual"/>
        </w:rPr>
      </w:pPr>
      <w:r>
        <w:fldChar w:fldCharType="begin"/>
      </w:r>
      <w:r>
        <w:instrText xml:space="preserve"> TOC \o "1-1" \h \z \u </w:instrText>
      </w:r>
      <w:r>
        <w:fldChar w:fldCharType="separate"/>
      </w:r>
      <w:r>
        <w:fldChar w:fldCharType="begin"/>
      </w:r>
      <w:r>
        <w:instrText xml:space="preserve"> HYPERLINK \l "_Toc238129004" </w:instrText>
      </w:r>
      <w:r>
        <w:fldChar w:fldCharType="separate"/>
      </w:r>
      <w:r>
        <w:rPr>
          <w:rStyle w:val="37"/>
        </w:rPr>
        <w:t>1. 建设项目基本情况</w:t>
      </w:r>
      <w:r>
        <w:rPr>
          <w:rFonts w:hint="eastAsia"/>
        </w:rPr>
        <w:tab/>
      </w:r>
      <w:r>
        <w:rPr>
          <w:rFonts w:hint="eastAsia"/>
        </w:rPr>
        <w:fldChar w:fldCharType="begin"/>
      </w:r>
      <w:r>
        <w:rPr>
          <w:rFonts w:hint="eastAsia"/>
        </w:rPr>
        <w:instrText xml:space="preserve"> </w:instrText>
      </w:r>
      <w:r>
        <w:instrText xml:space="preserve">PAGEREF _Toc238129004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C876E5C">
      <w:pPr>
        <w:pStyle w:val="19"/>
        <w:tabs>
          <w:tab w:val="right" w:leader="dot" w:pos="8834"/>
        </w:tabs>
        <w:rPr>
          <w:rFonts w:asciiTheme="minorHAnsi" w:hAnsiTheme="minorHAnsi" w:eastAsiaTheme="minorEastAsia" w:cstheme="minorBidi"/>
          <w:sz w:val="22"/>
          <w:szCs w:val="24"/>
          <w14:ligatures w14:val="standardContextual"/>
        </w:rPr>
      </w:pPr>
      <w:r>
        <w:fldChar w:fldCharType="begin"/>
      </w:r>
      <w:r>
        <w:instrText xml:space="preserve"> HYPERLINK \l "_Toc238129005" </w:instrText>
      </w:r>
      <w:r>
        <w:fldChar w:fldCharType="separate"/>
      </w:r>
      <w:r>
        <w:rPr>
          <w:rStyle w:val="37"/>
          <w:snapToGrid w:val="0"/>
        </w:rPr>
        <w:t>2. 建设内容</w:t>
      </w:r>
      <w:r>
        <w:rPr>
          <w:rFonts w:hint="eastAsia"/>
        </w:rPr>
        <w:tab/>
      </w:r>
      <w:r>
        <w:rPr>
          <w:rFonts w:hint="eastAsia"/>
        </w:rPr>
        <w:fldChar w:fldCharType="begin"/>
      </w:r>
      <w:r>
        <w:rPr>
          <w:rFonts w:hint="eastAsia"/>
        </w:rPr>
        <w:instrText xml:space="preserve"> </w:instrText>
      </w:r>
      <w:r>
        <w:instrText xml:space="preserve">PAGEREF _Toc238129005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12A1918C">
      <w:pPr>
        <w:pStyle w:val="19"/>
        <w:tabs>
          <w:tab w:val="right" w:leader="dot" w:pos="8834"/>
        </w:tabs>
        <w:rPr>
          <w:rFonts w:asciiTheme="minorHAnsi" w:hAnsiTheme="minorHAnsi" w:eastAsiaTheme="minorEastAsia" w:cstheme="minorBidi"/>
          <w:sz w:val="22"/>
          <w:szCs w:val="24"/>
          <w14:ligatures w14:val="standardContextual"/>
        </w:rPr>
      </w:pPr>
      <w:r>
        <w:fldChar w:fldCharType="begin"/>
      </w:r>
      <w:r>
        <w:instrText xml:space="preserve"> HYPERLINK \l "_Toc238129006" </w:instrText>
      </w:r>
      <w:r>
        <w:fldChar w:fldCharType="separate"/>
      </w:r>
      <w:r>
        <w:rPr>
          <w:rStyle w:val="37"/>
          <w:snapToGrid w:val="0"/>
        </w:rPr>
        <w:t>3. 生态环境现状、保护目标及评价标准</w:t>
      </w:r>
      <w:r>
        <w:rPr>
          <w:rFonts w:hint="eastAsia"/>
        </w:rPr>
        <w:tab/>
      </w:r>
      <w:r>
        <w:rPr>
          <w:rFonts w:hint="eastAsia"/>
        </w:rPr>
        <w:fldChar w:fldCharType="begin"/>
      </w:r>
      <w:r>
        <w:rPr>
          <w:rFonts w:hint="eastAsia"/>
        </w:rPr>
        <w:instrText xml:space="preserve"> </w:instrText>
      </w:r>
      <w:r>
        <w:instrText xml:space="preserve">PAGEREF _Toc238129006 \h</w:instrText>
      </w:r>
      <w:r>
        <w:rPr>
          <w:rFonts w:hint="eastAsia"/>
        </w:rPr>
        <w:instrText xml:space="preserve"> </w:instrText>
      </w:r>
      <w:r>
        <w:rPr>
          <w:rFonts w:hint="eastAsia"/>
        </w:rPr>
        <w:fldChar w:fldCharType="separate"/>
      </w:r>
      <w:r>
        <w:t>35</w:t>
      </w:r>
      <w:r>
        <w:rPr>
          <w:rFonts w:hint="eastAsia"/>
        </w:rPr>
        <w:fldChar w:fldCharType="end"/>
      </w:r>
      <w:r>
        <w:rPr>
          <w:rFonts w:hint="eastAsia"/>
        </w:rPr>
        <w:fldChar w:fldCharType="end"/>
      </w:r>
    </w:p>
    <w:p w14:paraId="5B595E55">
      <w:pPr>
        <w:pStyle w:val="19"/>
        <w:tabs>
          <w:tab w:val="right" w:leader="dot" w:pos="8834"/>
        </w:tabs>
        <w:rPr>
          <w:rFonts w:asciiTheme="minorHAnsi" w:hAnsiTheme="minorHAnsi" w:eastAsiaTheme="minorEastAsia" w:cstheme="minorBidi"/>
          <w:sz w:val="22"/>
          <w:szCs w:val="24"/>
          <w14:ligatures w14:val="standardContextual"/>
        </w:rPr>
      </w:pPr>
      <w:r>
        <w:fldChar w:fldCharType="begin"/>
      </w:r>
      <w:r>
        <w:instrText xml:space="preserve"> HYPERLINK \l "_Toc238129007" </w:instrText>
      </w:r>
      <w:r>
        <w:fldChar w:fldCharType="separate"/>
      </w:r>
      <w:r>
        <w:rPr>
          <w:rStyle w:val="37"/>
          <w:snapToGrid w:val="0"/>
        </w:rPr>
        <w:t>4. 生态环境影响分析</w:t>
      </w:r>
      <w:r>
        <w:rPr>
          <w:rFonts w:hint="eastAsia"/>
        </w:rPr>
        <w:tab/>
      </w:r>
      <w:r>
        <w:rPr>
          <w:rFonts w:hint="eastAsia"/>
        </w:rPr>
        <w:fldChar w:fldCharType="begin"/>
      </w:r>
      <w:r>
        <w:rPr>
          <w:rFonts w:hint="eastAsia"/>
        </w:rPr>
        <w:instrText xml:space="preserve"> </w:instrText>
      </w:r>
      <w:r>
        <w:instrText xml:space="preserve">PAGEREF _Toc238129007 \h</w:instrText>
      </w:r>
      <w:r>
        <w:rPr>
          <w:rFonts w:hint="eastAsia"/>
        </w:rPr>
        <w:instrText xml:space="preserve"> </w:instrText>
      </w:r>
      <w:r>
        <w:rPr>
          <w:rFonts w:hint="eastAsia"/>
        </w:rPr>
        <w:fldChar w:fldCharType="separate"/>
      </w:r>
      <w:r>
        <w:t>46</w:t>
      </w:r>
      <w:r>
        <w:rPr>
          <w:rFonts w:hint="eastAsia"/>
        </w:rPr>
        <w:fldChar w:fldCharType="end"/>
      </w:r>
      <w:r>
        <w:rPr>
          <w:rFonts w:hint="eastAsia"/>
        </w:rPr>
        <w:fldChar w:fldCharType="end"/>
      </w:r>
    </w:p>
    <w:p w14:paraId="0E84BEBF">
      <w:pPr>
        <w:pStyle w:val="19"/>
        <w:tabs>
          <w:tab w:val="right" w:leader="dot" w:pos="8834"/>
        </w:tabs>
        <w:rPr>
          <w:rFonts w:asciiTheme="minorHAnsi" w:hAnsiTheme="minorHAnsi" w:eastAsiaTheme="minorEastAsia" w:cstheme="minorBidi"/>
          <w:sz w:val="22"/>
          <w:szCs w:val="24"/>
          <w14:ligatures w14:val="standardContextual"/>
        </w:rPr>
      </w:pPr>
      <w:r>
        <w:fldChar w:fldCharType="begin"/>
      </w:r>
      <w:r>
        <w:instrText xml:space="preserve"> HYPERLINK \l "_Toc238129008" </w:instrText>
      </w:r>
      <w:r>
        <w:fldChar w:fldCharType="separate"/>
      </w:r>
      <w:r>
        <w:rPr>
          <w:rStyle w:val="37"/>
        </w:rPr>
        <w:t>5. 主要生态环境保护措施</w:t>
      </w:r>
      <w:r>
        <w:rPr>
          <w:rFonts w:hint="eastAsia"/>
        </w:rPr>
        <w:tab/>
      </w:r>
      <w:r>
        <w:rPr>
          <w:rFonts w:hint="eastAsia"/>
        </w:rPr>
        <w:fldChar w:fldCharType="begin"/>
      </w:r>
      <w:r>
        <w:rPr>
          <w:rFonts w:hint="eastAsia"/>
        </w:rPr>
        <w:instrText xml:space="preserve"> </w:instrText>
      </w:r>
      <w:r>
        <w:instrText xml:space="preserve">PAGEREF _Toc238129008 \h</w:instrText>
      </w:r>
      <w:r>
        <w:rPr>
          <w:rFonts w:hint="eastAsia"/>
        </w:rPr>
        <w:instrText xml:space="preserve"> </w:instrText>
      </w:r>
      <w:r>
        <w:rPr>
          <w:rFonts w:hint="eastAsia"/>
        </w:rPr>
        <w:fldChar w:fldCharType="separate"/>
      </w:r>
      <w:r>
        <w:t>58</w:t>
      </w:r>
      <w:r>
        <w:rPr>
          <w:rFonts w:hint="eastAsia"/>
        </w:rPr>
        <w:fldChar w:fldCharType="end"/>
      </w:r>
      <w:r>
        <w:rPr>
          <w:rFonts w:hint="eastAsia"/>
        </w:rPr>
        <w:fldChar w:fldCharType="end"/>
      </w:r>
    </w:p>
    <w:p w14:paraId="15964D07">
      <w:pPr>
        <w:pStyle w:val="19"/>
        <w:tabs>
          <w:tab w:val="right" w:leader="dot" w:pos="8834"/>
        </w:tabs>
        <w:rPr>
          <w:rFonts w:asciiTheme="minorHAnsi" w:hAnsiTheme="minorHAnsi" w:eastAsiaTheme="minorEastAsia" w:cstheme="minorBidi"/>
          <w:sz w:val="22"/>
          <w:szCs w:val="24"/>
          <w14:ligatures w14:val="standardContextual"/>
        </w:rPr>
      </w:pPr>
      <w:r>
        <w:fldChar w:fldCharType="begin"/>
      </w:r>
      <w:r>
        <w:instrText xml:space="preserve"> HYPERLINK \l "_Toc238129009" </w:instrText>
      </w:r>
      <w:r>
        <w:fldChar w:fldCharType="separate"/>
      </w:r>
      <w:r>
        <w:rPr>
          <w:rStyle w:val="37"/>
        </w:rPr>
        <w:t>6. 生态环境保护措施监督检查清单</w:t>
      </w:r>
      <w:r>
        <w:rPr>
          <w:rFonts w:hint="eastAsia"/>
        </w:rPr>
        <w:tab/>
      </w:r>
      <w:r>
        <w:rPr>
          <w:rFonts w:hint="eastAsia"/>
        </w:rPr>
        <w:fldChar w:fldCharType="begin"/>
      </w:r>
      <w:r>
        <w:rPr>
          <w:rFonts w:hint="eastAsia"/>
        </w:rPr>
        <w:instrText xml:space="preserve"> </w:instrText>
      </w:r>
      <w:r>
        <w:instrText xml:space="preserve">PAGEREF _Toc238129009 \h</w:instrText>
      </w:r>
      <w:r>
        <w:rPr>
          <w:rFonts w:hint="eastAsia"/>
        </w:rPr>
        <w:instrText xml:space="preserve"> </w:instrText>
      </w:r>
      <w:r>
        <w:rPr>
          <w:rFonts w:hint="eastAsia"/>
        </w:rPr>
        <w:fldChar w:fldCharType="separate"/>
      </w:r>
      <w:r>
        <w:t>67</w:t>
      </w:r>
      <w:r>
        <w:rPr>
          <w:rFonts w:hint="eastAsia"/>
        </w:rPr>
        <w:fldChar w:fldCharType="end"/>
      </w:r>
      <w:r>
        <w:rPr>
          <w:rFonts w:hint="eastAsia"/>
        </w:rPr>
        <w:fldChar w:fldCharType="end"/>
      </w:r>
    </w:p>
    <w:p w14:paraId="4215BC64">
      <w:pPr>
        <w:pStyle w:val="19"/>
        <w:tabs>
          <w:tab w:val="right" w:leader="dot" w:pos="8834"/>
        </w:tabs>
        <w:rPr>
          <w:rFonts w:asciiTheme="minorHAnsi" w:hAnsiTheme="minorHAnsi" w:eastAsiaTheme="minorEastAsia" w:cstheme="minorBidi"/>
          <w:sz w:val="22"/>
          <w:szCs w:val="24"/>
          <w14:ligatures w14:val="standardContextual"/>
        </w:rPr>
      </w:pPr>
      <w:r>
        <w:fldChar w:fldCharType="begin"/>
      </w:r>
      <w:r>
        <w:instrText xml:space="preserve"> HYPERLINK \l "_Toc238129010" </w:instrText>
      </w:r>
      <w:r>
        <w:fldChar w:fldCharType="separate"/>
      </w:r>
      <w:r>
        <w:rPr>
          <w:rStyle w:val="37"/>
          <w:snapToGrid w:val="0"/>
        </w:rPr>
        <w:t>7. 结论</w:t>
      </w:r>
      <w:r>
        <w:rPr>
          <w:rFonts w:hint="eastAsia"/>
        </w:rPr>
        <w:tab/>
      </w:r>
      <w:r>
        <w:rPr>
          <w:rFonts w:hint="eastAsia"/>
        </w:rPr>
        <w:fldChar w:fldCharType="begin"/>
      </w:r>
      <w:r>
        <w:rPr>
          <w:rFonts w:hint="eastAsia"/>
        </w:rPr>
        <w:instrText xml:space="preserve"> </w:instrText>
      </w:r>
      <w:r>
        <w:instrText xml:space="preserve">PAGEREF _Toc238129010 \h</w:instrText>
      </w:r>
      <w:r>
        <w:rPr>
          <w:rFonts w:hint="eastAsia"/>
        </w:rPr>
        <w:instrText xml:space="preserve"> </w:instrText>
      </w:r>
      <w:r>
        <w:rPr>
          <w:rFonts w:hint="eastAsia"/>
        </w:rPr>
        <w:fldChar w:fldCharType="separate"/>
      </w:r>
      <w:r>
        <w:t>70</w:t>
      </w:r>
      <w:r>
        <w:rPr>
          <w:rFonts w:hint="eastAsia"/>
        </w:rPr>
        <w:fldChar w:fldCharType="end"/>
      </w:r>
      <w:r>
        <w:rPr>
          <w:rFonts w:hint="eastAsia"/>
        </w:rPr>
        <w:fldChar w:fldCharType="end"/>
      </w:r>
    </w:p>
    <w:p w14:paraId="56E920AB">
      <w:pPr>
        <w:pStyle w:val="19"/>
        <w:tabs>
          <w:tab w:val="right" w:leader="dot" w:pos="8834"/>
        </w:tabs>
        <w:rPr>
          <w:rFonts w:asciiTheme="minorHAnsi" w:hAnsiTheme="minorHAnsi" w:eastAsiaTheme="minorEastAsia" w:cstheme="minorBidi"/>
          <w:sz w:val="22"/>
          <w:szCs w:val="24"/>
          <w14:ligatures w14:val="standardContextual"/>
        </w:rPr>
      </w:pPr>
      <w:r>
        <w:fldChar w:fldCharType="begin"/>
      </w:r>
      <w:r>
        <w:instrText xml:space="preserve"> HYPERLINK \l "_Toc238129011" </w:instrText>
      </w:r>
      <w:r>
        <w:fldChar w:fldCharType="separate"/>
      </w:r>
      <w:r>
        <w:rPr>
          <w:rStyle w:val="37"/>
        </w:rPr>
        <w:t>专项一、噪声专项</w:t>
      </w:r>
      <w:r>
        <w:rPr>
          <w:rFonts w:hint="eastAsia"/>
        </w:rPr>
        <w:tab/>
      </w:r>
      <w:r>
        <w:rPr>
          <w:rFonts w:hint="eastAsia"/>
        </w:rPr>
        <w:fldChar w:fldCharType="begin"/>
      </w:r>
      <w:r>
        <w:rPr>
          <w:rFonts w:hint="eastAsia"/>
        </w:rPr>
        <w:instrText xml:space="preserve"> </w:instrText>
      </w:r>
      <w:r>
        <w:instrText xml:space="preserve">PAGEREF _Toc238129011 \h</w:instrText>
      </w:r>
      <w:r>
        <w:rPr>
          <w:rFonts w:hint="eastAsia"/>
        </w:rPr>
        <w:instrText xml:space="preserve"> </w:instrText>
      </w:r>
      <w:r>
        <w:rPr>
          <w:rFonts w:hint="eastAsia"/>
        </w:rPr>
        <w:fldChar w:fldCharType="separate"/>
      </w:r>
      <w:r>
        <w:t>71</w:t>
      </w:r>
      <w:r>
        <w:rPr>
          <w:rFonts w:hint="eastAsia"/>
        </w:rPr>
        <w:fldChar w:fldCharType="end"/>
      </w:r>
      <w:r>
        <w:rPr>
          <w:rFonts w:hint="eastAsia"/>
        </w:rPr>
        <w:fldChar w:fldCharType="end"/>
      </w:r>
    </w:p>
    <w:p w14:paraId="05F4208B">
      <w:pPr>
        <w:spacing w:line="288" w:lineRule="auto"/>
        <w:jc w:val="center"/>
        <w:rPr>
          <w:highlight w:val="yellow"/>
        </w:rPr>
      </w:pPr>
      <w:r>
        <w:fldChar w:fldCharType="end"/>
      </w:r>
    </w:p>
    <w:tbl>
      <w:tblPr>
        <w:tblStyle w:val="30"/>
        <w:tblpPr w:leftFromText="180" w:rightFromText="180" w:vertAnchor="text" w:horzAnchor="page" w:tblpX="1828" w:tblpY="291"/>
        <w:tblOverlap w:val="never"/>
        <w:tblW w:w="0" w:type="auto"/>
        <w:tblInd w:w="0" w:type="dxa"/>
        <w:tblLayout w:type="fixed"/>
        <w:tblCellMar>
          <w:top w:w="0" w:type="dxa"/>
          <w:left w:w="108" w:type="dxa"/>
          <w:bottom w:w="0" w:type="dxa"/>
          <w:right w:w="108" w:type="dxa"/>
        </w:tblCellMar>
      </w:tblPr>
      <w:tblGrid>
        <w:gridCol w:w="1189"/>
        <w:gridCol w:w="7277"/>
      </w:tblGrid>
      <w:tr w14:paraId="4DF3D5E3">
        <w:tblPrEx>
          <w:tblCellMar>
            <w:top w:w="0" w:type="dxa"/>
            <w:left w:w="108" w:type="dxa"/>
            <w:bottom w:w="0" w:type="dxa"/>
            <w:right w:w="108" w:type="dxa"/>
          </w:tblCellMar>
        </w:tblPrEx>
        <w:trPr>
          <w:trHeight w:val="340" w:hRule="atLeast"/>
        </w:trPr>
        <w:tc>
          <w:tcPr>
            <w:tcW w:w="1189" w:type="dxa"/>
            <w:vAlign w:val="center"/>
          </w:tcPr>
          <w:p w14:paraId="019117DE">
            <w:pPr>
              <w:pStyle w:val="7"/>
              <w:spacing w:beforeLines="0" w:line="240" w:lineRule="auto"/>
              <w:ind w:firstLine="0" w:firstLineChars="0"/>
              <w:rPr>
                <w:rFonts w:ascii="Times New Roman" w:hAnsi="Times New Roman"/>
                <w:b/>
                <w:bCs/>
                <w:szCs w:val="24"/>
              </w:rPr>
            </w:pPr>
            <w:r>
              <w:rPr>
                <w:rFonts w:ascii="Times New Roman" w:hAnsi="Times New Roman"/>
                <w:b/>
                <w:bCs/>
                <w:szCs w:val="24"/>
              </w:rPr>
              <w:t>附图：</w:t>
            </w:r>
          </w:p>
        </w:tc>
        <w:tc>
          <w:tcPr>
            <w:tcW w:w="7277" w:type="dxa"/>
            <w:vAlign w:val="center"/>
          </w:tcPr>
          <w:p w14:paraId="364D48EF">
            <w:pPr>
              <w:pStyle w:val="7"/>
              <w:spacing w:beforeLines="0" w:line="240" w:lineRule="auto"/>
              <w:ind w:firstLine="0" w:firstLineChars="0"/>
              <w:rPr>
                <w:rFonts w:ascii="Times New Roman" w:hAnsi="Times New Roman"/>
                <w:b/>
                <w:bCs/>
                <w:szCs w:val="24"/>
              </w:rPr>
            </w:pPr>
          </w:p>
        </w:tc>
      </w:tr>
      <w:tr w14:paraId="6889EAE9">
        <w:tblPrEx>
          <w:tblCellMar>
            <w:top w:w="0" w:type="dxa"/>
            <w:left w:w="108" w:type="dxa"/>
            <w:bottom w:w="0" w:type="dxa"/>
            <w:right w:w="108" w:type="dxa"/>
          </w:tblCellMar>
        </w:tblPrEx>
        <w:trPr>
          <w:trHeight w:val="340" w:hRule="atLeast"/>
        </w:trPr>
        <w:tc>
          <w:tcPr>
            <w:tcW w:w="1189" w:type="dxa"/>
            <w:vAlign w:val="center"/>
          </w:tcPr>
          <w:p w14:paraId="1E613B56">
            <w:pPr>
              <w:pStyle w:val="7"/>
              <w:spacing w:beforeLines="0" w:line="240" w:lineRule="auto"/>
              <w:ind w:firstLine="0" w:firstLineChars="0"/>
              <w:rPr>
                <w:rFonts w:ascii="Times New Roman" w:hAnsi="Times New Roman"/>
                <w:szCs w:val="24"/>
              </w:rPr>
            </w:pPr>
            <w:r>
              <w:rPr>
                <w:rFonts w:ascii="Times New Roman" w:hAnsi="Times New Roman"/>
                <w:szCs w:val="24"/>
              </w:rPr>
              <w:t>附图1</w:t>
            </w:r>
          </w:p>
        </w:tc>
        <w:tc>
          <w:tcPr>
            <w:tcW w:w="7277" w:type="dxa"/>
            <w:vAlign w:val="center"/>
          </w:tcPr>
          <w:p w14:paraId="132E0BDD">
            <w:pPr>
              <w:pStyle w:val="7"/>
              <w:spacing w:beforeLines="0" w:line="240" w:lineRule="auto"/>
              <w:ind w:firstLine="0" w:firstLineChars="0"/>
              <w:rPr>
                <w:rFonts w:ascii="Times New Roman" w:hAnsi="Times New Roman"/>
                <w:szCs w:val="24"/>
              </w:rPr>
            </w:pPr>
            <w:r>
              <w:rPr>
                <w:rFonts w:ascii="Times New Roman" w:hAnsi="Times New Roman"/>
                <w:szCs w:val="24"/>
              </w:rPr>
              <w:t>项目地理位置图</w:t>
            </w:r>
          </w:p>
        </w:tc>
      </w:tr>
      <w:tr w14:paraId="3FB8FE2D">
        <w:tblPrEx>
          <w:tblCellMar>
            <w:top w:w="0" w:type="dxa"/>
            <w:left w:w="108" w:type="dxa"/>
            <w:bottom w:w="0" w:type="dxa"/>
            <w:right w:w="108" w:type="dxa"/>
          </w:tblCellMar>
        </w:tblPrEx>
        <w:trPr>
          <w:trHeight w:val="340" w:hRule="atLeast"/>
        </w:trPr>
        <w:tc>
          <w:tcPr>
            <w:tcW w:w="1189" w:type="dxa"/>
            <w:vAlign w:val="center"/>
          </w:tcPr>
          <w:p w14:paraId="0E05CD61">
            <w:pPr>
              <w:pStyle w:val="7"/>
              <w:spacing w:beforeLines="0" w:line="240" w:lineRule="auto"/>
              <w:ind w:firstLine="0" w:firstLineChars="0"/>
              <w:rPr>
                <w:rFonts w:ascii="Times New Roman" w:hAnsi="Times New Roman"/>
                <w:szCs w:val="24"/>
              </w:rPr>
            </w:pPr>
            <w:r>
              <w:rPr>
                <w:rFonts w:ascii="Times New Roman" w:hAnsi="Times New Roman"/>
                <w:szCs w:val="24"/>
              </w:rPr>
              <w:t>附图2</w:t>
            </w:r>
          </w:p>
        </w:tc>
        <w:tc>
          <w:tcPr>
            <w:tcW w:w="7277" w:type="dxa"/>
            <w:vAlign w:val="center"/>
          </w:tcPr>
          <w:p w14:paraId="0FA4C8D3">
            <w:pPr>
              <w:pStyle w:val="7"/>
              <w:spacing w:beforeLines="0" w:line="240" w:lineRule="auto"/>
              <w:ind w:firstLine="0" w:firstLineChars="0"/>
              <w:rPr>
                <w:rFonts w:ascii="Times New Roman" w:hAnsi="Times New Roman"/>
                <w:szCs w:val="24"/>
              </w:rPr>
            </w:pPr>
            <w:r>
              <w:rPr>
                <w:rFonts w:hint="eastAsia" w:ascii="Times New Roman" w:hAnsi="Times New Roman"/>
                <w:szCs w:val="24"/>
              </w:rPr>
              <w:t>项目平面设计图</w:t>
            </w:r>
          </w:p>
        </w:tc>
      </w:tr>
      <w:tr w14:paraId="7F7FD131">
        <w:tblPrEx>
          <w:tblCellMar>
            <w:top w:w="0" w:type="dxa"/>
            <w:left w:w="108" w:type="dxa"/>
            <w:bottom w:w="0" w:type="dxa"/>
            <w:right w:w="108" w:type="dxa"/>
          </w:tblCellMar>
        </w:tblPrEx>
        <w:trPr>
          <w:trHeight w:val="90" w:hRule="atLeast"/>
        </w:trPr>
        <w:tc>
          <w:tcPr>
            <w:tcW w:w="1189" w:type="dxa"/>
            <w:vAlign w:val="center"/>
          </w:tcPr>
          <w:p w14:paraId="36FBCEAD">
            <w:pPr>
              <w:pStyle w:val="7"/>
              <w:spacing w:beforeLines="0" w:line="240" w:lineRule="auto"/>
              <w:ind w:firstLine="0" w:firstLineChars="0"/>
              <w:rPr>
                <w:rFonts w:ascii="Times New Roman" w:hAnsi="Times New Roman"/>
                <w:szCs w:val="24"/>
              </w:rPr>
            </w:pPr>
            <w:r>
              <w:rPr>
                <w:rFonts w:ascii="Times New Roman" w:hAnsi="Times New Roman"/>
                <w:szCs w:val="24"/>
              </w:rPr>
              <w:t>附图3</w:t>
            </w:r>
          </w:p>
        </w:tc>
        <w:tc>
          <w:tcPr>
            <w:tcW w:w="7277" w:type="dxa"/>
            <w:vAlign w:val="center"/>
          </w:tcPr>
          <w:p w14:paraId="7534A3E0">
            <w:pPr>
              <w:pStyle w:val="7"/>
              <w:spacing w:beforeLines="0" w:line="240" w:lineRule="auto"/>
              <w:ind w:firstLine="0" w:firstLineChars="0"/>
              <w:rPr>
                <w:rFonts w:ascii="Times New Roman" w:hAnsi="Times New Roman"/>
                <w:szCs w:val="24"/>
              </w:rPr>
            </w:pPr>
            <w:r>
              <w:rPr>
                <w:rFonts w:hint="eastAsia" w:ascii="Times New Roman" w:hAnsi="Times New Roman"/>
                <w:szCs w:val="24"/>
              </w:rPr>
              <w:t>项目纵断面设计图</w:t>
            </w:r>
          </w:p>
        </w:tc>
      </w:tr>
      <w:tr w14:paraId="42338176">
        <w:tblPrEx>
          <w:tblCellMar>
            <w:top w:w="0" w:type="dxa"/>
            <w:left w:w="108" w:type="dxa"/>
            <w:bottom w:w="0" w:type="dxa"/>
            <w:right w:w="108" w:type="dxa"/>
          </w:tblCellMar>
        </w:tblPrEx>
        <w:trPr>
          <w:trHeight w:val="90" w:hRule="atLeast"/>
        </w:trPr>
        <w:tc>
          <w:tcPr>
            <w:tcW w:w="1189" w:type="dxa"/>
            <w:vAlign w:val="center"/>
          </w:tcPr>
          <w:p w14:paraId="658938B6">
            <w:pPr>
              <w:pStyle w:val="7"/>
              <w:spacing w:beforeLines="0" w:line="240" w:lineRule="auto"/>
              <w:ind w:firstLine="0" w:firstLineChars="0"/>
              <w:rPr>
                <w:rFonts w:ascii="Times New Roman" w:hAnsi="Times New Roman"/>
                <w:szCs w:val="24"/>
              </w:rPr>
            </w:pPr>
            <w:r>
              <w:rPr>
                <w:rFonts w:ascii="Times New Roman" w:hAnsi="Times New Roman"/>
                <w:szCs w:val="24"/>
              </w:rPr>
              <w:t>附图4</w:t>
            </w:r>
          </w:p>
        </w:tc>
        <w:tc>
          <w:tcPr>
            <w:tcW w:w="7277" w:type="dxa"/>
            <w:vAlign w:val="center"/>
          </w:tcPr>
          <w:p w14:paraId="5C519E51">
            <w:pPr>
              <w:pStyle w:val="7"/>
              <w:spacing w:beforeLines="0" w:line="240" w:lineRule="auto"/>
              <w:ind w:firstLine="0" w:firstLineChars="0"/>
              <w:rPr>
                <w:rFonts w:ascii="Times New Roman" w:hAnsi="Times New Roman"/>
                <w:szCs w:val="24"/>
              </w:rPr>
            </w:pPr>
            <w:r>
              <w:rPr>
                <w:rFonts w:hint="eastAsia" w:ascii="Times New Roman" w:hAnsi="Times New Roman"/>
                <w:szCs w:val="24"/>
              </w:rPr>
              <w:t>杭州市水功能水环境功能区划示意图</w:t>
            </w:r>
          </w:p>
        </w:tc>
      </w:tr>
      <w:tr w14:paraId="78E98DA4">
        <w:tblPrEx>
          <w:tblCellMar>
            <w:top w:w="0" w:type="dxa"/>
            <w:left w:w="108" w:type="dxa"/>
            <w:bottom w:w="0" w:type="dxa"/>
            <w:right w:w="108" w:type="dxa"/>
          </w:tblCellMar>
        </w:tblPrEx>
        <w:trPr>
          <w:trHeight w:val="329" w:hRule="atLeast"/>
        </w:trPr>
        <w:tc>
          <w:tcPr>
            <w:tcW w:w="1189" w:type="dxa"/>
            <w:vAlign w:val="center"/>
          </w:tcPr>
          <w:p w14:paraId="4CFA6542">
            <w:pPr>
              <w:pStyle w:val="7"/>
              <w:spacing w:beforeLines="0" w:line="240" w:lineRule="auto"/>
              <w:ind w:firstLine="0" w:firstLineChars="0"/>
              <w:rPr>
                <w:rFonts w:ascii="Times New Roman" w:hAnsi="Times New Roman"/>
                <w:szCs w:val="24"/>
              </w:rPr>
            </w:pPr>
            <w:r>
              <w:rPr>
                <w:rFonts w:ascii="Times New Roman" w:hAnsi="Times New Roman"/>
                <w:szCs w:val="24"/>
              </w:rPr>
              <w:t>附图5</w:t>
            </w:r>
          </w:p>
        </w:tc>
        <w:tc>
          <w:tcPr>
            <w:tcW w:w="7277" w:type="dxa"/>
            <w:vAlign w:val="center"/>
          </w:tcPr>
          <w:p w14:paraId="3D0B6334">
            <w:pPr>
              <w:pStyle w:val="7"/>
              <w:spacing w:beforeLines="0" w:line="240" w:lineRule="auto"/>
              <w:ind w:firstLine="0" w:firstLineChars="0"/>
              <w:rPr>
                <w:rFonts w:ascii="Times New Roman" w:hAnsi="Times New Roman"/>
                <w:szCs w:val="24"/>
              </w:rPr>
            </w:pPr>
            <w:r>
              <w:rPr>
                <w:rFonts w:hint="eastAsia" w:ascii="Times New Roman" w:hAnsi="Times New Roman"/>
                <w:szCs w:val="24"/>
              </w:rPr>
              <w:t>现状监测点位示意图</w:t>
            </w:r>
          </w:p>
        </w:tc>
      </w:tr>
      <w:tr w14:paraId="678337DF">
        <w:tblPrEx>
          <w:tblCellMar>
            <w:top w:w="0" w:type="dxa"/>
            <w:left w:w="108" w:type="dxa"/>
            <w:bottom w:w="0" w:type="dxa"/>
            <w:right w:w="108" w:type="dxa"/>
          </w:tblCellMar>
        </w:tblPrEx>
        <w:trPr>
          <w:trHeight w:val="340" w:hRule="atLeast"/>
        </w:trPr>
        <w:tc>
          <w:tcPr>
            <w:tcW w:w="1189" w:type="dxa"/>
            <w:vAlign w:val="center"/>
          </w:tcPr>
          <w:p w14:paraId="32EBBEEB">
            <w:pPr>
              <w:pStyle w:val="7"/>
              <w:spacing w:beforeLines="0" w:line="240" w:lineRule="auto"/>
              <w:ind w:firstLine="0" w:firstLineChars="0"/>
              <w:rPr>
                <w:rFonts w:ascii="Times New Roman" w:hAnsi="Times New Roman"/>
                <w:szCs w:val="24"/>
              </w:rPr>
            </w:pPr>
            <w:r>
              <w:rPr>
                <w:rFonts w:ascii="Times New Roman" w:hAnsi="Times New Roman"/>
                <w:szCs w:val="24"/>
              </w:rPr>
              <w:t>附图6</w:t>
            </w:r>
          </w:p>
        </w:tc>
        <w:tc>
          <w:tcPr>
            <w:tcW w:w="7277" w:type="dxa"/>
            <w:vAlign w:val="center"/>
          </w:tcPr>
          <w:p w14:paraId="19081E68">
            <w:pPr>
              <w:pStyle w:val="7"/>
              <w:spacing w:beforeLines="0" w:line="240" w:lineRule="auto"/>
              <w:ind w:firstLine="0" w:firstLineChars="0"/>
              <w:rPr>
                <w:rFonts w:ascii="Times New Roman" w:hAnsi="Times New Roman"/>
                <w:szCs w:val="24"/>
              </w:rPr>
            </w:pPr>
            <w:r>
              <w:rPr>
                <w:rFonts w:hint="eastAsia" w:ascii="Times New Roman" w:hAnsi="Times New Roman"/>
                <w:szCs w:val="24"/>
              </w:rPr>
              <w:t>钱塘区生态环境分区管控动态更新单元分类图</w:t>
            </w:r>
          </w:p>
        </w:tc>
      </w:tr>
      <w:tr w14:paraId="5F56BF35">
        <w:tblPrEx>
          <w:tblCellMar>
            <w:top w:w="0" w:type="dxa"/>
            <w:left w:w="108" w:type="dxa"/>
            <w:bottom w:w="0" w:type="dxa"/>
            <w:right w:w="108" w:type="dxa"/>
          </w:tblCellMar>
        </w:tblPrEx>
        <w:trPr>
          <w:trHeight w:val="340" w:hRule="atLeast"/>
        </w:trPr>
        <w:tc>
          <w:tcPr>
            <w:tcW w:w="1189" w:type="dxa"/>
            <w:vAlign w:val="center"/>
          </w:tcPr>
          <w:p w14:paraId="300359C7">
            <w:pPr>
              <w:pStyle w:val="7"/>
              <w:spacing w:beforeLines="0" w:line="240" w:lineRule="auto"/>
              <w:ind w:firstLine="0" w:firstLineChars="0"/>
              <w:rPr>
                <w:rFonts w:ascii="Times New Roman" w:hAnsi="Times New Roman"/>
                <w:szCs w:val="24"/>
              </w:rPr>
            </w:pPr>
            <w:r>
              <w:rPr>
                <w:rFonts w:ascii="Times New Roman" w:hAnsi="Times New Roman"/>
                <w:szCs w:val="24"/>
              </w:rPr>
              <w:t>附图7</w:t>
            </w:r>
          </w:p>
        </w:tc>
        <w:tc>
          <w:tcPr>
            <w:tcW w:w="7277" w:type="dxa"/>
            <w:vAlign w:val="center"/>
          </w:tcPr>
          <w:p w14:paraId="0B97F320">
            <w:pPr>
              <w:pStyle w:val="7"/>
              <w:spacing w:beforeLines="0" w:line="240" w:lineRule="auto"/>
              <w:ind w:firstLine="0" w:firstLineChars="0"/>
              <w:rPr>
                <w:rFonts w:ascii="Times New Roman" w:hAnsi="Times New Roman"/>
                <w:szCs w:val="24"/>
              </w:rPr>
            </w:pPr>
            <w:r>
              <w:rPr>
                <w:rFonts w:hint="eastAsia" w:ascii="Times New Roman" w:hAnsi="Times New Roman"/>
                <w:szCs w:val="24"/>
              </w:rPr>
              <w:t>钱塘区国土空间总体规划（2021-2035年）三条控制线图</w:t>
            </w:r>
          </w:p>
        </w:tc>
      </w:tr>
      <w:tr w14:paraId="4DA49774">
        <w:tblPrEx>
          <w:tblCellMar>
            <w:top w:w="0" w:type="dxa"/>
            <w:left w:w="108" w:type="dxa"/>
            <w:bottom w:w="0" w:type="dxa"/>
            <w:right w:w="108" w:type="dxa"/>
          </w:tblCellMar>
        </w:tblPrEx>
        <w:trPr>
          <w:trHeight w:val="340" w:hRule="atLeast"/>
        </w:trPr>
        <w:tc>
          <w:tcPr>
            <w:tcW w:w="1189" w:type="dxa"/>
            <w:vAlign w:val="center"/>
          </w:tcPr>
          <w:p w14:paraId="1DF23104">
            <w:pPr>
              <w:pStyle w:val="7"/>
              <w:spacing w:beforeLines="0" w:line="240" w:lineRule="auto"/>
              <w:ind w:firstLine="0" w:firstLineChars="0"/>
              <w:rPr>
                <w:rFonts w:ascii="Times New Roman" w:hAnsi="Times New Roman"/>
                <w:szCs w:val="24"/>
              </w:rPr>
            </w:pPr>
            <w:r>
              <w:rPr>
                <w:rFonts w:ascii="Times New Roman" w:hAnsi="Times New Roman"/>
                <w:szCs w:val="24"/>
              </w:rPr>
              <w:t>附图8</w:t>
            </w:r>
          </w:p>
        </w:tc>
        <w:tc>
          <w:tcPr>
            <w:tcW w:w="7277" w:type="dxa"/>
            <w:vAlign w:val="center"/>
          </w:tcPr>
          <w:p w14:paraId="6F4F3B58">
            <w:pPr>
              <w:pStyle w:val="7"/>
              <w:spacing w:beforeLines="0" w:line="240" w:lineRule="auto"/>
              <w:ind w:firstLine="0" w:firstLineChars="0"/>
              <w:rPr>
                <w:rFonts w:ascii="Times New Roman" w:hAnsi="Times New Roman"/>
                <w:szCs w:val="24"/>
              </w:rPr>
            </w:pPr>
            <w:r>
              <w:rPr>
                <w:rFonts w:hint="eastAsia" w:ascii="Times New Roman" w:hAnsi="Times New Roman"/>
                <w:szCs w:val="24"/>
              </w:rPr>
              <w:t>钱塘区声环境功能区划分图</w:t>
            </w:r>
          </w:p>
        </w:tc>
      </w:tr>
      <w:tr w14:paraId="79EC8B0F">
        <w:tblPrEx>
          <w:tblCellMar>
            <w:top w:w="0" w:type="dxa"/>
            <w:left w:w="108" w:type="dxa"/>
            <w:bottom w:w="0" w:type="dxa"/>
            <w:right w:w="108" w:type="dxa"/>
          </w:tblCellMar>
        </w:tblPrEx>
        <w:trPr>
          <w:trHeight w:val="340" w:hRule="atLeast"/>
        </w:trPr>
        <w:tc>
          <w:tcPr>
            <w:tcW w:w="1189" w:type="dxa"/>
            <w:vAlign w:val="center"/>
          </w:tcPr>
          <w:p w14:paraId="28B68841">
            <w:pPr>
              <w:pStyle w:val="7"/>
              <w:spacing w:beforeLines="0" w:line="240" w:lineRule="auto"/>
              <w:ind w:firstLine="0" w:firstLineChars="0"/>
              <w:rPr>
                <w:rFonts w:ascii="Times New Roman" w:hAnsi="Times New Roman"/>
                <w:b/>
                <w:bCs/>
                <w:szCs w:val="24"/>
              </w:rPr>
            </w:pPr>
            <w:r>
              <w:rPr>
                <w:rFonts w:ascii="Times New Roman" w:hAnsi="Times New Roman"/>
                <w:b/>
                <w:bCs/>
                <w:szCs w:val="24"/>
              </w:rPr>
              <w:t>附件：</w:t>
            </w:r>
          </w:p>
        </w:tc>
        <w:tc>
          <w:tcPr>
            <w:tcW w:w="7277" w:type="dxa"/>
            <w:vAlign w:val="center"/>
          </w:tcPr>
          <w:p w14:paraId="7D95E12E">
            <w:pPr>
              <w:pStyle w:val="7"/>
              <w:spacing w:beforeLines="0" w:line="240" w:lineRule="auto"/>
              <w:ind w:firstLine="0" w:firstLineChars="0"/>
              <w:rPr>
                <w:rFonts w:ascii="Times New Roman" w:hAnsi="Times New Roman"/>
                <w:b/>
                <w:bCs/>
                <w:szCs w:val="24"/>
              </w:rPr>
            </w:pPr>
          </w:p>
        </w:tc>
      </w:tr>
      <w:tr w14:paraId="70CD5AFA">
        <w:tblPrEx>
          <w:tblCellMar>
            <w:top w:w="0" w:type="dxa"/>
            <w:left w:w="108" w:type="dxa"/>
            <w:bottom w:w="0" w:type="dxa"/>
            <w:right w:w="108" w:type="dxa"/>
          </w:tblCellMar>
        </w:tblPrEx>
        <w:trPr>
          <w:trHeight w:val="327" w:hRule="atLeast"/>
        </w:trPr>
        <w:tc>
          <w:tcPr>
            <w:tcW w:w="1189" w:type="dxa"/>
            <w:vAlign w:val="center"/>
          </w:tcPr>
          <w:p w14:paraId="029FA747">
            <w:pPr>
              <w:pStyle w:val="7"/>
              <w:spacing w:beforeLines="0" w:line="240" w:lineRule="auto"/>
              <w:ind w:firstLine="0" w:firstLineChars="0"/>
              <w:rPr>
                <w:rFonts w:ascii="Times New Roman" w:hAnsi="Times New Roman"/>
                <w:szCs w:val="24"/>
              </w:rPr>
            </w:pPr>
            <w:r>
              <w:rPr>
                <w:rFonts w:ascii="Times New Roman" w:hAnsi="Times New Roman"/>
                <w:szCs w:val="24"/>
              </w:rPr>
              <w:t>附件1</w:t>
            </w:r>
          </w:p>
        </w:tc>
        <w:tc>
          <w:tcPr>
            <w:tcW w:w="7277" w:type="dxa"/>
            <w:vAlign w:val="center"/>
          </w:tcPr>
          <w:p w14:paraId="41E106C4">
            <w:pPr>
              <w:pStyle w:val="7"/>
              <w:spacing w:beforeLines="0" w:line="240" w:lineRule="auto"/>
              <w:ind w:firstLine="0" w:firstLineChars="0"/>
              <w:rPr>
                <w:rFonts w:ascii="Times New Roman" w:hAnsi="Times New Roman"/>
                <w:szCs w:val="24"/>
              </w:rPr>
            </w:pPr>
            <w:r>
              <w:rPr>
                <w:rFonts w:hint="eastAsia" w:ascii="Times New Roman" w:hAnsi="Times New Roman"/>
                <w:szCs w:val="24"/>
              </w:rPr>
              <w:t>钱塘区行政审批局项目可行性研究报告批复</w:t>
            </w:r>
          </w:p>
        </w:tc>
      </w:tr>
      <w:tr w14:paraId="2034629B">
        <w:tblPrEx>
          <w:tblCellMar>
            <w:top w:w="0" w:type="dxa"/>
            <w:left w:w="108" w:type="dxa"/>
            <w:bottom w:w="0" w:type="dxa"/>
            <w:right w:w="108" w:type="dxa"/>
          </w:tblCellMar>
        </w:tblPrEx>
        <w:trPr>
          <w:trHeight w:val="327" w:hRule="atLeast"/>
        </w:trPr>
        <w:tc>
          <w:tcPr>
            <w:tcW w:w="1189" w:type="dxa"/>
            <w:vAlign w:val="center"/>
          </w:tcPr>
          <w:p w14:paraId="11282E7F">
            <w:pPr>
              <w:pStyle w:val="7"/>
              <w:spacing w:beforeLines="0" w:line="240" w:lineRule="auto"/>
              <w:ind w:firstLine="0" w:firstLineChars="0"/>
              <w:rPr>
                <w:rFonts w:ascii="Times New Roman" w:hAnsi="Times New Roman"/>
                <w:szCs w:val="24"/>
              </w:rPr>
            </w:pPr>
            <w:r>
              <w:rPr>
                <w:rFonts w:ascii="Times New Roman" w:hAnsi="Times New Roman"/>
                <w:szCs w:val="24"/>
              </w:rPr>
              <w:t>附件2</w:t>
            </w:r>
          </w:p>
        </w:tc>
        <w:tc>
          <w:tcPr>
            <w:tcW w:w="7277" w:type="dxa"/>
            <w:vAlign w:val="center"/>
          </w:tcPr>
          <w:p w14:paraId="4D8C7369">
            <w:pPr>
              <w:pStyle w:val="7"/>
              <w:spacing w:beforeLines="0" w:line="240" w:lineRule="auto"/>
              <w:ind w:firstLine="0" w:firstLineChars="0"/>
              <w:rPr>
                <w:rFonts w:ascii="Times New Roman" w:hAnsi="Times New Roman"/>
                <w:szCs w:val="24"/>
              </w:rPr>
            </w:pPr>
            <w:r>
              <w:rPr>
                <w:rFonts w:hint="eastAsia" w:ascii="Times New Roman" w:hAnsi="Times New Roman"/>
                <w:szCs w:val="24"/>
              </w:rPr>
              <w:t>建设项目用地</w:t>
            </w:r>
            <w:commentRangeStart w:id="5"/>
            <w:commentRangeStart w:id="6"/>
            <w:r>
              <w:rPr>
                <w:rFonts w:hint="eastAsia" w:ascii="Times New Roman" w:hAnsi="Times New Roman"/>
                <w:szCs w:val="24"/>
              </w:rPr>
              <w:t>规划许可证</w:t>
            </w:r>
            <w:commentRangeEnd w:id="5"/>
            <w:r>
              <w:rPr>
                <w:rStyle w:val="38"/>
                <w:rFonts w:ascii="Times New Roman" w:hAnsi="Times New Roman"/>
                <w:sz w:val="24"/>
                <w:szCs w:val="24"/>
              </w:rPr>
              <w:commentReference w:id="5"/>
            </w:r>
            <w:commentRangeEnd w:id="6"/>
            <w:r>
              <w:rPr>
                <w:rStyle w:val="38"/>
                <w:rFonts w:ascii="Times New Roman" w:hAnsi="Times New Roman"/>
                <w:sz w:val="24"/>
                <w:szCs w:val="24"/>
              </w:rPr>
              <w:commentReference w:id="6"/>
            </w:r>
          </w:p>
        </w:tc>
      </w:tr>
      <w:tr w14:paraId="4AE76BBB">
        <w:tblPrEx>
          <w:tblCellMar>
            <w:top w:w="0" w:type="dxa"/>
            <w:left w:w="108" w:type="dxa"/>
            <w:bottom w:w="0" w:type="dxa"/>
            <w:right w:w="108" w:type="dxa"/>
          </w:tblCellMar>
        </w:tblPrEx>
        <w:trPr>
          <w:trHeight w:val="327" w:hRule="atLeast"/>
        </w:trPr>
        <w:tc>
          <w:tcPr>
            <w:tcW w:w="1189" w:type="dxa"/>
            <w:vAlign w:val="center"/>
          </w:tcPr>
          <w:p w14:paraId="14B79786">
            <w:pPr>
              <w:pStyle w:val="7"/>
              <w:spacing w:beforeLines="0" w:line="240" w:lineRule="auto"/>
              <w:ind w:firstLine="0" w:firstLineChars="0"/>
              <w:rPr>
                <w:rFonts w:ascii="Times New Roman" w:hAnsi="Times New Roman"/>
                <w:szCs w:val="24"/>
              </w:rPr>
            </w:pPr>
            <w:r>
              <w:rPr>
                <w:rFonts w:ascii="Times New Roman" w:hAnsi="Times New Roman"/>
                <w:szCs w:val="24"/>
              </w:rPr>
              <w:t>附件3</w:t>
            </w:r>
          </w:p>
        </w:tc>
        <w:tc>
          <w:tcPr>
            <w:tcW w:w="7277" w:type="dxa"/>
            <w:vAlign w:val="center"/>
          </w:tcPr>
          <w:p w14:paraId="623CA088">
            <w:pPr>
              <w:pStyle w:val="7"/>
              <w:spacing w:beforeLines="0" w:line="240" w:lineRule="auto"/>
              <w:ind w:firstLine="0" w:firstLineChars="0"/>
              <w:rPr>
                <w:rFonts w:ascii="Times New Roman" w:hAnsi="Times New Roman"/>
                <w:szCs w:val="24"/>
              </w:rPr>
            </w:pPr>
            <w:r>
              <w:rPr>
                <w:rFonts w:hint="eastAsia" w:ascii="Times New Roman" w:hAnsi="Times New Roman"/>
                <w:szCs w:val="24"/>
              </w:rPr>
              <w:t>项目建设用地预审与选址意见书</w:t>
            </w:r>
          </w:p>
        </w:tc>
      </w:tr>
      <w:tr w14:paraId="0A7D2871">
        <w:tblPrEx>
          <w:tblCellMar>
            <w:top w:w="0" w:type="dxa"/>
            <w:left w:w="108" w:type="dxa"/>
            <w:bottom w:w="0" w:type="dxa"/>
            <w:right w:w="108" w:type="dxa"/>
          </w:tblCellMar>
        </w:tblPrEx>
        <w:trPr>
          <w:trHeight w:val="327" w:hRule="atLeast"/>
        </w:trPr>
        <w:tc>
          <w:tcPr>
            <w:tcW w:w="1189" w:type="dxa"/>
            <w:vAlign w:val="center"/>
          </w:tcPr>
          <w:p w14:paraId="2B1CB51C">
            <w:pPr>
              <w:pStyle w:val="7"/>
              <w:spacing w:beforeLines="0" w:line="240" w:lineRule="auto"/>
              <w:ind w:firstLine="0" w:firstLineChars="0"/>
              <w:rPr>
                <w:rFonts w:ascii="Times New Roman" w:hAnsi="Times New Roman"/>
                <w:szCs w:val="24"/>
              </w:rPr>
            </w:pPr>
            <w:r>
              <w:rPr>
                <w:rFonts w:ascii="Times New Roman" w:hAnsi="Times New Roman"/>
                <w:szCs w:val="24"/>
              </w:rPr>
              <w:t>附件4</w:t>
            </w:r>
          </w:p>
        </w:tc>
        <w:tc>
          <w:tcPr>
            <w:tcW w:w="7277" w:type="dxa"/>
            <w:vAlign w:val="center"/>
          </w:tcPr>
          <w:p w14:paraId="075CB44A">
            <w:pPr>
              <w:pStyle w:val="7"/>
              <w:spacing w:beforeLines="0" w:line="240" w:lineRule="auto"/>
              <w:ind w:firstLine="0" w:firstLineChars="0"/>
              <w:rPr>
                <w:rFonts w:ascii="Times New Roman" w:hAnsi="Times New Roman"/>
                <w:szCs w:val="24"/>
              </w:rPr>
            </w:pPr>
            <w:r>
              <w:rPr>
                <w:rFonts w:hint="eastAsia" w:ascii="Times New Roman" w:hAnsi="Times New Roman"/>
                <w:szCs w:val="24"/>
              </w:rPr>
              <w:t>技术咨询合同</w:t>
            </w:r>
          </w:p>
        </w:tc>
      </w:tr>
      <w:tr w14:paraId="581E4387">
        <w:tblPrEx>
          <w:tblCellMar>
            <w:top w:w="0" w:type="dxa"/>
            <w:left w:w="108" w:type="dxa"/>
            <w:bottom w:w="0" w:type="dxa"/>
            <w:right w:w="108" w:type="dxa"/>
          </w:tblCellMar>
        </w:tblPrEx>
        <w:trPr>
          <w:trHeight w:val="327" w:hRule="atLeast"/>
        </w:trPr>
        <w:tc>
          <w:tcPr>
            <w:tcW w:w="1189" w:type="dxa"/>
            <w:vAlign w:val="center"/>
          </w:tcPr>
          <w:p w14:paraId="7E853B4F">
            <w:pPr>
              <w:pStyle w:val="7"/>
              <w:spacing w:beforeLines="0" w:line="240" w:lineRule="auto"/>
              <w:ind w:firstLine="0" w:firstLineChars="0"/>
              <w:rPr>
                <w:rFonts w:ascii="Times New Roman" w:hAnsi="Times New Roman"/>
                <w:szCs w:val="24"/>
              </w:rPr>
            </w:pPr>
            <w:r>
              <w:rPr>
                <w:rFonts w:ascii="Times New Roman" w:hAnsi="Times New Roman"/>
                <w:szCs w:val="24"/>
              </w:rPr>
              <w:t>附件5</w:t>
            </w:r>
          </w:p>
        </w:tc>
        <w:tc>
          <w:tcPr>
            <w:tcW w:w="7277" w:type="dxa"/>
            <w:vAlign w:val="center"/>
          </w:tcPr>
          <w:p w14:paraId="584131BF">
            <w:pPr>
              <w:pStyle w:val="7"/>
              <w:spacing w:beforeLines="0" w:line="240" w:lineRule="auto"/>
              <w:ind w:firstLine="0" w:firstLineChars="0"/>
              <w:rPr>
                <w:rFonts w:ascii="Times New Roman" w:hAnsi="Times New Roman"/>
                <w:szCs w:val="24"/>
              </w:rPr>
            </w:pPr>
            <w:r>
              <w:rPr>
                <w:rFonts w:hint="eastAsia" w:ascii="Times New Roman" w:hAnsi="Times New Roman"/>
                <w:szCs w:val="24"/>
              </w:rPr>
              <w:t>现状噪声监测方案</w:t>
            </w:r>
          </w:p>
        </w:tc>
      </w:tr>
      <w:tr w14:paraId="58B4A36F">
        <w:tblPrEx>
          <w:tblCellMar>
            <w:top w:w="0" w:type="dxa"/>
            <w:left w:w="108" w:type="dxa"/>
            <w:bottom w:w="0" w:type="dxa"/>
            <w:right w:w="108" w:type="dxa"/>
          </w:tblCellMar>
        </w:tblPrEx>
        <w:trPr>
          <w:trHeight w:val="327" w:hRule="atLeast"/>
        </w:trPr>
        <w:tc>
          <w:tcPr>
            <w:tcW w:w="1189" w:type="dxa"/>
            <w:vAlign w:val="center"/>
          </w:tcPr>
          <w:p w14:paraId="1C117567">
            <w:pPr>
              <w:pStyle w:val="7"/>
              <w:spacing w:beforeLines="0" w:line="240" w:lineRule="auto"/>
              <w:ind w:firstLine="0" w:firstLineChars="0"/>
              <w:rPr>
                <w:rFonts w:ascii="Times New Roman" w:hAnsi="Times New Roman"/>
                <w:szCs w:val="24"/>
              </w:rPr>
            </w:pPr>
            <w:r>
              <w:rPr>
                <w:rFonts w:ascii="Times New Roman" w:hAnsi="Times New Roman"/>
                <w:szCs w:val="24"/>
              </w:rPr>
              <w:t>附件6</w:t>
            </w:r>
          </w:p>
        </w:tc>
        <w:tc>
          <w:tcPr>
            <w:tcW w:w="7277" w:type="dxa"/>
            <w:vAlign w:val="center"/>
          </w:tcPr>
          <w:p w14:paraId="64D19E59">
            <w:pPr>
              <w:pStyle w:val="7"/>
              <w:spacing w:beforeLines="0" w:line="240" w:lineRule="auto"/>
              <w:ind w:firstLine="0" w:firstLineChars="0"/>
              <w:rPr>
                <w:rFonts w:ascii="Times New Roman" w:hAnsi="Times New Roman"/>
                <w:szCs w:val="24"/>
              </w:rPr>
            </w:pPr>
            <w:r>
              <w:rPr>
                <w:rFonts w:hint="eastAsia" w:ascii="Times New Roman" w:hAnsi="Times New Roman"/>
                <w:szCs w:val="24"/>
              </w:rPr>
              <w:t>现状噪声监测报告</w:t>
            </w:r>
          </w:p>
        </w:tc>
      </w:tr>
    </w:tbl>
    <w:p w14:paraId="5CF5F120">
      <w:pPr>
        <w:spacing w:line="288" w:lineRule="auto"/>
        <w:rPr>
          <w:highlight w:val="yellow"/>
        </w:rPr>
      </w:pPr>
    </w:p>
    <w:p w14:paraId="623031CA">
      <w:pPr>
        <w:spacing w:line="288" w:lineRule="auto"/>
        <w:jc w:val="center"/>
        <w:rPr>
          <w:rFonts w:eastAsia="黑体"/>
          <w:snapToGrid w:val="0"/>
          <w:sz w:val="30"/>
          <w:szCs w:val="30"/>
          <w:highlight w:val="yellow"/>
        </w:rPr>
        <w:sectPr>
          <w:pgSz w:w="11906" w:h="16838"/>
          <w:pgMar w:top="1701" w:right="1531" w:bottom="1701" w:left="1531" w:header="851" w:footer="1077" w:gutter="0"/>
          <w:pgNumType w:start="1"/>
          <w:cols w:space="720" w:num="1"/>
          <w:docGrid w:linePitch="312" w:charSpace="0"/>
        </w:sectPr>
      </w:pPr>
    </w:p>
    <w:p w14:paraId="6DF2F210">
      <w:pPr>
        <w:pStyle w:val="2"/>
      </w:pPr>
      <w:bookmarkStart w:id="11" w:name="_Toc238129004"/>
      <w:r>
        <w:t>建设项目基本情况</w:t>
      </w:r>
      <w:bookmarkEnd w:id="11"/>
    </w:p>
    <w:tbl>
      <w:tblPr>
        <w:tblStyle w:val="30"/>
        <w:tblW w:w="502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11"/>
        <w:gridCol w:w="2684"/>
        <w:gridCol w:w="2138"/>
        <w:gridCol w:w="3083"/>
      </w:tblGrid>
      <w:tr w14:paraId="24B3D0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567" w:type="pct"/>
            <w:tcMar>
              <w:top w:w="16" w:type="dxa"/>
              <w:left w:w="16" w:type="dxa"/>
              <w:right w:w="16" w:type="dxa"/>
            </w:tcMar>
            <w:vAlign w:val="center"/>
          </w:tcPr>
          <w:p w14:paraId="1C3D4E4B">
            <w:pPr>
              <w:spacing w:line="240" w:lineRule="auto"/>
              <w:jc w:val="center"/>
              <w:rPr>
                <w:szCs w:val="21"/>
              </w:rPr>
            </w:pPr>
            <w:r>
              <w:rPr>
                <w:szCs w:val="21"/>
              </w:rPr>
              <w:t>建设项目名称</w:t>
            </w:r>
          </w:p>
        </w:tc>
        <w:tc>
          <w:tcPr>
            <w:tcW w:w="4433" w:type="pct"/>
            <w:gridSpan w:val="3"/>
            <w:vAlign w:val="center"/>
          </w:tcPr>
          <w:p w14:paraId="76F15E19">
            <w:pPr>
              <w:spacing w:line="240" w:lineRule="auto"/>
              <w:jc w:val="center"/>
              <w:rPr>
                <w:szCs w:val="21"/>
                <w:highlight w:val="yellow"/>
              </w:rPr>
            </w:pPr>
            <w:r>
              <w:rPr>
                <w:rFonts w:hint="eastAsia"/>
                <w:szCs w:val="21"/>
              </w:rPr>
              <w:t>青西二路（江东大道-河景路）道路工程</w:t>
            </w:r>
          </w:p>
        </w:tc>
      </w:tr>
      <w:tr w14:paraId="4AF6C9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5" w:hRule="atLeast"/>
          <w:jc w:val="center"/>
        </w:trPr>
        <w:tc>
          <w:tcPr>
            <w:tcW w:w="567" w:type="pct"/>
            <w:tcMar>
              <w:top w:w="16" w:type="dxa"/>
              <w:left w:w="16" w:type="dxa"/>
              <w:right w:w="16" w:type="dxa"/>
            </w:tcMar>
            <w:vAlign w:val="center"/>
          </w:tcPr>
          <w:p w14:paraId="2153B72B">
            <w:pPr>
              <w:spacing w:line="240" w:lineRule="auto"/>
              <w:jc w:val="center"/>
              <w:rPr>
                <w:szCs w:val="21"/>
              </w:rPr>
            </w:pPr>
            <w:r>
              <w:rPr>
                <w:szCs w:val="21"/>
              </w:rPr>
              <w:t>项目代码</w:t>
            </w:r>
          </w:p>
        </w:tc>
        <w:tc>
          <w:tcPr>
            <w:tcW w:w="4433" w:type="pct"/>
            <w:gridSpan w:val="3"/>
            <w:vAlign w:val="center"/>
          </w:tcPr>
          <w:p w14:paraId="23A6A438">
            <w:pPr>
              <w:spacing w:line="240" w:lineRule="auto"/>
              <w:jc w:val="center"/>
              <w:rPr>
                <w:szCs w:val="21"/>
                <w:highlight w:val="yellow"/>
              </w:rPr>
            </w:pPr>
            <w:r>
              <w:rPr>
                <w:szCs w:val="21"/>
              </w:rPr>
              <w:t>2509-330114-89-01-511324</w:t>
            </w:r>
          </w:p>
        </w:tc>
      </w:tr>
      <w:tr w14:paraId="01E5AD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6" w:hRule="atLeast"/>
          <w:jc w:val="center"/>
        </w:trPr>
        <w:tc>
          <w:tcPr>
            <w:tcW w:w="567" w:type="pct"/>
            <w:tcMar>
              <w:top w:w="16" w:type="dxa"/>
              <w:left w:w="16" w:type="dxa"/>
              <w:right w:w="16" w:type="dxa"/>
            </w:tcMar>
            <w:vAlign w:val="center"/>
          </w:tcPr>
          <w:p w14:paraId="78A2757C">
            <w:pPr>
              <w:spacing w:line="240" w:lineRule="auto"/>
              <w:jc w:val="center"/>
              <w:rPr>
                <w:szCs w:val="21"/>
              </w:rPr>
            </w:pPr>
            <w:r>
              <w:rPr>
                <w:szCs w:val="21"/>
              </w:rPr>
              <w:t>建设单位联系人</w:t>
            </w:r>
          </w:p>
        </w:tc>
        <w:tc>
          <w:tcPr>
            <w:tcW w:w="1505" w:type="pct"/>
            <w:vAlign w:val="center"/>
          </w:tcPr>
          <w:p w14:paraId="0B821F3E">
            <w:pPr>
              <w:spacing w:line="240" w:lineRule="auto"/>
              <w:jc w:val="center"/>
              <w:rPr>
                <w:szCs w:val="21"/>
              </w:rPr>
            </w:pPr>
            <w:r>
              <w:rPr>
                <w:rFonts w:hint="eastAsia"/>
                <w:szCs w:val="21"/>
              </w:rPr>
              <w:t>许鹏</w:t>
            </w:r>
          </w:p>
        </w:tc>
        <w:tc>
          <w:tcPr>
            <w:tcW w:w="1199" w:type="pct"/>
            <w:vAlign w:val="center"/>
          </w:tcPr>
          <w:p w14:paraId="19F5577B">
            <w:pPr>
              <w:spacing w:line="240" w:lineRule="auto"/>
              <w:jc w:val="center"/>
              <w:rPr>
                <w:szCs w:val="21"/>
              </w:rPr>
            </w:pPr>
            <w:r>
              <w:rPr>
                <w:szCs w:val="21"/>
              </w:rPr>
              <w:t>联系方式</w:t>
            </w:r>
          </w:p>
        </w:tc>
        <w:tc>
          <w:tcPr>
            <w:tcW w:w="1729" w:type="pct"/>
            <w:vAlign w:val="center"/>
          </w:tcPr>
          <w:p w14:paraId="7429C7DF">
            <w:pPr>
              <w:spacing w:line="240" w:lineRule="auto"/>
              <w:jc w:val="center"/>
              <w:rPr>
                <w:szCs w:val="21"/>
                <w:highlight w:val="yellow"/>
              </w:rPr>
            </w:pPr>
            <w:r>
              <w:rPr>
                <w:szCs w:val="21"/>
              </w:rPr>
              <w:t>13989485232</w:t>
            </w:r>
          </w:p>
        </w:tc>
      </w:tr>
      <w:tr w14:paraId="75420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4" w:hRule="atLeast"/>
          <w:jc w:val="center"/>
        </w:trPr>
        <w:tc>
          <w:tcPr>
            <w:tcW w:w="567" w:type="pct"/>
            <w:tcMar>
              <w:top w:w="16" w:type="dxa"/>
              <w:left w:w="16" w:type="dxa"/>
              <w:right w:w="16" w:type="dxa"/>
            </w:tcMar>
            <w:vAlign w:val="center"/>
          </w:tcPr>
          <w:p w14:paraId="632D7D81">
            <w:pPr>
              <w:spacing w:line="240" w:lineRule="auto"/>
              <w:jc w:val="center"/>
              <w:rPr>
                <w:szCs w:val="21"/>
              </w:rPr>
            </w:pPr>
            <w:r>
              <w:rPr>
                <w:szCs w:val="21"/>
              </w:rPr>
              <w:t>建设地点</w:t>
            </w:r>
          </w:p>
        </w:tc>
        <w:tc>
          <w:tcPr>
            <w:tcW w:w="4433" w:type="pct"/>
            <w:gridSpan w:val="3"/>
            <w:vAlign w:val="center"/>
          </w:tcPr>
          <w:p w14:paraId="6334A245">
            <w:pPr>
              <w:spacing w:line="240" w:lineRule="auto"/>
              <w:jc w:val="center"/>
              <w:rPr>
                <w:szCs w:val="21"/>
              </w:rPr>
            </w:pPr>
            <w:r>
              <w:rPr>
                <w:rFonts w:hint="eastAsia"/>
                <w:szCs w:val="21"/>
              </w:rPr>
              <w:t>浙江省杭州市钱塘区</w:t>
            </w:r>
            <w:bookmarkStart w:id="12" w:name="OLE_LINK26"/>
            <w:r>
              <w:rPr>
                <w:rFonts w:hint="eastAsia"/>
                <w:szCs w:val="21"/>
              </w:rPr>
              <w:t>河庄街道</w:t>
            </w:r>
            <w:bookmarkEnd w:id="12"/>
          </w:p>
        </w:tc>
      </w:tr>
      <w:tr w14:paraId="66482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5" w:hRule="atLeast"/>
          <w:jc w:val="center"/>
        </w:trPr>
        <w:tc>
          <w:tcPr>
            <w:tcW w:w="567" w:type="pct"/>
            <w:tcMar>
              <w:top w:w="16" w:type="dxa"/>
              <w:left w:w="16" w:type="dxa"/>
              <w:right w:w="16" w:type="dxa"/>
            </w:tcMar>
            <w:vAlign w:val="center"/>
          </w:tcPr>
          <w:p w14:paraId="01A65816">
            <w:pPr>
              <w:spacing w:line="240" w:lineRule="auto"/>
              <w:jc w:val="center"/>
              <w:rPr>
                <w:szCs w:val="21"/>
              </w:rPr>
            </w:pPr>
            <w:r>
              <w:rPr>
                <w:szCs w:val="21"/>
              </w:rPr>
              <w:t>地理坐标</w:t>
            </w:r>
          </w:p>
        </w:tc>
        <w:tc>
          <w:tcPr>
            <w:tcW w:w="4433" w:type="pct"/>
            <w:gridSpan w:val="3"/>
            <w:vAlign w:val="center"/>
          </w:tcPr>
          <w:p w14:paraId="658DFB36">
            <w:pPr>
              <w:spacing w:line="240" w:lineRule="auto"/>
              <w:jc w:val="center"/>
              <w:rPr>
                <w:szCs w:val="21"/>
              </w:rPr>
            </w:pPr>
            <w:commentRangeStart w:id="7"/>
            <w:commentRangeStart w:id="8"/>
            <w:r>
              <w:rPr>
                <w:rFonts w:hint="eastAsia"/>
                <w:szCs w:val="21"/>
              </w:rPr>
              <w:t>起点坐标：（120度28分52.023秒，30度18分14.231秒）</w:t>
            </w:r>
          </w:p>
          <w:p w14:paraId="12EB41CE">
            <w:pPr>
              <w:spacing w:line="240" w:lineRule="auto"/>
              <w:jc w:val="center"/>
              <w:rPr>
                <w:szCs w:val="21"/>
                <w:highlight w:val="yellow"/>
              </w:rPr>
            </w:pPr>
            <w:r>
              <w:rPr>
                <w:rFonts w:hint="eastAsia"/>
                <w:szCs w:val="21"/>
              </w:rPr>
              <w:t>终点坐标：（120度28分49.062秒，30度17分39.374秒）</w:t>
            </w:r>
            <w:commentRangeEnd w:id="7"/>
            <w:r>
              <w:rPr>
                <w:rStyle w:val="38"/>
                <w:szCs w:val="21"/>
                <w:highlight w:val="yellow"/>
              </w:rPr>
              <w:commentReference w:id="7"/>
            </w:r>
            <w:commentRangeEnd w:id="8"/>
            <w:r>
              <w:rPr>
                <w:rStyle w:val="38"/>
                <w:szCs w:val="21"/>
                <w:highlight w:val="yellow"/>
              </w:rPr>
              <w:commentReference w:id="8"/>
            </w:r>
          </w:p>
        </w:tc>
      </w:tr>
      <w:tr w14:paraId="7E02C0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567" w:type="pct"/>
            <w:tcMar>
              <w:top w:w="16" w:type="dxa"/>
              <w:left w:w="16" w:type="dxa"/>
              <w:right w:w="16" w:type="dxa"/>
            </w:tcMar>
            <w:vAlign w:val="center"/>
          </w:tcPr>
          <w:p w14:paraId="79D0474B">
            <w:pPr>
              <w:spacing w:line="240" w:lineRule="auto"/>
              <w:jc w:val="center"/>
              <w:rPr>
                <w:szCs w:val="21"/>
              </w:rPr>
            </w:pPr>
            <w:bookmarkStart w:id="13" w:name="_Hlk49843745"/>
            <w:r>
              <w:rPr>
                <w:szCs w:val="21"/>
              </w:rPr>
              <w:t>建设项目</w:t>
            </w:r>
          </w:p>
          <w:p w14:paraId="464BF963">
            <w:pPr>
              <w:spacing w:line="240" w:lineRule="auto"/>
              <w:jc w:val="center"/>
              <w:rPr>
                <w:szCs w:val="21"/>
              </w:rPr>
            </w:pPr>
            <w:r>
              <w:rPr>
                <w:szCs w:val="21"/>
              </w:rPr>
              <w:t>行业类别</w:t>
            </w:r>
            <w:bookmarkEnd w:id="13"/>
          </w:p>
        </w:tc>
        <w:tc>
          <w:tcPr>
            <w:tcW w:w="1505" w:type="pct"/>
            <w:vAlign w:val="center"/>
          </w:tcPr>
          <w:p w14:paraId="6BAB2F97">
            <w:pPr>
              <w:spacing w:line="240" w:lineRule="auto"/>
              <w:jc w:val="center"/>
              <w:rPr>
                <w:szCs w:val="21"/>
              </w:rPr>
            </w:pPr>
            <w:r>
              <w:rPr>
                <w:rFonts w:hint="eastAsia"/>
                <w:szCs w:val="21"/>
              </w:rPr>
              <w:t>五十二、交通运输业、管道运输业-131城市道路（不含维护；不含支路、人行天桥、人行地道）</w:t>
            </w:r>
          </w:p>
        </w:tc>
        <w:tc>
          <w:tcPr>
            <w:tcW w:w="1199" w:type="pct"/>
            <w:vAlign w:val="center"/>
          </w:tcPr>
          <w:p w14:paraId="214DB1E3">
            <w:pPr>
              <w:spacing w:line="240" w:lineRule="auto"/>
              <w:jc w:val="center"/>
              <w:rPr>
                <w:szCs w:val="21"/>
                <w:highlight w:val="yellow"/>
              </w:rPr>
            </w:pPr>
            <w:r>
              <w:rPr>
                <w:rFonts w:hint="eastAsia"/>
                <w:szCs w:val="21"/>
              </w:rPr>
              <w:t>用地（用海）面积（m</w:t>
            </w:r>
            <w:r>
              <w:rPr>
                <w:rFonts w:hint="eastAsia"/>
                <w:szCs w:val="21"/>
                <w:vertAlign w:val="superscript"/>
              </w:rPr>
              <w:t>2</w:t>
            </w:r>
            <w:r>
              <w:rPr>
                <w:rFonts w:hint="eastAsia"/>
                <w:szCs w:val="21"/>
              </w:rPr>
              <w:t>）/长度（m）</w:t>
            </w:r>
          </w:p>
        </w:tc>
        <w:tc>
          <w:tcPr>
            <w:tcW w:w="1729" w:type="pct"/>
            <w:vAlign w:val="center"/>
          </w:tcPr>
          <w:p w14:paraId="3CAE1906">
            <w:pPr>
              <w:spacing w:line="240" w:lineRule="auto"/>
              <w:jc w:val="center"/>
              <w:rPr>
                <w:szCs w:val="21"/>
                <w:highlight w:val="yellow"/>
              </w:rPr>
            </w:pPr>
            <w:r>
              <w:rPr>
                <w:rFonts w:hint="eastAsia"/>
                <w:szCs w:val="21"/>
              </w:rPr>
              <w:t>全长868m，用</w:t>
            </w:r>
            <w:commentRangeStart w:id="9"/>
            <w:commentRangeStart w:id="10"/>
            <w:r>
              <w:rPr>
                <w:rFonts w:hint="eastAsia"/>
                <w:szCs w:val="21"/>
              </w:rPr>
              <w:t>地2.3203hm</w:t>
            </w:r>
            <w:r>
              <w:rPr>
                <w:rFonts w:hint="eastAsia"/>
                <w:szCs w:val="21"/>
                <w:vertAlign w:val="superscript"/>
              </w:rPr>
              <w:t>2</w:t>
            </w:r>
            <w:commentRangeEnd w:id="9"/>
            <w:r>
              <w:rPr>
                <w:rStyle w:val="38"/>
                <w:szCs w:val="21"/>
                <w:highlight w:val="yellow"/>
              </w:rPr>
              <w:commentReference w:id="9"/>
            </w:r>
            <w:commentRangeEnd w:id="10"/>
            <w:r>
              <w:rPr>
                <w:rStyle w:val="38"/>
                <w:szCs w:val="21"/>
                <w:highlight w:val="yellow"/>
              </w:rPr>
              <w:commentReference w:id="10"/>
            </w:r>
          </w:p>
        </w:tc>
      </w:tr>
      <w:tr w14:paraId="407576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567" w:type="pct"/>
            <w:tcMar>
              <w:top w:w="16" w:type="dxa"/>
              <w:left w:w="16" w:type="dxa"/>
              <w:right w:w="16" w:type="dxa"/>
            </w:tcMar>
            <w:vAlign w:val="center"/>
          </w:tcPr>
          <w:p w14:paraId="4AA235CB">
            <w:pPr>
              <w:spacing w:line="240" w:lineRule="auto"/>
              <w:jc w:val="center"/>
              <w:rPr>
                <w:szCs w:val="21"/>
              </w:rPr>
            </w:pPr>
            <w:r>
              <w:rPr>
                <w:szCs w:val="21"/>
              </w:rPr>
              <w:t>建设性质</w:t>
            </w:r>
          </w:p>
        </w:tc>
        <w:tc>
          <w:tcPr>
            <w:tcW w:w="1505" w:type="pct"/>
            <w:vAlign w:val="center"/>
          </w:tcPr>
          <w:p w14:paraId="4BF692B9">
            <w:pPr>
              <w:spacing w:line="240" w:lineRule="auto"/>
              <w:jc w:val="left"/>
              <w:rPr>
                <w:szCs w:val="21"/>
              </w:rPr>
            </w:pPr>
            <w:r>
              <w:rPr>
                <w:szCs w:val="21"/>
              </w:rPr>
              <w:sym w:font="Wingdings 2" w:char="F052"/>
            </w:r>
            <w:r>
              <w:rPr>
                <w:rFonts w:hint="eastAsia"/>
                <w:szCs w:val="21"/>
              </w:rPr>
              <w:t>新建</w:t>
            </w:r>
          </w:p>
          <w:p w14:paraId="4D67A536">
            <w:pPr>
              <w:spacing w:line="240" w:lineRule="auto"/>
              <w:jc w:val="left"/>
              <w:rPr>
                <w:szCs w:val="21"/>
              </w:rPr>
            </w:pPr>
            <w:bookmarkStart w:id="14" w:name="OLE_LINK5"/>
            <w:r>
              <w:rPr>
                <w:szCs w:val="21"/>
              </w:rPr>
              <w:sym w:font="Wingdings 2" w:char="00A3"/>
            </w:r>
            <w:bookmarkEnd w:id="14"/>
            <w:r>
              <w:rPr>
                <w:szCs w:val="21"/>
              </w:rPr>
              <w:t>改建</w:t>
            </w:r>
          </w:p>
          <w:p w14:paraId="1C39F8F0">
            <w:pPr>
              <w:spacing w:line="240" w:lineRule="auto"/>
              <w:jc w:val="left"/>
              <w:rPr>
                <w:szCs w:val="21"/>
              </w:rPr>
            </w:pPr>
            <w:r>
              <w:rPr>
                <w:szCs w:val="21"/>
              </w:rPr>
              <w:sym w:font="Wingdings 2" w:char="00A3"/>
            </w:r>
            <w:r>
              <w:rPr>
                <w:szCs w:val="21"/>
              </w:rPr>
              <w:t>扩建</w:t>
            </w:r>
          </w:p>
          <w:p w14:paraId="770FCD60">
            <w:pPr>
              <w:spacing w:line="240" w:lineRule="auto"/>
              <w:jc w:val="left"/>
              <w:rPr>
                <w:szCs w:val="21"/>
              </w:rPr>
            </w:pPr>
            <w:r>
              <w:rPr>
                <w:szCs w:val="21"/>
              </w:rPr>
              <w:sym w:font="Wingdings 2" w:char="00A3"/>
            </w:r>
            <w:r>
              <w:rPr>
                <w:szCs w:val="21"/>
              </w:rPr>
              <w:t>技术改造</w:t>
            </w:r>
          </w:p>
        </w:tc>
        <w:tc>
          <w:tcPr>
            <w:tcW w:w="1199" w:type="pct"/>
            <w:vAlign w:val="center"/>
          </w:tcPr>
          <w:p w14:paraId="3446D2F0">
            <w:pPr>
              <w:spacing w:line="240" w:lineRule="auto"/>
              <w:jc w:val="center"/>
              <w:rPr>
                <w:szCs w:val="21"/>
              </w:rPr>
            </w:pPr>
            <w:r>
              <w:rPr>
                <w:szCs w:val="21"/>
              </w:rPr>
              <w:t>建设项目</w:t>
            </w:r>
          </w:p>
          <w:p w14:paraId="1C170CCB">
            <w:pPr>
              <w:spacing w:line="240" w:lineRule="auto"/>
              <w:jc w:val="center"/>
              <w:rPr>
                <w:szCs w:val="21"/>
              </w:rPr>
            </w:pPr>
            <w:r>
              <w:rPr>
                <w:szCs w:val="21"/>
              </w:rPr>
              <w:t>申报情形</w:t>
            </w:r>
          </w:p>
        </w:tc>
        <w:tc>
          <w:tcPr>
            <w:tcW w:w="1729" w:type="pct"/>
            <w:vAlign w:val="center"/>
          </w:tcPr>
          <w:p w14:paraId="3B5285CA">
            <w:pPr>
              <w:spacing w:line="240" w:lineRule="auto"/>
              <w:jc w:val="left"/>
              <w:rPr>
                <w:szCs w:val="21"/>
              </w:rPr>
            </w:pPr>
            <w:r>
              <w:rPr>
                <w:szCs w:val="21"/>
              </w:rPr>
              <w:sym w:font="Wingdings 2" w:char="F052"/>
            </w:r>
            <w:r>
              <w:rPr>
                <w:szCs w:val="21"/>
              </w:rPr>
              <w:t>首次申报项目</w:t>
            </w:r>
          </w:p>
          <w:p w14:paraId="67E35924">
            <w:pPr>
              <w:spacing w:line="240" w:lineRule="auto"/>
              <w:jc w:val="left"/>
              <w:rPr>
                <w:szCs w:val="21"/>
              </w:rPr>
            </w:pPr>
            <w:r>
              <w:rPr>
                <w:szCs w:val="21"/>
              </w:rPr>
              <w:sym w:font="Wingdings 2" w:char="00A3"/>
            </w:r>
            <w:r>
              <w:rPr>
                <w:szCs w:val="21"/>
              </w:rPr>
              <w:t>不予批准后再次申报项目</w:t>
            </w:r>
          </w:p>
          <w:p w14:paraId="17DFB437">
            <w:pPr>
              <w:spacing w:line="240" w:lineRule="auto"/>
              <w:jc w:val="left"/>
              <w:rPr>
                <w:szCs w:val="21"/>
              </w:rPr>
            </w:pPr>
            <w:r>
              <w:rPr>
                <w:szCs w:val="21"/>
              </w:rPr>
              <w:sym w:font="Wingdings 2" w:char="00A3"/>
            </w:r>
            <w:r>
              <w:rPr>
                <w:szCs w:val="21"/>
              </w:rPr>
              <w:t>超五年重新审核项目</w:t>
            </w:r>
          </w:p>
          <w:p w14:paraId="7C11584D">
            <w:pPr>
              <w:spacing w:line="240" w:lineRule="auto"/>
              <w:jc w:val="left"/>
              <w:rPr>
                <w:szCs w:val="21"/>
              </w:rPr>
            </w:pPr>
            <w:r>
              <w:rPr>
                <w:szCs w:val="21"/>
              </w:rPr>
              <w:sym w:font="Wingdings 2" w:char="00A3"/>
            </w:r>
            <w:r>
              <w:rPr>
                <w:szCs w:val="21"/>
              </w:rPr>
              <w:t>重大变动重新报批项目</w:t>
            </w:r>
          </w:p>
        </w:tc>
      </w:tr>
      <w:tr w14:paraId="225DCA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567" w:type="pct"/>
            <w:tcMar>
              <w:top w:w="16" w:type="dxa"/>
              <w:left w:w="16" w:type="dxa"/>
              <w:right w:w="16" w:type="dxa"/>
            </w:tcMar>
            <w:vAlign w:val="center"/>
          </w:tcPr>
          <w:p w14:paraId="7546BE94">
            <w:pPr>
              <w:spacing w:line="240" w:lineRule="auto"/>
              <w:jc w:val="center"/>
              <w:rPr>
                <w:szCs w:val="21"/>
              </w:rPr>
            </w:pPr>
            <w:r>
              <w:rPr>
                <w:szCs w:val="21"/>
              </w:rPr>
              <w:t>项目审批（核准/备案）部门</w:t>
            </w:r>
          </w:p>
        </w:tc>
        <w:tc>
          <w:tcPr>
            <w:tcW w:w="1505" w:type="pct"/>
            <w:vAlign w:val="center"/>
          </w:tcPr>
          <w:p w14:paraId="360A3697">
            <w:pPr>
              <w:spacing w:line="240" w:lineRule="auto"/>
              <w:jc w:val="center"/>
              <w:rPr>
                <w:szCs w:val="21"/>
              </w:rPr>
            </w:pPr>
            <w:r>
              <w:rPr>
                <w:rFonts w:hint="eastAsia"/>
                <w:szCs w:val="21"/>
              </w:rPr>
              <w:t>杭州市钱塘区行政审批局</w:t>
            </w:r>
          </w:p>
        </w:tc>
        <w:tc>
          <w:tcPr>
            <w:tcW w:w="1199" w:type="pct"/>
            <w:vAlign w:val="center"/>
          </w:tcPr>
          <w:p w14:paraId="40DD1E64">
            <w:pPr>
              <w:spacing w:line="240" w:lineRule="auto"/>
              <w:jc w:val="center"/>
              <w:rPr>
                <w:szCs w:val="21"/>
              </w:rPr>
            </w:pPr>
            <w:r>
              <w:rPr>
                <w:szCs w:val="21"/>
              </w:rPr>
              <w:t>项目审批（核准/备案）文号（选填）</w:t>
            </w:r>
          </w:p>
        </w:tc>
        <w:tc>
          <w:tcPr>
            <w:tcW w:w="1729" w:type="pct"/>
            <w:vAlign w:val="center"/>
          </w:tcPr>
          <w:p w14:paraId="7DE3AC81">
            <w:pPr>
              <w:spacing w:line="240" w:lineRule="auto"/>
              <w:jc w:val="center"/>
              <w:rPr>
                <w:szCs w:val="21"/>
                <w:highlight w:val="yellow"/>
              </w:rPr>
            </w:pPr>
            <w:bookmarkStart w:id="15" w:name="OLE_LINK19"/>
            <w:r>
              <w:rPr>
                <w:rFonts w:hint="eastAsia"/>
                <w:szCs w:val="21"/>
              </w:rPr>
              <w:t>杭规划资源（钱）字[2026]120号</w:t>
            </w:r>
            <w:bookmarkEnd w:id="15"/>
          </w:p>
        </w:tc>
      </w:tr>
      <w:tr w14:paraId="146CC7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567" w:type="pct"/>
            <w:tcMar>
              <w:top w:w="16" w:type="dxa"/>
              <w:left w:w="16" w:type="dxa"/>
              <w:right w:w="16" w:type="dxa"/>
            </w:tcMar>
            <w:vAlign w:val="center"/>
          </w:tcPr>
          <w:p w14:paraId="03279691">
            <w:pPr>
              <w:spacing w:line="240" w:lineRule="auto"/>
              <w:jc w:val="center"/>
              <w:rPr>
                <w:szCs w:val="21"/>
              </w:rPr>
            </w:pPr>
            <w:r>
              <w:rPr>
                <w:szCs w:val="21"/>
              </w:rPr>
              <w:t>总投资（万元）</w:t>
            </w:r>
          </w:p>
        </w:tc>
        <w:tc>
          <w:tcPr>
            <w:tcW w:w="1505" w:type="pct"/>
            <w:vAlign w:val="center"/>
          </w:tcPr>
          <w:p w14:paraId="20C7E5EF">
            <w:pPr>
              <w:spacing w:line="240" w:lineRule="auto"/>
              <w:jc w:val="center"/>
              <w:rPr>
                <w:szCs w:val="21"/>
                <w:highlight w:val="yellow"/>
              </w:rPr>
            </w:pPr>
            <w:r>
              <w:rPr>
                <w:szCs w:val="21"/>
              </w:rPr>
              <w:t>8674.92</w:t>
            </w:r>
          </w:p>
        </w:tc>
        <w:tc>
          <w:tcPr>
            <w:tcW w:w="1199" w:type="pct"/>
            <w:tcMar>
              <w:top w:w="16" w:type="dxa"/>
              <w:left w:w="16" w:type="dxa"/>
              <w:right w:w="16" w:type="dxa"/>
            </w:tcMar>
            <w:vAlign w:val="center"/>
          </w:tcPr>
          <w:p w14:paraId="2FCCD094">
            <w:pPr>
              <w:spacing w:line="240" w:lineRule="auto"/>
              <w:jc w:val="center"/>
              <w:rPr>
                <w:szCs w:val="21"/>
              </w:rPr>
            </w:pPr>
            <w:r>
              <w:rPr>
                <w:szCs w:val="21"/>
              </w:rPr>
              <w:t>环保投资（万元）</w:t>
            </w:r>
          </w:p>
        </w:tc>
        <w:tc>
          <w:tcPr>
            <w:tcW w:w="1729" w:type="pct"/>
            <w:vAlign w:val="center"/>
          </w:tcPr>
          <w:p w14:paraId="5F6A8492">
            <w:pPr>
              <w:spacing w:line="240" w:lineRule="auto"/>
              <w:jc w:val="center"/>
              <w:rPr>
                <w:szCs w:val="21"/>
              </w:rPr>
            </w:pPr>
            <w:r>
              <w:rPr>
                <w:rFonts w:hint="eastAsia"/>
                <w:szCs w:val="21"/>
              </w:rPr>
              <w:t>65</w:t>
            </w:r>
          </w:p>
        </w:tc>
      </w:tr>
      <w:tr w14:paraId="415CFF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567" w:type="pct"/>
            <w:tcMar>
              <w:top w:w="16" w:type="dxa"/>
              <w:left w:w="16" w:type="dxa"/>
              <w:right w:w="16" w:type="dxa"/>
            </w:tcMar>
            <w:vAlign w:val="center"/>
          </w:tcPr>
          <w:p w14:paraId="2C3AF459">
            <w:pPr>
              <w:spacing w:line="240" w:lineRule="auto"/>
              <w:jc w:val="center"/>
              <w:rPr>
                <w:szCs w:val="21"/>
              </w:rPr>
            </w:pPr>
            <w:r>
              <w:rPr>
                <w:szCs w:val="21"/>
              </w:rPr>
              <w:t>环保投资占比（%）</w:t>
            </w:r>
          </w:p>
        </w:tc>
        <w:tc>
          <w:tcPr>
            <w:tcW w:w="1505" w:type="pct"/>
            <w:vAlign w:val="center"/>
          </w:tcPr>
          <w:p w14:paraId="6CBCB61F">
            <w:pPr>
              <w:spacing w:line="240" w:lineRule="auto"/>
              <w:jc w:val="center"/>
              <w:rPr>
                <w:szCs w:val="21"/>
              </w:rPr>
            </w:pPr>
            <w:r>
              <w:rPr>
                <w:rFonts w:hint="eastAsia"/>
                <w:szCs w:val="21"/>
              </w:rPr>
              <w:t>0.75</w:t>
            </w:r>
          </w:p>
        </w:tc>
        <w:tc>
          <w:tcPr>
            <w:tcW w:w="1199" w:type="pct"/>
            <w:tcMar>
              <w:top w:w="16" w:type="dxa"/>
              <w:left w:w="16" w:type="dxa"/>
              <w:right w:w="16" w:type="dxa"/>
            </w:tcMar>
            <w:vAlign w:val="center"/>
          </w:tcPr>
          <w:p w14:paraId="1EA3C185">
            <w:pPr>
              <w:spacing w:line="240" w:lineRule="auto"/>
              <w:jc w:val="center"/>
              <w:rPr>
                <w:szCs w:val="21"/>
              </w:rPr>
            </w:pPr>
            <w:r>
              <w:rPr>
                <w:szCs w:val="21"/>
              </w:rPr>
              <w:t>施工工期</w:t>
            </w:r>
          </w:p>
        </w:tc>
        <w:tc>
          <w:tcPr>
            <w:tcW w:w="1729" w:type="pct"/>
            <w:vAlign w:val="center"/>
          </w:tcPr>
          <w:p w14:paraId="0B43C158">
            <w:pPr>
              <w:spacing w:line="240" w:lineRule="auto"/>
              <w:jc w:val="center"/>
              <w:rPr>
                <w:szCs w:val="21"/>
              </w:rPr>
            </w:pPr>
            <w:r>
              <w:rPr>
                <w:rFonts w:hint="eastAsia"/>
                <w:szCs w:val="21"/>
              </w:rPr>
              <w:t>13个月</w:t>
            </w:r>
          </w:p>
        </w:tc>
      </w:tr>
      <w:tr w14:paraId="61BF8D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567" w:type="pct"/>
            <w:tcMar>
              <w:top w:w="16" w:type="dxa"/>
              <w:left w:w="16" w:type="dxa"/>
              <w:right w:w="16" w:type="dxa"/>
            </w:tcMar>
            <w:vAlign w:val="center"/>
          </w:tcPr>
          <w:p w14:paraId="27B0498B">
            <w:pPr>
              <w:spacing w:line="240" w:lineRule="auto"/>
              <w:jc w:val="center"/>
              <w:rPr>
                <w:szCs w:val="21"/>
              </w:rPr>
            </w:pPr>
            <w:r>
              <w:rPr>
                <w:szCs w:val="21"/>
              </w:rPr>
              <w:t>是否开工建设</w:t>
            </w:r>
          </w:p>
        </w:tc>
        <w:tc>
          <w:tcPr>
            <w:tcW w:w="4433" w:type="pct"/>
            <w:gridSpan w:val="3"/>
            <w:vAlign w:val="center"/>
          </w:tcPr>
          <w:p w14:paraId="31023476">
            <w:pPr>
              <w:spacing w:line="240" w:lineRule="auto"/>
              <w:rPr>
                <w:szCs w:val="21"/>
              </w:rPr>
            </w:pPr>
            <w:r>
              <w:rPr>
                <w:szCs w:val="21"/>
              </w:rPr>
              <w:t>■否</w:t>
            </w:r>
          </w:p>
          <w:p w14:paraId="3CA359FA">
            <w:pPr>
              <w:spacing w:line="240" w:lineRule="auto"/>
              <w:rPr>
                <w:szCs w:val="21"/>
              </w:rPr>
            </w:pPr>
            <w:r>
              <w:rPr>
                <w:szCs w:val="21"/>
              </w:rPr>
              <w:sym w:font="Wingdings 2" w:char="00A3"/>
            </w:r>
            <w:r>
              <w:rPr>
                <w:szCs w:val="21"/>
              </w:rPr>
              <w:t>是：</w:t>
            </w:r>
            <w:r>
              <w:rPr>
                <w:szCs w:val="21"/>
                <w:u w:val="single"/>
              </w:rPr>
              <w:t xml:space="preserve">             </w:t>
            </w:r>
          </w:p>
        </w:tc>
      </w:tr>
      <w:tr w14:paraId="7C6A24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59" w:hRule="atLeast"/>
          <w:jc w:val="center"/>
        </w:trPr>
        <w:tc>
          <w:tcPr>
            <w:tcW w:w="567" w:type="pct"/>
            <w:vAlign w:val="center"/>
          </w:tcPr>
          <w:p w14:paraId="0CAE1F53">
            <w:pPr>
              <w:autoSpaceDE w:val="0"/>
              <w:autoSpaceDN w:val="0"/>
              <w:spacing w:line="240" w:lineRule="auto"/>
              <w:jc w:val="center"/>
              <w:rPr>
                <w:kern w:val="0"/>
                <w:szCs w:val="21"/>
                <w:highlight w:val="yellow"/>
              </w:rPr>
            </w:pPr>
            <w:r>
              <w:rPr>
                <w:kern w:val="0"/>
                <w:szCs w:val="21"/>
              </w:rPr>
              <w:t>专项评价设置情况</w:t>
            </w:r>
          </w:p>
        </w:tc>
        <w:tc>
          <w:tcPr>
            <w:tcW w:w="4433" w:type="pct"/>
            <w:gridSpan w:val="3"/>
            <w:vAlign w:val="center"/>
          </w:tcPr>
          <w:p w14:paraId="0EF47072">
            <w:pPr>
              <w:pStyle w:val="9"/>
              <w:spacing w:before="120"/>
            </w:pPr>
            <w:r>
              <w:t xml:space="preserve">表 </w:t>
            </w:r>
            <w:r>
              <w:fldChar w:fldCharType="begin"/>
            </w:r>
            <w:r>
              <w:instrText xml:space="preserve"> STYLEREF 1 \s </w:instrText>
            </w:r>
            <w:r>
              <w:fldChar w:fldCharType="separate"/>
            </w:r>
            <w:r>
              <w:t>1</w:t>
            </w:r>
            <w:r>
              <w:fldChar w:fldCharType="end"/>
            </w:r>
            <w:r>
              <w:noBreakHyphen/>
            </w:r>
            <w:r>
              <w:fldChar w:fldCharType="begin"/>
            </w:r>
            <w:r>
              <w:instrText xml:space="preserve"> SEQ 表 \* ARABIC \s 1 </w:instrText>
            </w:r>
            <w:r>
              <w:fldChar w:fldCharType="separate"/>
            </w:r>
            <w:r>
              <w:t>1</w:t>
            </w:r>
            <w:r>
              <w:fldChar w:fldCharType="end"/>
            </w:r>
            <w:r>
              <w:t>专项评价设置判定情况</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1418"/>
              <w:gridCol w:w="4559"/>
              <w:gridCol w:w="1682"/>
            </w:tblGrid>
            <w:tr w14:paraId="4C15147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410" w:type="dxa"/>
                  <w:vAlign w:val="center"/>
                </w:tcPr>
                <w:p w14:paraId="528A8F38">
                  <w:pPr>
                    <w:spacing w:line="240" w:lineRule="auto"/>
                    <w:jc w:val="center"/>
                    <w:rPr>
                      <w:b/>
                      <w:bCs/>
                      <w:sz w:val="18"/>
                      <w:szCs w:val="18"/>
                    </w:rPr>
                  </w:pPr>
                  <w:bookmarkStart w:id="16" w:name="OLE_LINK1" w:colFirst="0" w:colLast="3"/>
                  <w:r>
                    <w:rPr>
                      <w:b/>
                      <w:bCs/>
                      <w:sz w:val="18"/>
                      <w:szCs w:val="18"/>
                    </w:rPr>
                    <w:t>专项评价的类别</w:t>
                  </w:r>
                </w:p>
              </w:tc>
              <w:tc>
                <w:tcPr>
                  <w:tcW w:w="4535" w:type="dxa"/>
                  <w:vAlign w:val="center"/>
                </w:tcPr>
                <w:p w14:paraId="28A52DF6">
                  <w:pPr>
                    <w:spacing w:line="240" w:lineRule="auto"/>
                    <w:jc w:val="center"/>
                    <w:rPr>
                      <w:b/>
                      <w:bCs/>
                      <w:sz w:val="18"/>
                      <w:szCs w:val="18"/>
                    </w:rPr>
                  </w:pPr>
                  <w:r>
                    <w:rPr>
                      <w:b/>
                      <w:bCs/>
                      <w:sz w:val="18"/>
                      <w:szCs w:val="18"/>
                    </w:rPr>
                    <w:t>涉及项目类别</w:t>
                  </w:r>
                </w:p>
              </w:tc>
              <w:tc>
                <w:tcPr>
                  <w:tcW w:w="1673" w:type="dxa"/>
                  <w:vAlign w:val="center"/>
                </w:tcPr>
                <w:p w14:paraId="63E10F4E">
                  <w:pPr>
                    <w:pStyle w:val="150"/>
                    <w:autoSpaceDE w:val="0"/>
                    <w:autoSpaceDN w:val="0"/>
                    <w:spacing w:line="240" w:lineRule="auto"/>
                    <w:jc w:val="center"/>
                    <w:rPr>
                      <w:rFonts w:ascii="Times New Roman" w:hAnsi="Times New Roman" w:eastAsia="宋体" w:cs="Times New Roman"/>
                      <w:b/>
                      <w:bCs/>
                      <w:kern w:val="2"/>
                      <w:sz w:val="18"/>
                      <w:szCs w:val="18"/>
                      <w:lang w:eastAsia="zh-CN"/>
                    </w:rPr>
                  </w:pPr>
                  <w:r>
                    <w:rPr>
                      <w:rFonts w:ascii="Times New Roman" w:hAnsi="Times New Roman" w:eastAsia="宋体" w:cs="Times New Roman"/>
                      <w:b/>
                      <w:bCs/>
                      <w:kern w:val="2"/>
                      <w:sz w:val="18"/>
                      <w:szCs w:val="18"/>
                      <w:lang w:eastAsia="zh-CN"/>
                    </w:rPr>
                    <w:t>专项设置情况</w:t>
                  </w:r>
                  <w:r>
                    <w:rPr>
                      <w:rFonts w:hint="eastAsia" w:ascii="Times New Roman" w:hAnsi="Times New Roman" w:eastAsia="宋体" w:cs="Times New Roman"/>
                      <w:b/>
                      <w:bCs/>
                      <w:kern w:val="2"/>
                      <w:sz w:val="18"/>
                      <w:szCs w:val="18"/>
                      <w:lang w:eastAsia="zh-CN"/>
                    </w:rPr>
                    <w:t>说明</w:t>
                  </w:r>
                </w:p>
              </w:tc>
            </w:tr>
            <w:tr w14:paraId="16E941C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410" w:type="dxa"/>
                  <w:vAlign w:val="center"/>
                </w:tcPr>
                <w:p w14:paraId="5FBF70CC">
                  <w:pPr>
                    <w:spacing w:line="240" w:lineRule="auto"/>
                    <w:jc w:val="center"/>
                    <w:rPr>
                      <w:sz w:val="18"/>
                      <w:szCs w:val="18"/>
                    </w:rPr>
                  </w:pPr>
                  <w:r>
                    <w:rPr>
                      <w:rFonts w:hint="eastAsia"/>
                      <w:sz w:val="18"/>
                      <w:szCs w:val="18"/>
                    </w:rPr>
                    <w:t>地表水</w:t>
                  </w:r>
                </w:p>
              </w:tc>
              <w:tc>
                <w:tcPr>
                  <w:tcW w:w="4535" w:type="dxa"/>
                  <w:tcBorders>
                    <w:top w:val="single" w:color="auto" w:sz="8" w:space="0"/>
                    <w:left w:val="single" w:color="auto" w:sz="8" w:space="0"/>
                    <w:bottom w:val="single" w:color="auto" w:sz="4" w:space="0"/>
                    <w:right w:val="single" w:color="auto" w:sz="8" w:space="0"/>
                  </w:tcBorders>
                  <w:vAlign w:val="center"/>
                </w:tcPr>
                <w:p w14:paraId="4E573234">
                  <w:pPr>
                    <w:pStyle w:val="111"/>
                  </w:pPr>
                  <w:r>
                    <w:t>水力发电：引水式发电、涉及调峰发电的项目；</w:t>
                  </w:r>
                </w:p>
                <w:p w14:paraId="022DC48B">
                  <w:pPr>
                    <w:pStyle w:val="111"/>
                  </w:pPr>
                  <w:r>
                    <w:t>人工湖、人工湿地：全部；</w:t>
                  </w:r>
                </w:p>
                <w:p w14:paraId="30D9BF32">
                  <w:pPr>
                    <w:pStyle w:val="111"/>
                  </w:pPr>
                  <w:r>
                    <w:t>水库：全部；</w:t>
                  </w:r>
                </w:p>
                <w:p w14:paraId="2C88AB92">
                  <w:pPr>
                    <w:pStyle w:val="111"/>
                  </w:pPr>
                  <w:r>
                    <w:t>引水工程：全部（配套的管线工程等除外）；</w:t>
                  </w:r>
                </w:p>
                <w:p w14:paraId="122AD8AF">
                  <w:pPr>
                    <w:pStyle w:val="111"/>
                  </w:pPr>
                  <w:r>
                    <w:t>防洪除涝工程：包含水库的项目；</w:t>
                  </w:r>
                </w:p>
                <w:p w14:paraId="10C7607C">
                  <w:pPr>
                    <w:pStyle w:val="111"/>
                    <w:rPr>
                      <w:highlight w:val="yellow"/>
                    </w:rPr>
                  </w:pPr>
                  <w:r>
                    <w:t>河湖整治：涉及清淤且底泥存在重金属污染的项目</w:t>
                  </w:r>
                </w:p>
              </w:tc>
              <w:tc>
                <w:tcPr>
                  <w:tcW w:w="1673" w:type="dxa"/>
                  <w:vAlign w:val="center"/>
                </w:tcPr>
                <w:p w14:paraId="4BCD1D48">
                  <w:pPr>
                    <w:pStyle w:val="150"/>
                    <w:autoSpaceDE w:val="0"/>
                    <w:autoSpaceDN w:val="0"/>
                    <w:spacing w:line="240" w:lineRule="auto"/>
                    <w:jc w:val="center"/>
                    <w:rPr>
                      <w:rFonts w:ascii="Times New Roman" w:hAnsi="Times New Roman" w:eastAsia="宋体" w:cs="Times New Roman"/>
                      <w:kern w:val="2"/>
                      <w:sz w:val="18"/>
                      <w:szCs w:val="18"/>
                      <w:lang w:eastAsia="zh-CN"/>
                    </w:rPr>
                  </w:pPr>
                  <w:r>
                    <w:rPr>
                      <w:rFonts w:hint="eastAsia" w:ascii="Times New Roman" w:hAnsi="Times New Roman" w:eastAsia="宋体" w:cs="Times New Roman"/>
                      <w:kern w:val="2"/>
                      <w:sz w:val="18"/>
                      <w:szCs w:val="18"/>
                      <w:lang w:eastAsia="zh-CN"/>
                    </w:rPr>
                    <w:t>本项目不涉及</w:t>
                  </w:r>
                </w:p>
              </w:tc>
            </w:tr>
            <w:tr w14:paraId="1F1687E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410" w:type="dxa"/>
                  <w:vAlign w:val="center"/>
                </w:tcPr>
                <w:p w14:paraId="0D8C407D">
                  <w:pPr>
                    <w:spacing w:line="240" w:lineRule="auto"/>
                    <w:jc w:val="center"/>
                    <w:rPr>
                      <w:sz w:val="18"/>
                      <w:szCs w:val="18"/>
                    </w:rPr>
                  </w:pPr>
                  <w:r>
                    <w:rPr>
                      <w:rFonts w:hint="eastAsia"/>
                      <w:sz w:val="18"/>
                      <w:szCs w:val="18"/>
                    </w:rPr>
                    <w:t>地下水</w:t>
                  </w:r>
                </w:p>
              </w:tc>
              <w:tc>
                <w:tcPr>
                  <w:tcW w:w="4535" w:type="dxa"/>
                  <w:tcBorders>
                    <w:top w:val="single" w:color="auto" w:sz="4" w:space="0"/>
                    <w:left w:val="single" w:color="auto" w:sz="8" w:space="0"/>
                    <w:bottom w:val="single" w:color="auto" w:sz="4" w:space="0"/>
                    <w:right w:val="single" w:color="auto" w:sz="8" w:space="0"/>
                  </w:tcBorders>
                  <w:vAlign w:val="center"/>
                </w:tcPr>
                <w:p w14:paraId="5892B7CD">
                  <w:pPr>
                    <w:pStyle w:val="111"/>
                    <w:rPr>
                      <w:rFonts w:ascii="Times New Roman"/>
                    </w:rPr>
                  </w:pPr>
                  <w:r>
                    <w:t>陆地石油和天然气开采：全部；</w:t>
                  </w:r>
                </w:p>
                <w:p w14:paraId="0FA21CC0">
                  <w:pPr>
                    <w:pStyle w:val="111"/>
                    <w:rPr>
                      <w:rFonts w:ascii="Times New Roman"/>
                    </w:rPr>
                  </w:pPr>
                  <w:r>
                    <w:t>地下水（含矿泉水）开采：全部；</w:t>
                  </w:r>
                </w:p>
                <w:p w14:paraId="5935AD18">
                  <w:pPr>
                    <w:pStyle w:val="111"/>
                    <w:rPr>
                      <w:highlight w:val="yellow"/>
                    </w:rPr>
                  </w:pPr>
                  <w:r>
                    <w:t>水利、水电、交通等：含穿越可溶岩地层隧道的项目</w:t>
                  </w:r>
                </w:p>
              </w:tc>
              <w:tc>
                <w:tcPr>
                  <w:tcW w:w="1673" w:type="dxa"/>
                  <w:vAlign w:val="center"/>
                </w:tcPr>
                <w:p w14:paraId="7B3E4629">
                  <w:pPr>
                    <w:pStyle w:val="150"/>
                    <w:autoSpaceDE w:val="0"/>
                    <w:autoSpaceDN w:val="0"/>
                    <w:spacing w:line="240" w:lineRule="auto"/>
                    <w:jc w:val="center"/>
                    <w:rPr>
                      <w:rFonts w:ascii="Times New Roman" w:hAnsi="Times New Roman" w:eastAsia="宋体" w:cs="Times New Roman"/>
                      <w:kern w:val="2"/>
                      <w:sz w:val="18"/>
                      <w:szCs w:val="18"/>
                      <w:lang w:eastAsia="zh-CN"/>
                    </w:rPr>
                  </w:pPr>
                  <w:bookmarkStart w:id="17" w:name="OLE_LINK8"/>
                  <w:r>
                    <w:rPr>
                      <w:rFonts w:hint="eastAsia" w:ascii="Times New Roman" w:hAnsi="Times New Roman" w:eastAsia="宋体" w:cs="Times New Roman"/>
                      <w:kern w:val="2"/>
                      <w:sz w:val="18"/>
                      <w:szCs w:val="18"/>
                      <w:lang w:eastAsia="zh-CN"/>
                    </w:rPr>
                    <w:t>本项目不涉及</w:t>
                  </w:r>
                  <w:bookmarkEnd w:id="17"/>
                </w:p>
              </w:tc>
            </w:tr>
            <w:tr w14:paraId="098CBB9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410" w:type="dxa"/>
                  <w:vAlign w:val="center"/>
                </w:tcPr>
                <w:p w14:paraId="3E69AB2C">
                  <w:pPr>
                    <w:spacing w:line="240" w:lineRule="auto"/>
                    <w:jc w:val="center"/>
                    <w:rPr>
                      <w:sz w:val="18"/>
                      <w:szCs w:val="18"/>
                    </w:rPr>
                  </w:pPr>
                  <w:r>
                    <w:rPr>
                      <w:rFonts w:hint="eastAsia"/>
                      <w:sz w:val="18"/>
                      <w:szCs w:val="18"/>
                    </w:rPr>
                    <w:t>生态</w:t>
                  </w:r>
                </w:p>
              </w:tc>
              <w:tc>
                <w:tcPr>
                  <w:tcW w:w="4535" w:type="dxa"/>
                  <w:tcBorders>
                    <w:top w:val="single" w:color="auto" w:sz="4" w:space="0"/>
                    <w:left w:val="single" w:color="auto" w:sz="8" w:space="0"/>
                    <w:bottom w:val="single" w:color="auto" w:sz="4" w:space="0"/>
                    <w:right w:val="single" w:color="auto" w:sz="8" w:space="0"/>
                  </w:tcBorders>
                  <w:vAlign w:val="center"/>
                </w:tcPr>
                <w:p w14:paraId="76D89E88">
                  <w:pPr>
                    <w:pStyle w:val="111"/>
                    <w:rPr>
                      <w:highlight w:val="yellow"/>
                    </w:rPr>
                  </w:pPr>
                  <w:r>
                    <w:t>涉及环境敏感区（不包括饮用水水源保护区，以居住、医疗卫生、文化教育、科研、行政办公为主要功能的区域，以及文物保护单位）的项目</w:t>
                  </w:r>
                </w:p>
              </w:tc>
              <w:tc>
                <w:tcPr>
                  <w:tcW w:w="1673" w:type="dxa"/>
                  <w:vAlign w:val="center"/>
                </w:tcPr>
                <w:p w14:paraId="6F46C8A8">
                  <w:pPr>
                    <w:pStyle w:val="150"/>
                    <w:autoSpaceDE w:val="0"/>
                    <w:autoSpaceDN w:val="0"/>
                    <w:spacing w:line="240" w:lineRule="auto"/>
                    <w:jc w:val="center"/>
                    <w:rPr>
                      <w:rFonts w:ascii="Times New Roman" w:hAnsi="Times New Roman" w:eastAsia="宋体" w:cs="Times New Roman"/>
                      <w:kern w:val="2"/>
                      <w:sz w:val="18"/>
                      <w:szCs w:val="18"/>
                      <w:highlight w:val="yellow"/>
                      <w:lang w:eastAsia="zh-CN"/>
                    </w:rPr>
                  </w:pPr>
                  <w:r>
                    <w:rPr>
                      <w:rFonts w:hint="eastAsia" w:ascii="Times New Roman" w:hAnsi="Times New Roman" w:eastAsia="宋体" w:cs="Times New Roman"/>
                      <w:kern w:val="2"/>
                      <w:sz w:val="18"/>
                      <w:szCs w:val="18"/>
                      <w:lang w:eastAsia="zh-CN"/>
                    </w:rPr>
                    <w:t>本项目不涉及</w:t>
                  </w:r>
                </w:p>
              </w:tc>
            </w:tr>
            <w:tr w14:paraId="1A20E2E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410" w:type="dxa"/>
                  <w:vAlign w:val="center"/>
                </w:tcPr>
                <w:p w14:paraId="77061CC5">
                  <w:pPr>
                    <w:spacing w:line="240" w:lineRule="auto"/>
                    <w:jc w:val="center"/>
                    <w:rPr>
                      <w:sz w:val="18"/>
                      <w:szCs w:val="18"/>
                    </w:rPr>
                  </w:pPr>
                  <w:r>
                    <w:rPr>
                      <w:rFonts w:hint="eastAsia"/>
                      <w:sz w:val="18"/>
                      <w:szCs w:val="18"/>
                    </w:rPr>
                    <w:t>大气</w:t>
                  </w:r>
                </w:p>
              </w:tc>
              <w:tc>
                <w:tcPr>
                  <w:tcW w:w="4535" w:type="dxa"/>
                  <w:tcBorders>
                    <w:top w:val="single" w:color="auto" w:sz="4" w:space="0"/>
                    <w:left w:val="single" w:color="auto" w:sz="8" w:space="0"/>
                    <w:bottom w:val="single" w:color="auto" w:sz="4" w:space="0"/>
                    <w:right w:val="single" w:color="auto" w:sz="8" w:space="0"/>
                  </w:tcBorders>
                  <w:vAlign w:val="center"/>
                </w:tcPr>
                <w:p w14:paraId="408AAE3F">
                  <w:pPr>
                    <w:pStyle w:val="111"/>
                    <w:rPr>
                      <w:rFonts w:ascii="Times New Roman"/>
                    </w:rPr>
                  </w:pPr>
                  <w:r>
                    <w:t>油气、液体化工码头：全部；</w:t>
                  </w:r>
                </w:p>
                <w:p w14:paraId="234B8A52">
                  <w:pPr>
                    <w:pStyle w:val="111"/>
                    <w:rPr>
                      <w:highlight w:val="yellow"/>
                    </w:rPr>
                  </w:pPr>
                  <w:r>
                    <w:t>干散货（含煤炭、矿石）、件杂、多用途、通用码头：涉及粉尘、挥发性有机物排放的项目</w:t>
                  </w:r>
                </w:p>
              </w:tc>
              <w:tc>
                <w:tcPr>
                  <w:tcW w:w="1673" w:type="dxa"/>
                  <w:vAlign w:val="center"/>
                </w:tcPr>
                <w:p w14:paraId="240620B1">
                  <w:pPr>
                    <w:pStyle w:val="150"/>
                    <w:autoSpaceDE w:val="0"/>
                    <w:autoSpaceDN w:val="0"/>
                    <w:spacing w:line="240" w:lineRule="auto"/>
                    <w:jc w:val="center"/>
                    <w:rPr>
                      <w:rFonts w:ascii="Times New Roman" w:hAnsi="Times New Roman" w:eastAsia="宋体" w:cs="Times New Roman"/>
                      <w:kern w:val="2"/>
                      <w:sz w:val="18"/>
                      <w:szCs w:val="18"/>
                      <w:highlight w:val="yellow"/>
                      <w:lang w:eastAsia="zh-CN"/>
                    </w:rPr>
                  </w:pPr>
                  <w:r>
                    <w:rPr>
                      <w:rFonts w:hint="eastAsia" w:ascii="Times New Roman" w:hAnsi="Times New Roman" w:eastAsia="宋体" w:cs="Times New Roman"/>
                      <w:kern w:val="2"/>
                      <w:sz w:val="18"/>
                      <w:szCs w:val="18"/>
                      <w:lang w:eastAsia="zh-CN"/>
                    </w:rPr>
                    <w:t>本项目不涉及</w:t>
                  </w:r>
                </w:p>
              </w:tc>
            </w:tr>
            <w:tr w14:paraId="28F802B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410" w:type="dxa"/>
                  <w:vAlign w:val="center"/>
                </w:tcPr>
                <w:p w14:paraId="7AAE292F">
                  <w:pPr>
                    <w:spacing w:line="240" w:lineRule="auto"/>
                    <w:jc w:val="center"/>
                    <w:rPr>
                      <w:sz w:val="18"/>
                      <w:szCs w:val="18"/>
                    </w:rPr>
                  </w:pPr>
                  <w:r>
                    <w:rPr>
                      <w:rFonts w:hint="eastAsia"/>
                      <w:sz w:val="18"/>
                      <w:szCs w:val="18"/>
                    </w:rPr>
                    <w:t>噪声</w:t>
                  </w:r>
                </w:p>
              </w:tc>
              <w:tc>
                <w:tcPr>
                  <w:tcW w:w="4535" w:type="dxa"/>
                  <w:tcBorders>
                    <w:top w:val="single" w:color="auto" w:sz="4" w:space="0"/>
                    <w:left w:val="single" w:color="auto" w:sz="8" w:space="0"/>
                    <w:bottom w:val="single" w:color="auto" w:sz="4" w:space="0"/>
                    <w:right w:val="single" w:color="auto" w:sz="8" w:space="0"/>
                  </w:tcBorders>
                  <w:vAlign w:val="center"/>
                </w:tcPr>
                <w:p w14:paraId="066EEBC9">
                  <w:pPr>
                    <w:pStyle w:val="111"/>
                    <w:rPr>
                      <w:rFonts w:ascii="Times New Roman"/>
                    </w:rPr>
                  </w:pPr>
                  <w:r>
                    <w:t>公路、铁路、机场等交通运输业涉及环境敏感区（以居住、医疗卫生、文化教育、科研、行政办公为主要功能的区域）的项目；</w:t>
                  </w:r>
                </w:p>
                <w:p w14:paraId="68582D4C">
                  <w:pPr>
                    <w:pStyle w:val="111"/>
                    <w:rPr>
                      <w:highlight w:val="yellow"/>
                    </w:rPr>
                  </w:pPr>
                  <w:r>
                    <w:t>城市道路（不含维护，不含支路、人行天桥、人行地道）：全部</w:t>
                  </w:r>
                </w:p>
              </w:tc>
              <w:tc>
                <w:tcPr>
                  <w:tcW w:w="1673" w:type="dxa"/>
                  <w:vAlign w:val="center"/>
                </w:tcPr>
                <w:p w14:paraId="19CEAE0E">
                  <w:pPr>
                    <w:pStyle w:val="111"/>
                    <w:jc w:val="center"/>
                    <w:rPr>
                      <w:highlight w:val="yellow"/>
                    </w:rPr>
                  </w:pPr>
                  <w:r>
                    <w:t>本项目</w:t>
                  </w:r>
                  <w:r>
                    <w:rPr>
                      <w:rFonts w:hint="eastAsia"/>
                    </w:rPr>
                    <w:t>属于城市</w:t>
                  </w:r>
                  <w:r>
                    <w:t>次</w:t>
                  </w:r>
                  <w:r>
                    <w:rPr>
                      <w:rFonts w:hint="eastAsia"/>
                    </w:rPr>
                    <w:t>干路</w:t>
                  </w:r>
                  <w:r>
                    <w:t>，因此设置噪声专项</w:t>
                  </w:r>
                </w:p>
              </w:tc>
            </w:tr>
            <w:tr w14:paraId="3919C89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1410" w:type="dxa"/>
                  <w:tcBorders>
                    <w:bottom w:val="single" w:color="auto" w:sz="12" w:space="0"/>
                  </w:tcBorders>
                  <w:vAlign w:val="center"/>
                </w:tcPr>
                <w:p w14:paraId="4D8CDFBA">
                  <w:pPr>
                    <w:spacing w:line="240" w:lineRule="auto"/>
                    <w:jc w:val="center"/>
                    <w:rPr>
                      <w:sz w:val="18"/>
                      <w:szCs w:val="18"/>
                    </w:rPr>
                  </w:pPr>
                  <w:r>
                    <w:rPr>
                      <w:rFonts w:hint="eastAsia"/>
                      <w:sz w:val="18"/>
                      <w:szCs w:val="18"/>
                    </w:rPr>
                    <w:t>环境风险</w:t>
                  </w:r>
                </w:p>
              </w:tc>
              <w:tc>
                <w:tcPr>
                  <w:tcW w:w="4535" w:type="dxa"/>
                  <w:tcBorders>
                    <w:top w:val="single" w:color="auto" w:sz="4" w:space="0"/>
                    <w:left w:val="single" w:color="auto" w:sz="8" w:space="0"/>
                    <w:bottom w:val="single" w:color="auto" w:sz="12" w:space="0"/>
                    <w:right w:val="single" w:color="auto" w:sz="8" w:space="0"/>
                  </w:tcBorders>
                  <w:vAlign w:val="center"/>
                </w:tcPr>
                <w:p w14:paraId="306FB3B8">
                  <w:pPr>
                    <w:pStyle w:val="111"/>
                    <w:rPr>
                      <w:rFonts w:ascii="Times New Roman"/>
                    </w:rPr>
                  </w:pPr>
                  <w:r>
                    <w:t>石油和天然气开采：全部；</w:t>
                  </w:r>
                </w:p>
                <w:p w14:paraId="484E68D1">
                  <w:pPr>
                    <w:pStyle w:val="111"/>
                    <w:rPr>
                      <w:rFonts w:ascii="Times New Roman"/>
                    </w:rPr>
                  </w:pPr>
                  <w:r>
                    <w:t>油气、液体化工码头：全部；</w:t>
                  </w:r>
                </w:p>
                <w:p w14:paraId="03180501">
                  <w:pPr>
                    <w:pStyle w:val="111"/>
                  </w:pPr>
                  <w:r>
                    <w:t>原油、成品油、天然气管线（不含城镇天然气管线、企业厂区内管线），危险化学品输送管线（不含企业厂区内管线）：全部</w:t>
                  </w:r>
                </w:p>
              </w:tc>
              <w:tc>
                <w:tcPr>
                  <w:tcW w:w="1673" w:type="dxa"/>
                  <w:tcBorders>
                    <w:bottom w:val="single" w:color="auto" w:sz="12" w:space="0"/>
                  </w:tcBorders>
                  <w:vAlign w:val="center"/>
                </w:tcPr>
                <w:p w14:paraId="4B849A21">
                  <w:pPr>
                    <w:pStyle w:val="150"/>
                    <w:autoSpaceDE w:val="0"/>
                    <w:autoSpaceDN w:val="0"/>
                    <w:spacing w:line="240" w:lineRule="auto"/>
                    <w:jc w:val="center"/>
                    <w:rPr>
                      <w:rFonts w:ascii="Times New Roman" w:hAnsi="Times New Roman" w:eastAsia="宋体" w:cs="Times New Roman"/>
                      <w:kern w:val="2"/>
                      <w:sz w:val="18"/>
                      <w:szCs w:val="18"/>
                      <w:lang w:eastAsia="zh-CN"/>
                    </w:rPr>
                  </w:pPr>
                  <w:r>
                    <w:rPr>
                      <w:rFonts w:hint="eastAsia" w:ascii="Times New Roman" w:hAnsi="Times New Roman" w:eastAsia="宋体" w:cs="Times New Roman"/>
                      <w:kern w:val="2"/>
                      <w:sz w:val="18"/>
                      <w:szCs w:val="18"/>
                      <w:lang w:eastAsia="zh-CN"/>
                    </w:rPr>
                    <w:t>本项目不涉及</w:t>
                  </w:r>
                </w:p>
              </w:tc>
            </w:tr>
            <w:bookmarkEnd w:id="16"/>
          </w:tbl>
          <w:p w14:paraId="2D324412">
            <w:pPr>
              <w:autoSpaceDE w:val="0"/>
              <w:autoSpaceDN w:val="0"/>
              <w:ind w:firstLine="420" w:firstLineChars="200"/>
              <w:jc w:val="left"/>
              <w:rPr>
                <w:kern w:val="0"/>
                <w:szCs w:val="21"/>
                <w:highlight w:val="yellow"/>
              </w:rPr>
            </w:pPr>
            <w:r>
              <w:rPr>
                <w:bCs/>
                <w:kern w:val="0"/>
                <w:szCs w:val="21"/>
              </w:rPr>
              <w:t>综上，项目</w:t>
            </w:r>
            <w:r>
              <w:rPr>
                <w:rFonts w:hint="eastAsia"/>
                <w:bCs/>
                <w:kern w:val="0"/>
                <w:szCs w:val="21"/>
              </w:rPr>
              <w:t>设置噪声专项评价</w:t>
            </w:r>
            <w:r>
              <w:rPr>
                <w:bCs/>
                <w:kern w:val="0"/>
                <w:szCs w:val="21"/>
              </w:rPr>
              <w:t>。</w:t>
            </w:r>
          </w:p>
        </w:tc>
      </w:tr>
      <w:tr w14:paraId="01CF69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567" w:type="pct"/>
            <w:vAlign w:val="center"/>
          </w:tcPr>
          <w:p w14:paraId="0F15AA60">
            <w:pPr>
              <w:autoSpaceDE w:val="0"/>
              <w:autoSpaceDN w:val="0"/>
              <w:jc w:val="center"/>
              <w:rPr>
                <w:kern w:val="0"/>
                <w:szCs w:val="21"/>
                <w:highlight w:val="yellow"/>
              </w:rPr>
            </w:pPr>
            <w:r>
              <w:rPr>
                <w:szCs w:val="21"/>
              </w:rPr>
              <w:t>规划情况</w:t>
            </w:r>
          </w:p>
        </w:tc>
        <w:tc>
          <w:tcPr>
            <w:tcW w:w="4433" w:type="pct"/>
            <w:gridSpan w:val="3"/>
            <w:vAlign w:val="center"/>
          </w:tcPr>
          <w:p w14:paraId="4D35E83C">
            <w:pPr>
              <w:rPr>
                <w:kern w:val="0"/>
                <w:szCs w:val="21"/>
              </w:rPr>
            </w:pPr>
            <w:r>
              <w:rPr>
                <w:rFonts w:hint="eastAsia"/>
                <w:b/>
                <w:bCs/>
              </w:rPr>
              <w:t>1、</w:t>
            </w:r>
            <w:r>
              <w:rPr>
                <w:rFonts w:hint="eastAsia"/>
                <w:b/>
                <w:bCs/>
                <w:kern w:val="0"/>
                <w:szCs w:val="21"/>
              </w:rPr>
              <w:t>规划名称</w:t>
            </w:r>
            <w:r>
              <w:rPr>
                <w:rFonts w:hint="eastAsia"/>
                <w:kern w:val="0"/>
                <w:szCs w:val="21"/>
              </w:rPr>
              <w:t>：《杭州大江东产业集聚区（大江东新区）分区规划（2015-2030年）》</w:t>
            </w:r>
          </w:p>
          <w:p w14:paraId="281B2AF4">
            <w:r>
              <w:rPr>
                <w:b/>
                <w:bCs/>
              </w:rPr>
              <w:t>审批机关</w:t>
            </w:r>
            <w:r>
              <w:t>：</w:t>
            </w:r>
            <w:r>
              <w:rPr>
                <w:rFonts w:hint="eastAsia"/>
              </w:rPr>
              <w:t>杭州大江东产业集聚区管理委员会</w:t>
            </w:r>
          </w:p>
          <w:p w14:paraId="354B8E5C">
            <w:r>
              <w:rPr>
                <w:b/>
                <w:bCs/>
              </w:rPr>
              <w:t>审批文件名称及文号</w:t>
            </w:r>
            <w:r>
              <w:t>：</w:t>
            </w:r>
            <w:r>
              <w:rPr>
                <w:rFonts w:hint="eastAsia"/>
              </w:rPr>
              <w:t xml:space="preserve"> 《浙江省生态环境厅关于杭州大江东产业集聚区(大江东新区)分区规划的环保意见》（浙环函[2018]533号）；</w:t>
            </w:r>
          </w:p>
          <w:p w14:paraId="14F1AB6C">
            <w:r>
              <w:rPr>
                <w:rFonts w:hint="eastAsia"/>
                <w:b/>
                <w:bCs/>
              </w:rPr>
              <w:t>2、规划名称</w:t>
            </w:r>
            <w:r>
              <w:rPr>
                <w:rFonts w:hint="eastAsia"/>
              </w:rPr>
              <w:t>：</w:t>
            </w:r>
            <w:r>
              <w:t>江海之城单元详细规划</w:t>
            </w:r>
          </w:p>
          <w:p w14:paraId="7321D081">
            <w:r>
              <w:rPr>
                <w:rFonts w:hint="eastAsia"/>
                <w:b/>
                <w:bCs/>
              </w:rPr>
              <w:t>审批机关</w:t>
            </w:r>
            <w:r>
              <w:rPr>
                <w:rFonts w:hint="eastAsia"/>
              </w:rPr>
              <w:t>：杭州市人民政府</w:t>
            </w:r>
          </w:p>
          <w:p w14:paraId="4B49D45F">
            <w:r>
              <w:rPr>
                <w:rFonts w:hint="eastAsia"/>
                <w:b/>
                <w:bCs/>
              </w:rPr>
              <w:t>审批文件名称及文号</w:t>
            </w:r>
            <w:r>
              <w:rPr>
                <w:rFonts w:hint="eastAsia"/>
              </w:rPr>
              <w:t>：</w:t>
            </w:r>
            <w:r>
              <w:t>杭州市人民政府关于杭州市钱塘区白杨单元（QT03）等5个单元详细规划的批复</w:t>
            </w:r>
            <w:r>
              <w:rPr>
                <w:rFonts w:hint="eastAsia"/>
              </w:rPr>
              <w:t>（</w:t>
            </w:r>
            <w:r>
              <w:t>杭政函〔2024〕51号</w:t>
            </w:r>
            <w:r>
              <w:rPr>
                <w:rFonts w:hint="eastAsia"/>
              </w:rPr>
              <w:t>），2024年6月26日；</w:t>
            </w:r>
          </w:p>
          <w:p w14:paraId="2EA13059">
            <w:r>
              <w:rPr>
                <w:rFonts w:hint="eastAsia"/>
                <w:b/>
                <w:bCs/>
              </w:rPr>
              <w:t>3、规划名称</w:t>
            </w:r>
            <w:r>
              <w:rPr>
                <w:rFonts w:hint="eastAsia"/>
              </w:rPr>
              <w:t>：《杭州市综合交通发展“十四五”规划》</w:t>
            </w:r>
          </w:p>
          <w:p w14:paraId="78C88066">
            <w:r>
              <w:rPr>
                <w:rFonts w:hint="eastAsia"/>
                <w:b/>
                <w:bCs/>
              </w:rPr>
              <w:t>审批机关</w:t>
            </w:r>
            <w:r>
              <w:rPr>
                <w:rFonts w:hint="eastAsia"/>
              </w:rPr>
              <w:t>：杭州市人民政府</w:t>
            </w:r>
          </w:p>
          <w:p w14:paraId="3EF2C07E">
            <w:r>
              <w:rPr>
                <w:rFonts w:hint="eastAsia"/>
                <w:b/>
                <w:bCs/>
              </w:rPr>
              <w:t>审批文件名称及文号</w:t>
            </w:r>
            <w:r>
              <w:rPr>
                <w:rFonts w:hint="eastAsia"/>
              </w:rPr>
              <w:t>：《杭州市人民政府办公厅关于印发杭州市综合交通发展“十四五”规划的通知》（杭政办函[2021]63号）</w:t>
            </w:r>
          </w:p>
        </w:tc>
      </w:tr>
      <w:tr w14:paraId="6A51E5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567" w:type="pct"/>
            <w:vAlign w:val="center"/>
          </w:tcPr>
          <w:p w14:paraId="0D1FA63B">
            <w:pPr>
              <w:spacing w:line="240" w:lineRule="auto"/>
              <w:jc w:val="center"/>
              <w:rPr>
                <w:kern w:val="0"/>
                <w:szCs w:val="21"/>
                <w:highlight w:val="yellow"/>
              </w:rPr>
            </w:pPr>
            <w:r>
              <w:rPr>
                <w:szCs w:val="21"/>
              </w:rPr>
              <w:t>规划环境影响评价情况</w:t>
            </w:r>
          </w:p>
        </w:tc>
        <w:tc>
          <w:tcPr>
            <w:tcW w:w="4433" w:type="pct"/>
            <w:gridSpan w:val="3"/>
            <w:vAlign w:val="center"/>
          </w:tcPr>
          <w:p w14:paraId="1238E5F4">
            <w:r>
              <w:rPr>
                <w:rFonts w:hint="eastAsia"/>
                <w:b/>
                <w:bCs/>
              </w:rPr>
              <w:t>1、规划环境影响评价文件名称</w:t>
            </w:r>
            <w:r>
              <w:rPr>
                <w:rFonts w:hint="eastAsia"/>
              </w:rPr>
              <w:t>：《杭州大江东产业集聚区（大江东新区）分区规划环境影响报告书》</w:t>
            </w:r>
          </w:p>
          <w:p w14:paraId="2BDA74CF">
            <w:r>
              <w:rPr>
                <w:rFonts w:hint="eastAsia"/>
                <w:b/>
                <w:bCs/>
              </w:rPr>
              <w:t>召集审查机关</w:t>
            </w:r>
            <w:r>
              <w:rPr>
                <w:rFonts w:hint="eastAsia"/>
              </w:rPr>
              <w:t>：浙江省生态环境厅</w:t>
            </w:r>
          </w:p>
          <w:p w14:paraId="76BFF61C">
            <w:r>
              <w:rPr>
                <w:rFonts w:hint="eastAsia"/>
                <w:b/>
                <w:bCs/>
              </w:rPr>
              <w:t>审查文件名称及文号</w:t>
            </w:r>
            <w:r>
              <w:rPr>
                <w:rFonts w:hint="eastAsia"/>
              </w:rPr>
              <w:t>：《杭州大江东产业集聚区（大江东新区）分区规划环境影响报告书》（浙环函[2018]533号）</w:t>
            </w:r>
          </w:p>
          <w:p w14:paraId="3D518E9D">
            <w:r>
              <w:rPr>
                <w:rFonts w:hint="eastAsia"/>
                <w:b/>
                <w:bCs/>
              </w:rPr>
              <w:t>2.</w:t>
            </w:r>
            <w:r>
              <w:rPr>
                <w:b/>
                <w:bCs/>
              </w:rPr>
              <w:t xml:space="preserve"> </w:t>
            </w:r>
            <w:r>
              <w:rPr>
                <w:rFonts w:hint="eastAsia"/>
                <w:b/>
                <w:bCs/>
              </w:rPr>
              <w:t>规划环境影响评价文件名称</w:t>
            </w:r>
            <w:r>
              <w:rPr>
                <w:rFonts w:hint="eastAsia"/>
              </w:rPr>
              <w:t>：《杭州市综合交通发展“十四五”规划环境影响报告书》</w:t>
            </w:r>
          </w:p>
          <w:p w14:paraId="7CD8F79F">
            <w:r>
              <w:rPr>
                <w:rFonts w:hint="eastAsia"/>
                <w:b/>
                <w:bCs/>
              </w:rPr>
              <w:t>召集审查机关</w:t>
            </w:r>
            <w:r>
              <w:rPr>
                <w:rFonts w:hint="eastAsia"/>
              </w:rPr>
              <w:t>：杭州市生态环境局</w:t>
            </w:r>
          </w:p>
          <w:p w14:paraId="2AA07FC1">
            <w:pPr>
              <w:rPr>
                <w:highlight w:val="yellow"/>
              </w:rPr>
            </w:pPr>
            <w:r>
              <w:rPr>
                <w:rFonts w:hint="eastAsia"/>
                <w:b/>
                <w:bCs/>
              </w:rPr>
              <w:t>审查文件名称及文号</w:t>
            </w:r>
            <w:r>
              <w:rPr>
                <w:rFonts w:hint="eastAsia"/>
              </w:rPr>
              <w:t>：《杭州市综合交通发展“十四五”规划环境影响报告书的审查意见》（杭环便函[2024]220号）</w:t>
            </w:r>
          </w:p>
        </w:tc>
      </w:tr>
      <w:tr w14:paraId="31F75A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567" w:type="pct"/>
            <w:vAlign w:val="center"/>
          </w:tcPr>
          <w:p w14:paraId="62E43000">
            <w:pPr>
              <w:autoSpaceDE w:val="0"/>
              <w:autoSpaceDN w:val="0"/>
              <w:jc w:val="center"/>
              <w:rPr>
                <w:kern w:val="0"/>
                <w:szCs w:val="21"/>
                <w:highlight w:val="yellow"/>
              </w:rPr>
            </w:pPr>
            <w:r>
              <w:rPr>
                <w:kern w:val="0"/>
                <w:szCs w:val="21"/>
              </w:rPr>
              <w:t>规划及规划环境影响评价符合性分析</w:t>
            </w:r>
          </w:p>
        </w:tc>
        <w:tc>
          <w:tcPr>
            <w:tcW w:w="4433" w:type="pct"/>
            <w:gridSpan w:val="3"/>
            <w:vAlign w:val="center"/>
          </w:tcPr>
          <w:p w14:paraId="67126543">
            <w:pPr>
              <w:pStyle w:val="3"/>
              <w:ind w:left="422" w:hanging="422" w:hangingChars="200"/>
            </w:pPr>
            <w:r>
              <w:rPr>
                <w:rFonts w:hint="eastAsia"/>
              </w:rPr>
              <w:t>规划</w:t>
            </w:r>
            <w:r>
              <w:t>符合性分析</w:t>
            </w:r>
          </w:p>
          <w:p w14:paraId="47C39F72">
            <w:r>
              <w:rPr>
                <w:rFonts w:hint="eastAsia"/>
              </w:rPr>
              <w:t>1.</w:t>
            </w:r>
            <w:r>
              <w:rPr>
                <w:rFonts w:hint="eastAsia"/>
                <w:b/>
                <w:bCs/>
              </w:rPr>
              <w:t>《杭州大江东产业集聚区（大江东新区）分区规划（2015-2030年）》</w:t>
            </w:r>
          </w:p>
          <w:p w14:paraId="36C8A5AB">
            <w:pPr>
              <w:ind w:firstLine="420" w:firstLineChars="200"/>
            </w:pPr>
            <w:r>
              <w:rPr>
                <w:rFonts w:hint="eastAsia"/>
              </w:rPr>
              <w:t>杭州大江东产业集聚区（大江东新区）分区规划范围：东、西、北均以钱塘江界线为界，南至红十五线、十二棣横河及绍兴县接壤的北侧河道，西南至杭州江东工业园区与杭州空港经济开发区的边界线。规划总面积427平方千米，其中陆域面积348平方千米，钱塘江水域面积79平方千米。地域范围覆盖河庄、义蓬、新湾、临江、前进5个街道的行政管辖区域及党湾镇部分用地。建设国家级新区，打造“智慧大江东、魅力生态城”。近期重点建设以智慧和人才为导向的产业平台，侧重吸引人口集聚，逐步强化制造业功能，并结合智慧产业及生态特色带动区内公共服务配套完善。远期逐步成为产城融合、生态和谐、创新高效、服务完善的国际一流的智慧新区和魅力彰显的生态新区。</w:t>
            </w:r>
          </w:p>
          <w:p w14:paraId="4A884F03">
            <w:pPr>
              <w:ind w:firstLine="422" w:firstLineChars="200"/>
            </w:pPr>
            <w:r>
              <w:rPr>
                <w:rFonts w:hint="eastAsia"/>
                <w:b/>
                <w:bCs/>
              </w:rPr>
              <w:t>规划符合性：</w:t>
            </w:r>
            <w:r>
              <w:rPr>
                <w:rFonts w:hint="eastAsia"/>
              </w:rPr>
              <w:t>本项目建设地位于钱塘区河庄街道青西三路东侧，北起江东大道，南至河景路，本工程实施可完善区域路网结构，完善市政基础设施建设，因此工程符合《</w:t>
            </w:r>
            <w:bookmarkStart w:id="18" w:name="OLE_LINK7"/>
            <w:r>
              <w:rPr>
                <w:rFonts w:hint="eastAsia"/>
              </w:rPr>
              <w:t>杭州大江东产业集聚区（大江东新区）分区规划（2015-2030年）</w:t>
            </w:r>
            <w:bookmarkEnd w:id="18"/>
            <w:r>
              <w:rPr>
                <w:rFonts w:hint="eastAsia"/>
              </w:rPr>
              <w:t>》。</w:t>
            </w:r>
          </w:p>
          <w:p w14:paraId="5B85E684">
            <w:pPr>
              <w:rPr>
                <w:b/>
                <w:bCs/>
              </w:rPr>
            </w:pPr>
            <w:r>
              <w:rPr>
                <w:rFonts w:hint="eastAsia"/>
                <w:b/>
                <w:bCs/>
              </w:rPr>
              <w:t>2.《</w:t>
            </w:r>
            <w:r>
              <w:rPr>
                <w:b/>
                <w:bCs/>
              </w:rPr>
              <w:t>江海之城单元详细规划</w:t>
            </w:r>
            <w:r>
              <w:rPr>
                <w:rFonts w:hint="eastAsia"/>
                <w:b/>
                <w:bCs/>
              </w:rPr>
              <w:t>》</w:t>
            </w:r>
          </w:p>
          <w:p w14:paraId="2207FDC5">
            <w:pPr>
              <w:ind w:firstLine="420" w:firstLineChars="200"/>
            </w:pPr>
            <w:r>
              <w:rPr>
                <w:rFonts w:hint="eastAsia"/>
              </w:rPr>
              <w:t>江海之城单元位于杭州市钱塘区江东片区，东临高铁新城，北至江东一路、南至钱塘快速路、西至河庄大道、东至头蓬快速路。规划目标一是构建杭州湾区域门户枢纽，双扇面协同创新支点。强化环湾公铁交通，推动江海之城从市域末端升级为湾区门户，吸纳区域创新要素与人才，打造湾区的协同创新支点与交流客厅。二是以江海之城为极核整合杭东区域，对接智造园区提供生产科技服务，联动交通枢纽发展空铁服务经济，协同下沙科创资源。三是打造东部磁力中心，塑造江东核心引擎。优化钱塘一带双城的整体格局，依托轨交建立8号线与江东大道结合的“组合发展脊廊”，连江通海，聚合引人要素打造磁力中心，构建钱塘综合客厅与江东核心引擎。</w:t>
            </w:r>
          </w:p>
          <w:p w14:paraId="7FCDE04A">
            <w:pPr>
              <w:ind w:firstLine="420" w:firstLineChars="200"/>
            </w:pPr>
            <w:r>
              <w:rPr>
                <w:rFonts w:hint="eastAsia"/>
              </w:rPr>
              <w:t>规划形成“轴带串珠、八组环绕、蓝绿网络”的整体空间结构。轴带：横向“TOD+公园城市”复合发展带、纵向青六路发展轴。串珠：4组TOD集群，青六中路站公共服务与商务总部集群、青西三路站创新创业服务集群、仓北村站智造科技服务集群、河庄站生活配套服务集群。八组：8个未来社区生活圈。蓝绿网络：横纵编织水网（纵向防洪排涝、横向连通，编织成网）打造南沙大堤田园人文带、东沙潮涌。生态活力廊、都市田园景观脉、韧性水系海绵网络。</w:t>
            </w:r>
          </w:p>
          <w:p w14:paraId="20C13C76">
            <w:pPr>
              <w:ind w:firstLine="420" w:firstLineChars="200"/>
            </w:pPr>
            <w:r>
              <w:rPr>
                <w:rFonts w:hint="eastAsia"/>
              </w:rPr>
              <w:t>交通规划充分研究现状，结合用地布局和功能区的划分，对上位规划路网体系进行必要的调整，形成适合于用地需求的路网系统。江海之城单元内车行道路分快速路、主干路、次干路、支路四级。快速路：承担通过性交通流，解决单元内外以及跨组团间的快速交通联系。单元内规划“两横一纵”快速路通道，“两横”为江东大道、钱塘快速路，“一纵”为头蓬快速路。主干路：单元内规划形成“三横三纵”主干路网，“三横”为江东一路、河景路、青龙路，“三纵”为河庄路、靖江路、青六路。次干路：进一步分流、联系城区内各片区的交通，提升路网可达水平，单元内规划形成“六横九纵”次干路网。支路：城市道路的毛细血管，具有广渗透、密分布、高可达等特点，生活性特征明显，规划中充分考虑地块的合理布置利用及地籍权属关系，合理增加支路网密度。</w:t>
            </w:r>
          </w:p>
          <w:p w14:paraId="7571C20C">
            <w:pPr>
              <w:ind w:firstLine="422" w:firstLineChars="200"/>
            </w:pPr>
            <w:r>
              <w:rPr>
                <w:rFonts w:hint="eastAsia"/>
                <w:b/>
                <w:bCs/>
              </w:rPr>
              <w:t>规划符合性：</w:t>
            </w:r>
            <w:r>
              <w:rPr>
                <w:rFonts w:hint="eastAsia"/>
              </w:rPr>
              <w:t>本项目属于江海之城</w:t>
            </w:r>
            <w:r>
              <w:t>单元“六横九纵”次干路网的重要组成部分</w:t>
            </w:r>
            <w:r>
              <w:rPr>
                <w:rFonts w:hint="eastAsia"/>
              </w:rPr>
              <w:t>，为城市次干道，</w:t>
            </w:r>
            <w:r>
              <w:t>其实施有助于完善区域路网体系，提升交通可达性，支撑江海之城打造“钱塘活力新中心、江海魅力公园城”的总体定位</w:t>
            </w:r>
            <w:r>
              <w:rPr>
                <w:rFonts w:hint="eastAsia"/>
              </w:rPr>
              <w:t>。</w:t>
            </w:r>
          </w:p>
          <w:p w14:paraId="3F8CDF69">
            <w:pPr>
              <w:keepNext/>
            </w:pPr>
            <w:r>
              <w:drawing>
                <wp:inline distT="0" distB="0" distL="0" distR="0">
                  <wp:extent cx="4856480" cy="3267075"/>
                  <wp:effectExtent l="0" t="0" r="1270" b="9525"/>
                  <wp:docPr id="16450325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32559" name="图片 1"/>
                          <pic:cNvPicPr>
                            <a:picLocks noChangeAspect="1"/>
                          </pic:cNvPicPr>
                        </pic:nvPicPr>
                        <pic:blipFill>
                          <a:blip r:embed="rId12"/>
                          <a:stretch>
                            <a:fillRect/>
                          </a:stretch>
                        </pic:blipFill>
                        <pic:spPr>
                          <a:xfrm>
                            <a:off x="0" y="0"/>
                            <a:ext cx="4856681" cy="3267210"/>
                          </a:xfrm>
                          <a:prstGeom prst="rect">
                            <a:avLst/>
                          </a:prstGeom>
                        </pic:spPr>
                      </pic:pic>
                    </a:graphicData>
                  </a:graphic>
                </wp:inline>
              </w:drawing>
            </w:r>
          </w:p>
          <w:p w14:paraId="39B1EB60">
            <w:pPr>
              <w:pStyle w:val="9"/>
              <w:spacing w:before="120"/>
            </w:pPr>
            <w:r>
              <w:t xml:space="preserve">图 </w:t>
            </w:r>
            <w:r>
              <w:fldChar w:fldCharType="begin"/>
            </w:r>
            <w:r>
              <w:instrText xml:space="preserve"> STYLEREF 1 \s </w:instrText>
            </w:r>
            <w:r>
              <w:fldChar w:fldCharType="separate"/>
            </w:r>
            <w:r>
              <w:t>1</w:t>
            </w:r>
            <w:r>
              <w:fldChar w:fldCharType="end"/>
            </w:r>
            <w:r>
              <w:noBreakHyphen/>
            </w:r>
            <w:r>
              <w:fldChar w:fldCharType="begin"/>
            </w:r>
            <w:r>
              <w:instrText xml:space="preserve"> SEQ 图 \* ARABIC \s 1 </w:instrText>
            </w:r>
            <w:r>
              <w:fldChar w:fldCharType="separate"/>
            </w:r>
            <w:r>
              <w:t>1</w:t>
            </w:r>
            <w:r>
              <w:fldChar w:fldCharType="end"/>
            </w:r>
            <w:r>
              <w:t>江海之城单元详规交通规划图</w:t>
            </w:r>
          </w:p>
          <w:p w14:paraId="6A4C0146">
            <w:pPr>
              <w:rPr>
                <w:b/>
                <w:bCs/>
              </w:rPr>
            </w:pPr>
            <w:r>
              <w:rPr>
                <w:rFonts w:hint="eastAsia"/>
                <w:b/>
                <w:bCs/>
              </w:rPr>
              <w:t>3.《杭州市综合交通发展“十四五”规划》</w:t>
            </w:r>
          </w:p>
          <w:p w14:paraId="00D9DCCF">
            <w:pPr>
              <w:ind w:firstLine="420" w:firstLineChars="200"/>
            </w:pPr>
            <w:r>
              <w:rPr>
                <w:rFonts w:hint="eastAsia"/>
              </w:rPr>
              <w:t>《杭州市综合交通发展“十四五”规划》已于2021年12月11日通过杭州市人民政府批复，根据《杭州市综合交通发展“十四五”规划》相关内容：十四五期间，构建高效通达的城市道路网。加快推进完善城市快速路、主次干路，强化快速路外围过境、分流功能，剥离穿心交通，织密而成层次分明、与主城融合的路网体系。围绕杭州市“一核九星、双网融合、三江绿楔”的特大城市新型空间格局，基本形成各区域之间及区域内部主、次干路网骨架，并同步匹配支路网系统。</w:t>
            </w:r>
          </w:p>
          <w:p w14:paraId="40F8A6C6">
            <w:pPr>
              <w:ind w:firstLine="422" w:firstLineChars="200"/>
              <w:rPr>
                <w:highlight w:val="yellow"/>
              </w:rPr>
            </w:pPr>
            <w:r>
              <w:rPr>
                <w:rFonts w:hint="eastAsia"/>
                <w:b/>
                <w:bCs/>
              </w:rPr>
              <w:t>规划符合性：</w:t>
            </w:r>
            <w:r>
              <w:rPr>
                <w:rFonts w:hint="eastAsia"/>
              </w:rPr>
              <w:t>本工程为青西二路（江东大道-河景路）道路工程，是杭州市钱塘区江海之城详细规划中重要的配套基础设施，项目完善了区域路网，缓解了区域交通压力，营造便捷交通的城市交通系统。满足周边规划地块的发展需要以及周边居住人群的使用需求。本项目的建成，对于杭州实现“国际性综合交通枢纽”总目标，加快推进完善城市快速路、主干次路，全面建设综合立体交通网络体系、促进内外双循环的现代化运输服务体系具有重要意义。</w:t>
            </w:r>
          </w:p>
          <w:p w14:paraId="1E22CEE7">
            <w:pPr>
              <w:pStyle w:val="3"/>
            </w:pPr>
            <w:r>
              <w:rPr>
                <w:rFonts w:hint="eastAsia"/>
              </w:rPr>
              <w:t>规划环评符合性分析</w:t>
            </w:r>
          </w:p>
          <w:p w14:paraId="3868321C">
            <w:pPr>
              <w:pStyle w:val="4"/>
            </w:pPr>
            <w:r>
              <w:t>《杭州大江东产业集聚区（大江东新区）分区规划环境影响报告书》符合性分析</w:t>
            </w:r>
          </w:p>
          <w:p w14:paraId="10572CDF">
            <w:pPr>
              <w:ind w:firstLine="420" w:firstLineChars="200"/>
            </w:pPr>
            <w:r>
              <w:rPr>
                <w:rFonts w:hint="eastAsia"/>
              </w:rPr>
              <w:t>《杭州大江东产业集聚区（大江东新区）分区规划环境影响报告书》于2018年3月21~22日通过浙江省生态环境厅审查，并于2018年12月25日取得环保意见（浙环函[2018]533号）。2021年5月杭州市生态环境局钱塘分局组织课题组对杭州大江东产业集聚区（大江东新区）分区规划环境影响报告书“六张清单”进行了调整，并形成了《杭州大江东产业集聚区（大江东新区）分区规划环境影响报告书结论清单调整报告》。</w:t>
            </w:r>
            <w:commentRangeStart w:id="11"/>
            <w:commentRangeStart w:id="12"/>
            <w:r>
              <w:rPr>
                <w:rFonts w:hint="eastAsia"/>
              </w:rPr>
              <w:t>根据备案文件，调整报告主要为衔接“三线一单”生态环境分区管控方案，不涉及杭州大江东产业集聚区（大江东新区）分区规划的调整，不涉及原杭州市大江东产业集聚区规划方案、产业 定位、范围、布局、结构、规模的调整</w:t>
            </w:r>
            <w:commentRangeEnd w:id="11"/>
            <w:r>
              <w:rPr>
                <w:rStyle w:val="38"/>
                <w:rFonts w:hint="eastAsia"/>
              </w:rPr>
              <w:commentReference w:id="11"/>
            </w:r>
            <w:commentRangeEnd w:id="12"/>
            <w:r>
              <w:rPr>
                <w:rStyle w:val="38"/>
                <w:rFonts w:hint="eastAsia"/>
              </w:rPr>
              <w:commentReference w:id="12"/>
            </w:r>
            <w:r>
              <w:rPr>
                <w:rFonts w:hint="eastAsia"/>
              </w:rPr>
              <w:t>。</w:t>
            </w:r>
          </w:p>
          <w:p w14:paraId="7B613289">
            <w:pPr>
              <w:ind w:firstLine="420" w:firstLineChars="200"/>
            </w:pPr>
            <w:r>
              <w:rPr>
                <w:rFonts w:hint="eastAsia"/>
              </w:rPr>
              <w:t>本次评价对照《杭州大江东产业集聚区（大江东新区）分区规划环境影响报告书结论清单调整报告》，符合性分析如下：本工程</w:t>
            </w:r>
            <w:r>
              <w:rPr>
                <w:rFonts w:hint="eastAsia" w:ascii="宋体" w:hAnsi="宋体"/>
                <w:kern w:val="0"/>
                <w:szCs w:val="21"/>
              </w:rPr>
              <w:t>位于萧山区大江东城镇生活重点管控单元</w:t>
            </w:r>
            <w:r>
              <w:rPr>
                <w:kern w:val="0"/>
                <w:szCs w:val="21"/>
              </w:rPr>
              <w:t>（ZH33010920002）</w:t>
            </w:r>
            <w:r>
              <w:rPr>
                <w:rFonts w:hint="eastAsia"/>
                <w:kern w:val="0"/>
                <w:szCs w:val="21"/>
              </w:rPr>
              <w:t>，</w:t>
            </w:r>
            <w:r>
              <w:rPr>
                <w:rFonts w:hint="eastAsia"/>
              </w:rPr>
              <w:t>实施后可完善区域路网结构，完善市政基础设施建设，符合《杭州市生态环境分区管控动态更新方案》的要求，同时本项目为非工业类项目，无总量控制要求，也不属于环境准入清单禁止或限制准入类产业；本项目主要的噪声主要包括施工期施工噪声以及运营期交通车流噪声，由于工程200m范围内不存在噪声敏感点，所以施工期噪声影响较小，通过设置围挡、降低施工强度、严格控制施工时间等措施可以有效降低施工噪声问题；其他环境污染主要集中于施工期，运营期污染影响较小，通过一系列处理措施可以有效降低工程施工对生态环境的影响。</w:t>
            </w:r>
          </w:p>
          <w:p w14:paraId="5ADCB591">
            <w:pPr>
              <w:pStyle w:val="4"/>
            </w:pPr>
            <w:r>
              <w:rPr>
                <w:rFonts w:hint="eastAsia"/>
              </w:rPr>
              <w:t>《</w:t>
            </w:r>
            <w:bookmarkStart w:id="19" w:name="OLE_LINK10"/>
            <w:r>
              <w:rPr>
                <w:rFonts w:hint="eastAsia"/>
              </w:rPr>
              <w:t>杭州市综合交通发展“十四五”规划环境影响报告书</w:t>
            </w:r>
            <w:bookmarkEnd w:id="19"/>
            <w:r>
              <w:rPr>
                <w:rFonts w:hint="eastAsia"/>
              </w:rPr>
              <w:t>》</w:t>
            </w:r>
          </w:p>
          <w:p w14:paraId="602E68FF">
            <w:pPr>
              <w:ind w:firstLine="420" w:firstLineChars="200"/>
              <w:rPr>
                <w:kern w:val="0"/>
                <w:szCs w:val="21"/>
              </w:rPr>
            </w:pPr>
            <w:r>
              <w:rPr>
                <w:rFonts w:hint="eastAsia"/>
              </w:rPr>
              <w:t>《杭州市综合交通发展“十四五”规划环境影响报告书》已于2024年3月29日由杭州市生态环境局以杭环便函[2024]220号审查批复，本项目与规划环评及审查意见的符合性见下表</w:t>
            </w:r>
            <w:r>
              <w:t>。</w:t>
            </w:r>
          </w:p>
          <w:p w14:paraId="6F7ED8FF">
            <w:pPr>
              <w:pStyle w:val="9"/>
              <w:spacing w:before="120"/>
            </w:pPr>
            <w:r>
              <w:t xml:space="preserve">表 </w:t>
            </w:r>
            <w:r>
              <w:fldChar w:fldCharType="begin"/>
            </w:r>
            <w:r>
              <w:instrText xml:space="preserve"> STYLEREF 1 \s </w:instrText>
            </w:r>
            <w:r>
              <w:fldChar w:fldCharType="separate"/>
            </w:r>
            <w:r>
              <w:t>1</w:t>
            </w:r>
            <w:r>
              <w:fldChar w:fldCharType="end"/>
            </w:r>
            <w:r>
              <w:noBreakHyphen/>
            </w:r>
            <w:r>
              <w:fldChar w:fldCharType="begin"/>
            </w:r>
            <w:r>
              <w:instrText xml:space="preserve"> SEQ 表 \* ARABIC \s 1 </w:instrText>
            </w:r>
            <w:r>
              <w:fldChar w:fldCharType="separate"/>
            </w:r>
            <w:r>
              <w:t>2</w:t>
            </w:r>
            <w:r>
              <w:fldChar w:fldCharType="end"/>
            </w:r>
            <w:r>
              <w:t>项目与杭州市综合交通发展“十四五”规划环评报告的符合性分析表</w:t>
            </w:r>
          </w:p>
          <w:tbl>
            <w:tblPr>
              <w:tblStyle w:val="30"/>
              <w:tblW w:w="48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333"/>
              <w:gridCol w:w="390"/>
              <w:gridCol w:w="3699"/>
              <w:gridCol w:w="2931"/>
            </w:tblGrid>
            <w:tr w14:paraId="461164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Align w:val="center"/>
                </w:tcPr>
                <w:p w14:paraId="7057B116">
                  <w:pPr>
                    <w:spacing w:line="240" w:lineRule="auto"/>
                    <w:jc w:val="center"/>
                    <w:rPr>
                      <w:b/>
                      <w:sz w:val="18"/>
                      <w:szCs w:val="18"/>
                    </w:rPr>
                  </w:pPr>
                  <w:r>
                    <w:rPr>
                      <w:rFonts w:hint="eastAsia" w:ascii="宋体" w:hAnsi="宋体"/>
                      <w:b/>
                      <w:sz w:val="18"/>
                      <w:szCs w:val="18"/>
                    </w:rPr>
                    <w:t>影响因素</w:t>
                  </w:r>
                </w:p>
              </w:tc>
              <w:tc>
                <w:tcPr>
                  <w:tcW w:w="388" w:type="dxa"/>
                  <w:vAlign w:val="center"/>
                </w:tcPr>
                <w:p w14:paraId="6F317BF8">
                  <w:pPr>
                    <w:spacing w:line="240" w:lineRule="auto"/>
                    <w:jc w:val="center"/>
                    <w:rPr>
                      <w:b/>
                      <w:sz w:val="18"/>
                      <w:szCs w:val="18"/>
                    </w:rPr>
                  </w:pPr>
                  <w:r>
                    <w:rPr>
                      <w:rFonts w:hint="eastAsia" w:ascii="宋体" w:hAnsi="宋体"/>
                      <w:b/>
                      <w:sz w:val="18"/>
                      <w:szCs w:val="18"/>
                    </w:rPr>
                    <w:t>项目阶段</w:t>
                  </w:r>
                </w:p>
              </w:tc>
              <w:tc>
                <w:tcPr>
                  <w:tcW w:w="3684" w:type="dxa"/>
                  <w:vAlign w:val="center"/>
                </w:tcPr>
                <w:p w14:paraId="586DD759">
                  <w:pPr>
                    <w:spacing w:line="240" w:lineRule="auto"/>
                    <w:jc w:val="center"/>
                    <w:rPr>
                      <w:b/>
                      <w:sz w:val="18"/>
                      <w:szCs w:val="18"/>
                    </w:rPr>
                  </w:pPr>
                  <w:r>
                    <w:rPr>
                      <w:rFonts w:hint="eastAsia" w:ascii="宋体" w:hAnsi="宋体"/>
                      <w:b/>
                      <w:sz w:val="18"/>
                      <w:szCs w:val="18"/>
                    </w:rPr>
                    <w:t>减缓</w:t>
                  </w:r>
                  <w:r>
                    <w:rPr>
                      <w:rFonts w:ascii="宋体" w:hAnsi="宋体"/>
                      <w:b/>
                      <w:sz w:val="18"/>
                      <w:szCs w:val="18"/>
                    </w:rPr>
                    <w:t>措施</w:t>
                  </w:r>
                </w:p>
              </w:tc>
              <w:tc>
                <w:tcPr>
                  <w:tcW w:w="2919" w:type="dxa"/>
                  <w:vAlign w:val="center"/>
                </w:tcPr>
                <w:p w14:paraId="08EB4DB9">
                  <w:pPr>
                    <w:spacing w:line="240" w:lineRule="auto"/>
                    <w:jc w:val="center"/>
                    <w:rPr>
                      <w:b/>
                      <w:sz w:val="18"/>
                      <w:szCs w:val="18"/>
                    </w:rPr>
                  </w:pPr>
                  <w:r>
                    <w:rPr>
                      <w:rFonts w:ascii="宋体" w:hAnsi="宋体"/>
                      <w:b/>
                      <w:sz w:val="18"/>
                      <w:szCs w:val="18"/>
                    </w:rPr>
                    <w:t>落实情况</w:t>
                  </w:r>
                </w:p>
              </w:tc>
            </w:tr>
            <w:tr w14:paraId="4B84E3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restart"/>
                  <w:vAlign w:val="center"/>
                </w:tcPr>
                <w:p w14:paraId="24401EB5">
                  <w:pPr>
                    <w:spacing w:line="240" w:lineRule="auto"/>
                    <w:jc w:val="center"/>
                    <w:rPr>
                      <w:sz w:val="18"/>
                      <w:szCs w:val="18"/>
                    </w:rPr>
                  </w:pPr>
                  <w:r>
                    <w:rPr>
                      <w:rFonts w:hint="eastAsia" w:ascii="宋体" w:hAnsi="宋体"/>
                      <w:sz w:val="18"/>
                      <w:szCs w:val="18"/>
                    </w:rPr>
                    <w:t>土地资源</w:t>
                  </w:r>
                </w:p>
              </w:tc>
              <w:tc>
                <w:tcPr>
                  <w:tcW w:w="388" w:type="dxa"/>
                  <w:vAlign w:val="center"/>
                </w:tcPr>
                <w:p w14:paraId="4AE6BA5A">
                  <w:pPr>
                    <w:spacing w:line="240" w:lineRule="auto"/>
                    <w:jc w:val="center"/>
                    <w:rPr>
                      <w:sz w:val="18"/>
                      <w:szCs w:val="18"/>
                    </w:rPr>
                  </w:pPr>
                  <w:r>
                    <w:rPr>
                      <w:rFonts w:hint="eastAsia" w:ascii="宋体" w:hAnsi="宋体"/>
                      <w:sz w:val="18"/>
                      <w:szCs w:val="18"/>
                    </w:rPr>
                    <w:t>设计期</w:t>
                  </w:r>
                </w:p>
              </w:tc>
              <w:tc>
                <w:tcPr>
                  <w:tcW w:w="3684" w:type="dxa"/>
                  <w:vAlign w:val="center"/>
                </w:tcPr>
                <w:p w14:paraId="1087FC2B">
                  <w:pPr>
                    <w:spacing w:line="240" w:lineRule="auto"/>
                    <w:rPr>
                      <w:sz w:val="18"/>
                      <w:szCs w:val="18"/>
                    </w:rPr>
                  </w:pPr>
                  <w:r>
                    <w:rPr>
                      <w:rFonts w:hint="eastAsia" w:ascii="宋体" w:hAnsi="宋体"/>
                      <w:sz w:val="18"/>
                      <w:szCs w:val="18"/>
                    </w:rPr>
                    <w:t>（</w:t>
                  </w:r>
                  <w:r>
                    <w:rPr>
                      <w:rFonts w:hint="eastAsia"/>
                      <w:sz w:val="18"/>
                      <w:szCs w:val="18"/>
                    </w:rPr>
                    <w:t>1</w:t>
                  </w:r>
                  <w:r>
                    <w:rPr>
                      <w:rFonts w:hint="eastAsia" w:ascii="宋体" w:hAnsi="宋体"/>
                      <w:sz w:val="18"/>
                      <w:szCs w:val="18"/>
                    </w:rPr>
                    <w:t>）项目建设原则上不得占用基本农田，对于涉及基本农田的建设项目，按照国家相关法律法规相关规定，办理相关手续。</w:t>
                  </w:r>
                </w:p>
                <w:p w14:paraId="4BE1BF8F">
                  <w:pPr>
                    <w:spacing w:line="240" w:lineRule="auto"/>
                    <w:rPr>
                      <w:sz w:val="18"/>
                      <w:szCs w:val="18"/>
                    </w:rPr>
                  </w:pPr>
                  <w:r>
                    <w:rPr>
                      <w:rFonts w:hint="eastAsia" w:ascii="宋体" w:hAnsi="宋体"/>
                      <w:sz w:val="18"/>
                      <w:szCs w:val="18"/>
                    </w:rPr>
                    <w:t>（</w:t>
                  </w:r>
                  <w:r>
                    <w:rPr>
                      <w:rFonts w:hint="eastAsia"/>
                      <w:sz w:val="18"/>
                      <w:szCs w:val="18"/>
                    </w:rPr>
                    <w:t>2</w:t>
                  </w:r>
                  <w:r>
                    <w:rPr>
                      <w:rFonts w:hint="eastAsia" w:ascii="宋体" w:hAnsi="宋体"/>
                      <w:sz w:val="18"/>
                      <w:szCs w:val="18"/>
                    </w:rPr>
                    <w:t>）尽量避让生态公益林，建设单位需根据《中华人民共和国森林法》、《中华人民共和国森林法实施条例》、《浙江省森林管理条例》、《浙江省公益林和森林公园条例》等文件的相关规定做好生态公益林的征地工作，完善相关征地手续。</w:t>
                  </w:r>
                </w:p>
              </w:tc>
              <w:tc>
                <w:tcPr>
                  <w:tcW w:w="2919" w:type="dxa"/>
                  <w:vAlign w:val="center"/>
                </w:tcPr>
                <w:p w14:paraId="2E7EA4CC">
                  <w:pPr>
                    <w:spacing w:line="240" w:lineRule="auto"/>
                    <w:rPr>
                      <w:sz w:val="18"/>
                      <w:szCs w:val="18"/>
                    </w:rPr>
                  </w:pPr>
                  <w:r>
                    <w:rPr>
                      <w:rFonts w:hint="eastAsia" w:ascii="宋体" w:hAnsi="宋体"/>
                      <w:sz w:val="18"/>
                      <w:szCs w:val="18"/>
                    </w:rPr>
                    <w:t>落实。（</w:t>
                  </w:r>
                  <w:r>
                    <w:rPr>
                      <w:rFonts w:hint="eastAsia"/>
                      <w:sz w:val="18"/>
                      <w:szCs w:val="18"/>
                    </w:rPr>
                    <w:t>1</w:t>
                  </w:r>
                  <w:r>
                    <w:rPr>
                      <w:rFonts w:hint="eastAsia" w:ascii="宋体" w:hAnsi="宋体"/>
                      <w:sz w:val="18"/>
                      <w:szCs w:val="18"/>
                    </w:rPr>
                    <w:t>）本项目不占用基本农田；（</w:t>
                  </w:r>
                  <w:r>
                    <w:rPr>
                      <w:rFonts w:hint="eastAsia"/>
                      <w:sz w:val="18"/>
                      <w:szCs w:val="18"/>
                    </w:rPr>
                    <w:t>2</w:t>
                  </w:r>
                  <w:r>
                    <w:rPr>
                      <w:rFonts w:hint="eastAsia" w:ascii="宋体" w:hAnsi="宋体"/>
                      <w:sz w:val="18"/>
                      <w:szCs w:val="18"/>
                    </w:rPr>
                    <w:t>）本项目位于位于城镇开发边界内，不涉及生态公益林。</w:t>
                  </w:r>
                </w:p>
              </w:tc>
            </w:tr>
            <w:tr w14:paraId="4500CD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continue"/>
                  <w:vAlign w:val="center"/>
                </w:tcPr>
                <w:p w14:paraId="4414B039">
                  <w:pPr>
                    <w:adjustRightInd/>
                    <w:snapToGrid/>
                    <w:spacing w:line="240" w:lineRule="auto"/>
                    <w:rPr>
                      <w:color w:val="000000"/>
                      <w:sz w:val="18"/>
                      <w:szCs w:val="18"/>
                    </w:rPr>
                  </w:pPr>
                </w:p>
              </w:tc>
              <w:tc>
                <w:tcPr>
                  <w:tcW w:w="388" w:type="dxa"/>
                  <w:vAlign w:val="center"/>
                </w:tcPr>
                <w:p w14:paraId="68B95152">
                  <w:pPr>
                    <w:spacing w:line="240" w:lineRule="auto"/>
                    <w:jc w:val="center"/>
                    <w:rPr>
                      <w:sz w:val="18"/>
                      <w:szCs w:val="18"/>
                    </w:rPr>
                  </w:pPr>
                  <w:r>
                    <w:rPr>
                      <w:rFonts w:hint="eastAsia" w:ascii="宋体" w:hAnsi="宋体"/>
                      <w:sz w:val="18"/>
                      <w:szCs w:val="18"/>
                    </w:rPr>
                    <w:t>施工期</w:t>
                  </w:r>
                </w:p>
              </w:tc>
              <w:tc>
                <w:tcPr>
                  <w:tcW w:w="3684" w:type="dxa"/>
                  <w:vAlign w:val="center"/>
                </w:tcPr>
                <w:p w14:paraId="2871B618">
                  <w:pPr>
                    <w:spacing w:line="240" w:lineRule="auto"/>
                    <w:rPr>
                      <w:sz w:val="18"/>
                      <w:szCs w:val="18"/>
                    </w:rPr>
                  </w:pPr>
                  <w:r>
                    <w:rPr>
                      <w:rFonts w:hint="eastAsia" w:ascii="宋体" w:hAnsi="宋体"/>
                      <w:sz w:val="18"/>
                      <w:szCs w:val="18"/>
                    </w:rPr>
                    <w:t>（</w:t>
                  </w:r>
                  <w:r>
                    <w:rPr>
                      <w:rFonts w:hint="eastAsia"/>
                      <w:sz w:val="18"/>
                      <w:szCs w:val="18"/>
                    </w:rPr>
                    <w:t>1</w:t>
                  </w:r>
                  <w:r>
                    <w:rPr>
                      <w:rFonts w:hint="eastAsia" w:ascii="宋体" w:hAnsi="宋体"/>
                      <w:sz w:val="18"/>
                      <w:szCs w:val="18"/>
                    </w:rPr>
                    <w:t>）综合考虑工程的弃方和占地的关系，做到少占土地，特别是少占耕地，珍惜土地资源的利用。</w:t>
                  </w:r>
                </w:p>
                <w:p w14:paraId="2D638180">
                  <w:pPr>
                    <w:spacing w:line="240" w:lineRule="auto"/>
                    <w:rPr>
                      <w:sz w:val="18"/>
                      <w:szCs w:val="18"/>
                    </w:rPr>
                  </w:pPr>
                  <w:r>
                    <w:rPr>
                      <w:rFonts w:hint="eastAsia" w:ascii="宋体" w:hAnsi="宋体"/>
                      <w:sz w:val="18"/>
                      <w:szCs w:val="18"/>
                    </w:rPr>
                    <w:t>（</w:t>
                  </w:r>
                  <w:r>
                    <w:rPr>
                      <w:rFonts w:hint="eastAsia"/>
                      <w:sz w:val="18"/>
                      <w:szCs w:val="18"/>
                    </w:rPr>
                    <w:t>2</w:t>
                  </w:r>
                  <w:r>
                    <w:rPr>
                      <w:rFonts w:hint="eastAsia" w:ascii="宋体" w:hAnsi="宋体"/>
                      <w:sz w:val="18"/>
                      <w:szCs w:val="18"/>
                    </w:rPr>
                    <w:t>）从严控制拌和场、预制场以及料场、便道等临时用地，减少临时工程用地，施工结束后，要及时将借方、弃方占地复耕还田。</w:t>
                  </w:r>
                </w:p>
                <w:p w14:paraId="5D6BC99D">
                  <w:pPr>
                    <w:spacing w:line="240" w:lineRule="auto"/>
                    <w:rPr>
                      <w:sz w:val="18"/>
                      <w:szCs w:val="18"/>
                    </w:rPr>
                  </w:pPr>
                  <w:r>
                    <w:rPr>
                      <w:rFonts w:hint="eastAsia" w:ascii="宋体" w:hAnsi="宋体"/>
                      <w:sz w:val="18"/>
                      <w:szCs w:val="18"/>
                    </w:rPr>
                    <w:t>（</w:t>
                  </w:r>
                  <w:r>
                    <w:rPr>
                      <w:rFonts w:hint="eastAsia"/>
                      <w:sz w:val="18"/>
                      <w:szCs w:val="18"/>
                    </w:rPr>
                    <w:t>3</w:t>
                  </w:r>
                  <w:r>
                    <w:rPr>
                      <w:rFonts w:hint="eastAsia" w:ascii="宋体" w:hAnsi="宋体"/>
                      <w:sz w:val="18"/>
                      <w:szCs w:val="18"/>
                    </w:rPr>
                    <w:t>）严格控制施工范围、临时堆放场、各种料场、预制场尽可能设置在用地范围内或利用荒坡、废弃地解决。</w:t>
                  </w:r>
                </w:p>
              </w:tc>
              <w:tc>
                <w:tcPr>
                  <w:tcW w:w="2919" w:type="dxa"/>
                  <w:vAlign w:val="center"/>
                </w:tcPr>
                <w:p w14:paraId="0B227C22">
                  <w:pPr>
                    <w:spacing w:line="240" w:lineRule="auto"/>
                    <w:rPr>
                      <w:sz w:val="18"/>
                      <w:szCs w:val="18"/>
                    </w:rPr>
                  </w:pPr>
                  <w:r>
                    <w:rPr>
                      <w:rFonts w:hint="eastAsia" w:ascii="宋体" w:hAnsi="宋体"/>
                      <w:sz w:val="18"/>
                      <w:szCs w:val="18"/>
                    </w:rPr>
                    <w:t>落实。（</w:t>
                  </w:r>
                  <w:r>
                    <w:rPr>
                      <w:rFonts w:hint="eastAsia"/>
                      <w:sz w:val="18"/>
                      <w:szCs w:val="18"/>
                    </w:rPr>
                    <w:t>1</w:t>
                  </w:r>
                  <w:r>
                    <w:rPr>
                      <w:rFonts w:hint="eastAsia" w:ascii="宋体" w:hAnsi="宋体"/>
                      <w:sz w:val="18"/>
                      <w:szCs w:val="18"/>
                    </w:rPr>
                    <w:t>）本工程</w:t>
                  </w:r>
                  <w:r>
                    <w:rPr>
                      <w:rFonts w:hint="eastAsia"/>
                      <w:sz w:val="18"/>
                      <w:szCs w:val="18"/>
                    </w:rPr>
                    <w:t>占用耕地</w:t>
                  </w:r>
                  <w:r>
                    <w:rPr>
                      <w:sz w:val="18"/>
                      <w:szCs w:val="18"/>
                    </w:rPr>
                    <w:t>0.3685</w:t>
                  </w:r>
                  <w:r>
                    <w:rPr>
                      <w:rFonts w:hint="eastAsia"/>
                      <w:sz w:val="18"/>
                      <w:szCs w:val="18"/>
                    </w:rPr>
                    <w:t>公顷，对耕地资源占用很少；（</w:t>
                  </w:r>
                  <w:r>
                    <w:rPr>
                      <w:sz w:val="18"/>
                      <w:szCs w:val="18"/>
                    </w:rPr>
                    <w:t>2</w:t>
                  </w:r>
                  <w:r>
                    <w:rPr>
                      <w:rFonts w:hint="eastAsia"/>
                      <w:sz w:val="18"/>
                      <w:szCs w:val="18"/>
                    </w:rPr>
                    <w:t>）本项目</w:t>
                  </w:r>
                  <w:r>
                    <w:rPr>
                      <w:rFonts w:hint="eastAsia" w:ascii="宋体" w:hAnsi="宋体"/>
                      <w:sz w:val="18"/>
                      <w:szCs w:val="18"/>
                    </w:rPr>
                    <w:t>不设置拌合场和预制场，设置有保通道路，不永久占用，施工结束后将立即恢复；（</w:t>
                  </w:r>
                  <w:r>
                    <w:rPr>
                      <w:rFonts w:hint="eastAsia"/>
                      <w:sz w:val="18"/>
                      <w:szCs w:val="18"/>
                    </w:rPr>
                    <w:t>3</w:t>
                  </w:r>
                  <w:r>
                    <w:rPr>
                      <w:rFonts w:hint="eastAsia" w:ascii="宋体" w:hAnsi="宋体"/>
                      <w:sz w:val="18"/>
                      <w:szCs w:val="18"/>
                    </w:rPr>
                    <w:t>）工程施工期将严格控制施工范围，在用地红线范围内设置临时材料堆场、临时沉淀池等场地，施工结束后临时用地及时恢复。</w:t>
                  </w:r>
                </w:p>
              </w:tc>
            </w:tr>
            <w:tr w14:paraId="6D67E9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restart"/>
                  <w:vAlign w:val="center"/>
                </w:tcPr>
                <w:p w14:paraId="4ADDC347">
                  <w:pPr>
                    <w:spacing w:line="240" w:lineRule="auto"/>
                    <w:jc w:val="center"/>
                    <w:rPr>
                      <w:sz w:val="18"/>
                      <w:szCs w:val="18"/>
                    </w:rPr>
                  </w:pPr>
                  <w:r>
                    <w:rPr>
                      <w:rFonts w:hint="eastAsia" w:ascii="宋体" w:hAnsi="宋体"/>
                      <w:sz w:val="18"/>
                      <w:szCs w:val="18"/>
                    </w:rPr>
                    <w:t>生态环境</w:t>
                  </w:r>
                </w:p>
              </w:tc>
              <w:tc>
                <w:tcPr>
                  <w:tcW w:w="388" w:type="dxa"/>
                  <w:vAlign w:val="center"/>
                </w:tcPr>
                <w:p w14:paraId="38994533">
                  <w:pPr>
                    <w:spacing w:line="240" w:lineRule="auto"/>
                    <w:jc w:val="center"/>
                    <w:rPr>
                      <w:sz w:val="18"/>
                      <w:szCs w:val="18"/>
                    </w:rPr>
                  </w:pPr>
                  <w:r>
                    <w:rPr>
                      <w:rFonts w:hint="eastAsia" w:ascii="宋体" w:hAnsi="宋体"/>
                      <w:sz w:val="18"/>
                      <w:szCs w:val="18"/>
                    </w:rPr>
                    <w:t>设计期</w:t>
                  </w:r>
                </w:p>
              </w:tc>
              <w:tc>
                <w:tcPr>
                  <w:tcW w:w="3684" w:type="dxa"/>
                  <w:vAlign w:val="center"/>
                </w:tcPr>
                <w:p w14:paraId="6B00772A">
                  <w:pPr>
                    <w:spacing w:line="240" w:lineRule="auto"/>
                    <w:rPr>
                      <w:sz w:val="18"/>
                      <w:szCs w:val="18"/>
                    </w:rPr>
                  </w:pPr>
                  <w:r>
                    <w:rPr>
                      <w:rFonts w:hint="eastAsia" w:ascii="宋体" w:hAnsi="宋体"/>
                      <w:sz w:val="18"/>
                      <w:szCs w:val="18"/>
                    </w:rPr>
                    <w:t>优先避让风景名胜区、森林公园、旅游休闲娱乐区、重要湿地、农渔业区、地质灾害高易发区等相关生态敏感区域，如线路必须占用生态敏感用地，必须征得相关管理部门的同意。</w:t>
                  </w:r>
                </w:p>
              </w:tc>
              <w:tc>
                <w:tcPr>
                  <w:tcW w:w="2919" w:type="dxa"/>
                  <w:vAlign w:val="center"/>
                </w:tcPr>
                <w:p w14:paraId="0BE86499">
                  <w:pPr>
                    <w:spacing w:line="240" w:lineRule="auto"/>
                    <w:rPr>
                      <w:sz w:val="18"/>
                      <w:szCs w:val="18"/>
                    </w:rPr>
                  </w:pPr>
                  <w:r>
                    <w:rPr>
                      <w:rFonts w:hint="eastAsia" w:ascii="宋体" w:hAnsi="宋体"/>
                      <w:sz w:val="18"/>
                      <w:szCs w:val="18"/>
                    </w:rPr>
                    <w:t>落实。本项目不涉及自然保护区、风景名胜区、森林公园、重要湿地、水产种质资源保护区等。</w:t>
                  </w:r>
                </w:p>
              </w:tc>
            </w:tr>
            <w:tr w14:paraId="547115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continue"/>
                  <w:vAlign w:val="center"/>
                </w:tcPr>
                <w:p w14:paraId="466526D0">
                  <w:pPr>
                    <w:adjustRightInd/>
                    <w:snapToGrid/>
                    <w:spacing w:line="240" w:lineRule="auto"/>
                    <w:rPr>
                      <w:color w:val="000000"/>
                      <w:sz w:val="18"/>
                      <w:szCs w:val="18"/>
                    </w:rPr>
                  </w:pPr>
                </w:p>
              </w:tc>
              <w:tc>
                <w:tcPr>
                  <w:tcW w:w="388" w:type="dxa"/>
                  <w:vAlign w:val="center"/>
                </w:tcPr>
                <w:p w14:paraId="318EDA4C">
                  <w:pPr>
                    <w:spacing w:line="240" w:lineRule="auto"/>
                    <w:jc w:val="center"/>
                    <w:rPr>
                      <w:sz w:val="18"/>
                      <w:szCs w:val="18"/>
                    </w:rPr>
                  </w:pPr>
                  <w:r>
                    <w:rPr>
                      <w:rFonts w:hint="eastAsia" w:ascii="宋体" w:hAnsi="宋体"/>
                      <w:sz w:val="18"/>
                      <w:szCs w:val="18"/>
                    </w:rPr>
                    <w:t>施工期</w:t>
                  </w:r>
                </w:p>
              </w:tc>
              <w:tc>
                <w:tcPr>
                  <w:tcW w:w="3684" w:type="dxa"/>
                  <w:vAlign w:val="center"/>
                </w:tcPr>
                <w:p w14:paraId="50595C31">
                  <w:pPr>
                    <w:spacing w:line="240" w:lineRule="auto"/>
                    <w:rPr>
                      <w:sz w:val="18"/>
                      <w:szCs w:val="18"/>
                    </w:rPr>
                  </w:pPr>
                  <w:r>
                    <w:rPr>
                      <w:rFonts w:hint="eastAsia" w:ascii="宋体" w:hAnsi="宋体"/>
                      <w:sz w:val="18"/>
                      <w:szCs w:val="18"/>
                    </w:rPr>
                    <w:t>（</w:t>
                  </w:r>
                  <w:r>
                    <w:rPr>
                      <w:rFonts w:hint="eastAsia"/>
                      <w:sz w:val="18"/>
                      <w:szCs w:val="18"/>
                    </w:rPr>
                    <w:t>1</w:t>
                  </w:r>
                  <w:r>
                    <w:rPr>
                      <w:rFonts w:hint="eastAsia" w:ascii="宋体" w:hAnsi="宋体"/>
                      <w:sz w:val="18"/>
                      <w:szCs w:val="18"/>
                    </w:rPr>
                    <w:t>）对地形地貌破坏严重及水土流失，结合公路建设进行生态修复，强化植树造林、封山育林等水土保持措施，降低工程的水土流失量。</w:t>
                  </w:r>
                </w:p>
                <w:p w14:paraId="0F32A1B0">
                  <w:pPr>
                    <w:spacing w:line="240" w:lineRule="auto"/>
                    <w:rPr>
                      <w:sz w:val="18"/>
                      <w:szCs w:val="18"/>
                    </w:rPr>
                  </w:pPr>
                  <w:r>
                    <w:rPr>
                      <w:rFonts w:hint="eastAsia" w:ascii="宋体" w:hAnsi="宋体"/>
                      <w:sz w:val="18"/>
                      <w:szCs w:val="18"/>
                    </w:rPr>
                    <w:t>（</w:t>
                  </w:r>
                  <w:r>
                    <w:rPr>
                      <w:rFonts w:hint="eastAsia"/>
                      <w:sz w:val="18"/>
                      <w:szCs w:val="18"/>
                    </w:rPr>
                    <w:t>2</w:t>
                  </w:r>
                  <w:r>
                    <w:rPr>
                      <w:rFonts w:hint="eastAsia" w:ascii="宋体" w:hAnsi="宋体"/>
                      <w:sz w:val="18"/>
                      <w:szCs w:val="18"/>
                    </w:rPr>
                    <w:t>）充分利用有利地形，尽量减少对森林植被、绿地系统的破坏。</w:t>
                  </w:r>
                </w:p>
                <w:p w14:paraId="2471A745">
                  <w:pPr>
                    <w:spacing w:line="240" w:lineRule="auto"/>
                    <w:rPr>
                      <w:sz w:val="18"/>
                      <w:szCs w:val="18"/>
                    </w:rPr>
                  </w:pPr>
                  <w:r>
                    <w:rPr>
                      <w:rFonts w:hint="eastAsia" w:ascii="宋体" w:hAnsi="宋体"/>
                      <w:sz w:val="18"/>
                      <w:szCs w:val="18"/>
                    </w:rPr>
                    <w:t>（</w:t>
                  </w:r>
                  <w:r>
                    <w:rPr>
                      <w:rFonts w:hint="eastAsia"/>
                      <w:sz w:val="18"/>
                      <w:szCs w:val="18"/>
                    </w:rPr>
                    <w:t>3</w:t>
                  </w:r>
                  <w:r>
                    <w:rPr>
                      <w:rFonts w:hint="eastAsia" w:ascii="宋体" w:hAnsi="宋体"/>
                      <w:sz w:val="18"/>
                      <w:szCs w:val="18"/>
                    </w:rPr>
                    <w:t>）尽量减少筑路对湿地面积的占用，设置必要的动植物保护措施。</w:t>
                  </w:r>
                </w:p>
                <w:p w14:paraId="372ABCBC">
                  <w:pPr>
                    <w:spacing w:line="240" w:lineRule="auto"/>
                    <w:rPr>
                      <w:sz w:val="18"/>
                      <w:szCs w:val="18"/>
                    </w:rPr>
                  </w:pPr>
                  <w:r>
                    <w:rPr>
                      <w:rFonts w:hint="eastAsia" w:ascii="宋体" w:hAnsi="宋体"/>
                      <w:sz w:val="18"/>
                      <w:szCs w:val="18"/>
                    </w:rPr>
                    <w:t>（</w:t>
                  </w:r>
                  <w:r>
                    <w:rPr>
                      <w:rFonts w:hint="eastAsia"/>
                      <w:sz w:val="18"/>
                      <w:szCs w:val="18"/>
                    </w:rPr>
                    <w:t>4</w:t>
                  </w:r>
                  <w:r>
                    <w:rPr>
                      <w:rFonts w:hint="eastAsia" w:ascii="宋体" w:hAnsi="宋体"/>
                      <w:sz w:val="18"/>
                      <w:szCs w:val="18"/>
                    </w:rPr>
                    <w:t>）根据保护地内具体对象的保护要求，采取避让、隧道、架桥等方式来减少对保护对象的影响。</w:t>
                  </w:r>
                </w:p>
                <w:p w14:paraId="7D975AC0">
                  <w:pPr>
                    <w:spacing w:line="240" w:lineRule="auto"/>
                    <w:rPr>
                      <w:sz w:val="18"/>
                      <w:szCs w:val="18"/>
                    </w:rPr>
                  </w:pPr>
                  <w:r>
                    <w:rPr>
                      <w:rFonts w:hint="eastAsia" w:ascii="宋体" w:hAnsi="宋体"/>
                      <w:sz w:val="18"/>
                      <w:szCs w:val="18"/>
                    </w:rPr>
                    <w:t>（</w:t>
                  </w:r>
                  <w:r>
                    <w:rPr>
                      <w:rFonts w:hint="eastAsia"/>
                      <w:sz w:val="18"/>
                      <w:szCs w:val="18"/>
                    </w:rPr>
                    <w:t>5</w:t>
                  </w:r>
                  <w:r>
                    <w:rPr>
                      <w:rFonts w:hint="eastAsia" w:ascii="宋体" w:hAnsi="宋体"/>
                      <w:sz w:val="18"/>
                      <w:szCs w:val="18"/>
                    </w:rPr>
                    <w:t>）合理安排施工进度，非特殊情况施工期不得延长，尽量在枯水季节完成水下作业，在主要鱼类洄游产卵、繁殖期尽量不进行疏浚、倾倒作业。</w:t>
                  </w:r>
                </w:p>
                <w:p w14:paraId="32816B84">
                  <w:pPr>
                    <w:spacing w:line="240" w:lineRule="auto"/>
                    <w:rPr>
                      <w:sz w:val="18"/>
                      <w:szCs w:val="18"/>
                    </w:rPr>
                  </w:pPr>
                  <w:r>
                    <w:rPr>
                      <w:rFonts w:hint="eastAsia" w:ascii="宋体" w:hAnsi="宋体"/>
                      <w:sz w:val="18"/>
                      <w:szCs w:val="18"/>
                    </w:rPr>
                    <w:t>（</w:t>
                  </w:r>
                  <w:r>
                    <w:rPr>
                      <w:rFonts w:hint="eastAsia"/>
                      <w:sz w:val="18"/>
                      <w:szCs w:val="18"/>
                    </w:rPr>
                    <w:t>6</w:t>
                  </w:r>
                  <w:r>
                    <w:rPr>
                      <w:rFonts w:hint="eastAsia" w:ascii="宋体" w:hAnsi="宋体"/>
                      <w:sz w:val="18"/>
                      <w:szCs w:val="18"/>
                    </w:rPr>
                    <w:t>）已经规划的新路段，应当考虑物种栖息地实际情况适当绕行，穿过的野生动物栖息地建立生物走廊，在关键路段建立隔离带。</w:t>
                  </w:r>
                </w:p>
              </w:tc>
              <w:tc>
                <w:tcPr>
                  <w:tcW w:w="2919" w:type="dxa"/>
                  <w:vAlign w:val="center"/>
                </w:tcPr>
                <w:p w14:paraId="2A0672DB">
                  <w:pPr>
                    <w:spacing w:line="240" w:lineRule="auto"/>
                    <w:rPr>
                      <w:sz w:val="18"/>
                      <w:szCs w:val="18"/>
                    </w:rPr>
                  </w:pPr>
                  <w:r>
                    <w:rPr>
                      <w:rFonts w:hint="eastAsia" w:ascii="宋体" w:hAnsi="宋体"/>
                      <w:sz w:val="18"/>
                      <w:szCs w:val="18"/>
                    </w:rPr>
                    <w:t>落实。（</w:t>
                  </w:r>
                  <w:r>
                    <w:rPr>
                      <w:rFonts w:hint="eastAsia"/>
                      <w:sz w:val="18"/>
                      <w:szCs w:val="18"/>
                    </w:rPr>
                    <w:t>1</w:t>
                  </w:r>
                  <w:r>
                    <w:rPr>
                      <w:rFonts w:hint="eastAsia" w:ascii="宋体" w:hAnsi="宋体"/>
                      <w:sz w:val="18"/>
                      <w:szCs w:val="18"/>
                    </w:rPr>
                    <w:t>）本工程实施水土保持措施后能达到控制水土流失目的，工程建设后将及时对占用的植被进行恢复或新建绿化；（</w:t>
                  </w:r>
                  <w:r>
                    <w:rPr>
                      <w:rFonts w:hint="eastAsia"/>
                      <w:sz w:val="18"/>
                      <w:szCs w:val="18"/>
                    </w:rPr>
                    <w:t>2</w:t>
                  </w:r>
                  <w:r>
                    <w:rPr>
                      <w:rFonts w:hint="eastAsia" w:ascii="宋体" w:hAnsi="宋体"/>
                      <w:sz w:val="18"/>
                      <w:szCs w:val="18"/>
                    </w:rPr>
                    <w:t>）施工期将严格控制施工范围，减少对周边植被的破坏；（</w:t>
                  </w:r>
                  <w:r>
                    <w:rPr>
                      <w:rFonts w:hint="eastAsia"/>
                      <w:sz w:val="18"/>
                      <w:szCs w:val="18"/>
                    </w:rPr>
                    <w:t>3</w:t>
                  </w:r>
                  <w:r>
                    <w:rPr>
                      <w:rFonts w:hint="eastAsia" w:ascii="宋体" w:hAnsi="宋体"/>
                      <w:sz w:val="18"/>
                      <w:szCs w:val="18"/>
                    </w:rPr>
                    <w:t>）本项目不占用湿地；</w:t>
                  </w:r>
                  <w:r>
                    <w:rPr>
                      <w:rFonts w:hint="eastAsia"/>
                      <w:sz w:val="18"/>
                      <w:szCs w:val="18"/>
                    </w:rPr>
                    <w:t>（4）本项目建设范围内不存在受保护目标；（4）工程建设将合理安排施工进度，合理安排涉水作业时间；（5）本项目建设范围内不存在野生动物栖息地，无需设置隔离带或绕行</w:t>
                  </w:r>
                  <w:r>
                    <w:rPr>
                      <w:rFonts w:hint="eastAsia" w:ascii="宋体" w:hAnsi="宋体"/>
                      <w:sz w:val="18"/>
                      <w:szCs w:val="18"/>
                    </w:rPr>
                    <w:t>。</w:t>
                  </w:r>
                </w:p>
              </w:tc>
            </w:tr>
            <w:tr w14:paraId="4F7E06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continue"/>
                  <w:vAlign w:val="center"/>
                </w:tcPr>
                <w:p w14:paraId="11519B9A">
                  <w:pPr>
                    <w:adjustRightInd/>
                    <w:snapToGrid/>
                    <w:spacing w:line="240" w:lineRule="auto"/>
                    <w:rPr>
                      <w:color w:val="000000"/>
                      <w:sz w:val="18"/>
                      <w:szCs w:val="18"/>
                    </w:rPr>
                  </w:pPr>
                </w:p>
              </w:tc>
              <w:tc>
                <w:tcPr>
                  <w:tcW w:w="388" w:type="dxa"/>
                  <w:vAlign w:val="center"/>
                </w:tcPr>
                <w:p w14:paraId="02CB11DB">
                  <w:pPr>
                    <w:spacing w:line="240" w:lineRule="auto"/>
                    <w:jc w:val="center"/>
                    <w:rPr>
                      <w:sz w:val="18"/>
                      <w:szCs w:val="18"/>
                    </w:rPr>
                  </w:pPr>
                  <w:r>
                    <w:rPr>
                      <w:rFonts w:hint="eastAsia" w:ascii="宋体" w:hAnsi="宋体"/>
                      <w:sz w:val="18"/>
                      <w:szCs w:val="18"/>
                    </w:rPr>
                    <w:t>营运期</w:t>
                  </w:r>
                </w:p>
              </w:tc>
              <w:tc>
                <w:tcPr>
                  <w:tcW w:w="3684" w:type="dxa"/>
                  <w:vAlign w:val="center"/>
                </w:tcPr>
                <w:p w14:paraId="4378A6CC">
                  <w:pPr>
                    <w:spacing w:line="240" w:lineRule="auto"/>
                    <w:rPr>
                      <w:sz w:val="18"/>
                      <w:szCs w:val="18"/>
                    </w:rPr>
                  </w:pPr>
                  <w:r>
                    <w:rPr>
                      <w:rFonts w:hint="eastAsia" w:ascii="宋体" w:hAnsi="宋体"/>
                      <w:sz w:val="18"/>
                      <w:szCs w:val="18"/>
                    </w:rPr>
                    <w:t>设置动物通道和动物保护标志减少灯光污染，消除或减轻对野生动物的影响。</w:t>
                  </w:r>
                </w:p>
              </w:tc>
              <w:tc>
                <w:tcPr>
                  <w:tcW w:w="2919" w:type="dxa"/>
                  <w:vAlign w:val="center"/>
                </w:tcPr>
                <w:p w14:paraId="06A3A859">
                  <w:pPr>
                    <w:spacing w:line="240" w:lineRule="auto"/>
                    <w:rPr>
                      <w:sz w:val="18"/>
                      <w:szCs w:val="18"/>
                    </w:rPr>
                  </w:pPr>
                  <w:r>
                    <w:rPr>
                      <w:rFonts w:hint="eastAsia" w:ascii="宋体" w:hAnsi="宋体"/>
                      <w:sz w:val="18"/>
                      <w:szCs w:val="18"/>
                    </w:rPr>
                    <w:t>落实。本项目建成后要求车辆夜晚行驶采用弱光行驶和不鸣笛，公路沿线无珍稀野生动物分布，基本无大型兽类出入。</w:t>
                  </w:r>
                </w:p>
              </w:tc>
            </w:tr>
            <w:tr w14:paraId="78E82B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restart"/>
                  <w:vAlign w:val="center"/>
                </w:tcPr>
                <w:p w14:paraId="30C637A9">
                  <w:pPr>
                    <w:spacing w:line="240" w:lineRule="auto"/>
                    <w:jc w:val="center"/>
                    <w:rPr>
                      <w:sz w:val="18"/>
                      <w:szCs w:val="18"/>
                    </w:rPr>
                  </w:pPr>
                  <w:r>
                    <w:rPr>
                      <w:rFonts w:hint="eastAsia" w:ascii="宋体" w:hAnsi="宋体"/>
                      <w:sz w:val="18"/>
                      <w:szCs w:val="18"/>
                    </w:rPr>
                    <w:t>水环境</w:t>
                  </w:r>
                </w:p>
              </w:tc>
              <w:tc>
                <w:tcPr>
                  <w:tcW w:w="388" w:type="dxa"/>
                  <w:vAlign w:val="center"/>
                </w:tcPr>
                <w:p w14:paraId="3F521221">
                  <w:pPr>
                    <w:spacing w:line="240" w:lineRule="auto"/>
                    <w:jc w:val="center"/>
                    <w:rPr>
                      <w:sz w:val="18"/>
                      <w:szCs w:val="18"/>
                    </w:rPr>
                  </w:pPr>
                  <w:r>
                    <w:rPr>
                      <w:rFonts w:hint="eastAsia" w:ascii="宋体" w:hAnsi="宋体"/>
                      <w:sz w:val="18"/>
                      <w:szCs w:val="18"/>
                    </w:rPr>
                    <w:t>施工期</w:t>
                  </w:r>
                </w:p>
              </w:tc>
              <w:tc>
                <w:tcPr>
                  <w:tcW w:w="3684" w:type="dxa"/>
                  <w:vAlign w:val="center"/>
                </w:tcPr>
                <w:p w14:paraId="4A8E5D9F">
                  <w:pPr>
                    <w:spacing w:line="240" w:lineRule="auto"/>
                    <w:rPr>
                      <w:sz w:val="18"/>
                      <w:szCs w:val="18"/>
                    </w:rPr>
                  </w:pPr>
                  <w:r>
                    <w:rPr>
                      <w:rFonts w:ascii="宋体" w:hAnsi="宋体"/>
                      <w:sz w:val="18"/>
                      <w:szCs w:val="18"/>
                    </w:rPr>
                    <w:t>（</w:t>
                  </w:r>
                  <w:r>
                    <w:rPr>
                      <w:sz w:val="18"/>
                      <w:szCs w:val="18"/>
                    </w:rPr>
                    <w:t>1</w:t>
                  </w:r>
                  <w:r>
                    <w:rPr>
                      <w:rFonts w:ascii="宋体" w:hAnsi="宋体"/>
                      <w:sz w:val="18"/>
                      <w:szCs w:val="18"/>
                    </w:rPr>
                    <w:t>）禁止向水体排放、倾倒弃渣等废弃物，加强物料堆放管理，优化施工场地、中转料场及临时堆土场布置。</w:t>
                  </w:r>
                </w:p>
                <w:p w14:paraId="52AA6A3D">
                  <w:pPr>
                    <w:spacing w:line="240" w:lineRule="auto"/>
                    <w:rPr>
                      <w:sz w:val="18"/>
                      <w:szCs w:val="18"/>
                    </w:rPr>
                  </w:pPr>
                  <w:r>
                    <w:rPr>
                      <w:rFonts w:ascii="宋体" w:hAnsi="宋体"/>
                      <w:sz w:val="18"/>
                      <w:szCs w:val="18"/>
                    </w:rPr>
                    <w:t>（</w:t>
                  </w:r>
                  <w:r>
                    <w:rPr>
                      <w:sz w:val="18"/>
                      <w:szCs w:val="18"/>
                    </w:rPr>
                    <w:t>2</w:t>
                  </w:r>
                  <w:r>
                    <w:rPr>
                      <w:rFonts w:ascii="宋体" w:hAnsi="宋体"/>
                      <w:sz w:val="18"/>
                      <w:szCs w:val="18"/>
                    </w:rPr>
                    <w:t>）施工期生活废水严禁直接排入自然受纳水体；施工人员尽量租用附近村庄</w:t>
                  </w:r>
                  <w:r>
                    <w:rPr>
                      <w:rFonts w:hint="eastAsia" w:ascii="宋体" w:hAnsi="宋体"/>
                      <w:sz w:val="18"/>
                      <w:szCs w:val="18"/>
                    </w:rPr>
                    <w:t>民房，充分利用现有污水处理设施对生活污水进行处理。</w:t>
                  </w:r>
                </w:p>
                <w:p w14:paraId="6EBA78F4">
                  <w:pPr>
                    <w:spacing w:line="240" w:lineRule="auto"/>
                    <w:rPr>
                      <w:sz w:val="18"/>
                      <w:szCs w:val="18"/>
                    </w:rPr>
                  </w:pPr>
                  <w:r>
                    <w:rPr>
                      <w:rFonts w:hint="eastAsia" w:ascii="宋体" w:hAnsi="宋体"/>
                      <w:sz w:val="18"/>
                      <w:szCs w:val="18"/>
                    </w:rPr>
                    <w:t>（</w:t>
                  </w:r>
                  <w:r>
                    <w:rPr>
                      <w:rFonts w:hint="eastAsia"/>
                      <w:sz w:val="18"/>
                      <w:szCs w:val="18"/>
                    </w:rPr>
                    <w:t>3</w:t>
                  </w:r>
                  <w:r>
                    <w:rPr>
                      <w:rFonts w:hint="eastAsia" w:ascii="宋体" w:hAnsi="宋体"/>
                      <w:sz w:val="18"/>
                      <w:szCs w:val="18"/>
                    </w:rPr>
                    <w:t>）施工机械冲洗及维修产生的油污水进行收集处理。</w:t>
                  </w:r>
                </w:p>
              </w:tc>
              <w:tc>
                <w:tcPr>
                  <w:tcW w:w="2919" w:type="dxa"/>
                  <w:vAlign w:val="center"/>
                </w:tcPr>
                <w:p w14:paraId="02BF1DD5">
                  <w:pPr>
                    <w:spacing w:line="240" w:lineRule="auto"/>
                    <w:rPr>
                      <w:sz w:val="18"/>
                      <w:szCs w:val="18"/>
                    </w:rPr>
                  </w:pPr>
                  <w:r>
                    <w:rPr>
                      <w:rFonts w:ascii="宋体" w:hAnsi="宋体"/>
                      <w:sz w:val="18"/>
                      <w:szCs w:val="18"/>
                    </w:rPr>
                    <w:t>落实。本项目施工期将严格施工管理</w:t>
                  </w:r>
                  <w:r>
                    <w:rPr>
                      <w:rFonts w:hint="eastAsia" w:ascii="宋体" w:hAnsi="宋体"/>
                      <w:sz w:val="18"/>
                      <w:szCs w:val="18"/>
                    </w:rPr>
                    <w:t>：（1）</w:t>
                  </w:r>
                  <w:r>
                    <w:rPr>
                      <w:rFonts w:ascii="宋体" w:hAnsi="宋体"/>
                      <w:sz w:val="18"/>
                      <w:szCs w:val="18"/>
                    </w:rPr>
                    <w:t>施工废水集中收集处理</w:t>
                  </w:r>
                  <w:r>
                    <w:rPr>
                      <w:rFonts w:hint="eastAsia" w:ascii="宋体" w:hAnsi="宋体"/>
                      <w:sz w:val="18"/>
                      <w:szCs w:val="18"/>
                    </w:rPr>
                    <w:t>，临时堆放的物料将进行遮盖防止污染地表水；（</w:t>
                  </w:r>
                  <w:r>
                    <w:rPr>
                      <w:rFonts w:hint="eastAsia"/>
                      <w:sz w:val="18"/>
                      <w:szCs w:val="18"/>
                    </w:rPr>
                    <w:t>2</w:t>
                  </w:r>
                  <w:r>
                    <w:rPr>
                      <w:rFonts w:hint="eastAsia" w:ascii="宋体" w:hAnsi="宋体"/>
                      <w:sz w:val="18"/>
                      <w:szCs w:val="18"/>
                    </w:rPr>
                    <w:t>）工程所产生的</w:t>
                  </w:r>
                  <w:r>
                    <w:rPr>
                      <w:rFonts w:ascii="宋体" w:hAnsi="宋体"/>
                      <w:sz w:val="18"/>
                      <w:szCs w:val="18"/>
                    </w:rPr>
                    <w:t>生活污水</w:t>
                  </w:r>
                  <w:r>
                    <w:rPr>
                      <w:rFonts w:hint="eastAsia" w:ascii="宋体" w:hAnsi="宋体"/>
                      <w:sz w:val="18"/>
                      <w:szCs w:val="18"/>
                    </w:rPr>
                    <w:t>将委托第三方公司外运处理，不得直接排入水体；（</w:t>
                  </w:r>
                  <w:r>
                    <w:rPr>
                      <w:rFonts w:hint="eastAsia"/>
                      <w:sz w:val="18"/>
                      <w:szCs w:val="18"/>
                    </w:rPr>
                    <w:t>3</w:t>
                  </w:r>
                  <w:r>
                    <w:rPr>
                      <w:rFonts w:hint="eastAsia" w:ascii="宋体" w:hAnsi="宋体"/>
                      <w:sz w:val="18"/>
                      <w:szCs w:val="18"/>
                    </w:rPr>
                    <w:t>）施工机械冲洗和维修产生的油污水将处理后进行集中收集处理，不直接排放</w:t>
                  </w:r>
                  <w:r>
                    <w:rPr>
                      <w:rFonts w:ascii="宋体" w:hAnsi="宋体"/>
                      <w:sz w:val="18"/>
                      <w:szCs w:val="18"/>
                    </w:rPr>
                    <w:t>。</w:t>
                  </w:r>
                </w:p>
              </w:tc>
            </w:tr>
            <w:tr w14:paraId="780851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continue"/>
                  <w:vAlign w:val="center"/>
                </w:tcPr>
                <w:p w14:paraId="7DCC488A">
                  <w:pPr>
                    <w:adjustRightInd/>
                    <w:snapToGrid/>
                    <w:spacing w:line="240" w:lineRule="auto"/>
                    <w:rPr>
                      <w:color w:val="000000"/>
                      <w:sz w:val="18"/>
                      <w:szCs w:val="18"/>
                    </w:rPr>
                  </w:pPr>
                </w:p>
              </w:tc>
              <w:tc>
                <w:tcPr>
                  <w:tcW w:w="388" w:type="dxa"/>
                  <w:vAlign w:val="center"/>
                </w:tcPr>
                <w:p w14:paraId="2107D118">
                  <w:pPr>
                    <w:spacing w:line="240" w:lineRule="auto"/>
                    <w:jc w:val="center"/>
                    <w:rPr>
                      <w:sz w:val="18"/>
                      <w:szCs w:val="18"/>
                    </w:rPr>
                  </w:pPr>
                  <w:r>
                    <w:rPr>
                      <w:rFonts w:hint="eastAsia" w:ascii="宋体" w:hAnsi="宋体"/>
                      <w:sz w:val="18"/>
                      <w:szCs w:val="18"/>
                    </w:rPr>
                    <w:t>营运期</w:t>
                  </w:r>
                </w:p>
              </w:tc>
              <w:tc>
                <w:tcPr>
                  <w:tcW w:w="3684" w:type="dxa"/>
                  <w:vAlign w:val="center"/>
                </w:tcPr>
                <w:p w14:paraId="43ED3C0B">
                  <w:pPr>
                    <w:spacing w:line="240" w:lineRule="auto"/>
                    <w:rPr>
                      <w:sz w:val="18"/>
                      <w:szCs w:val="18"/>
                    </w:rPr>
                  </w:pPr>
                  <w:r>
                    <w:rPr>
                      <w:rFonts w:hint="eastAsia" w:ascii="宋体" w:hAnsi="宋体"/>
                      <w:sz w:val="18"/>
                      <w:szCs w:val="18"/>
                    </w:rPr>
                    <w:t>（</w:t>
                  </w:r>
                  <w:r>
                    <w:rPr>
                      <w:rFonts w:hint="eastAsia"/>
                      <w:sz w:val="18"/>
                      <w:szCs w:val="18"/>
                    </w:rPr>
                    <w:t>1</w:t>
                  </w:r>
                  <w:r>
                    <w:rPr>
                      <w:rFonts w:hint="eastAsia" w:ascii="宋体" w:hAnsi="宋体"/>
                      <w:sz w:val="18"/>
                      <w:szCs w:val="18"/>
                    </w:rPr>
                    <w:t>）完善路面径流、桥面径流收集系统和排水系统，经处理后收集纳入附近城镇污水管网。</w:t>
                  </w:r>
                </w:p>
                <w:p w14:paraId="7F253FEB">
                  <w:pPr>
                    <w:spacing w:line="240" w:lineRule="auto"/>
                    <w:rPr>
                      <w:sz w:val="18"/>
                      <w:szCs w:val="18"/>
                    </w:rPr>
                  </w:pPr>
                  <w:r>
                    <w:rPr>
                      <w:rFonts w:hint="eastAsia" w:ascii="宋体" w:hAnsi="宋体"/>
                      <w:sz w:val="18"/>
                      <w:szCs w:val="18"/>
                    </w:rPr>
                    <w:t>（</w:t>
                  </w:r>
                  <w:r>
                    <w:rPr>
                      <w:rFonts w:hint="eastAsia"/>
                      <w:sz w:val="18"/>
                      <w:szCs w:val="18"/>
                    </w:rPr>
                    <w:t>2</w:t>
                  </w:r>
                  <w:r>
                    <w:rPr>
                      <w:rFonts w:hint="eastAsia" w:ascii="宋体" w:hAnsi="宋体"/>
                      <w:sz w:val="18"/>
                      <w:szCs w:val="18"/>
                    </w:rPr>
                    <w:t>）对服务区生活、生产废水纳入市政管网或自设废水处理设施进行处理</w:t>
                  </w:r>
                </w:p>
              </w:tc>
              <w:tc>
                <w:tcPr>
                  <w:tcW w:w="2919" w:type="dxa"/>
                  <w:vAlign w:val="center"/>
                </w:tcPr>
                <w:p w14:paraId="531216FA">
                  <w:pPr>
                    <w:spacing w:line="240" w:lineRule="auto"/>
                    <w:rPr>
                      <w:sz w:val="18"/>
                      <w:szCs w:val="18"/>
                    </w:rPr>
                  </w:pPr>
                  <w:r>
                    <w:rPr>
                      <w:rFonts w:ascii="宋体" w:hAnsi="宋体"/>
                      <w:sz w:val="18"/>
                      <w:szCs w:val="18"/>
                    </w:rPr>
                    <w:t>落实。</w:t>
                  </w:r>
                  <w:r>
                    <w:rPr>
                      <w:rFonts w:hint="eastAsia" w:ascii="宋体" w:hAnsi="宋体"/>
                      <w:sz w:val="18"/>
                      <w:szCs w:val="18"/>
                    </w:rPr>
                    <w:t>（</w:t>
                  </w:r>
                  <w:r>
                    <w:rPr>
                      <w:rFonts w:hint="eastAsia"/>
                      <w:sz w:val="18"/>
                      <w:szCs w:val="18"/>
                    </w:rPr>
                    <w:t>1</w:t>
                  </w:r>
                  <w:r>
                    <w:rPr>
                      <w:rFonts w:hint="eastAsia" w:ascii="宋体" w:hAnsi="宋体"/>
                      <w:sz w:val="18"/>
                      <w:szCs w:val="18"/>
                    </w:rPr>
                    <w:t>）本工程将</w:t>
                  </w:r>
                  <w:r>
                    <w:rPr>
                      <w:rFonts w:ascii="宋体" w:hAnsi="宋体"/>
                      <w:sz w:val="18"/>
                      <w:szCs w:val="18"/>
                    </w:rPr>
                    <w:t>做好雨污管网的建设工作，确保路面雨水、污水能有效收集排放。</w:t>
                  </w:r>
                  <w:r>
                    <w:rPr>
                      <w:rFonts w:hint="eastAsia" w:ascii="宋体" w:hAnsi="宋体"/>
                      <w:sz w:val="18"/>
                      <w:szCs w:val="18"/>
                    </w:rPr>
                    <w:t>（</w:t>
                  </w:r>
                  <w:r>
                    <w:rPr>
                      <w:rFonts w:hint="eastAsia"/>
                      <w:sz w:val="18"/>
                      <w:szCs w:val="18"/>
                    </w:rPr>
                    <w:t>2</w:t>
                  </w:r>
                  <w:r>
                    <w:rPr>
                      <w:rFonts w:hint="eastAsia" w:ascii="宋体" w:hAnsi="宋体"/>
                      <w:sz w:val="18"/>
                      <w:szCs w:val="18"/>
                    </w:rPr>
                    <w:t>）本工程运营期不产生生产及生活废水。</w:t>
                  </w:r>
                </w:p>
              </w:tc>
            </w:tr>
            <w:tr w14:paraId="4E0676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restart"/>
                  <w:vAlign w:val="center"/>
                </w:tcPr>
                <w:p w14:paraId="7225F668">
                  <w:pPr>
                    <w:spacing w:line="240" w:lineRule="auto"/>
                    <w:jc w:val="center"/>
                    <w:rPr>
                      <w:sz w:val="18"/>
                      <w:szCs w:val="18"/>
                    </w:rPr>
                  </w:pPr>
                  <w:r>
                    <w:rPr>
                      <w:rFonts w:hint="eastAsia" w:ascii="宋体" w:hAnsi="宋体"/>
                      <w:sz w:val="18"/>
                      <w:szCs w:val="18"/>
                    </w:rPr>
                    <w:t>声环境</w:t>
                  </w:r>
                </w:p>
              </w:tc>
              <w:tc>
                <w:tcPr>
                  <w:tcW w:w="388" w:type="dxa"/>
                  <w:vAlign w:val="center"/>
                </w:tcPr>
                <w:p w14:paraId="356AF8C8">
                  <w:pPr>
                    <w:spacing w:line="240" w:lineRule="auto"/>
                    <w:jc w:val="center"/>
                    <w:rPr>
                      <w:sz w:val="18"/>
                      <w:szCs w:val="18"/>
                    </w:rPr>
                  </w:pPr>
                  <w:r>
                    <w:rPr>
                      <w:rFonts w:hint="eastAsia" w:ascii="宋体" w:hAnsi="宋体"/>
                      <w:sz w:val="18"/>
                      <w:szCs w:val="18"/>
                    </w:rPr>
                    <w:t>施工期</w:t>
                  </w:r>
                </w:p>
              </w:tc>
              <w:tc>
                <w:tcPr>
                  <w:tcW w:w="3684" w:type="dxa"/>
                  <w:vAlign w:val="center"/>
                </w:tcPr>
                <w:p w14:paraId="63D6D404">
                  <w:pPr>
                    <w:spacing w:line="240" w:lineRule="auto"/>
                    <w:rPr>
                      <w:sz w:val="18"/>
                      <w:szCs w:val="18"/>
                    </w:rPr>
                  </w:pPr>
                  <w:r>
                    <w:rPr>
                      <w:rFonts w:ascii="宋体" w:hAnsi="宋体"/>
                      <w:sz w:val="18"/>
                      <w:szCs w:val="18"/>
                    </w:rPr>
                    <w:t>（</w:t>
                  </w:r>
                  <w:r>
                    <w:rPr>
                      <w:sz w:val="18"/>
                      <w:szCs w:val="18"/>
                    </w:rPr>
                    <w:t>1</w:t>
                  </w:r>
                  <w:r>
                    <w:rPr>
                      <w:rFonts w:ascii="宋体" w:hAnsi="宋体"/>
                      <w:sz w:val="18"/>
                      <w:szCs w:val="18"/>
                    </w:rPr>
                    <w:t>）施工单位应合理组织施工作业流程，合理安排各类施工机械的工作时间。</w:t>
                  </w:r>
                </w:p>
                <w:p w14:paraId="4390829B">
                  <w:pPr>
                    <w:spacing w:line="240" w:lineRule="auto"/>
                    <w:rPr>
                      <w:sz w:val="18"/>
                      <w:szCs w:val="18"/>
                    </w:rPr>
                  </w:pPr>
                  <w:r>
                    <w:rPr>
                      <w:rFonts w:ascii="宋体" w:hAnsi="宋体"/>
                      <w:sz w:val="18"/>
                      <w:szCs w:val="18"/>
                    </w:rPr>
                    <w:t>（</w:t>
                  </w:r>
                  <w:r>
                    <w:rPr>
                      <w:sz w:val="18"/>
                      <w:szCs w:val="18"/>
                    </w:rPr>
                    <w:t>2</w:t>
                  </w:r>
                  <w:r>
                    <w:rPr>
                      <w:rFonts w:ascii="宋体" w:hAnsi="宋体"/>
                      <w:sz w:val="18"/>
                      <w:szCs w:val="18"/>
                    </w:rPr>
                    <w:t>）采用低噪声机械。尤其夜间严禁高噪声设备进行施工作业，必须连续施工作业的工点，按规定申领夜间施工证。</w:t>
                  </w:r>
                </w:p>
                <w:p w14:paraId="19EF5664">
                  <w:pPr>
                    <w:spacing w:line="240" w:lineRule="auto"/>
                    <w:rPr>
                      <w:sz w:val="18"/>
                      <w:szCs w:val="18"/>
                    </w:rPr>
                  </w:pPr>
                  <w:r>
                    <w:rPr>
                      <w:rFonts w:ascii="宋体" w:hAnsi="宋体"/>
                      <w:sz w:val="18"/>
                      <w:szCs w:val="18"/>
                    </w:rPr>
                    <w:t>（</w:t>
                  </w:r>
                  <w:r>
                    <w:rPr>
                      <w:sz w:val="18"/>
                      <w:szCs w:val="18"/>
                    </w:rPr>
                    <w:t>3</w:t>
                  </w:r>
                  <w:r>
                    <w:rPr>
                      <w:rFonts w:ascii="宋体" w:hAnsi="宋体"/>
                      <w:sz w:val="18"/>
                      <w:szCs w:val="18"/>
                    </w:rPr>
                    <w:t>）施工便道应合理选择，避免穿越和靠近乡镇、集中居民区、学校等敏感建筑，应尽量避免将施工营地设置在有声环境敏感点附近。</w:t>
                  </w:r>
                </w:p>
              </w:tc>
              <w:tc>
                <w:tcPr>
                  <w:tcW w:w="2919" w:type="dxa"/>
                  <w:vAlign w:val="center"/>
                </w:tcPr>
                <w:p w14:paraId="0DD20B41">
                  <w:pPr>
                    <w:spacing w:line="240" w:lineRule="auto"/>
                    <w:rPr>
                      <w:sz w:val="18"/>
                      <w:szCs w:val="18"/>
                    </w:rPr>
                  </w:pPr>
                  <w:r>
                    <w:rPr>
                      <w:rFonts w:hint="eastAsia" w:ascii="宋体" w:hAnsi="宋体"/>
                      <w:sz w:val="18"/>
                      <w:szCs w:val="18"/>
                    </w:rPr>
                    <w:t>落实。（</w:t>
                  </w:r>
                  <w:r>
                    <w:rPr>
                      <w:rFonts w:hint="eastAsia"/>
                      <w:sz w:val="18"/>
                      <w:szCs w:val="18"/>
                    </w:rPr>
                    <w:t>1</w:t>
                  </w:r>
                  <w:r>
                    <w:rPr>
                      <w:rFonts w:hint="eastAsia" w:ascii="宋体" w:hAnsi="宋体"/>
                      <w:sz w:val="18"/>
                      <w:szCs w:val="18"/>
                    </w:rPr>
                    <w:t>）本工程将合理安排施工流程和施工时间，禁止夜间施工；（</w:t>
                  </w:r>
                  <w:r>
                    <w:rPr>
                      <w:rFonts w:hint="eastAsia"/>
                      <w:sz w:val="18"/>
                      <w:szCs w:val="18"/>
                    </w:rPr>
                    <w:t>2</w:t>
                  </w:r>
                  <w:r>
                    <w:rPr>
                      <w:rFonts w:hint="eastAsia" w:ascii="宋体" w:hAnsi="宋体"/>
                      <w:sz w:val="18"/>
                      <w:szCs w:val="18"/>
                    </w:rPr>
                    <w:t>）本项目将用先进的施工工艺和低噪声施工机械，加强对各种筑路施工机械的正确操作维修、管理；（</w:t>
                  </w:r>
                  <w:r>
                    <w:rPr>
                      <w:rFonts w:hint="eastAsia"/>
                      <w:sz w:val="18"/>
                      <w:szCs w:val="18"/>
                    </w:rPr>
                    <w:t>3</w:t>
                  </w:r>
                  <w:r>
                    <w:rPr>
                      <w:rFonts w:hint="eastAsia" w:ascii="宋体" w:hAnsi="宋体"/>
                      <w:sz w:val="18"/>
                      <w:szCs w:val="18"/>
                    </w:rPr>
                    <w:t>）本工程周边</w:t>
                  </w:r>
                  <w:r>
                    <w:rPr>
                      <w:rFonts w:hint="eastAsia"/>
                      <w:sz w:val="18"/>
                      <w:szCs w:val="18"/>
                    </w:rPr>
                    <w:t>200m</w:t>
                  </w:r>
                  <w:r>
                    <w:rPr>
                      <w:rFonts w:hint="eastAsia" w:ascii="宋体" w:hAnsi="宋体"/>
                      <w:sz w:val="18"/>
                      <w:szCs w:val="18"/>
                    </w:rPr>
                    <w:t>内不存在声环境敏感点。</w:t>
                  </w:r>
                </w:p>
              </w:tc>
            </w:tr>
            <w:tr w14:paraId="12E4F9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continue"/>
                  <w:vAlign w:val="center"/>
                </w:tcPr>
                <w:p w14:paraId="6903E8A5">
                  <w:pPr>
                    <w:adjustRightInd/>
                    <w:snapToGrid/>
                    <w:spacing w:line="240" w:lineRule="auto"/>
                    <w:rPr>
                      <w:color w:val="000000"/>
                      <w:sz w:val="18"/>
                      <w:szCs w:val="18"/>
                    </w:rPr>
                  </w:pPr>
                </w:p>
              </w:tc>
              <w:tc>
                <w:tcPr>
                  <w:tcW w:w="388" w:type="dxa"/>
                  <w:vAlign w:val="center"/>
                </w:tcPr>
                <w:p w14:paraId="5600F04F">
                  <w:pPr>
                    <w:spacing w:line="240" w:lineRule="auto"/>
                    <w:jc w:val="center"/>
                    <w:rPr>
                      <w:sz w:val="18"/>
                      <w:szCs w:val="18"/>
                    </w:rPr>
                  </w:pPr>
                  <w:r>
                    <w:rPr>
                      <w:rFonts w:hint="eastAsia" w:ascii="宋体" w:hAnsi="宋体"/>
                      <w:sz w:val="18"/>
                      <w:szCs w:val="18"/>
                    </w:rPr>
                    <w:t>营运期</w:t>
                  </w:r>
                </w:p>
              </w:tc>
              <w:tc>
                <w:tcPr>
                  <w:tcW w:w="3684" w:type="dxa"/>
                  <w:vAlign w:val="center"/>
                </w:tcPr>
                <w:p w14:paraId="7D0FF5E4">
                  <w:pPr>
                    <w:spacing w:line="240" w:lineRule="auto"/>
                    <w:rPr>
                      <w:sz w:val="18"/>
                      <w:szCs w:val="18"/>
                    </w:rPr>
                  </w:pPr>
                  <w:r>
                    <w:rPr>
                      <w:rFonts w:ascii="宋体" w:hAnsi="宋体"/>
                      <w:sz w:val="18"/>
                      <w:szCs w:val="18"/>
                    </w:rPr>
                    <w:t>（</w:t>
                  </w:r>
                  <w:r>
                    <w:rPr>
                      <w:sz w:val="18"/>
                      <w:szCs w:val="18"/>
                    </w:rPr>
                    <w:t>1</w:t>
                  </w:r>
                  <w:r>
                    <w:rPr>
                      <w:rFonts w:ascii="宋体" w:hAnsi="宋体"/>
                      <w:sz w:val="18"/>
                      <w:szCs w:val="18"/>
                    </w:rPr>
                    <w:t>）在规划线路尽量远离居民点、学校等敏感保护目标，合理进行线路两侧建筑规划，面向线路第一排建筑尽量将楼梯、电梯、浴室、厨房等置于面向马路一侧。</w:t>
                  </w:r>
                </w:p>
                <w:p w14:paraId="68591AF2">
                  <w:pPr>
                    <w:spacing w:line="240" w:lineRule="auto"/>
                    <w:rPr>
                      <w:sz w:val="18"/>
                      <w:szCs w:val="18"/>
                    </w:rPr>
                  </w:pPr>
                  <w:r>
                    <w:rPr>
                      <w:rFonts w:ascii="宋体" w:hAnsi="宋体"/>
                      <w:sz w:val="18"/>
                      <w:szCs w:val="18"/>
                    </w:rPr>
                    <w:t>（</w:t>
                  </w:r>
                  <w:r>
                    <w:rPr>
                      <w:sz w:val="18"/>
                      <w:szCs w:val="18"/>
                    </w:rPr>
                    <w:t>2</w:t>
                  </w:r>
                  <w:r>
                    <w:rPr>
                      <w:rFonts w:ascii="宋体" w:hAnsi="宋体"/>
                      <w:sz w:val="18"/>
                      <w:szCs w:val="18"/>
                    </w:rPr>
                    <w:t>）优化线形、降低纵坡。对超标的敏感点路段的路面，有条件的地区采取多孔隙、沥青等低噪声路面。</w:t>
                  </w:r>
                </w:p>
                <w:p w14:paraId="3D6B9E24">
                  <w:pPr>
                    <w:spacing w:line="240" w:lineRule="auto"/>
                    <w:rPr>
                      <w:sz w:val="18"/>
                      <w:szCs w:val="18"/>
                    </w:rPr>
                  </w:pPr>
                  <w:r>
                    <w:rPr>
                      <w:rFonts w:ascii="宋体" w:hAnsi="宋体"/>
                      <w:sz w:val="18"/>
                      <w:szCs w:val="18"/>
                    </w:rPr>
                    <w:t>（</w:t>
                  </w:r>
                  <w:r>
                    <w:rPr>
                      <w:sz w:val="18"/>
                      <w:szCs w:val="18"/>
                    </w:rPr>
                    <w:t>3</w:t>
                  </w:r>
                  <w:r>
                    <w:rPr>
                      <w:rFonts w:ascii="宋体" w:hAnsi="宋体"/>
                      <w:sz w:val="18"/>
                      <w:szCs w:val="18"/>
                    </w:rPr>
                    <w:t>）预测噪声超标的敏感点中，可通过设置声屏障、设置隔声窗以及拆迁房屋等降噪措施。</w:t>
                  </w:r>
                </w:p>
                <w:p w14:paraId="649E97F4">
                  <w:pPr>
                    <w:spacing w:line="240" w:lineRule="auto"/>
                    <w:rPr>
                      <w:sz w:val="18"/>
                      <w:szCs w:val="18"/>
                    </w:rPr>
                  </w:pPr>
                  <w:r>
                    <w:rPr>
                      <w:rFonts w:ascii="宋体" w:hAnsi="宋体"/>
                      <w:sz w:val="18"/>
                      <w:szCs w:val="18"/>
                    </w:rPr>
                    <w:t>（</w:t>
                  </w:r>
                  <w:r>
                    <w:rPr>
                      <w:sz w:val="18"/>
                      <w:szCs w:val="18"/>
                    </w:rPr>
                    <w:t>4</w:t>
                  </w:r>
                  <w:r>
                    <w:rPr>
                      <w:rFonts w:ascii="宋体" w:hAnsi="宋体"/>
                      <w:sz w:val="18"/>
                      <w:szCs w:val="18"/>
                    </w:rPr>
                    <w:t>）维持路面及桥梁的平整度，对通过线路密集村庄的车辆采取禁鸣、限行、限速等措施，合理控制过往的大型货车流量、车速等，严格控制车况不符合要求的车辆上路。</w:t>
                  </w:r>
                </w:p>
              </w:tc>
              <w:tc>
                <w:tcPr>
                  <w:tcW w:w="2919" w:type="dxa"/>
                  <w:vAlign w:val="center"/>
                </w:tcPr>
                <w:p w14:paraId="3338536B">
                  <w:pPr>
                    <w:spacing w:line="240" w:lineRule="auto"/>
                    <w:rPr>
                      <w:sz w:val="18"/>
                      <w:szCs w:val="18"/>
                    </w:rPr>
                  </w:pPr>
                  <w:r>
                    <w:rPr>
                      <w:rFonts w:hint="eastAsia" w:ascii="宋体" w:hAnsi="宋体"/>
                      <w:sz w:val="18"/>
                      <w:szCs w:val="18"/>
                    </w:rPr>
                    <w:t>落实。（</w:t>
                  </w:r>
                  <w:r>
                    <w:rPr>
                      <w:rFonts w:hint="eastAsia"/>
                      <w:sz w:val="18"/>
                      <w:szCs w:val="18"/>
                    </w:rPr>
                    <w:t>1</w:t>
                  </w:r>
                  <w:r>
                    <w:rPr>
                      <w:rFonts w:hint="eastAsia" w:ascii="宋体" w:hAnsi="宋体"/>
                      <w:sz w:val="18"/>
                      <w:szCs w:val="18"/>
                    </w:rPr>
                    <w:t>）本项目周边不存在现状敏感点，远期存在规划住宅敏感点，敏感点会受到运营期噪声的影响，在设计时应该采用合理的隔声措施和建筑距离道路边线的距离；（</w:t>
                  </w:r>
                  <w:r>
                    <w:rPr>
                      <w:rFonts w:hint="eastAsia"/>
                      <w:sz w:val="18"/>
                      <w:szCs w:val="18"/>
                    </w:rPr>
                    <w:t>2</w:t>
                  </w:r>
                  <w:r>
                    <w:rPr>
                      <w:rFonts w:hint="eastAsia" w:ascii="宋体" w:hAnsi="宋体"/>
                      <w:sz w:val="18"/>
                      <w:szCs w:val="18"/>
                    </w:rPr>
                    <w:t>）本项目建设地地表平缓，道路最大纵坡为</w:t>
                  </w:r>
                  <w:r>
                    <w:rPr>
                      <w:rFonts w:hint="eastAsia"/>
                      <w:sz w:val="18"/>
                      <w:szCs w:val="18"/>
                    </w:rPr>
                    <w:t>3%</w:t>
                  </w:r>
                  <w:r>
                    <w:rPr>
                      <w:rFonts w:hint="eastAsia" w:ascii="宋体" w:hAnsi="宋体"/>
                      <w:sz w:val="18"/>
                      <w:szCs w:val="18"/>
                    </w:rPr>
                    <w:t>，采用降噪路面；</w:t>
                  </w:r>
                  <w:r>
                    <w:rPr>
                      <w:rFonts w:hint="eastAsia"/>
                      <w:sz w:val="18"/>
                      <w:szCs w:val="18"/>
                    </w:rPr>
                    <w:t>（3）</w:t>
                  </w:r>
                  <w:r>
                    <w:rPr>
                      <w:rFonts w:hint="eastAsia" w:ascii="宋体" w:hAnsi="宋体"/>
                      <w:sz w:val="18"/>
                      <w:szCs w:val="18"/>
                    </w:rPr>
                    <w:t>项目周边不存在现状敏感点；</w:t>
                  </w:r>
                  <w:r>
                    <w:rPr>
                      <w:rFonts w:hint="eastAsia"/>
                      <w:sz w:val="18"/>
                      <w:szCs w:val="18"/>
                    </w:rPr>
                    <w:t>（4）</w:t>
                  </w:r>
                  <w:r>
                    <w:rPr>
                      <w:rFonts w:hint="eastAsia" w:ascii="宋体" w:hAnsi="宋体"/>
                      <w:sz w:val="18"/>
                      <w:szCs w:val="18"/>
                    </w:rPr>
                    <w:t>运营期将根据实际情况对道路设置交通管制措施如禁鸣、限制超规车流行驶等。</w:t>
                  </w:r>
                </w:p>
              </w:tc>
            </w:tr>
            <w:tr w14:paraId="6C91E3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restart"/>
                  <w:vAlign w:val="center"/>
                </w:tcPr>
                <w:p w14:paraId="753CD91C">
                  <w:pPr>
                    <w:spacing w:line="240" w:lineRule="auto"/>
                    <w:jc w:val="center"/>
                    <w:rPr>
                      <w:sz w:val="18"/>
                      <w:szCs w:val="18"/>
                    </w:rPr>
                  </w:pPr>
                  <w:r>
                    <w:rPr>
                      <w:rFonts w:hint="eastAsia" w:ascii="宋体" w:hAnsi="宋体"/>
                      <w:sz w:val="18"/>
                      <w:szCs w:val="18"/>
                    </w:rPr>
                    <w:t>环境空气</w:t>
                  </w:r>
                </w:p>
              </w:tc>
              <w:tc>
                <w:tcPr>
                  <w:tcW w:w="388" w:type="dxa"/>
                  <w:vAlign w:val="center"/>
                </w:tcPr>
                <w:p w14:paraId="3A61F4B8">
                  <w:pPr>
                    <w:spacing w:line="240" w:lineRule="auto"/>
                    <w:jc w:val="center"/>
                    <w:rPr>
                      <w:sz w:val="18"/>
                      <w:szCs w:val="18"/>
                    </w:rPr>
                  </w:pPr>
                  <w:r>
                    <w:rPr>
                      <w:rFonts w:hint="eastAsia" w:ascii="宋体" w:hAnsi="宋体"/>
                      <w:sz w:val="18"/>
                      <w:szCs w:val="18"/>
                    </w:rPr>
                    <w:t>施工期</w:t>
                  </w:r>
                </w:p>
              </w:tc>
              <w:tc>
                <w:tcPr>
                  <w:tcW w:w="3684" w:type="dxa"/>
                  <w:vAlign w:val="center"/>
                </w:tcPr>
                <w:p w14:paraId="5AF5FFE6">
                  <w:pPr>
                    <w:spacing w:line="240" w:lineRule="auto"/>
                    <w:rPr>
                      <w:sz w:val="18"/>
                      <w:szCs w:val="18"/>
                    </w:rPr>
                  </w:pPr>
                  <w:r>
                    <w:rPr>
                      <w:rFonts w:ascii="宋体" w:hAnsi="宋体"/>
                      <w:sz w:val="18"/>
                      <w:szCs w:val="18"/>
                    </w:rPr>
                    <w:t>（</w:t>
                  </w:r>
                  <w:r>
                    <w:rPr>
                      <w:sz w:val="18"/>
                      <w:szCs w:val="18"/>
                    </w:rPr>
                    <w:t>1</w:t>
                  </w:r>
                  <w:r>
                    <w:rPr>
                      <w:rFonts w:ascii="宋体" w:hAnsi="宋体"/>
                      <w:sz w:val="18"/>
                      <w:szCs w:val="18"/>
                    </w:rPr>
                    <w:t>）施工场地应尽量远离敏感目标，采用洒水、遮盖物或喷洒覆盖剂等措施防治扬尘。</w:t>
                  </w:r>
                </w:p>
                <w:p w14:paraId="2A66F837">
                  <w:pPr>
                    <w:spacing w:line="240" w:lineRule="auto"/>
                    <w:rPr>
                      <w:sz w:val="18"/>
                      <w:szCs w:val="18"/>
                    </w:rPr>
                  </w:pPr>
                  <w:r>
                    <w:rPr>
                      <w:rFonts w:ascii="宋体" w:hAnsi="宋体"/>
                      <w:sz w:val="18"/>
                      <w:szCs w:val="18"/>
                    </w:rPr>
                    <w:t>（</w:t>
                  </w:r>
                  <w:r>
                    <w:rPr>
                      <w:sz w:val="18"/>
                      <w:szCs w:val="18"/>
                    </w:rPr>
                    <w:t>2</w:t>
                  </w:r>
                  <w:r>
                    <w:rPr>
                      <w:rFonts w:ascii="宋体" w:hAnsi="宋体"/>
                      <w:sz w:val="18"/>
                      <w:szCs w:val="18"/>
                    </w:rPr>
                    <w:t>）运送散装含尘物料的车辆，尽可能用蓬布遮盖。</w:t>
                  </w:r>
                </w:p>
                <w:p w14:paraId="4B4D31C4">
                  <w:pPr>
                    <w:spacing w:line="240" w:lineRule="auto"/>
                    <w:rPr>
                      <w:sz w:val="18"/>
                      <w:szCs w:val="18"/>
                    </w:rPr>
                  </w:pPr>
                  <w:r>
                    <w:rPr>
                      <w:rFonts w:ascii="宋体" w:hAnsi="宋体"/>
                      <w:sz w:val="18"/>
                      <w:szCs w:val="18"/>
                    </w:rPr>
                    <w:t>（</w:t>
                  </w:r>
                  <w:r>
                    <w:rPr>
                      <w:sz w:val="18"/>
                      <w:szCs w:val="18"/>
                    </w:rPr>
                    <w:t>3</w:t>
                  </w:r>
                  <w:r>
                    <w:rPr>
                      <w:rFonts w:ascii="宋体" w:hAnsi="宋体"/>
                      <w:sz w:val="18"/>
                      <w:szCs w:val="18"/>
                    </w:rPr>
                    <w:t>）鼓励外购商用混凝土，以最大程度减少对</w:t>
                  </w:r>
                  <w:r>
                    <w:rPr>
                      <w:rFonts w:hint="eastAsia" w:ascii="宋体" w:hAnsi="宋体"/>
                      <w:sz w:val="18"/>
                      <w:szCs w:val="18"/>
                    </w:rPr>
                    <w:t>生态</w:t>
                  </w:r>
                  <w:r>
                    <w:rPr>
                      <w:rFonts w:ascii="宋体" w:hAnsi="宋体"/>
                      <w:sz w:val="18"/>
                      <w:szCs w:val="18"/>
                    </w:rPr>
                    <w:t>环境造成的影响。</w:t>
                  </w:r>
                </w:p>
              </w:tc>
              <w:tc>
                <w:tcPr>
                  <w:tcW w:w="2919" w:type="dxa"/>
                  <w:vAlign w:val="center"/>
                </w:tcPr>
                <w:p w14:paraId="6B7B1999">
                  <w:pPr>
                    <w:spacing w:line="240" w:lineRule="auto"/>
                    <w:rPr>
                      <w:sz w:val="18"/>
                      <w:szCs w:val="18"/>
                      <w:highlight w:val="yellow"/>
                    </w:rPr>
                  </w:pPr>
                  <w:r>
                    <w:rPr>
                      <w:rFonts w:hint="eastAsia" w:ascii="宋体" w:hAnsi="宋体"/>
                      <w:sz w:val="18"/>
                      <w:szCs w:val="18"/>
                    </w:rPr>
                    <w:t>落实。（</w:t>
                  </w:r>
                  <w:r>
                    <w:rPr>
                      <w:rFonts w:hint="eastAsia"/>
                      <w:sz w:val="18"/>
                      <w:szCs w:val="18"/>
                    </w:rPr>
                    <w:t>1</w:t>
                  </w:r>
                  <w:r>
                    <w:rPr>
                      <w:rFonts w:hint="eastAsia" w:ascii="宋体" w:hAnsi="宋体"/>
                      <w:sz w:val="18"/>
                      <w:szCs w:val="18"/>
                    </w:rPr>
                    <w:t>）本工程周边不存在现状敏感点，针对周边生态环境将采取一定的除尘措施；（</w:t>
                  </w:r>
                  <w:r>
                    <w:rPr>
                      <w:rFonts w:hint="eastAsia"/>
                      <w:sz w:val="18"/>
                      <w:szCs w:val="18"/>
                    </w:rPr>
                    <w:t>2</w:t>
                  </w:r>
                  <w:r>
                    <w:rPr>
                      <w:rFonts w:hint="eastAsia" w:ascii="宋体" w:hAnsi="宋体"/>
                      <w:sz w:val="18"/>
                      <w:szCs w:val="18"/>
                    </w:rPr>
                    <w:t>）将对运送物料的大货车采取篷布遮盖等管理措施；（</w:t>
                  </w:r>
                  <w:r>
                    <w:rPr>
                      <w:rFonts w:hint="eastAsia"/>
                      <w:sz w:val="18"/>
                      <w:szCs w:val="18"/>
                    </w:rPr>
                    <w:t>3</w:t>
                  </w:r>
                  <w:r>
                    <w:rPr>
                      <w:rFonts w:hint="eastAsia" w:ascii="宋体" w:hAnsi="宋体"/>
                      <w:sz w:val="18"/>
                      <w:szCs w:val="18"/>
                    </w:rPr>
                    <w:t>）本工程不设置拌合站和预制场，混凝土为商购。</w:t>
                  </w:r>
                </w:p>
              </w:tc>
            </w:tr>
            <w:tr w14:paraId="406778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continue"/>
                  <w:vAlign w:val="center"/>
                </w:tcPr>
                <w:p w14:paraId="33E1600D">
                  <w:pPr>
                    <w:adjustRightInd/>
                    <w:snapToGrid/>
                    <w:spacing w:line="240" w:lineRule="auto"/>
                    <w:rPr>
                      <w:color w:val="000000"/>
                      <w:sz w:val="18"/>
                      <w:szCs w:val="18"/>
                    </w:rPr>
                  </w:pPr>
                </w:p>
              </w:tc>
              <w:tc>
                <w:tcPr>
                  <w:tcW w:w="388" w:type="dxa"/>
                  <w:vAlign w:val="center"/>
                </w:tcPr>
                <w:p w14:paraId="682E96AE">
                  <w:pPr>
                    <w:spacing w:line="240" w:lineRule="auto"/>
                    <w:jc w:val="center"/>
                    <w:rPr>
                      <w:sz w:val="18"/>
                      <w:szCs w:val="18"/>
                    </w:rPr>
                  </w:pPr>
                  <w:r>
                    <w:rPr>
                      <w:rFonts w:hint="eastAsia" w:ascii="宋体" w:hAnsi="宋体"/>
                      <w:sz w:val="18"/>
                      <w:szCs w:val="18"/>
                    </w:rPr>
                    <w:t>营运期</w:t>
                  </w:r>
                </w:p>
              </w:tc>
              <w:tc>
                <w:tcPr>
                  <w:tcW w:w="3684" w:type="dxa"/>
                  <w:vAlign w:val="center"/>
                </w:tcPr>
                <w:p w14:paraId="5E5787BF">
                  <w:pPr>
                    <w:spacing w:line="240" w:lineRule="auto"/>
                    <w:rPr>
                      <w:sz w:val="18"/>
                      <w:szCs w:val="18"/>
                    </w:rPr>
                  </w:pPr>
                  <w:r>
                    <w:rPr>
                      <w:rFonts w:ascii="宋体" w:hAnsi="宋体"/>
                      <w:sz w:val="18"/>
                      <w:szCs w:val="18"/>
                    </w:rPr>
                    <w:t>（</w:t>
                  </w:r>
                  <w:r>
                    <w:rPr>
                      <w:sz w:val="18"/>
                      <w:szCs w:val="18"/>
                    </w:rPr>
                    <w:t>1</w:t>
                  </w:r>
                  <w:r>
                    <w:rPr>
                      <w:rFonts w:ascii="宋体" w:hAnsi="宋体"/>
                      <w:sz w:val="18"/>
                      <w:szCs w:val="18"/>
                    </w:rPr>
                    <w:t>）加强交通运输管理，抽查汽车尾气排放合格证，禁止尾气超标车辆上路行驶。</w:t>
                  </w:r>
                </w:p>
                <w:p w14:paraId="5EFF91DC">
                  <w:pPr>
                    <w:spacing w:line="240" w:lineRule="auto"/>
                    <w:rPr>
                      <w:sz w:val="18"/>
                      <w:szCs w:val="18"/>
                    </w:rPr>
                  </w:pPr>
                  <w:r>
                    <w:rPr>
                      <w:rFonts w:ascii="宋体" w:hAnsi="宋体"/>
                      <w:sz w:val="18"/>
                      <w:szCs w:val="18"/>
                    </w:rPr>
                    <w:t>（</w:t>
                  </w:r>
                  <w:r>
                    <w:rPr>
                      <w:sz w:val="18"/>
                      <w:szCs w:val="18"/>
                    </w:rPr>
                    <w:t>2</w:t>
                  </w:r>
                  <w:r>
                    <w:rPr>
                      <w:rFonts w:ascii="宋体" w:hAnsi="宋体"/>
                      <w:sz w:val="18"/>
                      <w:szCs w:val="18"/>
                    </w:rPr>
                    <w:t>）加强道路两侧绿化带管理，以控制废气向周围环境扩散。</w:t>
                  </w:r>
                </w:p>
              </w:tc>
              <w:tc>
                <w:tcPr>
                  <w:tcW w:w="2919" w:type="dxa"/>
                  <w:vAlign w:val="center"/>
                </w:tcPr>
                <w:p w14:paraId="0D8B9F35">
                  <w:pPr>
                    <w:spacing w:line="240" w:lineRule="auto"/>
                    <w:rPr>
                      <w:sz w:val="18"/>
                      <w:szCs w:val="18"/>
                    </w:rPr>
                  </w:pPr>
                  <w:r>
                    <w:rPr>
                      <w:rFonts w:hint="eastAsia" w:ascii="宋体" w:hAnsi="宋体"/>
                      <w:sz w:val="18"/>
                      <w:szCs w:val="18"/>
                    </w:rPr>
                    <w:t>落实。本工程建设将加强道路绿化建设，设置行道树等绿化屏障，同时建议实施上路车辆的达标管理制度，对于排放不达标的车辆不允许其上路。</w:t>
                  </w:r>
                </w:p>
              </w:tc>
            </w:tr>
            <w:tr w14:paraId="09AB73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Align w:val="center"/>
                </w:tcPr>
                <w:p w14:paraId="5C8725A3">
                  <w:pPr>
                    <w:spacing w:line="240" w:lineRule="auto"/>
                    <w:jc w:val="center"/>
                    <w:rPr>
                      <w:sz w:val="18"/>
                      <w:szCs w:val="18"/>
                    </w:rPr>
                  </w:pPr>
                  <w:r>
                    <w:rPr>
                      <w:rFonts w:hint="eastAsia" w:ascii="宋体" w:hAnsi="宋体"/>
                      <w:sz w:val="18"/>
                      <w:szCs w:val="18"/>
                    </w:rPr>
                    <w:t>固体废物</w:t>
                  </w:r>
                </w:p>
              </w:tc>
              <w:tc>
                <w:tcPr>
                  <w:tcW w:w="388" w:type="dxa"/>
                  <w:vAlign w:val="center"/>
                </w:tcPr>
                <w:p w14:paraId="47BBB535">
                  <w:pPr>
                    <w:spacing w:line="240" w:lineRule="auto"/>
                    <w:jc w:val="center"/>
                    <w:rPr>
                      <w:sz w:val="18"/>
                      <w:szCs w:val="18"/>
                    </w:rPr>
                  </w:pPr>
                </w:p>
              </w:tc>
              <w:tc>
                <w:tcPr>
                  <w:tcW w:w="3684" w:type="dxa"/>
                  <w:vAlign w:val="center"/>
                </w:tcPr>
                <w:p w14:paraId="072387AD">
                  <w:pPr>
                    <w:spacing w:line="240" w:lineRule="auto"/>
                    <w:rPr>
                      <w:sz w:val="18"/>
                      <w:szCs w:val="18"/>
                    </w:rPr>
                  </w:pPr>
                  <w:r>
                    <w:rPr>
                      <w:rFonts w:ascii="宋体" w:hAnsi="宋体"/>
                      <w:sz w:val="18"/>
                      <w:szCs w:val="18"/>
                    </w:rPr>
                    <w:t>（</w:t>
                  </w:r>
                  <w:r>
                    <w:rPr>
                      <w:sz w:val="18"/>
                      <w:szCs w:val="18"/>
                    </w:rPr>
                    <w:t>1</w:t>
                  </w:r>
                  <w:r>
                    <w:rPr>
                      <w:rFonts w:ascii="宋体" w:hAnsi="宋体"/>
                      <w:sz w:val="18"/>
                      <w:szCs w:val="18"/>
                    </w:rPr>
                    <w:t>）生活垃圾收集后纳入城镇垃圾收集处理系统。</w:t>
                  </w:r>
                </w:p>
                <w:p w14:paraId="7918AE05">
                  <w:pPr>
                    <w:spacing w:line="240" w:lineRule="auto"/>
                    <w:rPr>
                      <w:sz w:val="18"/>
                      <w:szCs w:val="18"/>
                    </w:rPr>
                  </w:pPr>
                  <w:r>
                    <w:rPr>
                      <w:rFonts w:ascii="宋体" w:hAnsi="宋体"/>
                      <w:sz w:val="18"/>
                      <w:szCs w:val="18"/>
                    </w:rPr>
                    <w:t>（</w:t>
                  </w:r>
                  <w:r>
                    <w:rPr>
                      <w:sz w:val="18"/>
                      <w:szCs w:val="18"/>
                    </w:rPr>
                    <w:t>2</w:t>
                  </w:r>
                  <w:r>
                    <w:rPr>
                      <w:rFonts w:ascii="宋体" w:hAnsi="宋体"/>
                      <w:sz w:val="18"/>
                      <w:szCs w:val="18"/>
                    </w:rPr>
                    <w:t>）一般工业固废：在清洁生产的基础上，做好固体废物回收综合利用工作。生活污水处理站污泥及化粪池污泥则可纳入附近城镇环卫系统集中处理。油污水处理设施污泥量属危险固废，应委托具有资质的废油回收处理有限公司进行收集、储运、处理和处置。</w:t>
                  </w:r>
                </w:p>
                <w:p w14:paraId="42D8DC2B">
                  <w:pPr>
                    <w:spacing w:line="240" w:lineRule="auto"/>
                    <w:rPr>
                      <w:sz w:val="18"/>
                      <w:szCs w:val="18"/>
                    </w:rPr>
                  </w:pPr>
                  <w:r>
                    <w:rPr>
                      <w:rFonts w:ascii="宋体" w:hAnsi="宋体"/>
                      <w:sz w:val="18"/>
                      <w:szCs w:val="18"/>
                    </w:rPr>
                    <w:t>（</w:t>
                  </w:r>
                  <w:r>
                    <w:rPr>
                      <w:sz w:val="18"/>
                      <w:szCs w:val="18"/>
                    </w:rPr>
                    <w:t>3</w:t>
                  </w:r>
                  <w:r>
                    <w:rPr>
                      <w:rFonts w:ascii="宋体" w:hAnsi="宋体"/>
                      <w:sz w:val="18"/>
                      <w:szCs w:val="18"/>
                    </w:rPr>
                    <w:t>）建筑垃圾：将弃土用于航道堤岸、工程建筑、道路及农田改造等。</w:t>
                  </w:r>
                </w:p>
              </w:tc>
              <w:tc>
                <w:tcPr>
                  <w:tcW w:w="2919" w:type="dxa"/>
                  <w:vAlign w:val="center"/>
                </w:tcPr>
                <w:p w14:paraId="14833C42">
                  <w:pPr>
                    <w:spacing w:line="240" w:lineRule="auto"/>
                    <w:rPr>
                      <w:sz w:val="18"/>
                      <w:szCs w:val="18"/>
                    </w:rPr>
                  </w:pPr>
                  <w:r>
                    <w:rPr>
                      <w:rFonts w:hint="eastAsia" w:ascii="宋体" w:hAnsi="宋体"/>
                      <w:sz w:val="18"/>
                      <w:szCs w:val="18"/>
                    </w:rPr>
                    <w:t>落实。（</w:t>
                  </w:r>
                  <w:r>
                    <w:rPr>
                      <w:rFonts w:hint="eastAsia"/>
                      <w:sz w:val="18"/>
                      <w:szCs w:val="18"/>
                    </w:rPr>
                    <w:t>1</w:t>
                  </w:r>
                  <w:r>
                    <w:rPr>
                      <w:rFonts w:hint="eastAsia" w:ascii="宋体" w:hAnsi="宋体"/>
                      <w:sz w:val="18"/>
                      <w:szCs w:val="18"/>
                    </w:rPr>
                    <w:t>）本项目生活垃圾由当地环卫部门统一清运；本项目施工产生的余方外运至固定处置场所进行处置；（</w:t>
                  </w:r>
                  <w:r>
                    <w:rPr>
                      <w:rFonts w:hint="eastAsia"/>
                      <w:sz w:val="18"/>
                      <w:szCs w:val="18"/>
                    </w:rPr>
                    <w:t>2</w:t>
                  </w:r>
                  <w:r>
                    <w:rPr>
                      <w:rFonts w:hint="eastAsia" w:ascii="宋体" w:hAnsi="宋体"/>
                      <w:sz w:val="18"/>
                      <w:szCs w:val="18"/>
                    </w:rPr>
                    <w:t>）本项目施工产生的一般工业固废建筑垃圾按照钱塘区出具的建筑垃圾处理方案备案并进行处理。</w:t>
                  </w:r>
                </w:p>
              </w:tc>
            </w:tr>
            <w:tr w14:paraId="40EA01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restart"/>
                  <w:vAlign w:val="center"/>
                </w:tcPr>
                <w:p w14:paraId="1171AF87">
                  <w:pPr>
                    <w:spacing w:line="240" w:lineRule="auto"/>
                    <w:jc w:val="center"/>
                    <w:rPr>
                      <w:sz w:val="18"/>
                      <w:szCs w:val="18"/>
                    </w:rPr>
                  </w:pPr>
                  <w:r>
                    <w:rPr>
                      <w:rFonts w:hint="eastAsia" w:ascii="宋体" w:hAnsi="宋体"/>
                      <w:sz w:val="18"/>
                      <w:szCs w:val="18"/>
                    </w:rPr>
                    <w:t>社会环境</w:t>
                  </w:r>
                </w:p>
              </w:tc>
              <w:tc>
                <w:tcPr>
                  <w:tcW w:w="388" w:type="dxa"/>
                  <w:vAlign w:val="center"/>
                </w:tcPr>
                <w:p w14:paraId="51678DE2">
                  <w:pPr>
                    <w:spacing w:line="240" w:lineRule="auto"/>
                    <w:jc w:val="center"/>
                    <w:rPr>
                      <w:sz w:val="18"/>
                      <w:szCs w:val="18"/>
                    </w:rPr>
                  </w:pPr>
                  <w:r>
                    <w:rPr>
                      <w:rFonts w:hint="eastAsia" w:ascii="宋体" w:hAnsi="宋体"/>
                      <w:sz w:val="18"/>
                      <w:szCs w:val="18"/>
                    </w:rPr>
                    <w:t>施工期</w:t>
                  </w:r>
                </w:p>
              </w:tc>
              <w:tc>
                <w:tcPr>
                  <w:tcW w:w="3684" w:type="dxa"/>
                  <w:vAlign w:val="center"/>
                </w:tcPr>
                <w:p w14:paraId="0CBAE7A7">
                  <w:pPr>
                    <w:spacing w:line="240" w:lineRule="auto"/>
                    <w:rPr>
                      <w:sz w:val="18"/>
                      <w:szCs w:val="18"/>
                    </w:rPr>
                  </w:pPr>
                  <w:r>
                    <w:rPr>
                      <w:rFonts w:ascii="宋体" w:hAnsi="宋体"/>
                      <w:sz w:val="18"/>
                      <w:szCs w:val="18"/>
                    </w:rPr>
                    <w:t>（</w:t>
                  </w:r>
                  <w:r>
                    <w:rPr>
                      <w:sz w:val="18"/>
                      <w:szCs w:val="18"/>
                    </w:rPr>
                    <w:t>1</w:t>
                  </w:r>
                  <w:r>
                    <w:rPr>
                      <w:rFonts w:ascii="宋体" w:hAnsi="宋体"/>
                      <w:sz w:val="18"/>
                      <w:szCs w:val="18"/>
                    </w:rPr>
                    <w:t>）工程应减少对电力、用水及通讯事业的干扰，避免造成严重的停电、停水或通讯中断事故。</w:t>
                  </w:r>
                </w:p>
                <w:p w14:paraId="7955AF41">
                  <w:pPr>
                    <w:spacing w:line="240" w:lineRule="auto"/>
                    <w:rPr>
                      <w:sz w:val="18"/>
                      <w:szCs w:val="18"/>
                    </w:rPr>
                  </w:pPr>
                  <w:r>
                    <w:rPr>
                      <w:rFonts w:ascii="宋体" w:hAnsi="宋体"/>
                      <w:sz w:val="18"/>
                      <w:szCs w:val="18"/>
                    </w:rPr>
                    <w:t>（</w:t>
                  </w:r>
                  <w:r>
                    <w:rPr>
                      <w:sz w:val="18"/>
                      <w:szCs w:val="18"/>
                    </w:rPr>
                    <w:t>2</w:t>
                  </w:r>
                  <w:r>
                    <w:rPr>
                      <w:rFonts w:ascii="宋体" w:hAnsi="宋体"/>
                      <w:sz w:val="18"/>
                      <w:szCs w:val="18"/>
                    </w:rPr>
                    <w:t>）合理征地。尽量利用废弃地、荒山和坡地，原则上不得占用农田。</w:t>
                  </w:r>
                </w:p>
                <w:p w14:paraId="67315CA7">
                  <w:pPr>
                    <w:spacing w:line="240" w:lineRule="auto"/>
                    <w:rPr>
                      <w:sz w:val="18"/>
                      <w:szCs w:val="18"/>
                    </w:rPr>
                  </w:pPr>
                  <w:r>
                    <w:rPr>
                      <w:rFonts w:ascii="宋体" w:hAnsi="宋体"/>
                      <w:sz w:val="18"/>
                      <w:szCs w:val="18"/>
                    </w:rPr>
                    <w:t>（</w:t>
                  </w:r>
                  <w:r>
                    <w:rPr>
                      <w:sz w:val="18"/>
                      <w:szCs w:val="18"/>
                    </w:rPr>
                    <w:t>3</w:t>
                  </w:r>
                  <w:r>
                    <w:rPr>
                      <w:rFonts w:ascii="宋体" w:hAnsi="宋体"/>
                      <w:sz w:val="18"/>
                      <w:szCs w:val="18"/>
                    </w:rPr>
                    <w:t>）做好文保单位避让工作，禁止在文物单位保护区内建设，尽量避开在建设控制地带内建设。若需涉及在文保单位建设控制地带内的需征求当地文物保护部门意见，经批准后方能施工。一旦发现地下未明文物保护情况，及时报告文物部门，进行抢救性发掘。</w:t>
                  </w:r>
                </w:p>
                <w:p w14:paraId="6BBC5F3D">
                  <w:pPr>
                    <w:spacing w:line="240" w:lineRule="auto"/>
                    <w:rPr>
                      <w:sz w:val="18"/>
                      <w:szCs w:val="18"/>
                    </w:rPr>
                  </w:pPr>
                  <w:r>
                    <w:rPr>
                      <w:rFonts w:ascii="宋体" w:hAnsi="宋体"/>
                      <w:sz w:val="18"/>
                      <w:szCs w:val="18"/>
                    </w:rPr>
                    <w:t>（</w:t>
                  </w:r>
                  <w:r>
                    <w:rPr>
                      <w:sz w:val="18"/>
                      <w:szCs w:val="18"/>
                    </w:rPr>
                    <w:t>4</w:t>
                  </w:r>
                  <w:r>
                    <w:rPr>
                      <w:rFonts w:ascii="宋体" w:hAnsi="宋体"/>
                      <w:sz w:val="18"/>
                      <w:szCs w:val="18"/>
                    </w:rPr>
                    <w:t>）做优化选线，对矿产资源尽量避让，不能避让的须按照相关法律法规要求征得主管部门同意，办理相关手续，确保对矿产资源影响降到最低。</w:t>
                  </w:r>
                </w:p>
              </w:tc>
              <w:tc>
                <w:tcPr>
                  <w:tcW w:w="2919" w:type="dxa"/>
                  <w:vAlign w:val="center"/>
                </w:tcPr>
                <w:p w14:paraId="349E8891">
                  <w:pPr>
                    <w:spacing w:line="240" w:lineRule="auto"/>
                    <w:rPr>
                      <w:sz w:val="18"/>
                      <w:szCs w:val="18"/>
                    </w:rPr>
                  </w:pPr>
                  <w:r>
                    <w:rPr>
                      <w:rFonts w:hint="eastAsia" w:ascii="宋体" w:hAnsi="宋体"/>
                      <w:sz w:val="18"/>
                      <w:szCs w:val="18"/>
                    </w:rPr>
                    <w:t>落实。</w:t>
                  </w:r>
                  <w:r>
                    <w:rPr>
                      <w:rFonts w:hint="eastAsia"/>
                      <w:sz w:val="18"/>
                      <w:szCs w:val="18"/>
                    </w:rPr>
                    <w:t>（1）</w:t>
                  </w:r>
                  <w:r>
                    <w:rPr>
                      <w:rFonts w:hint="eastAsia" w:ascii="宋体" w:hAnsi="宋体"/>
                      <w:sz w:val="18"/>
                      <w:szCs w:val="18"/>
                    </w:rPr>
                    <w:t>本项目不会对电力、用水等产生严重影响；</w:t>
                  </w:r>
                  <w:r>
                    <w:rPr>
                      <w:rFonts w:hint="eastAsia"/>
                      <w:sz w:val="18"/>
                      <w:szCs w:val="18"/>
                    </w:rPr>
                    <w:t>（2）</w:t>
                  </w:r>
                  <w:r>
                    <w:rPr>
                      <w:rFonts w:hint="eastAsia" w:ascii="宋体" w:hAnsi="宋体"/>
                      <w:sz w:val="18"/>
                      <w:szCs w:val="18"/>
                    </w:rPr>
                    <w:t>本项目不涉及拆迁安置，项目用地已取得建设项目用地预审与选址意见书；</w:t>
                  </w:r>
                  <w:r>
                    <w:rPr>
                      <w:rFonts w:hint="eastAsia"/>
                      <w:sz w:val="18"/>
                      <w:szCs w:val="18"/>
                    </w:rPr>
                    <w:t>（3）</w:t>
                  </w:r>
                  <w:r>
                    <w:rPr>
                      <w:rFonts w:hint="eastAsia" w:ascii="宋体" w:hAnsi="宋体"/>
                      <w:sz w:val="18"/>
                      <w:szCs w:val="18"/>
                    </w:rPr>
                    <w:t>项目不涉及文保单位；（</w:t>
                  </w:r>
                  <w:r>
                    <w:rPr>
                      <w:rFonts w:hint="eastAsia"/>
                      <w:sz w:val="18"/>
                      <w:szCs w:val="18"/>
                    </w:rPr>
                    <w:t>4</w:t>
                  </w:r>
                  <w:r>
                    <w:rPr>
                      <w:rFonts w:hint="eastAsia" w:ascii="宋体" w:hAnsi="宋体"/>
                      <w:sz w:val="18"/>
                      <w:szCs w:val="18"/>
                    </w:rPr>
                    <w:t>）项目不涉及矿产资源。</w:t>
                  </w:r>
                </w:p>
              </w:tc>
            </w:tr>
            <w:tr w14:paraId="353940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Merge w:val="continue"/>
                  <w:vAlign w:val="center"/>
                </w:tcPr>
                <w:p w14:paraId="6C4C9CD4">
                  <w:pPr>
                    <w:adjustRightInd/>
                    <w:snapToGrid/>
                    <w:spacing w:line="240" w:lineRule="auto"/>
                    <w:rPr>
                      <w:color w:val="000000"/>
                      <w:sz w:val="18"/>
                      <w:szCs w:val="18"/>
                    </w:rPr>
                  </w:pPr>
                </w:p>
              </w:tc>
              <w:tc>
                <w:tcPr>
                  <w:tcW w:w="388" w:type="dxa"/>
                  <w:vAlign w:val="center"/>
                </w:tcPr>
                <w:p w14:paraId="52296514">
                  <w:pPr>
                    <w:spacing w:line="240" w:lineRule="auto"/>
                    <w:jc w:val="center"/>
                    <w:rPr>
                      <w:sz w:val="18"/>
                      <w:szCs w:val="18"/>
                    </w:rPr>
                  </w:pPr>
                  <w:r>
                    <w:rPr>
                      <w:rFonts w:hint="eastAsia" w:ascii="宋体" w:hAnsi="宋体"/>
                      <w:sz w:val="18"/>
                      <w:szCs w:val="18"/>
                    </w:rPr>
                    <w:t>营运期</w:t>
                  </w:r>
                </w:p>
              </w:tc>
              <w:tc>
                <w:tcPr>
                  <w:tcW w:w="3684" w:type="dxa"/>
                  <w:vAlign w:val="center"/>
                </w:tcPr>
                <w:p w14:paraId="1917980B">
                  <w:pPr>
                    <w:spacing w:line="240" w:lineRule="auto"/>
                    <w:rPr>
                      <w:sz w:val="18"/>
                      <w:szCs w:val="18"/>
                    </w:rPr>
                  </w:pPr>
                  <w:r>
                    <w:rPr>
                      <w:rFonts w:ascii="宋体" w:hAnsi="宋体"/>
                      <w:sz w:val="18"/>
                      <w:szCs w:val="18"/>
                    </w:rPr>
                    <w:t>（</w:t>
                  </w:r>
                  <w:r>
                    <w:rPr>
                      <w:sz w:val="18"/>
                      <w:szCs w:val="18"/>
                    </w:rPr>
                    <w:t>1</w:t>
                  </w:r>
                  <w:r>
                    <w:rPr>
                      <w:rFonts w:ascii="宋体" w:hAnsi="宋体"/>
                      <w:sz w:val="18"/>
                      <w:szCs w:val="18"/>
                    </w:rPr>
                    <w:t>）经过</w:t>
                  </w:r>
                  <w:r>
                    <w:rPr>
                      <w:sz w:val="18"/>
                      <w:szCs w:val="18"/>
                    </w:rPr>
                    <w:t>“</w:t>
                  </w:r>
                  <w:r>
                    <w:rPr>
                      <w:rFonts w:ascii="宋体" w:hAnsi="宋体"/>
                      <w:sz w:val="18"/>
                      <w:szCs w:val="18"/>
                    </w:rPr>
                    <w:t>城镇集中区</w:t>
                  </w:r>
                  <w:r>
                    <w:rPr>
                      <w:sz w:val="18"/>
                      <w:szCs w:val="18"/>
                    </w:rPr>
                    <w:t>”</w:t>
                  </w:r>
                  <w:r>
                    <w:rPr>
                      <w:rFonts w:ascii="宋体" w:hAnsi="宋体"/>
                      <w:sz w:val="18"/>
                      <w:szCs w:val="18"/>
                    </w:rPr>
                    <w:t>的规划项目，施工期间在临时道路上应设置安全标志，在施工便道距离居民集中居住点较近处，设置交通安全岗，预防交通事故发生。</w:t>
                  </w:r>
                </w:p>
                <w:p w14:paraId="3930A76D">
                  <w:pPr>
                    <w:spacing w:line="240" w:lineRule="auto"/>
                    <w:rPr>
                      <w:sz w:val="18"/>
                      <w:szCs w:val="18"/>
                    </w:rPr>
                  </w:pPr>
                  <w:r>
                    <w:rPr>
                      <w:rFonts w:ascii="宋体" w:hAnsi="宋体"/>
                      <w:sz w:val="18"/>
                      <w:szCs w:val="18"/>
                    </w:rPr>
                    <w:t>（</w:t>
                  </w:r>
                  <w:r>
                    <w:rPr>
                      <w:sz w:val="18"/>
                      <w:szCs w:val="18"/>
                    </w:rPr>
                    <w:t>2</w:t>
                  </w:r>
                  <w:r>
                    <w:rPr>
                      <w:rFonts w:ascii="宋体" w:hAnsi="宋体"/>
                      <w:sz w:val="18"/>
                      <w:szCs w:val="18"/>
                    </w:rPr>
                    <w:t>）运输筑路材料的线路和时间尽量避免交通高峰时间停止或减少车辆运输。施工期主要运输通道（临时设置）应远离居民区。</w:t>
                  </w:r>
                </w:p>
                <w:p w14:paraId="1A93DABD">
                  <w:pPr>
                    <w:spacing w:line="240" w:lineRule="auto"/>
                    <w:rPr>
                      <w:sz w:val="18"/>
                      <w:szCs w:val="18"/>
                    </w:rPr>
                  </w:pPr>
                  <w:r>
                    <w:rPr>
                      <w:rFonts w:ascii="宋体" w:hAnsi="宋体"/>
                      <w:sz w:val="18"/>
                      <w:szCs w:val="18"/>
                    </w:rPr>
                    <w:t>（</w:t>
                  </w:r>
                  <w:r>
                    <w:rPr>
                      <w:sz w:val="18"/>
                      <w:szCs w:val="18"/>
                    </w:rPr>
                    <w:t>3</w:t>
                  </w:r>
                  <w:r>
                    <w:rPr>
                      <w:rFonts w:ascii="宋体" w:hAnsi="宋体"/>
                      <w:sz w:val="18"/>
                      <w:szCs w:val="18"/>
                    </w:rPr>
                    <w:t>）减少电力、用水、通讯设施等公用设施拆迁，必需拆迁，先修建替代设施后再进行拆除。</w:t>
                  </w:r>
                </w:p>
                <w:p w14:paraId="353B4BD8">
                  <w:pPr>
                    <w:spacing w:line="240" w:lineRule="auto"/>
                    <w:rPr>
                      <w:sz w:val="18"/>
                      <w:szCs w:val="18"/>
                    </w:rPr>
                  </w:pPr>
                  <w:r>
                    <w:rPr>
                      <w:rFonts w:ascii="宋体" w:hAnsi="宋体"/>
                      <w:sz w:val="18"/>
                      <w:szCs w:val="18"/>
                    </w:rPr>
                    <w:t>（</w:t>
                  </w:r>
                  <w:r>
                    <w:rPr>
                      <w:sz w:val="18"/>
                      <w:szCs w:val="18"/>
                    </w:rPr>
                    <w:t>4</w:t>
                  </w:r>
                  <w:r>
                    <w:rPr>
                      <w:rFonts w:ascii="宋体" w:hAnsi="宋体"/>
                      <w:sz w:val="18"/>
                      <w:szCs w:val="18"/>
                    </w:rPr>
                    <w:t>）对于工程征地、拆迁的，将根据国家、地方相关文件做好补偿、安置，不得随意占用农田。施工临时占用耕地的，应将剥离表层土临时堆放，并加以防护，待施工完毕后恢复原有土地类型。</w:t>
                  </w:r>
                </w:p>
              </w:tc>
              <w:tc>
                <w:tcPr>
                  <w:tcW w:w="2919" w:type="dxa"/>
                  <w:vAlign w:val="center"/>
                </w:tcPr>
                <w:p w14:paraId="3ED96660">
                  <w:pPr>
                    <w:spacing w:line="240" w:lineRule="auto"/>
                    <w:rPr>
                      <w:sz w:val="18"/>
                      <w:szCs w:val="18"/>
                    </w:rPr>
                  </w:pPr>
                  <w:r>
                    <w:rPr>
                      <w:rFonts w:hint="eastAsia" w:ascii="宋体" w:hAnsi="宋体"/>
                      <w:sz w:val="18"/>
                      <w:szCs w:val="18"/>
                    </w:rPr>
                    <w:t>落实。</w:t>
                  </w:r>
                  <w:r>
                    <w:rPr>
                      <w:rFonts w:hint="eastAsia"/>
                      <w:sz w:val="18"/>
                      <w:szCs w:val="18"/>
                    </w:rPr>
                    <w:t>（1）</w:t>
                  </w:r>
                  <w:r>
                    <w:rPr>
                      <w:rFonts w:hint="eastAsia" w:ascii="宋体" w:hAnsi="宋体"/>
                      <w:sz w:val="18"/>
                      <w:szCs w:val="18"/>
                    </w:rPr>
                    <w:t>本项目不位于城镇集中区；</w:t>
                  </w:r>
                  <w:r>
                    <w:rPr>
                      <w:rFonts w:hint="eastAsia"/>
                      <w:sz w:val="18"/>
                      <w:szCs w:val="18"/>
                    </w:rPr>
                    <w:t>（2）本工程将合理安排运输时间；（3）本工程不涉及对电力、用水、通讯设备的占用拆迁；（4）</w:t>
                  </w:r>
                  <w:r>
                    <w:rPr>
                      <w:rFonts w:hint="eastAsia" w:ascii="宋体" w:hAnsi="宋体"/>
                      <w:sz w:val="18"/>
                      <w:szCs w:val="18"/>
                    </w:rPr>
                    <w:t>本项目对征地拆迁已取得相关批准以及补偿、安置工作。</w:t>
                  </w:r>
                </w:p>
              </w:tc>
            </w:tr>
            <w:tr w14:paraId="2E6A2B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2" w:type="dxa"/>
                  <w:vAlign w:val="center"/>
                </w:tcPr>
                <w:p w14:paraId="7070119C">
                  <w:pPr>
                    <w:spacing w:line="240" w:lineRule="auto"/>
                    <w:jc w:val="center"/>
                    <w:rPr>
                      <w:sz w:val="18"/>
                      <w:szCs w:val="18"/>
                    </w:rPr>
                  </w:pPr>
                  <w:r>
                    <w:rPr>
                      <w:rFonts w:hint="eastAsia" w:ascii="宋体" w:hAnsi="宋体"/>
                      <w:sz w:val="18"/>
                      <w:szCs w:val="18"/>
                    </w:rPr>
                    <w:t>环境风险</w:t>
                  </w:r>
                </w:p>
              </w:tc>
              <w:tc>
                <w:tcPr>
                  <w:tcW w:w="388" w:type="dxa"/>
                  <w:vAlign w:val="center"/>
                </w:tcPr>
                <w:p w14:paraId="16607A52">
                  <w:pPr>
                    <w:spacing w:line="240" w:lineRule="auto"/>
                    <w:jc w:val="center"/>
                    <w:rPr>
                      <w:sz w:val="18"/>
                      <w:szCs w:val="18"/>
                    </w:rPr>
                  </w:pPr>
                  <w:r>
                    <w:rPr>
                      <w:rFonts w:hint="eastAsia" w:ascii="宋体" w:hAnsi="宋体"/>
                      <w:sz w:val="18"/>
                      <w:szCs w:val="18"/>
                    </w:rPr>
                    <w:t>公路项目营运期</w:t>
                  </w:r>
                </w:p>
              </w:tc>
              <w:tc>
                <w:tcPr>
                  <w:tcW w:w="3684" w:type="dxa"/>
                  <w:vAlign w:val="center"/>
                </w:tcPr>
                <w:p w14:paraId="0E415DF4">
                  <w:pPr>
                    <w:spacing w:line="240" w:lineRule="auto"/>
                    <w:rPr>
                      <w:sz w:val="18"/>
                      <w:szCs w:val="18"/>
                    </w:rPr>
                  </w:pPr>
                  <w:r>
                    <w:rPr>
                      <w:rFonts w:ascii="宋体" w:hAnsi="宋体"/>
                      <w:sz w:val="18"/>
                      <w:szCs w:val="18"/>
                    </w:rPr>
                    <w:t>（</w:t>
                  </w:r>
                  <w:r>
                    <w:rPr>
                      <w:sz w:val="18"/>
                      <w:szCs w:val="18"/>
                    </w:rPr>
                    <w:t>1</w:t>
                  </w:r>
                  <w:r>
                    <w:rPr>
                      <w:rFonts w:ascii="宋体" w:hAnsi="宋体"/>
                      <w:sz w:val="18"/>
                      <w:szCs w:val="18"/>
                    </w:rPr>
                    <w:t>）制定公路危险品运输管理及应急预案。一旦发生事故后，驾驶员和押运人员应立即通知应急中心，说明所载化学危险品的名称和泄漏的情况，在等待专业人员救援的同时要保护、控制好现场。如果车辆在发生事故后引起火灾，则应按灭火预案进行扑救，并用污水收集车对消防水进行收集外运。如果车辆装载的危险品</w:t>
                  </w:r>
                  <w:r>
                    <w:rPr>
                      <w:sz w:val="18"/>
                      <w:szCs w:val="18"/>
                    </w:rPr>
                    <w:t>(</w:t>
                  </w:r>
                  <w:r>
                    <w:rPr>
                      <w:rFonts w:ascii="宋体" w:hAnsi="宋体"/>
                      <w:sz w:val="18"/>
                      <w:szCs w:val="18"/>
                    </w:rPr>
                    <w:t>液体</w:t>
                  </w:r>
                  <w:r>
                    <w:rPr>
                      <w:sz w:val="18"/>
                      <w:szCs w:val="18"/>
                    </w:rPr>
                    <w:t>)</w:t>
                  </w:r>
                  <w:r>
                    <w:rPr>
                      <w:rFonts w:ascii="宋体" w:hAnsi="宋体"/>
                      <w:sz w:val="18"/>
                      <w:szCs w:val="18"/>
                    </w:rPr>
                    <w:t>出现泄漏时，应用污水收集车对其泄漏物进行回收，防止污水和危险的扩散。</w:t>
                  </w:r>
                </w:p>
                <w:p w14:paraId="7CBE1C06">
                  <w:pPr>
                    <w:spacing w:line="240" w:lineRule="auto"/>
                    <w:rPr>
                      <w:sz w:val="18"/>
                      <w:szCs w:val="18"/>
                    </w:rPr>
                  </w:pPr>
                  <w:r>
                    <w:rPr>
                      <w:rFonts w:ascii="宋体" w:hAnsi="宋体"/>
                      <w:sz w:val="18"/>
                      <w:szCs w:val="18"/>
                    </w:rPr>
                    <w:t>（</w:t>
                  </w:r>
                  <w:r>
                    <w:rPr>
                      <w:sz w:val="18"/>
                      <w:szCs w:val="18"/>
                    </w:rPr>
                    <w:t>2</w:t>
                  </w:r>
                  <w:r>
                    <w:rPr>
                      <w:rFonts w:ascii="宋体" w:hAnsi="宋体"/>
                      <w:sz w:val="18"/>
                      <w:szCs w:val="18"/>
                    </w:rPr>
                    <w:t>）涉及饮用水源地公路禁止运输危险品的车辆上路。其他路段项目环评时，也应根据不同项目所跨水域或并行水域的特点、敏感程度等严格规定危品运输车辆禁止跨越的路段。</w:t>
                  </w:r>
                </w:p>
                <w:p w14:paraId="24460FD6">
                  <w:pPr>
                    <w:spacing w:line="240" w:lineRule="auto"/>
                    <w:rPr>
                      <w:sz w:val="18"/>
                      <w:szCs w:val="18"/>
                    </w:rPr>
                  </w:pPr>
                  <w:r>
                    <w:rPr>
                      <w:rFonts w:ascii="宋体" w:hAnsi="宋体"/>
                      <w:sz w:val="18"/>
                      <w:szCs w:val="18"/>
                    </w:rPr>
                    <w:t>（</w:t>
                  </w:r>
                  <w:r>
                    <w:rPr>
                      <w:sz w:val="18"/>
                      <w:szCs w:val="18"/>
                    </w:rPr>
                    <w:t>3</w:t>
                  </w:r>
                  <w:r>
                    <w:rPr>
                      <w:rFonts w:ascii="宋体" w:hAnsi="宋体"/>
                      <w:sz w:val="18"/>
                      <w:szCs w:val="18"/>
                    </w:rPr>
                    <w:t>）运输危险品的车辆上路行驶，需要对公安部门</w:t>
                  </w:r>
                  <w:commentRangeStart w:id="13"/>
                  <w:r>
                    <w:rPr>
                      <w:rFonts w:hint="eastAsia" w:ascii="宋体" w:hAnsi="宋体"/>
                      <w:sz w:val="18"/>
                      <w:szCs w:val="18"/>
                    </w:rPr>
                    <w:t>颁发</w:t>
                  </w:r>
                  <w:commentRangeEnd w:id="13"/>
                  <w:r>
                    <w:rPr>
                      <w:rStyle w:val="38"/>
                      <w:rFonts w:ascii="宋体" w:hAnsi="宋体"/>
                      <w:sz w:val="18"/>
                      <w:szCs w:val="18"/>
                    </w:rPr>
                    <w:commentReference w:id="13"/>
                  </w:r>
                  <w:r>
                    <w:rPr>
                      <w:rFonts w:ascii="宋体" w:hAnsi="宋体"/>
                      <w:sz w:val="18"/>
                      <w:szCs w:val="18"/>
                    </w:rPr>
                    <w:t>的</w:t>
                  </w:r>
                  <w:r>
                    <w:rPr>
                      <w:sz w:val="18"/>
                      <w:szCs w:val="18"/>
                    </w:rPr>
                    <w:t>“</w:t>
                  </w:r>
                  <w:r>
                    <w:rPr>
                      <w:rFonts w:ascii="宋体" w:hAnsi="宋体"/>
                      <w:sz w:val="18"/>
                      <w:szCs w:val="18"/>
                    </w:rPr>
                    <w:t>三证</w:t>
                  </w:r>
                  <w:r>
                    <w:rPr>
                      <w:sz w:val="18"/>
                      <w:szCs w:val="18"/>
                    </w:rPr>
                    <w:t>”</w:t>
                  </w:r>
                  <w:r>
                    <w:rPr>
                      <w:rFonts w:ascii="宋体" w:hAnsi="宋体"/>
                      <w:sz w:val="18"/>
                      <w:szCs w:val="18"/>
                    </w:rPr>
                    <w:t>进行检查。所有从事化学危险货物运输的车辆，必须在车前醒目位置悬挂黄底黑字</w:t>
                  </w:r>
                  <w:r>
                    <w:rPr>
                      <w:sz w:val="18"/>
                      <w:szCs w:val="18"/>
                    </w:rPr>
                    <w:t>“</w:t>
                  </w:r>
                  <w:r>
                    <w:rPr>
                      <w:rFonts w:ascii="宋体" w:hAnsi="宋体"/>
                      <w:sz w:val="18"/>
                      <w:szCs w:val="18"/>
                    </w:rPr>
                    <w:t>危险品</w:t>
                  </w:r>
                  <w:r>
                    <w:rPr>
                      <w:sz w:val="18"/>
                      <w:szCs w:val="18"/>
                    </w:rPr>
                    <w:t>”</w:t>
                  </w:r>
                  <w:r>
                    <w:rPr>
                      <w:rFonts w:ascii="宋体" w:hAnsi="宋体"/>
                      <w:sz w:val="18"/>
                      <w:szCs w:val="18"/>
                    </w:rPr>
                    <w:t>字样的三角旗，严禁危险品运输车辆超载。</w:t>
                  </w:r>
                </w:p>
                <w:p w14:paraId="2EDA4FBF">
                  <w:pPr>
                    <w:spacing w:line="240" w:lineRule="auto"/>
                    <w:rPr>
                      <w:sz w:val="18"/>
                      <w:szCs w:val="18"/>
                    </w:rPr>
                  </w:pPr>
                  <w:r>
                    <w:rPr>
                      <w:rFonts w:ascii="宋体" w:hAnsi="宋体"/>
                      <w:sz w:val="18"/>
                      <w:szCs w:val="18"/>
                    </w:rPr>
                    <w:t>（</w:t>
                  </w:r>
                  <w:r>
                    <w:rPr>
                      <w:sz w:val="18"/>
                      <w:szCs w:val="18"/>
                    </w:rPr>
                    <w:t>4</w:t>
                  </w:r>
                  <w:r>
                    <w:rPr>
                      <w:rFonts w:ascii="宋体" w:hAnsi="宋体"/>
                      <w:sz w:val="18"/>
                      <w:szCs w:val="18"/>
                    </w:rPr>
                    <w:t>）运输危险物品的车辆必须保持安全车速，严禁外来明火，同时还必须有随车人员负责押送，随车人员必须经过专业的培训。</w:t>
                  </w:r>
                </w:p>
                <w:p w14:paraId="08322569">
                  <w:pPr>
                    <w:spacing w:line="240" w:lineRule="auto"/>
                    <w:rPr>
                      <w:sz w:val="18"/>
                      <w:szCs w:val="18"/>
                    </w:rPr>
                  </w:pPr>
                  <w:r>
                    <w:rPr>
                      <w:rFonts w:ascii="宋体" w:hAnsi="宋体"/>
                      <w:sz w:val="18"/>
                      <w:szCs w:val="18"/>
                    </w:rPr>
                    <w:t>（</w:t>
                  </w:r>
                  <w:r>
                    <w:rPr>
                      <w:sz w:val="18"/>
                      <w:szCs w:val="18"/>
                    </w:rPr>
                    <w:t>5</w:t>
                  </w:r>
                  <w:r>
                    <w:rPr>
                      <w:rFonts w:ascii="宋体" w:hAnsi="宋体"/>
                      <w:sz w:val="18"/>
                      <w:szCs w:val="18"/>
                    </w:rPr>
                    <w:t>）高度危险品运输车辆上路必须事先通知道路管理处，由公安管理部门、公安消防部门对化学危险货物运输车辆指定</w:t>
                  </w:r>
                  <w:commentRangeStart w:id="14"/>
                  <w:commentRangeStart w:id="15"/>
                  <w:r>
                    <w:rPr>
                      <w:rFonts w:ascii="宋体" w:hAnsi="宋体"/>
                      <w:sz w:val="18"/>
                      <w:szCs w:val="18"/>
                    </w:rPr>
                    <w:t>行</w:t>
                  </w:r>
                  <w:commentRangeEnd w:id="14"/>
                  <w:r>
                    <w:rPr>
                      <w:rStyle w:val="38"/>
                      <w:rFonts w:hint="eastAsia" w:ascii="宋体" w:hAnsi="宋体"/>
                      <w:sz w:val="18"/>
                      <w:szCs w:val="18"/>
                    </w:rPr>
                    <w:commentReference w:id="14"/>
                  </w:r>
                  <w:commentRangeEnd w:id="15"/>
                  <w:r>
                    <w:rPr>
                      <w:rStyle w:val="38"/>
                      <w:rFonts w:hint="eastAsia" w:ascii="宋体" w:hAnsi="宋体"/>
                      <w:sz w:val="18"/>
                      <w:szCs w:val="18"/>
                    </w:rPr>
                    <w:commentReference w:id="15"/>
                  </w:r>
                  <w:r>
                    <w:rPr>
                      <w:rFonts w:hint="eastAsia" w:ascii="宋体" w:hAnsi="宋体"/>
                      <w:sz w:val="18"/>
                      <w:szCs w:val="18"/>
                    </w:rPr>
                    <w:t>驶</w:t>
                  </w:r>
                  <w:r>
                    <w:rPr>
                      <w:rFonts w:ascii="宋体" w:hAnsi="宋体"/>
                      <w:sz w:val="18"/>
                      <w:szCs w:val="18"/>
                    </w:rPr>
                    <w:t>区域路线，运输化学危险物品的车辆必须在指定地点停放。</w:t>
                  </w:r>
                </w:p>
                <w:p w14:paraId="06D1EA84">
                  <w:pPr>
                    <w:spacing w:line="240" w:lineRule="auto"/>
                    <w:rPr>
                      <w:sz w:val="18"/>
                      <w:szCs w:val="18"/>
                    </w:rPr>
                  </w:pPr>
                  <w:r>
                    <w:rPr>
                      <w:rFonts w:ascii="宋体" w:hAnsi="宋体"/>
                      <w:sz w:val="18"/>
                      <w:szCs w:val="18"/>
                    </w:rPr>
                    <w:t>（</w:t>
                  </w:r>
                  <w:r>
                    <w:rPr>
                      <w:sz w:val="18"/>
                      <w:szCs w:val="18"/>
                    </w:rPr>
                    <w:t>6</w:t>
                  </w:r>
                  <w:r>
                    <w:rPr>
                      <w:rFonts w:ascii="宋体" w:hAnsi="宋体"/>
                      <w:sz w:val="18"/>
                      <w:szCs w:val="18"/>
                    </w:rPr>
                    <w:t>）雾、雪、台风天气禁止危险品运输车辆通行，其他车辆限速行驶。</w:t>
                  </w:r>
                </w:p>
                <w:p w14:paraId="3E1E745D">
                  <w:pPr>
                    <w:spacing w:line="240" w:lineRule="auto"/>
                    <w:rPr>
                      <w:sz w:val="18"/>
                      <w:szCs w:val="18"/>
                    </w:rPr>
                  </w:pPr>
                  <w:r>
                    <w:rPr>
                      <w:rFonts w:ascii="宋体" w:hAnsi="宋体"/>
                      <w:sz w:val="18"/>
                      <w:szCs w:val="18"/>
                    </w:rPr>
                    <w:t>（</w:t>
                  </w:r>
                  <w:r>
                    <w:rPr>
                      <w:sz w:val="18"/>
                      <w:szCs w:val="18"/>
                    </w:rPr>
                    <w:t>7</w:t>
                  </w:r>
                  <w:r>
                    <w:rPr>
                      <w:rFonts w:ascii="宋体" w:hAnsi="宋体"/>
                      <w:sz w:val="18"/>
                      <w:szCs w:val="18"/>
                    </w:rPr>
                    <w:t>）运输危险品的车辆进入公路时由收费站人员提供印有监控中心</w:t>
                  </w:r>
                  <w:r>
                    <w:rPr>
                      <w:sz w:val="18"/>
                      <w:szCs w:val="18"/>
                    </w:rPr>
                    <w:t>24</w:t>
                  </w:r>
                  <w:r>
                    <w:rPr>
                      <w:rFonts w:ascii="宋体" w:hAnsi="宋体"/>
                      <w:sz w:val="18"/>
                      <w:szCs w:val="18"/>
                    </w:rPr>
                    <w:t>小时值班电话和应急小组电话的卡片，方便危险品车辆驾驶人员和押运人员在发生事故时能够及时与监控中心和应急中心联系。</w:t>
                  </w:r>
                </w:p>
                <w:p w14:paraId="3162E648">
                  <w:pPr>
                    <w:spacing w:line="240" w:lineRule="auto"/>
                    <w:rPr>
                      <w:sz w:val="18"/>
                      <w:szCs w:val="18"/>
                    </w:rPr>
                  </w:pPr>
                  <w:r>
                    <w:rPr>
                      <w:rFonts w:ascii="宋体" w:hAnsi="宋体"/>
                      <w:sz w:val="18"/>
                      <w:szCs w:val="18"/>
                    </w:rPr>
                    <w:t>（</w:t>
                  </w:r>
                  <w:r>
                    <w:rPr>
                      <w:sz w:val="18"/>
                      <w:szCs w:val="18"/>
                    </w:rPr>
                    <w:t>8</w:t>
                  </w:r>
                  <w:r>
                    <w:rPr>
                      <w:rFonts w:ascii="宋体" w:hAnsi="宋体"/>
                      <w:sz w:val="18"/>
                      <w:szCs w:val="18"/>
                    </w:rPr>
                    <w:t>）危险品运输途中，管理中心应通过</w:t>
                  </w:r>
                  <w:r>
                    <w:rPr>
                      <w:sz w:val="18"/>
                      <w:szCs w:val="18"/>
                    </w:rPr>
                    <w:t>GPS</w:t>
                  </w:r>
                  <w:r>
                    <w:rPr>
                      <w:rFonts w:ascii="宋体" w:hAnsi="宋体"/>
                      <w:sz w:val="18"/>
                      <w:szCs w:val="18"/>
                    </w:rPr>
                    <w:t>定位或道路录像监控等予以严密监控。同时使用可变情报板随时警示容易诱发交通事故的恶劣天气或危险路况，提前采取限制行车速度或封闭局部路段等积极、主动的风险防范措施。</w:t>
                  </w:r>
                </w:p>
                <w:p w14:paraId="3A293179">
                  <w:pPr>
                    <w:spacing w:line="240" w:lineRule="auto"/>
                    <w:rPr>
                      <w:sz w:val="18"/>
                      <w:szCs w:val="18"/>
                    </w:rPr>
                  </w:pPr>
                  <w:r>
                    <w:rPr>
                      <w:rFonts w:ascii="宋体" w:hAnsi="宋体"/>
                      <w:sz w:val="18"/>
                      <w:szCs w:val="18"/>
                    </w:rPr>
                    <w:t>（</w:t>
                  </w:r>
                  <w:r>
                    <w:rPr>
                      <w:sz w:val="18"/>
                      <w:szCs w:val="18"/>
                    </w:rPr>
                    <w:t>9</w:t>
                  </w:r>
                  <w:r>
                    <w:rPr>
                      <w:rFonts w:ascii="宋体" w:hAnsi="宋体"/>
                      <w:sz w:val="18"/>
                      <w:szCs w:val="18"/>
                    </w:rPr>
                    <w:t>）加固加高跨越桥梁护栏，在沿线桥梁桥面两侧设置连续的防撞墩，加强桥梁排水设施建设，设置桥梁应急池。路线跨越河流处在桥梁两侧醒目位置设置限速、禁止超车等警示标志，提醒过路驾驶员和乘客加强保护</w:t>
                  </w:r>
                  <w:r>
                    <w:rPr>
                      <w:rFonts w:hint="eastAsia" w:ascii="宋体" w:hAnsi="宋体"/>
                      <w:sz w:val="18"/>
                      <w:szCs w:val="18"/>
                    </w:rPr>
                    <w:t>生态</w:t>
                  </w:r>
                  <w:r>
                    <w:rPr>
                      <w:rFonts w:ascii="宋体" w:hAnsi="宋体"/>
                      <w:sz w:val="18"/>
                      <w:szCs w:val="18"/>
                    </w:rPr>
                    <w:t>环境意识，要求危险品车辆限速通过。</w:t>
                  </w:r>
                </w:p>
              </w:tc>
              <w:tc>
                <w:tcPr>
                  <w:tcW w:w="2919" w:type="dxa"/>
                  <w:vAlign w:val="center"/>
                </w:tcPr>
                <w:p w14:paraId="595BB636">
                  <w:pPr>
                    <w:spacing w:line="240" w:lineRule="auto"/>
                    <w:rPr>
                      <w:sz w:val="18"/>
                      <w:szCs w:val="18"/>
                    </w:rPr>
                  </w:pPr>
                  <w:r>
                    <w:rPr>
                      <w:rFonts w:hint="eastAsia"/>
                      <w:sz w:val="18"/>
                      <w:szCs w:val="18"/>
                    </w:rPr>
                    <w:t>落实。（1）本项目将严格执行危险化学品运输管理制度。对于运有危险品的车辆进行限制，通过限制和禁止的方式，减少危险品引起的交通事故和火灾爆炸等。（2）本项目周边不涉及饮用水源地；（3）本项目路段将对运输车辆进行严格管理，严禁黑车上路或超载；（4-8）营运期将严格落实交通管理部门对危险品车辆的管理制度，加强对通行车辆的控制，包括车速限制，载重量限制等，减少因超速和超载引起的刹车失灵等车辆事故和对路面造成的损害，恶劣天气时将禁止危险品车辆行驶；（9）在桥梁路段设置连续的防撞墩，加强桥梁排水设施建设，设置桥梁应急池。路线跨越河流处在桥梁两侧醒目位置设置限速、禁止超车等警示标志，提醒过路驾驶员和乘客加强保护生态环境意识，要求危险品车辆限速通过。</w:t>
                  </w:r>
                </w:p>
              </w:tc>
            </w:tr>
          </w:tbl>
          <w:p w14:paraId="280DD54D">
            <w:pPr>
              <w:pStyle w:val="9"/>
              <w:spacing w:before="120"/>
            </w:pPr>
            <w:r>
              <w:t xml:space="preserve">表 </w:t>
            </w:r>
            <w:r>
              <w:fldChar w:fldCharType="begin"/>
            </w:r>
            <w:r>
              <w:instrText xml:space="preserve"> STYLEREF 1 \s </w:instrText>
            </w:r>
            <w:r>
              <w:fldChar w:fldCharType="separate"/>
            </w:r>
            <w:r>
              <w:t>1</w:t>
            </w:r>
            <w:r>
              <w:fldChar w:fldCharType="end"/>
            </w:r>
            <w:r>
              <w:noBreakHyphen/>
            </w:r>
            <w:r>
              <w:fldChar w:fldCharType="begin"/>
            </w:r>
            <w:r>
              <w:instrText xml:space="preserve"> SEQ 表 \* ARABIC \s 1 </w:instrText>
            </w:r>
            <w:r>
              <w:fldChar w:fldCharType="separate"/>
            </w:r>
            <w:r>
              <w:t>3</w:t>
            </w:r>
            <w:r>
              <w:fldChar w:fldCharType="end"/>
            </w:r>
            <w:r>
              <w:t>项目与杭州市综合交通发展“十四五”规划环评报告审查意见的符合性分析表</w:t>
            </w:r>
          </w:p>
          <w:tbl>
            <w:tblPr>
              <w:tblStyle w:val="30"/>
              <w:tblW w:w="48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08"/>
              <w:gridCol w:w="2701"/>
              <w:gridCol w:w="444"/>
            </w:tblGrid>
            <w:tr w14:paraId="5C3F15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1" w:type="dxa"/>
                  <w:vAlign w:val="center"/>
                </w:tcPr>
                <w:p w14:paraId="35BCADBC">
                  <w:pPr>
                    <w:spacing w:line="240" w:lineRule="auto"/>
                    <w:jc w:val="center"/>
                    <w:rPr>
                      <w:b/>
                      <w:sz w:val="18"/>
                      <w:szCs w:val="18"/>
                    </w:rPr>
                  </w:pPr>
                  <w:bookmarkStart w:id="20" w:name="_Toc67061170"/>
                  <w:r>
                    <w:rPr>
                      <w:rFonts w:ascii="宋体" w:hAnsi="宋体"/>
                      <w:b/>
                      <w:sz w:val="18"/>
                      <w:szCs w:val="18"/>
                    </w:rPr>
                    <w:t>规划审查意见</w:t>
                  </w:r>
                  <w:bookmarkEnd w:id="20"/>
                </w:p>
              </w:tc>
              <w:tc>
                <w:tcPr>
                  <w:tcW w:w="2690" w:type="dxa"/>
                  <w:vAlign w:val="center"/>
                </w:tcPr>
                <w:p w14:paraId="2261D912">
                  <w:pPr>
                    <w:spacing w:line="240" w:lineRule="auto"/>
                    <w:jc w:val="center"/>
                    <w:rPr>
                      <w:b/>
                      <w:sz w:val="18"/>
                      <w:szCs w:val="18"/>
                    </w:rPr>
                  </w:pPr>
                  <w:bookmarkStart w:id="21" w:name="_Toc67061171"/>
                  <w:r>
                    <w:rPr>
                      <w:rFonts w:ascii="宋体" w:hAnsi="宋体"/>
                      <w:b/>
                      <w:sz w:val="18"/>
                      <w:szCs w:val="18"/>
                    </w:rPr>
                    <w:t>落实情况</w:t>
                  </w:r>
                  <w:bookmarkEnd w:id="21"/>
                </w:p>
              </w:tc>
              <w:tc>
                <w:tcPr>
                  <w:tcW w:w="442" w:type="dxa"/>
                  <w:vAlign w:val="center"/>
                </w:tcPr>
                <w:p w14:paraId="1ED13DDD">
                  <w:pPr>
                    <w:spacing w:line="240" w:lineRule="auto"/>
                    <w:jc w:val="center"/>
                    <w:rPr>
                      <w:b/>
                      <w:sz w:val="18"/>
                      <w:szCs w:val="18"/>
                    </w:rPr>
                  </w:pPr>
                  <w:r>
                    <w:rPr>
                      <w:rFonts w:hint="eastAsia" w:ascii="宋体" w:hAnsi="宋体"/>
                      <w:b/>
                      <w:sz w:val="18"/>
                      <w:szCs w:val="18"/>
                    </w:rPr>
                    <w:t>是否符合</w:t>
                  </w:r>
                </w:p>
              </w:tc>
            </w:tr>
            <w:tr w14:paraId="433C8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1" w:type="dxa"/>
                  <w:vAlign w:val="center"/>
                </w:tcPr>
                <w:p w14:paraId="7B1D8EDB">
                  <w:pPr>
                    <w:spacing w:line="240" w:lineRule="auto"/>
                    <w:rPr>
                      <w:sz w:val="18"/>
                      <w:szCs w:val="18"/>
                    </w:rPr>
                  </w:pPr>
                  <w:r>
                    <w:rPr>
                      <w:rFonts w:ascii="宋体" w:hAnsi="宋体"/>
                      <w:sz w:val="18"/>
                      <w:szCs w:val="18"/>
                    </w:rPr>
                    <w:t>规划实施中应重点关注的问题</w:t>
                  </w:r>
                  <w:r>
                    <w:rPr>
                      <w:rFonts w:hint="eastAsia" w:ascii="宋体" w:hAnsi="宋体"/>
                      <w:sz w:val="18"/>
                      <w:szCs w:val="18"/>
                    </w:rPr>
                    <w:t>：</w:t>
                  </w:r>
                </w:p>
                <w:p w14:paraId="37FE6A62">
                  <w:pPr>
                    <w:spacing w:line="240" w:lineRule="auto"/>
                    <w:rPr>
                      <w:sz w:val="18"/>
                      <w:szCs w:val="18"/>
                    </w:rPr>
                  </w:pPr>
                  <w:r>
                    <w:rPr>
                      <w:sz w:val="18"/>
                      <w:szCs w:val="18"/>
                    </w:rPr>
                    <w:t>(</w:t>
                  </w:r>
                  <w:r>
                    <w:rPr>
                      <w:rFonts w:hint="eastAsia"/>
                      <w:sz w:val="18"/>
                      <w:szCs w:val="18"/>
                    </w:rPr>
                    <w:t>1</w:t>
                  </w:r>
                  <w:r>
                    <w:rPr>
                      <w:sz w:val="18"/>
                      <w:szCs w:val="18"/>
                    </w:rPr>
                    <w:t>)</w:t>
                  </w:r>
                  <w:r>
                    <w:rPr>
                      <w:rFonts w:ascii="宋体" w:hAnsi="宋体"/>
                      <w:sz w:val="18"/>
                      <w:szCs w:val="18"/>
                    </w:rPr>
                    <w:t>坚持生态优先、促进绿色发展。坚持以习近平生态文明思想为指导，立足于生态系统稳定和生态环境质量改善，将生态文明理念贯穿于交通基础设施规划、建设、养护、运营和退役全过程。以</w:t>
                  </w:r>
                  <w:r>
                    <w:rPr>
                      <w:sz w:val="18"/>
                      <w:szCs w:val="18"/>
                    </w:rPr>
                    <w:t>“</w:t>
                  </w:r>
                  <w:r>
                    <w:rPr>
                      <w:rFonts w:ascii="宋体" w:hAnsi="宋体"/>
                      <w:sz w:val="18"/>
                      <w:szCs w:val="18"/>
                    </w:rPr>
                    <w:t>环境质量底线</w:t>
                  </w:r>
                  <w:r>
                    <w:rPr>
                      <w:sz w:val="18"/>
                      <w:szCs w:val="18"/>
                    </w:rPr>
                    <w:t>”</w:t>
                  </w:r>
                  <w:r>
                    <w:rPr>
                      <w:rFonts w:ascii="宋体" w:hAnsi="宋体"/>
                      <w:sz w:val="18"/>
                      <w:szCs w:val="18"/>
                    </w:rPr>
                    <w:t>为约束条件，科学谋划和实施规划所包含具体项目的选址、选线和建设规模、时序。</w:t>
                  </w:r>
                </w:p>
                <w:p w14:paraId="36441123">
                  <w:pPr>
                    <w:spacing w:line="240" w:lineRule="auto"/>
                    <w:rPr>
                      <w:sz w:val="18"/>
                      <w:szCs w:val="18"/>
                    </w:rPr>
                  </w:pPr>
                  <w:r>
                    <w:rPr>
                      <w:sz w:val="18"/>
                      <w:szCs w:val="18"/>
                    </w:rPr>
                    <w:t>(</w:t>
                  </w:r>
                  <w:r>
                    <w:rPr>
                      <w:rFonts w:hint="eastAsia"/>
                      <w:sz w:val="18"/>
                      <w:szCs w:val="18"/>
                    </w:rPr>
                    <w:t>2</w:t>
                  </w:r>
                  <w:r>
                    <w:rPr>
                      <w:rFonts w:ascii="宋体" w:hAnsi="宋体"/>
                      <w:sz w:val="18"/>
                      <w:szCs w:val="18"/>
                    </w:rPr>
                    <w:t>严守生态红线、优化规划布局。法律法规明文规定禁止项目建设的生态保护红线区域</w:t>
                  </w:r>
                  <w:r>
                    <w:rPr>
                      <w:sz w:val="18"/>
                      <w:szCs w:val="18"/>
                    </w:rPr>
                    <w:t>(</w:t>
                  </w:r>
                  <w:r>
                    <w:rPr>
                      <w:rFonts w:ascii="宋体" w:hAnsi="宋体"/>
                      <w:sz w:val="18"/>
                      <w:szCs w:val="18"/>
                    </w:rPr>
                    <w:t>如饮用水水源保护区、自然资源保护区核心区与缓冲区、风景名胜区核心景区等</w:t>
                  </w:r>
                  <w:r>
                    <w:rPr>
                      <w:sz w:val="18"/>
                      <w:szCs w:val="18"/>
                    </w:rPr>
                    <w:t>)</w:t>
                  </w:r>
                  <w:r>
                    <w:rPr>
                      <w:rFonts w:ascii="宋体" w:hAnsi="宋体"/>
                      <w:sz w:val="18"/>
                      <w:szCs w:val="18"/>
                    </w:rPr>
                    <w:t>，规划项目均不得穿越或占用，应做好相关交通线路避让和码头等项目布点优化调整。按照</w:t>
                  </w:r>
                  <w:r>
                    <w:rPr>
                      <w:sz w:val="18"/>
                      <w:szCs w:val="18"/>
                    </w:rPr>
                    <w:t>“</w:t>
                  </w:r>
                  <w:r>
                    <w:rPr>
                      <w:rFonts w:ascii="宋体" w:hAnsi="宋体"/>
                      <w:sz w:val="18"/>
                      <w:szCs w:val="18"/>
                    </w:rPr>
                    <w:t>优先保障生态空间、合理安排生活空间、集约利用生产空间</w:t>
                  </w:r>
                  <w:r>
                    <w:rPr>
                      <w:sz w:val="18"/>
                      <w:szCs w:val="18"/>
                    </w:rPr>
                    <w:t>”</w:t>
                  </w:r>
                  <w:r>
                    <w:rPr>
                      <w:rFonts w:ascii="宋体" w:hAnsi="宋体"/>
                      <w:sz w:val="18"/>
                      <w:szCs w:val="18"/>
                    </w:rPr>
                    <w:t>的规划布局原则，规划项目应优先避让重要的生态敏感区</w:t>
                  </w:r>
                  <w:r>
                    <w:rPr>
                      <w:sz w:val="18"/>
                      <w:szCs w:val="18"/>
                    </w:rPr>
                    <w:t>(</w:t>
                  </w:r>
                  <w:r>
                    <w:rPr>
                      <w:rFonts w:ascii="宋体" w:hAnsi="宋体"/>
                      <w:sz w:val="18"/>
                      <w:szCs w:val="18"/>
                    </w:rPr>
                    <w:t>如水源准保护区、农村饮用水水源、基本农田、风景名胜区、森林公园、国家湿地公园、文保单位、世界文化遗产保护区、公益林等</w:t>
                  </w:r>
                  <w:r>
                    <w:rPr>
                      <w:sz w:val="18"/>
                      <w:szCs w:val="18"/>
                    </w:rPr>
                    <w:t>)</w:t>
                  </w:r>
                  <w:r>
                    <w:rPr>
                      <w:rFonts w:ascii="宋体" w:hAnsi="宋体"/>
                      <w:sz w:val="18"/>
                      <w:szCs w:val="18"/>
                    </w:rPr>
                    <w:t>，并采取选址、选线多方案比选，编制专题充分论证，采取生态影响最小、环境最优的方案实施。在一类环境空气功能区范围内不得建设有排放大气污染物的项目和设施。新建路段选线尽可能避让大型居住区、医院、学校等对噪声敏感的区域。</w:t>
                  </w:r>
                </w:p>
              </w:tc>
              <w:tc>
                <w:tcPr>
                  <w:tcW w:w="2690" w:type="dxa"/>
                  <w:vAlign w:val="center"/>
                </w:tcPr>
                <w:p w14:paraId="6C5235E4">
                  <w:pPr>
                    <w:spacing w:line="240" w:lineRule="auto"/>
                    <w:rPr>
                      <w:sz w:val="18"/>
                      <w:szCs w:val="18"/>
                    </w:rPr>
                  </w:pPr>
                  <w:r>
                    <w:rPr>
                      <w:rFonts w:ascii="宋体" w:hAnsi="宋体"/>
                      <w:sz w:val="18"/>
                      <w:szCs w:val="18"/>
                    </w:rPr>
                    <w:t>本工程不涉及法律法规明文规定禁止项目建设的生态保护红线区域，也不涉及如水源准保护区、农村饮用水水源、基本农田、风景名胜区、森林公园、国家湿地公园、文保单位、世界文化遗产保护区等重要的生态敏感区和一类环境空气功能区。</w:t>
                  </w:r>
                </w:p>
              </w:tc>
              <w:tc>
                <w:tcPr>
                  <w:tcW w:w="442" w:type="dxa"/>
                  <w:vAlign w:val="center"/>
                </w:tcPr>
                <w:p w14:paraId="28EA654A">
                  <w:pPr>
                    <w:spacing w:line="240" w:lineRule="auto"/>
                    <w:jc w:val="center"/>
                    <w:rPr>
                      <w:b/>
                      <w:bCs/>
                      <w:sz w:val="18"/>
                      <w:szCs w:val="18"/>
                    </w:rPr>
                  </w:pPr>
                  <w:r>
                    <w:rPr>
                      <w:rFonts w:hint="eastAsia" w:ascii="宋体" w:hAnsi="宋体"/>
                      <w:b/>
                      <w:bCs/>
                      <w:sz w:val="18"/>
                      <w:szCs w:val="18"/>
                    </w:rPr>
                    <w:t>符合</w:t>
                  </w:r>
                </w:p>
              </w:tc>
            </w:tr>
            <w:tr w14:paraId="4CA04B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80" w:hRule="atLeast"/>
                <w:jc w:val="center"/>
              </w:trPr>
              <w:tc>
                <w:tcPr>
                  <w:tcW w:w="4191" w:type="dxa"/>
                  <w:vAlign w:val="center"/>
                </w:tcPr>
                <w:p w14:paraId="04DEECDF">
                  <w:pPr>
                    <w:spacing w:line="240" w:lineRule="auto"/>
                    <w:rPr>
                      <w:sz w:val="18"/>
                      <w:szCs w:val="18"/>
                    </w:rPr>
                  </w:pPr>
                  <w:r>
                    <w:rPr>
                      <w:rFonts w:hint="eastAsia" w:ascii="宋体" w:hAnsi="宋体"/>
                      <w:sz w:val="18"/>
                      <w:szCs w:val="18"/>
                    </w:rPr>
                    <w:t>对规划所包含重点建设项目环评的指导意见：</w:t>
                  </w:r>
                </w:p>
                <w:p w14:paraId="7731CF65">
                  <w:pPr>
                    <w:spacing w:line="240" w:lineRule="auto"/>
                    <w:rPr>
                      <w:sz w:val="18"/>
                      <w:szCs w:val="18"/>
                    </w:rPr>
                  </w:pPr>
                  <w:r>
                    <w:rPr>
                      <w:rFonts w:hint="eastAsia" w:ascii="宋体" w:hAnsi="宋体"/>
                      <w:sz w:val="18"/>
                      <w:szCs w:val="18"/>
                    </w:rPr>
                    <w:t>（</w:t>
                  </w:r>
                  <w:r>
                    <w:rPr>
                      <w:rFonts w:hint="eastAsia"/>
                      <w:sz w:val="18"/>
                      <w:szCs w:val="18"/>
                    </w:rPr>
                    <w:t>1</w:t>
                  </w:r>
                  <w:r>
                    <w:rPr>
                      <w:rFonts w:hint="eastAsia" w:ascii="宋体" w:hAnsi="宋体"/>
                      <w:sz w:val="18"/>
                      <w:szCs w:val="18"/>
                    </w:rPr>
                    <w:t>）</w:t>
                  </w:r>
                  <w:r>
                    <w:rPr>
                      <w:rFonts w:ascii="宋体" w:hAnsi="宋体"/>
                      <w:sz w:val="18"/>
                      <w:szCs w:val="18"/>
                    </w:rPr>
                    <w:t>规划所包含规划期重点建设项目在开展环评时，应重点关注项目选线或选址与生态保护红线、自然保护区、饮用水水源保护区、世界文化遗产区、风景名胜区、湿地、森林公园和永久基本农田等</w:t>
                  </w:r>
                  <w:r>
                    <w:rPr>
                      <w:rFonts w:hint="eastAsia" w:ascii="宋体" w:hAnsi="宋体"/>
                      <w:sz w:val="18"/>
                      <w:szCs w:val="18"/>
                    </w:rPr>
                    <w:t>生态</w:t>
                  </w:r>
                  <w:r>
                    <w:rPr>
                      <w:rFonts w:ascii="宋体" w:hAnsi="宋体"/>
                      <w:sz w:val="18"/>
                      <w:szCs w:val="18"/>
                    </w:rPr>
                    <w:t>环境保护目标的关系，重点完善选址选线的合理性、生态环保措施的可行性论证</w:t>
                  </w:r>
                  <w:r>
                    <w:rPr>
                      <w:rFonts w:hint="eastAsia" w:ascii="宋体" w:hAnsi="宋体"/>
                      <w:sz w:val="18"/>
                      <w:szCs w:val="18"/>
                    </w:rPr>
                    <w:t>。</w:t>
                  </w:r>
                </w:p>
                <w:p w14:paraId="4CEE5239">
                  <w:pPr>
                    <w:spacing w:line="240" w:lineRule="auto"/>
                    <w:rPr>
                      <w:sz w:val="18"/>
                      <w:szCs w:val="18"/>
                    </w:rPr>
                  </w:pPr>
                  <w:r>
                    <w:rPr>
                      <w:rFonts w:hint="eastAsia" w:ascii="宋体" w:hAnsi="宋体"/>
                      <w:sz w:val="18"/>
                      <w:szCs w:val="18"/>
                    </w:rPr>
                    <w:t>（</w:t>
                  </w:r>
                  <w:r>
                    <w:rPr>
                      <w:rFonts w:hint="eastAsia"/>
                      <w:sz w:val="18"/>
                      <w:szCs w:val="18"/>
                    </w:rPr>
                    <w:t>2</w:t>
                  </w:r>
                  <w:r>
                    <w:rPr>
                      <w:rFonts w:hint="eastAsia" w:ascii="宋体" w:hAnsi="宋体"/>
                      <w:sz w:val="18"/>
                      <w:szCs w:val="18"/>
                    </w:rPr>
                    <w:t>）符合本规划环评指导要求的具体项目环评时可适当简化选线或选址环境合理性分析等内容。</w:t>
                  </w:r>
                </w:p>
              </w:tc>
              <w:tc>
                <w:tcPr>
                  <w:tcW w:w="2690" w:type="dxa"/>
                  <w:vAlign w:val="center"/>
                </w:tcPr>
                <w:p w14:paraId="6DD52A59">
                  <w:pPr>
                    <w:spacing w:line="240" w:lineRule="auto"/>
                    <w:rPr>
                      <w:sz w:val="18"/>
                      <w:szCs w:val="18"/>
                    </w:rPr>
                  </w:pPr>
                  <w:r>
                    <w:rPr>
                      <w:rFonts w:ascii="宋体" w:hAnsi="宋体"/>
                      <w:sz w:val="18"/>
                      <w:szCs w:val="18"/>
                    </w:rPr>
                    <w:t>本项目不涉及生态保护红线、自然保护区、饮用水水源保护区、世界文化遗产区、风景名胜区、湿地、森林公园和永久基本农田等</w:t>
                  </w:r>
                  <w:r>
                    <w:rPr>
                      <w:rFonts w:hint="eastAsia" w:ascii="宋体" w:hAnsi="宋体"/>
                      <w:sz w:val="18"/>
                      <w:szCs w:val="18"/>
                    </w:rPr>
                    <w:t>生态</w:t>
                  </w:r>
                  <w:r>
                    <w:rPr>
                      <w:rFonts w:ascii="宋体" w:hAnsi="宋体"/>
                      <w:sz w:val="18"/>
                      <w:szCs w:val="18"/>
                    </w:rPr>
                    <w:t>环境保护目标。本次项目环评已进行环境风险评价并提出风险事故防范措施。</w:t>
                  </w:r>
                </w:p>
              </w:tc>
              <w:tc>
                <w:tcPr>
                  <w:tcW w:w="442" w:type="dxa"/>
                  <w:vAlign w:val="center"/>
                </w:tcPr>
                <w:p w14:paraId="25C689C7">
                  <w:pPr>
                    <w:spacing w:line="240" w:lineRule="auto"/>
                    <w:jc w:val="center"/>
                    <w:rPr>
                      <w:b/>
                      <w:bCs/>
                      <w:sz w:val="18"/>
                      <w:szCs w:val="18"/>
                    </w:rPr>
                  </w:pPr>
                  <w:bookmarkStart w:id="22" w:name="_Hlk65054530"/>
                  <w:r>
                    <w:rPr>
                      <w:rFonts w:hint="eastAsia" w:ascii="宋体" w:hAnsi="宋体"/>
                      <w:b/>
                      <w:bCs/>
                      <w:sz w:val="18"/>
                      <w:szCs w:val="18"/>
                    </w:rPr>
                    <w:t>符合</w:t>
                  </w:r>
                  <w:bookmarkEnd w:id="22"/>
                </w:p>
              </w:tc>
            </w:tr>
          </w:tbl>
          <w:p w14:paraId="3C6CB8B9">
            <w:pPr>
              <w:ind w:firstLine="420" w:firstLineChars="200"/>
              <w:rPr>
                <w:szCs w:val="24"/>
                <w:highlight w:val="yellow"/>
              </w:rPr>
            </w:pPr>
            <w:r>
              <w:rPr>
                <w:rFonts w:ascii="宋体" w:hAnsi="宋体"/>
              </w:rPr>
              <w:t>根据分析结果，本工程的建设符合《杭州市综合交通发展</w:t>
            </w:r>
            <w:r>
              <w:t>“</w:t>
            </w:r>
            <w:r>
              <w:rPr>
                <w:rFonts w:ascii="宋体" w:hAnsi="宋体"/>
              </w:rPr>
              <w:t>十四五</w:t>
            </w:r>
            <w:r>
              <w:t>”</w:t>
            </w:r>
            <w:r>
              <w:rPr>
                <w:rFonts w:ascii="宋体" w:hAnsi="宋体"/>
              </w:rPr>
              <w:t>规划环境影响报告书》及其审查意见的相关要求</w:t>
            </w:r>
            <w:r>
              <w:rPr>
                <w:rFonts w:hint="eastAsia" w:ascii="宋体" w:hAnsi="宋体"/>
              </w:rPr>
              <w:t>。</w:t>
            </w:r>
          </w:p>
        </w:tc>
      </w:tr>
      <w:tr w14:paraId="249235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567" w:type="pct"/>
            <w:vAlign w:val="center"/>
          </w:tcPr>
          <w:p w14:paraId="7948DA41">
            <w:pPr>
              <w:autoSpaceDE w:val="0"/>
              <w:autoSpaceDN w:val="0"/>
              <w:jc w:val="center"/>
              <w:rPr>
                <w:b/>
                <w:bCs/>
                <w:kern w:val="0"/>
                <w:szCs w:val="21"/>
                <w:highlight w:val="yellow"/>
              </w:rPr>
            </w:pPr>
            <w:bookmarkStart w:id="23" w:name="OLE_LINK18"/>
            <w:r>
              <w:rPr>
                <w:kern w:val="0"/>
                <w:szCs w:val="21"/>
              </w:rPr>
              <w:t>其他符合性分析</w:t>
            </w:r>
            <w:bookmarkEnd w:id="23"/>
          </w:p>
        </w:tc>
        <w:tc>
          <w:tcPr>
            <w:tcW w:w="4433" w:type="pct"/>
            <w:gridSpan w:val="3"/>
            <w:vAlign w:val="center"/>
          </w:tcPr>
          <w:p w14:paraId="7AE9FA01">
            <w:pPr>
              <w:pStyle w:val="3"/>
            </w:pPr>
            <w:r>
              <w:t>审批原则符合性分析</w:t>
            </w:r>
          </w:p>
          <w:p w14:paraId="7D28E515">
            <w:pPr>
              <w:kinsoku w:val="0"/>
              <w:autoSpaceDE w:val="0"/>
              <w:autoSpaceDN w:val="0"/>
              <w:ind w:firstLine="420" w:firstLineChars="200"/>
              <w:textAlignment w:val="baseline"/>
              <w:rPr>
                <w:color w:val="000000"/>
                <w:kern w:val="0"/>
                <w:szCs w:val="21"/>
              </w:rPr>
            </w:pPr>
            <w:r>
              <w:rPr>
                <w:rFonts w:ascii="宋体" w:hAnsi="宋体"/>
                <w:color w:val="000000"/>
                <w:kern w:val="0"/>
                <w:szCs w:val="21"/>
              </w:rPr>
              <w:t>对照《浙江省建设项目环境保护管理办法》（浙江省人民政府令第</w:t>
            </w:r>
            <w:r>
              <w:rPr>
                <w:color w:val="000000"/>
                <w:kern w:val="0"/>
                <w:szCs w:val="21"/>
              </w:rPr>
              <w:t>388</w:t>
            </w:r>
            <w:r>
              <w:rPr>
                <w:rFonts w:ascii="宋体" w:hAnsi="宋体"/>
                <w:color w:val="000000"/>
                <w:kern w:val="0"/>
                <w:szCs w:val="21"/>
              </w:rPr>
              <w:t>号），本项目审批原则符合性分析如下：</w:t>
            </w:r>
          </w:p>
          <w:p w14:paraId="24E9460D">
            <w:pPr>
              <w:kinsoku w:val="0"/>
              <w:autoSpaceDE w:val="0"/>
              <w:autoSpaceDN w:val="0"/>
              <w:ind w:firstLine="422" w:firstLineChars="200"/>
              <w:textAlignment w:val="baseline"/>
              <w:rPr>
                <w:b/>
                <w:color w:val="000000"/>
                <w:kern w:val="0"/>
                <w:szCs w:val="21"/>
              </w:rPr>
            </w:pPr>
            <w:r>
              <w:rPr>
                <w:rFonts w:ascii="宋体" w:hAnsi="宋体"/>
                <w:b/>
                <w:color w:val="000000"/>
                <w:kern w:val="0"/>
                <w:szCs w:val="21"/>
              </w:rPr>
              <w:t>（</w:t>
            </w:r>
            <w:r>
              <w:rPr>
                <w:b/>
                <w:color w:val="000000"/>
                <w:kern w:val="0"/>
                <w:szCs w:val="21"/>
              </w:rPr>
              <w:t>1</w:t>
            </w:r>
            <w:r>
              <w:rPr>
                <w:rFonts w:ascii="宋体" w:hAnsi="宋体"/>
                <w:b/>
                <w:color w:val="000000"/>
                <w:kern w:val="0"/>
                <w:szCs w:val="21"/>
              </w:rPr>
              <w:t>）建设项目环保审批原则符合性</w:t>
            </w:r>
          </w:p>
          <w:p w14:paraId="24311819">
            <w:pPr>
              <w:kinsoku w:val="0"/>
              <w:autoSpaceDE w:val="0"/>
              <w:autoSpaceDN w:val="0"/>
              <w:ind w:firstLine="422" w:firstLineChars="200"/>
              <w:textAlignment w:val="baseline"/>
              <w:rPr>
                <w:b/>
                <w:color w:val="000000"/>
                <w:kern w:val="0"/>
                <w:szCs w:val="21"/>
              </w:rPr>
            </w:pPr>
            <w:r>
              <w:rPr>
                <w:rFonts w:hint="eastAsia" w:ascii="宋体" w:hAnsi="宋体" w:cs="宋体"/>
                <w:b/>
                <w:color w:val="000000"/>
                <w:kern w:val="0"/>
                <w:szCs w:val="21"/>
              </w:rPr>
              <w:t>①</w:t>
            </w:r>
            <w:r>
              <w:rPr>
                <w:rFonts w:ascii="宋体" w:hAnsi="宋体"/>
                <w:b/>
                <w:color w:val="000000"/>
                <w:kern w:val="0"/>
                <w:szCs w:val="21"/>
              </w:rPr>
              <w:t>建设项目应当符合生态保护红线、环境质量底线、资源利用上线和生态环境准入清单管控的要求</w:t>
            </w:r>
          </w:p>
          <w:p w14:paraId="0A76337A">
            <w:pPr>
              <w:ind w:firstLine="420" w:firstLineChars="200"/>
            </w:pPr>
            <w:r>
              <w:t>生态保护红线：对照</w:t>
            </w:r>
            <w:r>
              <w:rPr>
                <w:rFonts w:hint="eastAsia"/>
              </w:rPr>
              <w:t>《杭州市钱塘区国土空间分区规划（2021-2035年）》三条控制线图》</w:t>
            </w:r>
            <w:r>
              <w:t>，本项目不在</w:t>
            </w:r>
            <w:commentRangeStart w:id="16"/>
            <w:commentRangeStart w:id="17"/>
            <w:r>
              <w:t>生态</w:t>
            </w:r>
            <w:r>
              <w:rPr>
                <w:rFonts w:hint="eastAsia"/>
              </w:rPr>
              <w:t>保护</w:t>
            </w:r>
            <w:r>
              <w:t>红线</w:t>
            </w:r>
            <w:commentRangeEnd w:id="16"/>
            <w:r>
              <w:rPr>
                <w:rStyle w:val="38"/>
              </w:rPr>
              <w:commentReference w:id="16"/>
            </w:r>
            <w:commentRangeEnd w:id="17"/>
            <w:r>
              <w:rPr>
                <w:rStyle w:val="38"/>
              </w:rPr>
              <w:commentReference w:id="17"/>
            </w:r>
            <w:r>
              <w:t>范围内。</w:t>
            </w:r>
          </w:p>
          <w:p w14:paraId="73A1923A">
            <w:pPr>
              <w:ind w:firstLine="420" w:firstLineChars="200"/>
            </w:pPr>
            <w:r>
              <w:t>环境质量底线及资源利用上线符合性分析详见下表。</w:t>
            </w:r>
          </w:p>
          <w:p w14:paraId="1873C325">
            <w:pPr>
              <w:pStyle w:val="9"/>
              <w:spacing w:before="120"/>
            </w:pPr>
            <w:r>
              <w:t xml:space="preserve">表 </w:t>
            </w:r>
            <w:r>
              <w:fldChar w:fldCharType="begin"/>
            </w:r>
            <w:r>
              <w:instrText xml:space="preserve"> STYLEREF 1 \s </w:instrText>
            </w:r>
            <w:r>
              <w:fldChar w:fldCharType="separate"/>
            </w:r>
            <w:r>
              <w:t>1</w:t>
            </w:r>
            <w:r>
              <w:fldChar w:fldCharType="end"/>
            </w:r>
            <w:r>
              <w:noBreakHyphen/>
            </w:r>
            <w:r>
              <w:fldChar w:fldCharType="begin"/>
            </w:r>
            <w:r>
              <w:instrText xml:space="preserve"> SEQ 表 \* ARABIC \s 1 </w:instrText>
            </w:r>
            <w:r>
              <w:fldChar w:fldCharType="separate"/>
            </w:r>
            <w:r>
              <w:t>4</w:t>
            </w:r>
            <w:r>
              <w:fldChar w:fldCharType="end"/>
            </w:r>
            <w:r>
              <w:t>环境质量底线及资源利用上线符合性分析</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28" w:type="dxa"/>
                <w:bottom w:w="0" w:type="dxa"/>
                <w:right w:w="28" w:type="dxa"/>
              </w:tblCellMar>
            </w:tblPr>
            <w:tblGrid>
              <w:gridCol w:w="519"/>
              <w:gridCol w:w="853"/>
              <w:gridCol w:w="3473"/>
              <w:gridCol w:w="2186"/>
              <w:gridCol w:w="629"/>
            </w:tblGrid>
            <w:tr w14:paraId="3F8D2DF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894" w:type="pct"/>
                  <w:gridSpan w:val="2"/>
                  <w:vAlign w:val="center"/>
                </w:tcPr>
                <w:p w14:paraId="2C121086">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管控类型</w:t>
                  </w:r>
                </w:p>
              </w:tc>
              <w:tc>
                <w:tcPr>
                  <w:tcW w:w="2267" w:type="pct"/>
                  <w:vAlign w:val="center"/>
                </w:tcPr>
                <w:p w14:paraId="4C10B35B">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管控要求</w:t>
                  </w:r>
                </w:p>
              </w:tc>
              <w:tc>
                <w:tcPr>
                  <w:tcW w:w="1427" w:type="pct"/>
                  <w:vAlign w:val="center"/>
                </w:tcPr>
                <w:p w14:paraId="37BD7942">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本项目情况</w:t>
                  </w:r>
                </w:p>
              </w:tc>
              <w:tc>
                <w:tcPr>
                  <w:tcW w:w="411" w:type="pct"/>
                  <w:vAlign w:val="center"/>
                </w:tcPr>
                <w:p w14:paraId="7AE1B296">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符合性</w:t>
                  </w:r>
                </w:p>
              </w:tc>
            </w:tr>
            <w:tr w14:paraId="5083A0A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8" w:type="pct"/>
                  <w:vMerge w:val="restart"/>
                  <w:vAlign w:val="center"/>
                </w:tcPr>
                <w:p w14:paraId="262A0260">
                  <w:pPr>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环境质量底线</w:t>
                  </w:r>
                </w:p>
              </w:tc>
              <w:tc>
                <w:tcPr>
                  <w:tcW w:w="555" w:type="pct"/>
                  <w:vAlign w:val="center"/>
                </w:tcPr>
                <w:p w14:paraId="34A9F0F2">
                  <w:pPr>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大气环境质量底线目标</w:t>
                  </w:r>
                </w:p>
              </w:tc>
              <w:tc>
                <w:tcPr>
                  <w:tcW w:w="2267" w:type="pct"/>
                  <w:vAlign w:val="center"/>
                </w:tcPr>
                <w:p w14:paraId="768D461B">
                  <w:pPr>
                    <w:kinsoku w:val="0"/>
                    <w:autoSpaceDE w:val="0"/>
                    <w:autoSpaceDN w:val="0"/>
                    <w:spacing w:line="240" w:lineRule="auto"/>
                    <w:textAlignment w:val="baseline"/>
                    <w:rPr>
                      <w:color w:val="000000"/>
                      <w:kern w:val="0"/>
                      <w:sz w:val="18"/>
                      <w:szCs w:val="18"/>
                    </w:rPr>
                  </w:pPr>
                  <w:r>
                    <w:rPr>
                      <w:rFonts w:ascii="宋体" w:hAnsi="宋体"/>
                      <w:b/>
                      <w:color w:val="000000"/>
                      <w:kern w:val="0"/>
                      <w:sz w:val="18"/>
                      <w:szCs w:val="18"/>
                    </w:rPr>
                    <w:t>总体目标底线：</w:t>
                  </w:r>
                  <w:r>
                    <w:rPr>
                      <w:color w:val="000000"/>
                      <w:kern w:val="0"/>
                      <w:sz w:val="18"/>
                      <w:szCs w:val="18"/>
                    </w:rPr>
                    <w:t>2025</w:t>
                  </w:r>
                  <w:r>
                    <w:rPr>
                      <w:rFonts w:ascii="宋体" w:hAnsi="宋体"/>
                      <w:color w:val="000000"/>
                      <w:kern w:val="0"/>
                      <w:sz w:val="18"/>
                      <w:szCs w:val="18"/>
                    </w:rPr>
                    <w:t>年，全面消除重污染天气，基本消除中度污染天气，力争</w:t>
                  </w:r>
                  <w:r>
                    <w:rPr>
                      <w:color w:val="000000"/>
                      <w:kern w:val="0"/>
                      <w:sz w:val="18"/>
                      <w:szCs w:val="18"/>
                    </w:rPr>
                    <w:t>O</w:t>
                  </w:r>
                  <w:r>
                    <w:rPr>
                      <w:color w:val="000000"/>
                      <w:kern w:val="0"/>
                      <w:sz w:val="18"/>
                      <w:szCs w:val="18"/>
                      <w:vertAlign w:val="subscript"/>
                    </w:rPr>
                    <w:t>3</w:t>
                  </w:r>
                  <w:r>
                    <w:rPr>
                      <w:rFonts w:ascii="宋体" w:hAnsi="宋体"/>
                      <w:color w:val="000000"/>
                      <w:kern w:val="0"/>
                      <w:sz w:val="18"/>
                      <w:szCs w:val="18"/>
                    </w:rPr>
                    <w:t>浓度达到拐点，</w:t>
                  </w:r>
                  <w:r>
                    <w:rPr>
                      <w:color w:val="000000"/>
                      <w:kern w:val="0"/>
                      <w:sz w:val="18"/>
                      <w:szCs w:val="18"/>
                    </w:rPr>
                    <w:t>PM</w:t>
                  </w:r>
                  <w:r>
                    <w:rPr>
                      <w:color w:val="000000"/>
                      <w:kern w:val="0"/>
                      <w:sz w:val="18"/>
                      <w:szCs w:val="18"/>
                      <w:vertAlign w:val="subscript"/>
                    </w:rPr>
                    <w:t>2.5</w:t>
                  </w:r>
                  <w:r>
                    <w:rPr>
                      <w:rFonts w:ascii="宋体" w:hAnsi="宋体"/>
                      <w:color w:val="000000"/>
                      <w:kern w:val="0"/>
                      <w:sz w:val="18"/>
                      <w:szCs w:val="18"/>
                    </w:rPr>
                    <w:t>年均浓度稳定控制在</w:t>
                  </w:r>
                  <w:r>
                    <w:rPr>
                      <w:color w:val="000000"/>
                      <w:kern w:val="0"/>
                      <w:sz w:val="18"/>
                      <w:szCs w:val="18"/>
                    </w:rPr>
                    <w:t>28</w:t>
                  </w:r>
                  <w:r>
                    <w:rPr>
                      <w:rFonts w:ascii="宋体" w:hAnsi="宋体"/>
                      <w:color w:val="000000"/>
                      <w:kern w:val="0"/>
                      <w:sz w:val="18"/>
                      <w:szCs w:val="18"/>
                    </w:rPr>
                    <w:t>微克</w:t>
                  </w:r>
                  <w:r>
                    <w:rPr>
                      <w:color w:val="000000"/>
                      <w:kern w:val="0"/>
                      <w:sz w:val="18"/>
                      <w:szCs w:val="18"/>
                    </w:rPr>
                    <w:t>/</w:t>
                  </w:r>
                  <w:r>
                    <w:rPr>
                      <w:rFonts w:ascii="宋体" w:hAnsi="宋体"/>
                      <w:color w:val="000000"/>
                      <w:kern w:val="0"/>
                      <w:sz w:val="18"/>
                      <w:szCs w:val="18"/>
                    </w:rPr>
                    <w:t>立方米以下，努力实现环境空气质量稳定全面达标。</w:t>
                  </w:r>
                </w:p>
                <w:p w14:paraId="24C783FA">
                  <w:pPr>
                    <w:kinsoku w:val="0"/>
                    <w:autoSpaceDE w:val="0"/>
                    <w:autoSpaceDN w:val="0"/>
                    <w:spacing w:line="240" w:lineRule="auto"/>
                    <w:textAlignment w:val="baseline"/>
                    <w:rPr>
                      <w:color w:val="000000"/>
                      <w:kern w:val="0"/>
                      <w:sz w:val="18"/>
                      <w:szCs w:val="18"/>
                    </w:rPr>
                  </w:pPr>
                  <w:r>
                    <w:rPr>
                      <w:rFonts w:hint="eastAsia" w:ascii="宋体" w:hAnsi="宋体"/>
                      <w:b/>
                      <w:color w:val="000000"/>
                      <w:kern w:val="0"/>
                      <w:sz w:val="18"/>
                      <w:szCs w:val="18"/>
                    </w:rPr>
                    <w:t>钱塘</w:t>
                  </w:r>
                  <w:r>
                    <w:rPr>
                      <w:rFonts w:ascii="宋体" w:hAnsi="宋体"/>
                      <w:b/>
                      <w:color w:val="000000"/>
                      <w:kern w:val="0"/>
                      <w:sz w:val="18"/>
                      <w:szCs w:val="18"/>
                    </w:rPr>
                    <w:t>区：</w:t>
                  </w:r>
                  <w:r>
                    <w:rPr>
                      <w:color w:val="000000"/>
                      <w:kern w:val="0"/>
                      <w:sz w:val="18"/>
                      <w:szCs w:val="18"/>
                    </w:rPr>
                    <w:t>PM</w:t>
                  </w:r>
                  <w:r>
                    <w:rPr>
                      <w:color w:val="000000"/>
                      <w:kern w:val="0"/>
                      <w:sz w:val="18"/>
                      <w:szCs w:val="18"/>
                      <w:vertAlign w:val="subscript"/>
                    </w:rPr>
                    <w:t>2.5</w:t>
                  </w:r>
                  <w:r>
                    <w:rPr>
                      <w:rFonts w:ascii="宋体" w:hAnsi="宋体"/>
                      <w:color w:val="000000"/>
                      <w:kern w:val="0"/>
                      <w:sz w:val="18"/>
                      <w:szCs w:val="18"/>
                    </w:rPr>
                    <w:t>年均浓度完成市下达的目标；空气质量优良天数比率完成市下达的目标。</w:t>
                  </w:r>
                </w:p>
              </w:tc>
              <w:tc>
                <w:tcPr>
                  <w:tcW w:w="1427" w:type="pct"/>
                  <w:vAlign w:val="center"/>
                </w:tcPr>
                <w:p w14:paraId="151EE590">
                  <w:pPr>
                    <w:kinsoku w:val="0"/>
                    <w:autoSpaceDE w:val="0"/>
                    <w:autoSpaceDN w:val="0"/>
                    <w:spacing w:line="240" w:lineRule="auto"/>
                    <w:textAlignment w:val="baseline"/>
                    <w:rPr>
                      <w:color w:val="000000"/>
                      <w:kern w:val="0"/>
                      <w:sz w:val="18"/>
                      <w:szCs w:val="18"/>
                    </w:rPr>
                  </w:pPr>
                  <w:bookmarkStart w:id="24" w:name="OLE_LINK37"/>
                  <w:r>
                    <w:rPr>
                      <w:rFonts w:ascii="宋体" w:hAnsi="宋体"/>
                      <w:color w:val="000000"/>
                      <w:kern w:val="0"/>
                      <w:sz w:val="18"/>
                      <w:szCs w:val="18"/>
                    </w:rPr>
                    <w:t>本工程营运期废气主要为汽车尾气，随着我国执行单车排放标准的不断提高，单车尾气的排放量将会不断降低。</w:t>
                  </w:r>
                  <w:bookmarkEnd w:id="24"/>
                </w:p>
              </w:tc>
              <w:tc>
                <w:tcPr>
                  <w:tcW w:w="411" w:type="pct"/>
                  <w:vAlign w:val="center"/>
                </w:tcPr>
                <w:p w14:paraId="5D5993B0">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符合</w:t>
                  </w:r>
                </w:p>
              </w:tc>
            </w:tr>
            <w:tr w14:paraId="3FBA6CE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560" w:type="dxa"/>
                  <w:vMerge w:val="continue"/>
                  <w:vAlign w:val="center"/>
                </w:tcPr>
                <w:p w14:paraId="64B60439">
                  <w:pPr>
                    <w:widowControl/>
                    <w:adjustRightInd/>
                    <w:snapToGrid/>
                    <w:spacing w:line="240" w:lineRule="auto"/>
                    <w:jc w:val="left"/>
                    <w:rPr>
                      <w:color w:val="000000"/>
                      <w:kern w:val="0"/>
                      <w:sz w:val="18"/>
                      <w:szCs w:val="18"/>
                    </w:rPr>
                  </w:pPr>
                </w:p>
              </w:tc>
              <w:tc>
                <w:tcPr>
                  <w:tcW w:w="555" w:type="pct"/>
                  <w:vAlign w:val="center"/>
                </w:tcPr>
                <w:p w14:paraId="35CCE057">
                  <w:pPr>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水环境质量底线目标</w:t>
                  </w:r>
                </w:p>
              </w:tc>
              <w:tc>
                <w:tcPr>
                  <w:tcW w:w="2267" w:type="pct"/>
                  <w:vAlign w:val="center"/>
                </w:tcPr>
                <w:p w14:paraId="0FC73716">
                  <w:pPr>
                    <w:kinsoku w:val="0"/>
                    <w:autoSpaceDE w:val="0"/>
                    <w:autoSpaceDN w:val="0"/>
                    <w:spacing w:line="240" w:lineRule="auto"/>
                    <w:textAlignment w:val="baseline"/>
                    <w:rPr>
                      <w:color w:val="000000"/>
                      <w:kern w:val="0"/>
                      <w:sz w:val="18"/>
                      <w:szCs w:val="18"/>
                    </w:rPr>
                  </w:pPr>
                  <w:r>
                    <w:rPr>
                      <w:rFonts w:ascii="宋体" w:hAnsi="宋体"/>
                      <w:b/>
                      <w:color w:val="000000"/>
                      <w:kern w:val="0"/>
                      <w:sz w:val="18"/>
                      <w:szCs w:val="18"/>
                    </w:rPr>
                    <w:t>总体目标底线：</w:t>
                  </w:r>
                  <w:r>
                    <w:rPr>
                      <w:rFonts w:ascii="宋体" w:hAnsi="宋体"/>
                      <w:color w:val="000000"/>
                      <w:kern w:val="0"/>
                      <w:sz w:val="18"/>
                      <w:szCs w:val="18"/>
                    </w:rPr>
                    <w:t>到</w:t>
                  </w:r>
                  <w:r>
                    <w:rPr>
                      <w:color w:val="000000"/>
                      <w:kern w:val="0"/>
                      <w:sz w:val="18"/>
                      <w:szCs w:val="18"/>
                    </w:rPr>
                    <w:t>2025</w:t>
                  </w:r>
                  <w:r>
                    <w:rPr>
                      <w:rFonts w:ascii="宋体" w:hAnsi="宋体"/>
                      <w:color w:val="000000"/>
                      <w:kern w:val="0"/>
                      <w:sz w:val="18"/>
                      <w:szCs w:val="18"/>
                    </w:rPr>
                    <w:t>年，力争全市水生态环境质量实现</w:t>
                  </w:r>
                  <w:r>
                    <w:rPr>
                      <w:color w:val="000000"/>
                      <w:kern w:val="0"/>
                      <w:sz w:val="18"/>
                      <w:szCs w:val="18"/>
                    </w:rPr>
                    <w:t>“</w:t>
                  </w:r>
                  <w:r>
                    <w:rPr>
                      <w:rFonts w:ascii="宋体" w:hAnsi="宋体"/>
                      <w:color w:val="000000"/>
                      <w:kern w:val="0"/>
                      <w:sz w:val="18"/>
                      <w:szCs w:val="18"/>
                    </w:rPr>
                    <w:t>三无、两提升、三个百分百</w:t>
                  </w:r>
                  <w:r>
                    <w:rPr>
                      <w:color w:val="000000"/>
                      <w:kern w:val="0"/>
                      <w:sz w:val="18"/>
                      <w:szCs w:val="18"/>
                    </w:rPr>
                    <w:t>”</w:t>
                  </w:r>
                  <w:r>
                    <w:rPr>
                      <w:rFonts w:ascii="宋体" w:hAnsi="宋体"/>
                      <w:color w:val="000000"/>
                      <w:kern w:val="0"/>
                      <w:sz w:val="18"/>
                      <w:szCs w:val="18"/>
                    </w:rPr>
                    <w:t>，即：城市建成区无黑臭水体，地表无劣</w:t>
                  </w:r>
                  <w:r>
                    <w:rPr>
                      <w:color w:val="000000"/>
                      <w:kern w:val="0"/>
                      <w:sz w:val="18"/>
                      <w:szCs w:val="18"/>
                    </w:rPr>
                    <w:t>Ⅴ</w:t>
                  </w:r>
                  <w:r>
                    <w:rPr>
                      <w:rFonts w:ascii="宋体" w:hAnsi="宋体"/>
                      <w:color w:val="000000"/>
                      <w:kern w:val="0"/>
                      <w:sz w:val="18"/>
                      <w:szCs w:val="18"/>
                    </w:rPr>
                    <w:t>类水体，无断流（干涸）河流；市控以上地表水优良（达到或优于</w:t>
                  </w:r>
                  <w:r>
                    <w:rPr>
                      <w:color w:val="000000"/>
                      <w:kern w:val="0"/>
                      <w:sz w:val="18"/>
                      <w:szCs w:val="18"/>
                    </w:rPr>
                    <w:t>Ⅲ</w:t>
                  </w:r>
                  <w:r>
                    <w:rPr>
                      <w:rFonts w:ascii="宋体" w:hAnsi="宋体"/>
                      <w:color w:val="000000"/>
                      <w:kern w:val="0"/>
                      <w:sz w:val="18"/>
                      <w:szCs w:val="18"/>
                    </w:rPr>
                    <w:t>类）比例与水生生物完整性有不同程度的提升，县级以上城市集中式饮用水水源达到或优于</w:t>
                  </w:r>
                  <w:r>
                    <w:rPr>
                      <w:color w:val="000000"/>
                      <w:kern w:val="0"/>
                      <w:sz w:val="18"/>
                      <w:szCs w:val="18"/>
                    </w:rPr>
                    <w:t>Ⅲ</w:t>
                  </w:r>
                  <w:r>
                    <w:rPr>
                      <w:rFonts w:ascii="宋体" w:hAnsi="宋体"/>
                      <w:color w:val="000000"/>
                      <w:kern w:val="0"/>
                      <w:sz w:val="18"/>
                      <w:szCs w:val="18"/>
                    </w:rPr>
                    <w:t>类比例达到</w:t>
                  </w:r>
                  <w:r>
                    <w:rPr>
                      <w:color w:val="000000"/>
                      <w:kern w:val="0"/>
                      <w:sz w:val="18"/>
                      <w:szCs w:val="18"/>
                    </w:rPr>
                    <w:t>100%</w:t>
                  </w:r>
                  <w:r>
                    <w:rPr>
                      <w:rFonts w:ascii="宋体" w:hAnsi="宋体"/>
                      <w:color w:val="000000"/>
                      <w:kern w:val="0"/>
                      <w:sz w:val="18"/>
                      <w:szCs w:val="18"/>
                    </w:rPr>
                    <w:t>，地表水市控以上断面水质达标率达到</w:t>
                  </w:r>
                  <w:r>
                    <w:rPr>
                      <w:color w:val="000000"/>
                      <w:kern w:val="0"/>
                      <w:sz w:val="18"/>
                      <w:szCs w:val="18"/>
                    </w:rPr>
                    <w:t>100%</w:t>
                  </w:r>
                  <w:r>
                    <w:rPr>
                      <w:rFonts w:ascii="宋体" w:hAnsi="宋体"/>
                      <w:color w:val="000000"/>
                      <w:kern w:val="0"/>
                      <w:sz w:val="18"/>
                      <w:szCs w:val="18"/>
                    </w:rPr>
                    <w:t>，国家重要水功能区达标率达到</w:t>
                  </w:r>
                  <w:r>
                    <w:rPr>
                      <w:color w:val="000000"/>
                      <w:kern w:val="0"/>
                      <w:sz w:val="18"/>
                      <w:szCs w:val="18"/>
                    </w:rPr>
                    <w:t>100%</w:t>
                  </w:r>
                  <w:r>
                    <w:rPr>
                      <w:rFonts w:ascii="宋体" w:hAnsi="宋体"/>
                      <w:color w:val="000000"/>
                      <w:kern w:val="0"/>
                      <w:sz w:val="18"/>
                      <w:szCs w:val="18"/>
                    </w:rPr>
                    <w:t>。</w:t>
                  </w:r>
                </w:p>
                <w:p w14:paraId="6898F36C">
                  <w:pPr>
                    <w:kinsoku w:val="0"/>
                    <w:autoSpaceDE w:val="0"/>
                    <w:autoSpaceDN w:val="0"/>
                    <w:spacing w:line="240" w:lineRule="auto"/>
                    <w:textAlignment w:val="baseline"/>
                    <w:rPr>
                      <w:color w:val="000000"/>
                      <w:kern w:val="0"/>
                      <w:sz w:val="18"/>
                      <w:szCs w:val="18"/>
                    </w:rPr>
                  </w:pPr>
                  <w:r>
                    <w:rPr>
                      <w:rFonts w:hint="eastAsia" w:ascii="宋体" w:hAnsi="宋体"/>
                      <w:b/>
                      <w:color w:val="000000"/>
                      <w:kern w:val="0"/>
                      <w:sz w:val="18"/>
                      <w:szCs w:val="18"/>
                    </w:rPr>
                    <w:t>钱塘</w:t>
                  </w:r>
                  <w:r>
                    <w:rPr>
                      <w:rFonts w:ascii="宋体" w:hAnsi="宋体"/>
                      <w:b/>
                      <w:color w:val="000000"/>
                      <w:kern w:val="0"/>
                      <w:sz w:val="18"/>
                      <w:szCs w:val="18"/>
                    </w:rPr>
                    <w:t>区：</w:t>
                  </w:r>
                  <w:r>
                    <w:rPr>
                      <w:rFonts w:ascii="宋体" w:hAnsi="宋体"/>
                      <w:bCs/>
                      <w:color w:val="000000"/>
                      <w:kern w:val="0"/>
                      <w:sz w:val="18"/>
                      <w:szCs w:val="18"/>
                    </w:rPr>
                    <w:t>地表水市控以上断面达到或优于</w:t>
                  </w:r>
                  <w:r>
                    <w:rPr>
                      <w:bCs/>
                      <w:color w:val="000000"/>
                      <w:kern w:val="0"/>
                      <w:sz w:val="18"/>
                      <w:szCs w:val="18"/>
                    </w:rPr>
                    <w:t>Ⅲ</w:t>
                  </w:r>
                  <w:r>
                    <w:rPr>
                      <w:rFonts w:ascii="宋体" w:hAnsi="宋体"/>
                      <w:bCs/>
                      <w:color w:val="000000"/>
                      <w:kern w:val="0"/>
                      <w:sz w:val="18"/>
                      <w:szCs w:val="18"/>
                    </w:rPr>
                    <w:t>类水质比例保持在</w:t>
                  </w:r>
                  <w:r>
                    <w:rPr>
                      <w:bCs/>
                      <w:color w:val="000000"/>
                      <w:kern w:val="0"/>
                      <w:sz w:val="18"/>
                      <w:szCs w:val="18"/>
                    </w:rPr>
                    <w:t>100%</w:t>
                  </w:r>
                  <w:r>
                    <w:rPr>
                      <w:rFonts w:hint="eastAsia" w:ascii="宋体" w:hAnsi="宋体"/>
                      <w:bCs/>
                      <w:color w:val="000000"/>
                      <w:kern w:val="0"/>
                      <w:sz w:val="18"/>
                      <w:szCs w:val="18"/>
                    </w:rPr>
                    <w:t>。</w:t>
                  </w:r>
                </w:p>
              </w:tc>
              <w:tc>
                <w:tcPr>
                  <w:tcW w:w="1427" w:type="pct"/>
                  <w:vAlign w:val="center"/>
                </w:tcPr>
                <w:p w14:paraId="4EBF6B6C">
                  <w:pPr>
                    <w:kinsoku w:val="0"/>
                    <w:autoSpaceDE w:val="0"/>
                    <w:autoSpaceDN w:val="0"/>
                    <w:spacing w:line="240" w:lineRule="auto"/>
                    <w:textAlignment w:val="baseline"/>
                    <w:rPr>
                      <w:color w:val="000000"/>
                      <w:kern w:val="0"/>
                      <w:sz w:val="18"/>
                      <w:szCs w:val="18"/>
                    </w:rPr>
                  </w:pPr>
                  <w:r>
                    <w:rPr>
                      <w:rFonts w:ascii="宋体" w:hAnsi="宋体"/>
                      <w:color w:val="000000"/>
                      <w:kern w:val="0"/>
                      <w:sz w:val="18"/>
                      <w:szCs w:val="18"/>
                    </w:rPr>
                    <w:t>本项目所在</w:t>
                  </w:r>
                  <w:r>
                    <w:rPr>
                      <w:rFonts w:hint="eastAsia" w:ascii="宋体" w:hAnsi="宋体"/>
                      <w:color w:val="000000"/>
                      <w:kern w:val="0"/>
                      <w:sz w:val="18"/>
                      <w:szCs w:val="18"/>
                    </w:rPr>
                    <w:t>区域</w:t>
                  </w:r>
                  <w:r>
                    <w:rPr>
                      <w:rFonts w:ascii="宋体" w:hAnsi="宋体"/>
                      <w:color w:val="000000"/>
                      <w:kern w:val="0"/>
                      <w:sz w:val="18"/>
                      <w:szCs w:val="18"/>
                    </w:rPr>
                    <w:t>地表水</w:t>
                  </w:r>
                  <w:r>
                    <w:rPr>
                      <w:rFonts w:hint="eastAsia" w:ascii="宋体" w:hAnsi="宋体"/>
                      <w:color w:val="000000"/>
                      <w:kern w:val="0"/>
                      <w:sz w:val="18"/>
                      <w:szCs w:val="18"/>
                    </w:rPr>
                    <w:t>目标水质为</w:t>
                  </w:r>
                  <w:r>
                    <w:rPr>
                      <w:sz w:val="18"/>
                      <w:szCs w:val="18"/>
                    </w:rPr>
                    <w:t>Ⅳ类</w:t>
                  </w:r>
                  <w:r>
                    <w:rPr>
                      <w:rFonts w:ascii="宋体" w:hAnsi="宋体"/>
                      <w:color w:val="000000"/>
                      <w:kern w:val="0"/>
                      <w:sz w:val="18"/>
                      <w:szCs w:val="18"/>
                    </w:rPr>
                    <w:t>标准。本项目施工期生活污水利用已有的设施进行处理或预处理后清运，生产废水处理后回用不外排。因此，基本不会对地表水体水质造成影响。</w:t>
                  </w:r>
                </w:p>
              </w:tc>
              <w:tc>
                <w:tcPr>
                  <w:tcW w:w="411" w:type="pct"/>
                  <w:vAlign w:val="center"/>
                </w:tcPr>
                <w:p w14:paraId="2088EB5F">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符合</w:t>
                  </w:r>
                </w:p>
              </w:tc>
            </w:tr>
            <w:tr w14:paraId="13873F7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560" w:type="dxa"/>
                  <w:vMerge w:val="continue"/>
                  <w:vAlign w:val="center"/>
                </w:tcPr>
                <w:p w14:paraId="6DEFFDFA">
                  <w:pPr>
                    <w:widowControl/>
                    <w:adjustRightInd/>
                    <w:snapToGrid/>
                    <w:spacing w:line="240" w:lineRule="auto"/>
                    <w:jc w:val="left"/>
                    <w:rPr>
                      <w:color w:val="000000"/>
                      <w:kern w:val="0"/>
                      <w:sz w:val="18"/>
                      <w:szCs w:val="18"/>
                    </w:rPr>
                  </w:pPr>
                </w:p>
              </w:tc>
              <w:tc>
                <w:tcPr>
                  <w:tcW w:w="555" w:type="pct"/>
                  <w:vAlign w:val="center"/>
                </w:tcPr>
                <w:p w14:paraId="2AEF64E5">
                  <w:pPr>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土壤环境风险防控底线目标</w:t>
                  </w:r>
                </w:p>
              </w:tc>
              <w:tc>
                <w:tcPr>
                  <w:tcW w:w="2267" w:type="pct"/>
                  <w:vAlign w:val="center"/>
                </w:tcPr>
                <w:p w14:paraId="3CFE6F72">
                  <w:pPr>
                    <w:kinsoku w:val="0"/>
                    <w:autoSpaceDE w:val="0"/>
                    <w:autoSpaceDN w:val="0"/>
                    <w:spacing w:line="240" w:lineRule="auto"/>
                    <w:textAlignment w:val="baseline"/>
                    <w:rPr>
                      <w:color w:val="000000"/>
                      <w:kern w:val="0"/>
                      <w:sz w:val="18"/>
                      <w:szCs w:val="18"/>
                    </w:rPr>
                  </w:pPr>
                  <w:r>
                    <w:rPr>
                      <w:rFonts w:ascii="宋体" w:hAnsi="宋体"/>
                      <w:b/>
                      <w:color w:val="000000"/>
                      <w:kern w:val="0"/>
                      <w:sz w:val="18"/>
                      <w:szCs w:val="18"/>
                    </w:rPr>
                    <w:t>总体目标底线：</w:t>
                  </w:r>
                  <w:r>
                    <w:rPr>
                      <w:color w:val="000000"/>
                      <w:kern w:val="0"/>
                      <w:sz w:val="18"/>
                      <w:szCs w:val="18"/>
                    </w:rPr>
                    <w:t>2025</w:t>
                  </w:r>
                  <w:r>
                    <w:rPr>
                      <w:rFonts w:ascii="宋体" w:hAnsi="宋体"/>
                      <w:color w:val="000000"/>
                      <w:kern w:val="0"/>
                      <w:sz w:val="18"/>
                      <w:szCs w:val="18"/>
                    </w:rPr>
                    <w:t>年，土壤环境质量稳中向好，受污染耕地安全利用率达到省下达目标，重点建设用地安全利用率达到</w:t>
                  </w:r>
                  <w:r>
                    <w:rPr>
                      <w:color w:val="000000"/>
                      <w:kern w:val="0"/>
                      <w:sz w:val="18"/>
                      <w:szCs w:val="18"/>
                    </w:rPr>
                    <w:t>97%</w:t>
                  </w:r>
                  <w:r>
                    <w:rPr>
                      <w:rFonts w:ascii="宋体" w:hAnsi="宋体"/>
                      <w:color w:val="000000"/>
                      <w:kern w:val="0"/>
                      <w:sz w:val="18"/>
                      <w:szCs w:val="18"/>
                    </w:rPr>
                    <w:t>以上。</w:t>
                  </w:r>
                </w:p>
                <w:p w14:paraId="0806427B">
                  <w:pPr>
                    <w:kinsoku w:val="0"/>
                    <w:autoSpaceDE w:val="0"/>
                    <w:autoSpaceDN w:val="0"/>
                    <w:spacing w:line="240" w:lineRule="auto"/>
                    <w:textAlignment w:val="baseline"/>
                    <w:rPr>
                      <w:color w:val="000000"/>
                      <w:kern w:val="0"/>
                      <w:sz w:val="18"/>
                      <w:szCs w:val="18"/>
                    </w:rPr>
                  </w:pPr>
                  <w:r>
                    <w:rPr>
                      <w:rFonts w:hint="eastAsia" w:ascii="宋体" w:hAnsi="宋体"/>
                      <w:b/>
                      <w:color w:val="000000"/>
                      <w:kern w:val="0"/>
                      <w:sz w:val="18"/>
                      <w:szCs w:val="18"/>
                    </w:rPr>
                    <w:t>钱塘区</w:t>
                  </w:r>
                  <w:r>
                    <w:rPr>
                      <w:rFonts w:ascii="宋体" w:hAnsi="宋体"/>
                      <w:b/>
                      <w:color w:val="000000"/>
                      <w:kern w:val="0"/>
                      <w:sz w:val="18"/>
                      <w:szCs w:val="18"/>
                    </w:rPr>
                    <w:t>：</w:t>
                  </w:r>
                  <w:r>
                    <w:rPr>
                      <w:rFonts w:ascii="宋体" w:hAnsi="宋体"/>
                      <w:bCs/>
                      <w:color w:val="000000"/>
                      <w:kern w:val="0"/>
                      <w:sz w:val="18"/>
                      <w:szCs w:val="18"/>
                    </w:rPr>
                    <w:t>重点建设用地安全利用率达到</w:t>
                  </w:r>
                  <w:r>
                    <w:rPr>
                      <w:bCs/>
                      <w:color w:val="000000"/>
                      <w:kern w:val="0"/>
                      <w:sz w:val="18"/>
                      <w:szCs w:val="18"/>
                    </w:rPr>
                    <w:t>97%</w:t>
                  </w:r>
                  <w:r>
                    <w:rPr>
                      <w:rFonts w:ascii="宋体" w:hAnsi="宋体"/>
                      <w:bCs/>
                      <w:color w:val="000000"/>
                      <w:kern w:val="0"/>
                      <w:sz w:val="18"/>
                      <w:szCs w:val="18"/>
                    </w:rPr>
                    <w:t>以上。</w:t>
                  </w:r>
                </w:p>
              </w:tc>
              <w:tc>
                <w:tcPr>
                  <w:tcW w:w="1427" w:type="pct"/>
                  <w:vAlign w:val="center"/>
                </w:tcPr>
                <w:p w14:paraId="733128E5">
                  <w:pPr>
                    <w:kinsoku w:val="0"/>
                    <w:autoSpaceDE w:val="0"/>
                    <w:autoSpaceDN w:val="0"/>
                    <w:spacing w:line="240" w:lineRule="auto"/>
                    <w:textAlignment w:val="baseline"/>
                    <w:rPr>
                      <w:color w:val="000000"/>
                      <w:kern w:val="0"/>
                      <w:sz w:val="18"/>
                      <w:szCs w:val="18"/>
                    </w:rPr>
                  </w:pPr>
                  <w:r>
                    <w:rPr>
                      <w:rFonts w:ascii="宋体" w:hAnsi="宋体"/>
                      <w:color w:val="000000"/>
                      <w:kern w:val="0"/>
                      <w:sz w:val="18"/>
                      <w:szCs w:val="18"/>
                    </w:rPr>
                    <w:t>本项目为市政工程项目，运营期不涉及相关危险物品</w:t>
                  </w:r>
                  <w:r>
                    <w:rPr>
                      <w:rFonts w:hint="eastAsia" w:ascii="宋体" w:hAnsi="宋体"/>
                      <w:color w:val="000000"/>
                      <w:kern w:val="0"/>
                      <w:sz w:val="18"/>
                      <w:szCs w:val="18"/>
                    </w:rPr>
                    <w:t>使用等，采取相关措施后项目环境风险总体可控</w:t>
                  </w:r>
                  <w:r>
                    <w:rPr>
                      <w:rFonts w:ascii="宋体" w:hAnsi="宋体"/>
                      <w:color w:val="000000"/>
                      <w:kern w:val="0"/>
                      <w:sz w:val="18"/>
                      <w:szCs w:val="18"/>
                    </w:rPr>
                    <w:t>，不会突破土壤环境质量底线。</w:t>
                  </w:r>
                </w:p>
              </w:tc>
              <w:tc>
                <w:tcPr>
                  <w:tcW w:w="411" w:type="pct"/>
                  <w:vAlign w:val="center"/>
                </w:tcPr>
                <w:p w14:paraId="3FFACC95">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符合</w:t>
                  </w:r>
                </w:p>
              </w:tc>
            </w:tr>
            <w:tr w14:paraId="3CD34A1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38" w:type="pct"/>
                  <w:vMerge w:val="restart"/>
                  <w:vAlign w:val="center"/>
                </w:tcPr>
                <w:p w14:paraId="469B12DF">
                  <w:pPr>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资源利用上线</w:t>
                  </w:r>
                </w:p>
              </w:tc>
              <w:tc>
                <w:tcPr>
                  <w:tcW w:w="555" w:type="pct"/>
                  <w:vAlign w:val="center"/>
                </w:tcPr>
                <w:p w14:paraId="462FCFE6">
                  <w:pPr>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能源利用上线目标</w:t>
                  </w:r>
                </w:p>
              </w:tc>
              <w:tc>
                <w:tcPr>
                  <w:tcW w:w="2267" w:type="pct"/>
                  <w:vAlign w:val="center"/>
                </w:tcPr>
                <w:p w14:paraId="3347910F">
                  <w:pPr>
                    <w:kinsoku w:val="0"/>
                    <w:autoSpaceDE w:val="0"/>
                    <w:autoSpaceDN w:val="0"/>
                    <w:spacing w:line="240" w:lineRule="auto"/>
                    <w:jc w:val="left"/>
                    <w:textAlignment w:val="baseline"/>
                    <w:rPr>
                      <w:color w:val="000000"/>
                      <w:kern w:val="0"/>
                      <w:sz w:val="18"/>
                      <w:szCs w:val="18"/>
                    </w:rPr>
                  </w:pPr>
                  <w:r>
                    <w:rPr>
                      <w:rFonts w:ascii="宋体" w:hAnsi="宋体"/>
                      <w:color w:val="000000"/>
                      <w:kern w:val="0"/>
                      <w:sz w:val="18"/>
                      <w:szCs w:val="18"/>
                    </w:rPr>
                    <w:t>通过一手抓能源供应保障，一手抓能源结构优化，到</w:t>
                  </w:r>
                  <w:r>
                    <w:rPr>
                      <w:color w:val="000000"/>
                      <w:kern w:val="0"/>
                      <w:sz w:val="18"/>
                      <w:szCs w:val="18"/>
                    </w:rPr>
                    <w:t>2025</w:t>
                  </w:r>
                  <w:r>
                    <w:rPr>
                      <w:rFonts w:ascii="宋体" w:hAnsi="宋体"/>
                      <w:color w:val="000000"/>
                      <w:kern w:val="0"/>
                      <w:sz w:val="18"/>
                      <w:szCs w:val="18"/>
                    </w:rPr>
                    <w:t>年实现</w:t>
                  </w:r>
                  <w:r>
                    <w:rPr>
                      <w:color w:val="000000"/>
                      <w:kern w:val="0"/>
                      <w:sz w:val="18"/>
                      <w:szCs w:val="18"/>
                    </w:rPr>
                    <w:t>“</w:t>
                  </w:r>
                  <w:r>
                    <w:rPr>
                      <w:rFonts w:ascii="宋体" w:hAnsi="宋体"/>
                      <w:color w:val="000000"/>
                      <w:kern w:val="0"/>
                      <w:sz w:val="18"/>
                      <w:szCs w:val="18"/>
                    </w:rPr>
                    <w:t>三保两降两升</w:t>
                  </w:r>
                  <w:r>
                    <w:rPr>
                      <w:color w:val="000000"/>
                      <w:kern w:val="0"/>
                      <w:sz w:val="18"/>
                      <w:szCs w:val="18"/>
                    </w:rPr>
                    <w:t>”</w:t>
                  </w:r>
                  <w:r>
                    <w:rPr>
                      <w:rFonts w:ascii="宋体" w:hAnsi="宋体"/>
                      <w:color w:val="000000"/>
                      <w:kern w:val="0"/>
                      <w:sz w:val="18"/>
                      <w:szCs w:val="18"/>
                    </w:rPr>
                    <w:t>的主要发展目标。</w:t>
                  </w:r>
                </w:p>
                <w:p w14:paraId="5B94B281">
                  <w:pPr>
                    <w:kinsoku w:val="0"/>
                    <w:autoSpaceDE w:val="0"/>
                    <w:autoSpaceDN w:val="0"/>
                    <w:spacing w:line="240" w:lineRule="auto"/>
                    <w:jc w:val="left"/>
                    <w:textAlignment w:val="baseline"/>
                    <w:rPr>
                      <w:color w:val="000000"/>
                      <w:kern w:val="0"/>
                      <w:sz w:val="18"/>
                      <w:szCs w:val="18"/>
                    </w:rPr>
                  </w:pPr>
                  <w:r>
                    <w:rPr>
                      <w:color w:val="000000"/>
                      <w:kern w:val="0"/>
                      <w:sz w:val="18"/>
                      <w:szCs w:val="18"/>
                    </w:rPr>
                    <w:t>——“</w:t>
                  </w:r>
                  <w:r>
                    <w:rPr>
                      <w:rFonts w:ascii="宋体" w:hAnsi="宋体"/>
                      <w:color w:val="000000"/>
                      <w:kern w:val="0"/>
                      <w:sz w:val="18"/>
                      <w:szCs w:val="18"/>
                    </w:rPr>
                    <w:t>三保</w:t>
                  </w:r>
                  <w:r>
                    <w:rPr>
                      <w:color w:val="000000"/>
                      <w:kern w:val="0"/>
                      <w:sz w:val="18"/>
                      <w:szCs w:val="18"/>
                    </w:rPr>
                    <w:t>”</w:t>
                  </w:r>
                  <w:r>
                    <w:rPr>
                      <w:rFonts w:ascii="宋体" w:hAnsi="宋体"/>
                      <w:color w:val="000000"/>
                      <w:kern w:val="0"/>
                      <w:sz w:val="18"/>
                      <w:szCs w:val="18"/>
                    </w:rPr>
                    <w:t>：电力、天然气、油品等能源供应保障能力持续增强。到</w:t>
                  </w:r>
                  <w:r>
                    <w:rPr>
                      <w:color w:val="000000"/>
                      <w:kern w:val="0"/>
                      <w:sz w:val="18"/>
                      <w:szCs w:val="18"/>
                    </w:rPr>
                    <w:t>2025</w:t>
                  </w:r>
                  <w:r>
                    <w:rPr>
                      <w:rFonts w:ascii="宋体" w:hAnsi="宋体"/>
                      <w:color w:val="000000"/>
                      <w:kern w:val="0"/>
                      <w:sz w:val="18"/>
                      <w:szCs w:val="18"/>
                    </w:rPr>
                    <w:t>年，全市电网</w:t>
                  </w:r>
                  <w:r>
                    <w:rPr>
                      <w:color w:val="000000"/>
                      <w:kern w:val="0"/>
                      <w:sz w:val="18"/>
                      <w:szCs w:val="18"/>
                    </w:rPr>
                    <w:t>110</w:t>
                  </w:r>
                  <w:r>
                    <w:rPr>
                      <w:rFonts w:ascii="宋体" w:hAnsi="宋体"/>
                      <w:color w:val="000000"/>
                      <w:kern w:val="0"/>
                      <w:sz w:val="18"/>
                      <w:szCs w:val="18"/>
                    </w:rPr>
                    <w:t>千伏及以上变电容量达到</w:t>
                  </w:r>
                  <w:r>
                    <w:rPr>
                      <w:color w:val="000000"/>
                      <w:kern w:val="0"/>
                      <w:sz w:val="18"/>
                      <w:szCs w:val="18"/>
                    </w:rPr>
                    <w:t>11268</w:t>
                  </w:r>
                  <w:r>
                    <w:rPr>
                      <w:rFonts w:ascii="宋体" w:hAnsi="宋体"/>
                      <w:color w:val="000000"/>
                      <w:kern w:val="0"/>
                      <w:sz w:val="18"/>
                      <w:szCs w:val="18"/>
                    </w:rPr>
                    <w:t>万千伏安，天然气供应能力不小于</w:t>
                  </w:r>
                  <w:r>
                    <w:rPr>
                      <w:color w:val="000000"/>
                      <w:kern w:val="0"/>
                      <w:sz w:val="18"/>
                      <w:szCs w:val="18"/>
                    </w:rPr>
                    <w:t>44</w:t>
                  </w:r>
                  <w:r>
                    <w:rPr>
                      <w:rFonts w:ascii="宋体" w:hAnsi="宋体"/>
                      <w:color w:val="000000"/>
                      <w:kern w:val="0"/>
                      <w:sz w:val="18"/>
                      <w:szCs w:val="18"/>
                    </w:rPr>
                    <w:t>亿立方米，汽柴油供应能力不小于</w:t>
                  </w:r>
                  <w:r>
                    <w:rPr>
                      <w:color w:val="000000"/>
                      <w:kern w:val="0"/>
                      <w:sz w:val="18"/>
                      <w:szCs w:val="18"/>
                    </w:rPr>
                    <w:t>420</w:t>
                  </w:r>
                  <w:r>
                    <w:rPr>
                      <w:rFonts w:ascii="宋体" w:hAnsi="宋体"/>
                      <w:color w:val="000000"/>
                      <w:kern w:val="0"/>
                      <w:sz w:val="18"/>
                      <w:szCs w:val="18"/>
                    </w:rPr>
                    <w:t>万吨。</w:t>
                  </w:r>
                </w:p>
                <w:p w14:paraId="7290F8B2">
                  <w:pPr>
                    <w:kinsoku w:val="0"/>
                    <w:autoSpaceDE w:val="0"/>
                    <w:autoSpaceDN w:val="0"/>
                    <w:spacing w:line="240" w:lineRule="auto"/>
                    <w:jc w:val="left"/>
                    <w:textAlignment w:val="baseline"/>
                    <w:rPr>
                      <w:color w:val="000000"/>
                      <w:kern w:val="0"/>
                      <w:sz w:val="18"/>
                      <w:szCs w:val="18"/>
                    </w:rPr>
                  </w:pPr>
                  <w:r>
                    <w:rPr>
                      <w:color w:val="000000"/>
                      <w:kern w:val="0"/>
                      <w:sz w:val="18"/>
                      <w:szCs w:val="18"/>
                    </w:rPr>
                    <w:t>——“</w:t>
                  </w:r>
                  <w:r>
                    <w:rPr>
                      <w:rFonts w:ascii="宋体" w:hAnsi="宋体"/>
                      <w:color w:val="000000"/>
                      <w:kern w:val="0"/>
                      <w:sz w:val="18"/>
                      <w:szCs w:val="18"/>
                    </w:rPr>
                    <w:t>两降</w:t>
                  </w:r>
                  <w:r>
                    <w:rPr>
                      <w:color w:val="000000"/>
                      <w:kern w:val="0"/>
                      <w:sz w:val="18"/>
                      <w:szCs w:val="18"/>
                    </w:rPr>
                    <w:t>”</w:t>
                  </w:r>
                  <w:r>
                    <w:rPr>
                      <w:rFonts w:ascii="宋体" w:hAnsi="宋体"/>
                      <w:color w:val="000000"/>
                      <w:kern w:val="0"/>
                      <w:sz w:val="18"/>
                      <w:szCs w:val="18"/>
                    </w:rPr>
                    <w:t>：即单位</w:t>
                  </w:r>
                  <w:r>
                    <w:rPr>
                      <w:color w:val="000000"/>
                      <w:kern w:val="0"/>
                      <w:sz w:val="18"/>
                      <w:szCs w:val="18"/>
                    </w:rPr>
                    <w:t>GDP</w:t>
                  </w:r>
                  <w:r>
                    <w:rPr>
                      <w:rFonts w:ascii="宋体" w:hAnsi="宋体"/>
                      <w:color w:val="000000"/>
                      <w:kern w:val="0"/>
                      <w:sz w:val="18"/>
                      <w:szCs w:val="18"/>
                    </w:rPr>
                    <w:t>能耗、煤炭消费量进一步下降。</w:t>
                  </w:r>
                  <w:r>
                    <w:rPr>
                      <w:color w:val="000000"/>
                      <w:kern w:val="0"/>
                      <w:sz w:val="18"/>
                      <w:szCs w:val="18"/>
                    </w:rPr>
                    <w:t>“</w:t>
                  </w:r>
                  <w:r>
                    <w:rPr>
                      <w:rFonts w:ascii="宋体" w:hAnsi="宋体"/>
                      <w:color w:val="000000"/>
                      <w:kern w:val="0"/>
                      <w:sz w:val="18"/>
                      <w:szCs w:val="18"/>
                    </w:rPr>
                    <w:t>十四五</w:t>
                  </w:r>
                  <w:r>
                    <w:rPr>
                      <w:color w:val="000000"/>
                      <w:kern w:val="0"/>
                      <w:sz w:val="18"/>
                      <w:szCs w:val="18"/>
                    </w:rPr>
                    <w:t>”</w:t>
                  </w:r>
                  <w:r>
                    <w:rPr>
                      <w:rFonts w:ascii="宋体" w:hAnsi="宋体"/>
                      <w:color w:val="000000"/>
                      <w:kern w:val="0"/>
                      <w:sz w:val="18"/>
                      <w:szCs w:val="18"/>
                    </w:rPr>
                    <w:t>期间，全市单位</w:t>
                  </w:r>
                  <w:r>
                    <w:rPr>
                      <w:color w:val="000000"/>
                      <w:kern w:val="0"/>
                      <w:sz w:val="18"/>
                      <w:szCs w:val="18"/>
                    </w:rPr>
                    <w:t>GDP</w:t>
                  </w:r>
                  <w:r>
                    <w:rPr>
                      <w:rFonts w:ascii="宋体" w:hAnsi="宋体"/>
                      <w:color w:val="000000"/>
                      <w:kern w:val="0"/>
                      <w:sz w:val="18"/>
                      <w:szCs w:val="18"/>
                    </w:rPr>
                    <w:t>能耗累计降幅不低于</w:t>
                  </w:r>
                  <w:r>
                    <w:rPr>
                      <w:color w:val="000000"/>
                      <w:kern w:val="0"/>
                      <w:sz w:val="18"/>
                      <w:szCs w:val="18"/>
                    </w:rPr>
                    <w:t>15%</w:t>
                  </w:r>
                  <w:r>
                    <w:rPr>
                      <w:rFonts w:ascii="宋体" w:hAnsi="宋体"/>
                      <w:color w:val="000000"/>
                      <w:kern w:val="0"/>
                      <w:sz w:val="18"/>
                      <w:szCs w:val="18"/>
                    </w:rPr>
                    <w:t>，煤炭消费下降目标达到省要求。</w:t>
                  </w:r>
                </w:p>
                <w:p w14:paraId="3EA1ABD7">
                  <w:pPr>
                    <w:kinsoku w:val="0"/>
                    <w:autoSpaceDE w:val="0"/>
                    <w:autoSpaceDN w:val="0"/>
                    <w:spacing w:line="240" w:lineRule="auto"/>
                    <w:textAlignment w:val="baseline"/>
                    <w:rPr>
                      <w:color w:val="000000"/>
                      <w:kern w:val="0"/>
                      <w:sz w:val="18"/>
                      <w:szCs w:val="18"/>
                    </w:rPr>
                  </w:pPr>
                  <w:r>
                    <w:rPr>
                      <w:color w:val="000000"/>
                      <w:kern w:val="0"/>
                      <w:sz w:val="18"/>
                      <w:szCs w:val="18"/>
                    </w:rPr>
                    <w:t>——“</w:t>
                  </w:r>
                  <w:r>
                    <w:rPr>
                      <w:rFonts w:ascii="宋体" w:hAnsi="宋体"/>
                      <w:color w:val="000000"/>
                      <w:kern w:val="0"/>
                      <w:sz w:val="18"/>
                      <w:szCs w:val="18"/>
                    </w:rPr>
                    <w:t>两升</w:t>
                  </w:r>
                  <w:r>
                    <w:rPr>
                      <w:color w:val="000000"/>
                      <w:kern w:val="0"/>
                      <w:sz w:val="18"/>
                      <w:szCs w:val="18"/>
                    </w:rPr>
                    <w:t>”</w:t>
                  </w:r>
                  <w:r>
                    <w:rPr>
                      <w:rFonts w:ascii="宋体" w:hAnsi="宋体"/>
                      <w:color w:val="000000"/>
                      <w:kern w:val="0"/>
                      <w:sz w:val="18"/>
                      <w:szCs w:val="18"/>
                    </w:rPr>
                    <w:t>：即清洁能源占比、非化石能源占比进一步提升。到</w:t>
                  </w:r>
                  <w:r>
                    <w:rPr>
                      <w:color w:val="000000"/>
                      <w:kern w:val="0"/>
                      <w:sz w:val="18"/>
                      <w:szCs w:val="18"/>
                    </w:rPr>
                    <w:t>2025</w:t>
                  </w:r>
                  <w:r>
                    <w:rPr>
                      <w:rFonts w:ascii="宋体" w:hAnsi="宋体"/>
                      <w:color w:val="000000"/>
                      <w:kern w:val="0"/>
                      <w:sz w:val="18"/>
                      <w:szCs w:val="18"/>
                    </w:rPr>
                    <w:t>年，全市清洁能源占比不低于</w:t>
                  </w:r>
                  <w:r>
                    <w:rPr>
                      <w:color w:val="000000"/>
                      <w:kern w:val="0"/>
                      <w:sz w:val="18"/>
                      <w:szCs w:val="18"/>
                    </w:rPr>
                    <w:t>68%</w:t>
                  </w:r>
                  <w:r>
                    <w:rPr>
                      <w:rFonts w:ascii="宋体" w:hAnsi="宋体"/>
                      <w:color w:val="000000"/>
                      <w:kern w:val="0"/>
                      <w:sz w:val="18"/>
                      <w:szCs w:val="18"/>
                    </w:rPr>
                    <w:t>，非化石能源占比不低于</w:t>
                  </w:r>
                  <w:r>
                    <w:rPr>
                      <w:color w:val="000000"/>
                      <w:kern w:val="0"/>
                      <w:sz w:val="18"/>
                      <w:szCs w:val="18"/>
                    </w:rPr>
                    <w:t>20%</w:t>
                  </w:r>
                  <w:r>
                    <w:rPr>
                      <w:rFonts w:ascii="宋体" w:hAnsi="宋体"/>
                      <w:color w:val="000000"/>
                      <w:kern w:val="0"/>
                      <w:sz w:val="18"/>
                      <w:szCs w:val="18"/>
                    </w:rPr>
                    <w:t>。</w:t>
                  </w:r>
                </w:p>
              </w:tc>
              <w:tc>
                <w:tcPr>
                  <w:tcW w:w="1427" w:type="pct"/>
                  <w:vAlign w:val="center"/>
                </w:tcPr>
                <w:p w14:paraId="5B4A3597">
                  <w:pPr>
                    <w:kinsoku w:val="0"/>
                    <w:autoSpaceDE w:val="0"/>
                    <w:autoSpaceDN w:val="0"/>
                    <w:spacing w:line="240" w:lineRule="auto"/>
                    <w:textAlignment w:val="baseline"/>
                    <w:rPr>
                      <w:color w:val="000000"/>
                      <w:kern w:val="0"/>
                      <w:sz w:val="18"/>
                      <w:szCs w:val="18"/>
                    </w:rPr>
                  </w:pPr>
                  <w:r>
                    <w:rPr>
                      <w:rFonts w:ascii="宋体" w:hAnsi="宋体"/>
                      <w:color w:val="000000"/>
                      <w:kern w:val="0"/>
                      <w:sz w:val="18"/>
                      <w:szCs w:val="18"/>
                    </w:rPr>
                    <w:t>本项目营运期所需能源主要为照明用电</w:t>
                  </w:r>
                  <w:r>
                    <w:rPr>
                      <w:rFonts w:hint="eastAsia" w:ascii="宋体" w:hAnsi="宋体"/>
                      <w:color w:val="000000"/>
                      <w:kern w:val="0"/>
                      <w:sz w:val="18"/>
                      <w:szCs w:val="18"/>
                    </w:rPr>
                    <w:t>和部分小型施工机械设备</w:t>
                  </w:r>
                  <w:r>
                    <w:rPr>
                      <w:rFonts w:ascii="宋体" w:hAnsi="宋体"/>
                      <w:color w:val="000000"/>
                      <w:kern w:val="0"/>
                      <w:sz w:val="18"/>
                      <w:szCs w:val="18"/>
                    </w:rPr>
                    <w:t>，用量不大，不会突破区域能源利用上线。</w:t>
                  </w:r>
                </w:p>
              </w:tc>
              <w:tc>
                <w:tcPr>
                  <w:tcW w:w="411" w:type="pct"/>
                  <w:vAlign w:val="center"/>
                </w:tcPr>
                <w:p w14:paraId="48F6BD91">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符合</w:t>
                  </w:r>
                </w:p>
              </w:tc>
            </w:tr>
            <w:tr w14:paraId="2F8F300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560" w:type="dxa"/>
                  <w:vMerge w:val="continue"/>
                  <w:vAlign w:val="center"/>
                </w:tcPr>
                <w:p w14:paraId="10CEACE7">
                  <w:pPr>
                    <w:widowControl/>
                    <w:adjustRightInd/>
                    <w:snapToGrid/>
                    <w:spacing w:line="240" w:lineRule="auto"/>
                    <w:jc w:val="left"/>
                    <w:rPr>
                      <w:color w:val="000000"/>
                      <w:kern w:val="0"/>
                      <w:sz w:val="18"/>
                      <w:szCs w:val="18"/>
                    </w:rPr>
                  </w:pPr>
                </w:p>
              </w:tc>
              <w:tc>
                <w:tcPr>
                  <w:tcW w:w="555" w:type="pct"/>
                  <w:vAlign w:val="center"/>
                </w:tcPr>
                <w:p w14:paraId="63CBCB25">
                  <w:pPr>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水资源利用上线目标</w:t>
                  </w:r>
                </w:p>
              </w:tc>
              <w:tc>
                <w:tcPr>
                  <w:tcW w:w="2267" w:type="pct"/>
                  <w:vAlign w:val="center"/>
                </w:tcPr>
                <w:p w14:paraId="1C3D313F">
                  <w:pPr>
                    <w:kinsoku w:val="0"/>
                    <w:autoSpaceDE w:val="0"/>
                    <w:autoSpaceDN w:val="0"/>
                    <w:spacing w:line="240" w:lineRule="auto"/>
                    <w:textAlignment w:val="baseline"/>
                    <w:rPr>
                      <w:color w:val="000000"/>
                      <w:kern w:val="0"/>
                      <w:sz w:val="18"/>
                      <w:szCs w:val="18"/>
                    </w:rPr>
                  </w:pPr>
                  <w:r>
                    <w:rPr>
                      <w:rFonts w:ascii="宋体" w:hAnsi="宋体"/>
                      <w:b/>
                      <w:color w:val="000000"/>
                      <w:kern w:val="0"/>
                      <w:sz w:val="18"/>
                      <w:szCs w:val="18"/>
                    </w:rPr>
                    <w:t>总体目标底线：</w:t>
                  </w:r>
                  <w:r>
                    <w:rPr>
                      <w:rFonts w:ascii="宋体" w:hAnsi="宋体"/>
                      <w:color w:val="000000"/>
                      <w:kern w:val="0"/>
                      <w:sz w:val="18"/>
                      <w:szCs w:val="18"/>
                    </w:rPr>
                    <w:t>到</w:t>
                  </w:r>
                  <w:r>
                    <w:rPr>
                      <w:color w:val="000000"/>
                      <w:kern w:val="0"/>
                      <w:sz w:val="18"/>
                      <w:szCs w:val="18"/>
                    </w:rPr>
                    <w:t>2025</w:t>
                  </w:r>
                  <w:r>
                    <w:rPr>
                      <w:rFonts w:ascii="宋体" w:hAnsi="宋体"/>
                      <w:color w:val="000000"/>
                      <w:kern w:val="0"/>
                      <w:sz w:val="18"/>
                      <w:szCs w:val="18"/>
                    </w:rPr>
                    <w:t>年，用水总量目标为</w:t>
                  </w:r>
                  <w:r>
                    <w:rPr>
                      <w:color w:val="000000"/>
                      <w:kern w:val="0"/>
                      <w:sz w:val="18"/>
                      <w:szCs w:val="18"/>
                    </w:rPr>
                    <w:t>32.68</w:t>
                  </w:r>
                  <w:r>
                    <w:rPr>
                      <w:rFonts w:ascii="宋体" w:hAnsi="宋体"/>
                      <w:color w:val="000000"/>
                      <w:kern w:val="0"/>
                      <w:sz w:val="18"/>
                      <w:szCs w:val="18"/>
                    </w:rPr>
                    <w:t>亿立方米（含非常水</w:t>
                  </w:r>
                  <w:r>
                    <w:rPr>
                      <w:color w:val="000000"/>
                      <w:kern w:val="0"/>
                      <w:sz w:val="18"/>
                      <w:szCs w:val="18"/>
                    </w:rPr>
                    <w:t>0.48</w:t>
                  </w:r>
                  <w:r>
                    <w:rPr>
                      <w:rFonts w:ascii="宋体" w:hAnsi="宋体"/>
                      <w:color w:val="000000"/>
                      <w:kern w:val="0"/>
                      <w:sz w:val="18"/>
                      <w:szCs w:val="18"/>
                    </w:rPr>
                    <w:t>亿立方米）、万元</w:t>
                  </w:r>
                  <w:r>
                    <w:rPr>
                      <w:color w:val="000000"/>
                      <w:kern w:val="0"/>
                      <w:sz w:val="18"/>
                      <w:szCs w:val="18"/>
                    </w:rPr>
                    <w:t>GDP</w:t>
                  </w:r>
                  <w:r>
                    <w:rPr>
                      <w:rFonts w:ascii="宋体" w:hAnsi="宋体"/>
                      <w:color w:val="000000"/>
                      <w:kern w:val="0"/>
                      <w:sz w:val="18"/>
                      <w:szCs w:val="18"/>
                    </w:rPr>
                    <w:t>用水量比</w:t>
                  </w:r>
                  <w:r>
                    <w:rPr>
                      <w:color w:val="000000"/>
                      <w:kern w:val="0"/>
                      <w:sz w:val="18"/>
                      <w:szCs w:val="18"/>
                    </w:rPr>
                    <w:t>2020</w:t>
                  </w:r>
                  <w:r>
                    <w:rPr>
                      <w:rFonts w:ascii="宋体" w:hAnsi="宋体"/>
                      <w:color w:val="000000"/>
                      <w:kern w:val="0"/>
                      <w:sz w:val="18"/>
                      <w:szCs w:val="18"/>
                    </w:rPr>
                    <w:t>年下降</w:t>
                  </w:r>
                  <w:r>
                    <w:rPr>
                      <w:color w:val="000000"/>
                      <w:kern w:val="0"/>
                      <w:sz w:val="18"/>
                      <w:szCs w:val="18"/>
                    </w:rPr>
                    <w:t>16%</w:t>
                  </w:r>
                  <w:r>
                    <w:rPr>
                      <w:rFonts w:ascii="宋体" w:hAnsi="宋体"/>
                      <w:color w:val="000000"/>
                      <w:kern w:val="0"/>
                      <w:sz w:val="18"/>
                      <w:szCs w:val="18"/>
                    </w:rPr>
                    <w:t>、万元工业增加值用水量比</w:t>
                  </w:r>
                  <w:r>
                    <w:rPr>
                      <w:color w:val="000000"/>
                      <w:kern w:val="0"/>
                      <w:sz w:val="18"/>
                      <w:szCs w:val="18"/>
                    </w:rPr>
                    <w:t>2020</w:t>
                  </w:r>
                  <w:r>
                    <w:rPr>
                      <w:rFonts w:ascii="宋体" w:hAnsi="宋体"/>
                      <w:color w:val="000000"/>
                      <w:kern w:val="0"/>
                      <w:sz w:val="18"/>
                      <w:szCs w:val="18"/>
                    </w:rPr>
                    <w:t>年下降</w:t>
                  </w:r>
                  <w:r>
                    <w:rPr>
                      <w:color w:val="000000"/>
                      <w:kern w:val="0"/>
                      <w:sz w:val="18"/>
                      <w:szCs w:val="18"/>
                    </w:rPr>
                    <w:t>17%</w:t>
                  </w:r>
                  <w:r>
                    <w:rPr>
                      <w:rFonts w:ascii="宋体" w:hAnsi="宋体"/>
                      <w:color w:val="000000"/>
                      <w:kern w:val="0"/>
                      <w:sz w:val="18"/>
                      <w:szCs w:val="18"/>
                    </w:rPr>
                    <w:t>，农田灌溉水有效利用系数达到</w:t>
                  </w:r>
                  <w:r>
                    <w:rPr>
                      <w:color w:val="000000"/>
                      <w:kern w:val="0"/>
                      <w:sz w:val="18"/>
                      <w:szCs w:val="18"/>
                    </w:rPr>
                    <w:t>0.614</w:t>
                  </w:r>
                  <w:r>
                    <w:rPr>
                      <w:rFonts w:ascii="宋体" w:hAnsi="宋体"/>
                      <w:color w:val="000000"/>
                      <w:kern w:val="0"/>
                      <w:sz w:val="18"/>
                      <w:szCs w:val="18"/>
                    </w:rPr>
                    <w:t>。</w:t>
                  </w:r>
                </w:p>
                <w:p w14:paraId="7296F974">
                  <w:pPr>
                    <w:kinsoku w:val="0"/>
                    <w:autoSpaceDE w:val="0"/>
                    <w:autoSpaceDN w:val="0"/>
                    <w:spacing w:line="240" w:lineRule="auto"/>
                    <w:textAlignment w:val="baseline"/>
                    <w:rPr>
                      <w:b/>
                      <w:color w:val="000000"/>
                      <w:kern w:val="0"/>
                      <w:sz w:val="18"/>
                      <w:szCs w:val="18"/>
                    </w:rPr>
                  </w:pPr>
                  <w:r>
                    <w:rPr>
                      <w:rFonts w:hint="eastAsia" w:ascii="宋体" w:hAnsi="宋体"/>
                      <w:b/>
                      <w:color w:val="000000"/>
                      <w:kern w:val="0"/>
                      <w:sz w:val="18"/>
                      <w:szCs w:val="18"/>
                    </w:rPr>
                    <w:t>钱塘</w:t>
                  </w:r>
                  <w:r>
                    <w:rPr>
                      <w:rFonts w:ascii="宋体" w:hAnsi="宋体"/>
                      <w:b/>
                      <w:color w:val="000000"/>
                      <w:kern w:val="0"/>
                      <w:sz w:val="18"/>
                      <w:szCs w:val="18"/>
                    </w:rPr>
                    <w:t>区：</w:t>
                  </w:r>
                  <w:r>
                    <w:rPr>
                      <w:rFonts w:ascii="宋体" w:hAnsi="宋体"/>
                      <w:color w:val="000000"/>
                      <w:kern w:val="0"/>
                      <w:sz w:val="18"/>
                      <w:szCs w:val="18"/>
                    </w:rPr>
                    <w:t>到</w:t>
                  </w:r>
                  <w:r>
                    <w:rPr>
                      <w:color w:val="000000"/>
                      <w:kern w:val="0"/>
                      <w:sz w:val="18"/>
                      <w:szCs w:val="18"/>
                    </w:rPr>
                    <w:t>2025</w:t>
                  </w:r>
                  <w:r>
                    <w:rPr>
                      <w:rFonts w:ascii="宋体" w:hAnsi="宋体"/>
                      <w:color w:val="000000"/>
                      <w:kern w:val="0"/>
                      <w:sz w:val="18"/>
                      <w:szCs w:val="18"/>
                    </w:rPr>
                    <w:t>年，用水总量底线目标值为</w:t>
                  </w:r>
                  <w:r>
                    <w:rPr>
                      <w:rFonts w:hint="eastAsia"/>
                      <w:color w:val="000000"/>
                      <w:kern w:val="0"/>
                      <w:sz w:val="18"/>
                      <w:szCs w:val="18"/>
                    </w:rPr>
                    <w:t>3.43</w:t>
                  </w:r>
                  <w:r>
                    <w:rPr>
                      <w:rFonts w:ascii="宋体" w:hAnsi="宋体"/>
                      <w:color w:val="000000"/>
                      <w:kern w:val="0"/>
                      <w:sz w:val="18"/>
                      <w:szCs w:val="18"/>
                    </w:rPr>
                    <w:t>亿立方米，其中非常规水资源利用量</w:t>
                  </w:r>
                  <w:r>
                    <w:rPr>
                      <w:color w:val="000000"/>
                      <w:kern w:val="0"/>
                      <w:sz w:val="18"/>
                      <w:szCs w:val="18"/>
                    </w:rPr>
                    <w:t>0.0</w:t>
                  </w:r>
                  <w:r>
                    <w:rPr>
                      <w:rFonts w:hint="eastAsia"/>
                      <w:color w:val="000000"/>
                      <w:kern w:val="0"/>
                      <w:sz w:val="18"/>
                      <w:szCs w:val="18"/>
                    </w:rPr>
                    <w:t>8</w:t>
                  </w:r>
                  <w:r>
                    <w:rPr>
                      <w:rFonts w:ascii="宋体" w:hAnsi="宋体"/>
                      <w:color w:val="000000"/>
                      <w:kern w:val="0"/>
                      <w:sz w:val="18"/>
                      <w:szCs w:val="18"/>
                    </w:rPr>
                    <w:t>亿立方米；万元</w:t>
                  </w:r>
                  <w:r>
                    <w:rPr>
                      <w:color w:val="000000"/>
                      <w:kern w:val="0"/>
                      <w:sz w:val="18"/>
                      <w:szCs w:val="18"/>
                    </w:rPr>
                    <w:t>GDP</w:t>
                  </w:r>
                  <w:r>
                    <w:rPr>
                      <w:rFonts w:ascii="宋体" w:hAnsi="宋体"/>
                      <w:color w:val="000000"/>
                      <w:kern w:val="0"/>
                      <w:sz w:val="18"/>
                      <w:szCs w:val="18"/>
                    </w:rPr>
                    <w:t>用水量下降</w:t>
                  </w:r>
                  <w:r>
                    <w:rPr>
                      <w:color w:val="000000"/>
                      <w:kern w:val="0"/>
                      <w:sz w:val="18"/>
                      <w:szCs w:val="18"/>
                    </w:rPr>
                    <w:t>1</w:t>
                  </w:r>
                  <w:r>
                    <w:rPr>
                      <w:rFonts w:hint="eastAsia"/>
                      <w:color w:val="000000"/>
                      <w:kern w:val="0"/>
                      <w:sz w:val="18"/>
                      <w:szCs w:val="18"/>
                    </w:rPr>
                    <w:t>7</w:t>
                  </w:r>
                  <w:r>
                    <w:rPr>
                      <w:color w:val="000000"/>
                      <w:kern w:val="0"/>
                      <w:sz w:val="18"/>
                      <w:szCs w:val="18"/>
                    </w:rPr>
                    <w:t>%</w:t>
                  </w:r>
                  <w:r>
                    <w:rPr>
                      <w:rFonts w:ascii="宋体" w:hAnsi="宋体"/>
                      <w:color w:val="000000"/>
                      <w:kern w:val="0"/>
                      <w:sz w:val="18"/>
                      <w:szCs w:val="18"/>
                    </w:rPr>
                    <w:t>；万元工业增加值用水量下降</w:t>
                  </w:r>
                  <w:r>
                    <w:rPr>
                      <w:rFonts w:hint="eastAsia"/>
                      <w:color w:val="000000"/>
                      <w:kern w:val="0"/>
                      <w:sz w:val="18"/>
                      <w:szCs w:val="18"/>
                    </w:rPr>
                    <w:t>16</w:t>
                  </w:r>
                  <w:r>
                    <w:rPr>
                      <w:color w:val="000000"/>
                      <w:kern w:val="0"/>
                      <w:sz w:val="18"/>
                      <w:szCs w:val="18"/>
                    </w:rPr>
                    <w:t>%</w:t>
                  </w:r>
                  <w:r>
                    <w:rPr>
                      <w:rFonts w:ascii="宋体" w:hAnsi="宋体"/>
                      <w:color w:val="000000"/>
                      <w:kern w:val="0"/>
                      <w:sz w:val="18"/>
                      <w:szCs w:val="18"/>
                    </w:rPr>
                    <w:t>；农业灌溉水有效利用系数达到</w:t>
                  </w:r>
                  <w:r>
                    <w:rPr>
                      <w:color w:val="000000"/>
                      <w:kern w:val="0"/>
                      <w:sz w:val="18"/>
                      <w:szCs w:val="18"/>
                    </w:rPr>
                    <w:t>0.</w:t>
                  </w:r>
                  <w:r>
                    <w:rPr>
                      <w:rFonts w:hint="eastAsia"/>
                      <w:color w:val="000000"/>
                      <w:kern w:val="0"/>
                      <w:sz w:val="18"/>
                      <w:szCs w:val="18"/>
                    </w:rPr>
                    <w:t>408</w:t>
                  </w:r>
                  <w:r>
                    <w:rPr>
                      <w:rFonts w:ascii="宋体" w:hAnsi="宋体"/>
                      <w:color w:val="000000"/>
                      <w:kern w:val="0"/>
                      <w:sz w:val="18"/>
                      <w:szCs w:val="18"/>
                    </w:rPr>
                    <w:t>。</w:t>
                  </w:r>
                </w:p>
              </w:tc>
              <w:tc>
                <w:tcPr>
                  <w:tcW w:w="1427" w:type="pct"/>
                  <w:vAlign w:val="center"/>
                </w:tcPr>
                <w:p w14:paraId="24ECC07E">
                  <w:pPr>
                    <w:kinsoku w:val="0"/>
                    <w:autoSpaceDE w:val="0"/>
                    <w:autoSpaceDN w:val="0"/>
                    <w:spacing w:line="240" w:lineRule="auto"/>
                    <w:textAlignment w:val="baseline"/>
                    <w:rPr>
                      <w:color w:val="000000"/>
                      <w:kern w:val="0"/>
                      <w:sz w:val="18"/>
                      <w:szCs w:val="18"/>
                    </w:rPr>
                  </w:pPr>
                  <w:r>
                    <w:rPr>
                      <w:rFonts w:ascii="宋体" w:hAnsi="宋体"/>
                      <w:color w:val="000000"/>
                      <w:kern w:val="0"/>
                      <w:sz w:val="18"/>
                      <w:szCs w:val="18"/>
                    </w:rPr>
                    <w:t>本项目运营期不使用水，不会突破区域水资源利用上线。</w:t>
                  </w:r>
                </w:p>
              </w:tc>
              <w:tc>
                <w:tcPr>
                  <w:tcW w:w="411" w:type="pct"/>
                  <w:vAlign w:val="center"/>
                </w:tcPr>
                <w:p w14:paraId="29A1643D">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符合</w:t>
                  </w:r>
                </w:p>
              </w:tc>
            </w:tr>
            <w:tr w14:paraId="11BFC40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560" w:type="dxa"/>
                  <w:vMerge w:val="continue"/>
                  <w:vAlign w:val="center"/>
                </w:tcPr>
                <w:p w14:paraId="23337642">
                  <w:pPr>
                    <w:widowControl/>
                    <w:adjustRightInd/>
                    <w:snapToGrid/>
                    <w:spacing w:line="240" w:lineRule="auto"/>
                    <w:jc w:val="left"/>
                    <w:rPr>
                      <w:color w:val="000000"/>
                      <w:kern w:val="0"/>
                      <w:sz w:val="18"/>
                      <w:szCs w:val="18"/>
                    </w:rPr>
                  </w:pPr>
                </w:p>
              </w:tc>
              <w:tc>
                <w:tcPr>
                  <w:tcW w:w="555" w:type="pct"/>
                  <w:vAlign w:val="center"/>
                </w:tcPr>
                <w:p w14:paraId="084C8E68">
                  <w:pPr>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土地资源利用上线目标</w:t>
                  </w:r>
                </w:p>
              </w:tc>
              <w:tc>
                <w:tcPr>
                  <w:tcW w:w="2267" w:type="pct"/>
                  <w:vAlign w:val="center"/>
                </w:tcPr>
                <w:p w14:paraId="7BFFE9BE">
                  <w:pPr>
                    <w:kinsoku w:val="0"/>
                    <w:autoSpaceDE w:val="0"/>
                    <w:autoSpaceDN w:val="0"/>
                    <w:spacing w:line="240" w:lineRule="auto"/>
                    <w:textAlignment w:val="baseline"/>
                    <w:rPr>
                      <w:color w:val="000000"/>
                      <w:kern w:val="0"/>
                      <w:sz w:val="18"/>
                      <w:szCs w:val="18"/>
                    </w:rPr>
                  </w:pPr>
                  <w:r>
                    <w:rPr>
                      <w:rFonts w:ascii="宋体" w:hAnsi="宋体"/>
                      <w:color w:val="000000"/>
                      <w:kern w:val="0"/>
                      <w:sz w:val="18"/>
                      <w:szCs w:val="18"/>
                    </w:rPr>
                    <w:t>到</w:t>
                  </w:r>
                  <w:r>
                    <w:rPr>
                      <w:color w:val="000000"/>
                      <w:kern w:val="0"/>
                      <w:sz w:val="18"/>
                      <w:szCs w:val="18"/>
                    </w:rPr>
                    <w:t>2025</w:t>
                  </w:r>
                  <w:r>
                    <w:rPr>
                      <w:rFonts w:ascii="宋体" w:hAnsi="宋体"/>
                      <w:color w:val="000000"/>
                      <w:kern w:val="0"/>
                      <w:sz w:val="18"/>
                      <w:szCs w:val="18"/>
                    </w:rPr>
                    <w:t>年，杭州市耕地保有量不少于</w:t>
                  </w:r>
                  <w:r>
                    <w:rPr>
                      <w:color w:val="000000"/>
                      <w:kern w:val="0"/>
                      <w:sz w:val="18"/>
                      <w:szCs w:val="18"/>
                    </w:rPr>
                    <w:t>1162.7</w:t>
                  </w:r>
                  <w:r>
                    <w:rPr>
                      <w:rFonts w:ascii="宋体" w:hAnsi="宋体"/>
                      <w:color w:val="000000"/>
                      <w:kern w:val="0"/>
                      <w:sz w:val="18"/>
                      <w:szCs w:val="18"/>
                    </w:rPr>
                    <w:t>平方公里，永久基本农田面积控制在</w:t>
                  </w:r>
                  <w:r>
                    <w:rPr>
                      <w:color w:val="000000"/>
                      <w:kern w:val="0"/>
                      <w:sz w:val="18"/>
                      <w:szCs w:val="18"/>
                    </w:rPr>
                    <w:t>968</w:t>
                  </w:r>
                  <w:r>
                    <w:rPr>
                      <w:rFonts w:ascii="宋体" w:hAnsi="宋体"/>
                      <w:color w:val="000000"/>
                      <w:kern w:val="0"/>
                      <w:sz w:val="18"/>
                      <w:szCs w:val="18"/>
                    </w:rPr>
                    <w:t>平方公里以内，建设用地总规模不超过</w:t>
                  </w:r>
                  <w:r>
                    <w:rPr>
                      <w:color w:val="000000"/>
                      <w:kern w:val="0"/>
                      <w:sz w:val="18"/>
                      <w:szCs w:val="18"/>
                    </w:rPr>
                    <w:t>2152</w:t>
                  </w:r>
                  <w:r>
                    <w:rPr>
                      <w:rFonts w:ascii="宋体" w:hAnsi="宋体"/>
                      <w:color w:val="000000"/>
                      <w:kern w:val="0"/>
                      <w:sz w:val="18"/>
                      <w:szCs w:val="18"/>
                    </w:rPr>
                    <w:t>平方公里，城乡建设用地总规模不超过</w:t>
                  </w:r>
                  <w:r>
                    <w:rPr>
                      <w:color w:val="000000"/>
                      <w:kern w:val="0"/>
                      <w:sz w:val="18"/>
                      <w:szCs w:val="18"/>
                    </w:rPr>
                    <w:t>1752</w:t>
                  </w:r>
                  <w:r>
                    <w:rPr>
                      <w:rFonts w:ascii="宋体" w:hAnsi="宋体"/>
                      <w:color w:val="000000"/>
                      <w:kern w:val="0"/>
                      <w:sz w:val="18"/>
                      <w:szCs w:val="18"/>
                    </w:rPr>
                    <w:t>平方公里，人均城镇建设用地面积控制在</w:t>
                  </w:r>
                  <w:r>
                    <w:rPr>
                      <w:color w:val="000000"/>
                      <w:kern w:val="0"/>
                      <w:sz w:val="18"/>
                      <w:szCs w:val="18"/>
                    </w:rPr>
                    <w:t>94</w:t>
                  </w:r>
                  <w:r>
                    <w:rPr>
                      <w:rFonts w:ascii="宋体" w:hAnsi="宋体"/>
                      <w:color w:val="000000"/>
                      <w:kern w:val="0"/>
                      <w:sz w:val="18"/>
                      <w:szCs w:val="18"/>
                    </w:rPr>
                    <w:t>平方米以内，万元</w:t>
                  </w:r>
                  <w:r>
                    <w:rPr>
                      <w:color w:val="000000"/>
                      <w:kern w:val="0"/>
                      <w:sz w:val="18"/>
                      <w:szCs w:val="18"/>
                    </w:rPr>
                    <w:t>GDP</w:t>
                  </w:r>
                  <w:r>
                    <w:rPr>
                      <w:rFonts w:ascii="宋体" w:hAnsi="宋体"/>
                      <w:color w:val="000000"/>
                      <w:kern w:val="0"/>
                      <w:sz w:val="18"/>
                      <w:szCs w:val="18"/>
                    </w:rPr>
                    <w:t>地耗不超过</w:t>
                  </w:r>
                  <w:r>
                    <w:rPr>
                      <w:color w:val="000000"/>
                      <w:kern w:val="0"/>
                      <w:sz w:val="18"/>
                      <w:szCs w:val="18"/>
                    </w:rPr>
                    <w:t>9.7</w:t>
                  </w:r>
                  <w:r>
                    <w:rPr>
                      <w:rFonts w:ascii="宋体" w:hAnsi="宋体"/>
                      <w:color w:val="000000"/>
                      <w:kern w:val="0"/>
                      <w:sz w:val="18"/>
                      <w:szCs w:val="18"/>
                    </w:rPr>
                    <w:t>平方米。</w:t>
                  </w:r>
                </w:p>
              </w:tc>
              <w:tc>
                <w:tcPr>
                  <w:tcW w:w="1427" w:type="pct"/>
                  <w:vAlign w:val="center"/>
                </w:tcPr>
                <w:p w14:paraId="23B7268B">
                  <w:pPr>
                    <w:widowControl/>
                    <w:kinsoku w:val="0"/>
                    <w:autoSpaceDE w:val="0"/>
                    <w:autoSpaceDN w:val="0"/>
                    <w:spacing w:line="240" w:lineRule="auto"/>
                    <w:textAlignment w:val="baseline"/>
                    <w:rPr>
                      <w:color w:val="000000"/>
                      <w:kern w:val="0"/>
                      <w:sz w:val="18"/>
                      <w:szCs w:val="18"/>
                    </w:rPr>
                  </w:pPr>
                  <w:r>
                    <w:rPr>
                      <w:rFonts w:ascii="宋体" w:hAnsi="宋体"/>
                      <w:color w:val="000000"/>
                      <w:kern w:val="0"/>
                      <w:sz w:val="18"/>
                      <w:szCs w:val="18"/>
                    </w:rPr>
                    <w:t>项目用地已获得</w:t>
                  </w:r>
                  <w:r>
                    <w:rPr>
                      <w:rFonts w:hint="eastAsia" w:ascii="宋体" w:hAnsi="宋体"/>
                      <w:color w:val="000000"/>
                      <w:kern w:val="0"/>
                      <w:sz w:val="18"/>
                      <w:szCs w:val="18"/>
                    </w:rPr>
                    <w:t>中华人民共和国</w:t>
                  </w:r>
                  <w:r>
                    <w:rPr>
                      <w:rFonts w:ascii="宋体" w:hAnsi="宋体"/>
                      <w:color w:val="000000"/>
                      <w:kern w:val="0"/>
                      <w:sz w:val="18"/>
                      <w:szCs w:val="18"/>
                    </w:rPr>
                    <w:t>《建设项目用地预审与选址意见书》（用字第</w:t>
                  </w:r>
                  <w:r>
                    <w:rPr>
                      <w:color w:val="000000"/>
                      <w:kern w:val="0"/>
                      <w:sz w:val="18"/>
                      <w:szCs w:val="18"/>
                    </w:rPr>
                    <w:t>3301142025XS0083576</w:t>
                  </w:r>
                  <w:r>
                    <w:rPr>
                      <w:rFonts w:hint="eastAsia"/>
                      <w:color w:val="000000"/>
                      <w:kern w:val="0"/>
                      <w:sz w:val="18"/>
                      <w:szCs w:val="18"/>
                    </w:rPr>
                    <w:t>号</w:t>
                  </w:r>
                  <w:r>
                    <w:rPr>
                      <w:rFonts w:ascii="宋体" w:hAnsi="宋体"/>
                      <w:color w:val="000000"/>
                      <w:kern w:val="0"/>
                      <w:sz w:val="18"/>
                      <w:szCs w:val="18"/>
                    </w:rPr>
                    <w:t>）。项目用地不会突破土地利用资源上线。</w:t>
                  </w:r>
                </w:p>
              </w:tc>
              <w:tc>
                <w:tcPr>
                  <w:tcW w:w="411" w:type="pct"/>
                  <w:vAlign w:val="center"/>
                </w:tcPr>
                <w:p w14:paraId="444E7A89">
                  <w:pPr>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符合</w:t>
                  </w:r>
                </w:p>
              </w:tc>
            </w:tr>
          </w:tbl>
          <w:p w14:paraId="04CFBD06">
            <w:pPr>
              <w:kinsoku w:val="0"/>
              <w:autoSpaceDE w:val="0"/>
              <w:autoSpaceDN w:val="0"/>
              <w:ind w:firstLine="420" w:firstLineChars="200"/>
              <w:textAlignment w:val="baseline"/>
              <w:rPr>
                <w:color w:val="000000"/>
                <w:kern w:val="0"/>
                <w:szCs w:val="21"/>
              </w:rPr>
            </w:pPr>
            <w:r>
              <w:rPr>
                <w:rFonts w:ascii="宋体" w:hAnsi="宋体"/>
                <w:color w:val="000000"/>
                <w:kern w:val="0"/>
                <w:szCs w:val="21"/>
              </w:rPr>
              <w:t>通过对照杭州市生态环境分区管控动态更新方案</w:t>
            </w:r>
            <w:r>
              <w:rPr>
                <w:rFonts w:hint="eastAsia" w:ascii="宋体" w:hAnsi="宋体"/>
                <w:color w:val="000000"/>
                <w:kern w:val="0"/>
                <w:szCs w:val="21"/>
              </w:rPr>
              <w:t>杭州市钱塘区环境管控单元分类图</w:t>
            </w:r>
            <w:r>
              <w:rPr>
                <w:rFonts w:ascii="宋体" w:hAnsi="宋体"/>
                <w:color w:val="000000"/>
                <w:kern w:val="0"/>
                <w:szCs w:val="21"/>
              </w:rPr>
              <w:t>，项目位于</w:t>
            </w:r>
            <w:r>
              <w:rPr>
                <w:color w:val="000000"/>
                <w:kern w:val="0"/>
                <w:szCs w:val="21"/>
              </w:rPr>
              <w:t>“ZH33011420002钱塘区大江东城镇生活重点管控单元”</w:t>
            </w:r>
            <w:r>
              <w:rPr>
                <w:rFonts w:ascii="宋体" w:hAnsi="宋体"/>
                <w:color w:val="000000"/>
                <w:kern w:val="0"/>
                <w:szCs w:val="21"/>
              </w:rPr>
              <w:t>。项目动态更新方案符合性分析如下</w:t>
            </w:r>
            <w:r>
              <w:rPr>
                <w:rFonts w:hint="eastAsia" w:ascii="宋体" w:hAnsi="宋体"/>
                <w:color w:val="000000"/>
                <w:kern w:val="0"/>
                <w:szCs w:val="21"/>
              </w:rPr>
              <w:t>表</w:t>
            </w:r>
            <w:r>
              <w:rPr>
                <w:rFonts w:ascii="宋体" w:hAnsi="宋体"/>
                <w:color w:val="000000"/>
                <w:kern w:val="0"/>
                <w:szCs w:val="21"/>
              </w:rPr>
              <w:t>。</w:t>
            </w:r>
          </w:p>
          <w:p w14:paraId="3093546A">
            <w:pPr>
              <w:pStyle w:val="9"/>
              <w:spacing w:before="120"/>
            </w:pPr>
            <w:r>
              <w:t xml:space="preserve">表 </w:t>
            </w:r>
            <w:r>
              <w:fldChar w:fldCharType="begin"/>
            </w:r>
            <w:r>
              <w:instrText xml:space="preserve"> STYLEREF 1 \s </w:instrText>
            </w:r>
            <w:r>
              <w:fldChar w:fldCharType="separate"/>
            </w:r>
            <w:r>
              <w:t>1</w:t>
            </w:r>
            <w:r>
              <w:fldChar w:fldCharType="end"/>
            </w:r>
            <w:r>
              <w:noBreakHyphen/>
            </w:r>
            <w:r>
              <w:fldChar w:fldCharType="begin"/>
            </w:r>
            <w:r>
              <w:instrText xml:space="preserve"> SEQ 表 \* ARABIC \s 1 </w:instrText>
            </w:r>
            <w:r>
              <w:fldChar w:fldCharType="separate"/>
            </w:r>
            <w:r>
              <w:t>5</w:t>
            </w:r>
            <w:r>
              <w:fldChar w:fldCharType="end"/>
            </w:r>
            <w:r>
              <w:t>项目与杭州市生态环境分区管控动态更新方案符合性分析</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20"/>
              <w:gridCol w:w="5739"/>
            </w:tblGrid>
            <w:tr w14:paraId="333F08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98" w:type="dxa"/>
                  <w:noWrap/>
                  <w:vAlign w:val="center"/>
                </w:tcPr>
                <w:p w14:paraId="1F1A3A0E">
                  <w:pPr>
                    <w:kinsoku w:val="0"/>
                    <w:autoSpaceDE w:val="0"/>
                    <w:spacing w:line="240" w:lineRule="auto"/>
                    <w:jc w:val="center"/>
                    <w:textAlignment w:val="baseline"/>
                    <w:rPr>
                      <w:b/>
                      <w:color w:val="000000"/>
                      <w:kern w:val="0"/>
                      <w:sz w:val="18"/>
                      <w:szCs w:val="18"/>
                    </w:rPr>
                  </w:pPr>
                  <w:r>
                    <w:rPr>
                      <w:rFonts w:ascii="宋体" w:hAnsi="宋体"/>
                      <w:b/>
                      <w:color w:val="000000"/>
                      <w:kern w:val="0"/>
                      <w:sz w:val="18"/>
                      <w:szCs w:val="18"/>
                    </w:rPr>
                    <w:t>环境管控单元编码</w:t>
                  </w:r>
                </w:p>
              </w:tc>
              <w:tc>
                <w:tcPr>
                  <w:tcW w:w="5076" w:type="dxa"/>
                  <w:noWrap/>
                  <w:vAlign w:val="center"/>
                </w:tcPr>
                <w:p w14:paraId="4C31F2DE">
                  <w:pPr>
                    <w:kinsoku w:val="0"/>
                    <w:autoSpaceDE w:val="0"/>
                    <w:spacing w:line="240" w:lineRule="auto"/>
                    <w:jc w:val="left"/>
                    <w:textAlignment w:val="baseline"/>
                    <w:rPr>
                      <w:color w:val="000000"/>
                      <w:kern w:val="0"/>
                      <w:sz w:val="18"/>
                      <w:szCs w:val="18"/>
                    </w:rPr>
                  </w:pPr>
                  <w:r>
                    <w:rPr>
                      <w:color w:val="000000"/>
                      <w:kern w:val="0"/>
                      <w:sz w:val="18"/>
                      <w:szCs w:val="18"/>
                    </w:rPr>
                    <w:t>ZH33011420002</w:t>
                  </w:r>
                </w:p>
              </w:tc>
            </w:tr>
            <w:tr w14:paraId="03DAE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98" w:type="dxa"/>
                  <w:noWrap/>
                  <w:vAlign w:val="center"/>
                </w:tcPr>
                <w:p w14:paraId="1446B44F">
                  <w:pPr>
                    <w:kinsoku w:val="0"/>
                    <w:autoSpaceDE w:val="0"/>
                    <w:spacing w:line="240" w:lineRule="auto"/>
                    <w:jc w:val="center"/>
                    <w:textAlignment w:val="baseline"/>
                    <w:rPr>
                      <w:b/>
                      <w:color w:val="000000"/>
                      <w:kern w:val="0"/>
                      <w:sz w:val="18"/>
                      <w:szCs w:val="18"/>
                    </w:rPr>
                  </w:pPr>
                  <w:r>
                    <w:rPr>
                      <w:rFonts w:ascii="宋体" w:hAnsi="宋体"/>
                      <w:b/>
                      <w:color w:val="000000"/>
                      <w:kern w:val="0"/>
                      <w:sz w:val="18"/>
                      <w:szCs w:val="18"/>
                    </w:rPr>
                    <w:t>环境管控单元名称</w:t>
                  </w:r>
                </w:p>
              </w:tc>
              <w:tc>
                <w:tcPr>
                  <w:tcW w:w="5076" w:type="dxa"/>
                  <w:noWrap/>
                  <w:vAlign w:val="center"/>
                </w:tcPr>
                <w:p w14:paraId="777FFB5C">
                  <w:pPr>
                    <w:kinsoku w:val="0"/>
                    <w:autoSpaceDE w:val="0"/>
                    <w:spacing w:line="240" w:lineRule="auto"/>
                    <w:textAlignment w:val="baseline"/>
                    <w:rPr>
                      <w:color w:val="000000"/>
                      <w:kern w:val="0"/>
                      <w:sz w:val="18"/>
                      <w:szCs w:val="18"/>
                    </w:rPr>
                  </w:pPr>
                  <w:r>
                    <w:rPr>
                      <w:rFonts w:ascii="宋体" w:hAnsi="宋体"/>
                      <w:color w:val="000000"/>
                      <w:kern w:val="0"/>
                      <w:sz w:val="18"/>
                      <w:szCs w:val="18"/>
                    </w:rPr>
                    <w:t>钱塘区大江东城镇生活重点管控单元</w:t>
                  </w:r>
                </w:p>
              </w:tc>
            </w:tr>
            <w:tr w14:paraId="27DAC1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98" w:type="dxa"/>
                  <w:noWrap/>
                  <w:vAlign w:val="center"/>
                </w:tcPr>
                <w:p w14:paraId="0119941E">
                  <w:pPr>
                    <w:kinsoku w:val="0"/>
                    <w:autoSpaceDE w:val="0"/>
                    <w:spacing w:line="240" w:lineRule="auto"/>
                    <w:jc w:val="center"/>
                    <w:textAlignment w:val="baseline"/>
                    <w:rPr>
                      <w:b/>
                      <w:color w:val="000000"/>
                      <w:kern w:val="0"/>
                      <w:sz w:val="18"/>
                      <w:szCs w:val="18"/>
                    </w:rPr>
                  </w:pPr>
                  <w:r>
                    <w:rPr>
                      <w:rFonts w:ascii="宋体" w:hAnsi="宋体"/>
                      <w:b/>
                      <w:color w:val="000000"/>
                      <w:kern w:val="0"/>
                      <w:sz w:val="18"/>
                      <w:szCs w:val="18"/>
                    </w:rPr>
                    <w:t>管控单元分类</w:t>
                  </w:r>
                </w:p>
              </w:tc>
              <w:tc>
                <w:tcPr>
                  <w:tcW w:w="5076" w:type="dxa"/>
                  <w:noWrap/>
                  <w:vAlign w:val="center"/>
                </w:tcPr>
                <w:p w14:paraId="4D53EDE8">
                  <w:pPr>
                    <w:kinsoku w:val="0"/>
                    <w:autoSpaceDE w:val="0"/>
                    <w:spacing w:line="240" w:lineRule="auto"/>
                    <w:textAlignment w:val="baseline"/>
                    <w:rPr>
                      <w:color w:val="000000"/>
                      <w:kern w:val="0"/>
                      <w:sz w:val="18"/>
                      <w:szCs w:val="18"/>
                    </w:rPr>
                  </w:pPr>
                  <w:r>
                    <w:rPr>
                      <w:rFonts w:ascii="宋体" w:hAnsi="宋体"/>
                      <w:color w:val="000000"/>
                      <w:kern w:val="0"/>
                      <w:sz w:val="18"/>
                      <w:szCs w:val="18"/>
                    </w:rPr>
                    <w:t>重点管控单元</w:t>
                  </w:r>
                </w:p>
              </w:tc>
            </w:tr>
            <w:tr w14:paraId="75BDF2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98" w:type="dxa"/>
                  <w:noWrap/>
                  <w:vAlign w:val="center"/>
                </w:tcPr>
                <w:p w14:paraId="0E312C12">
                  <w:pPr>
                    <w:kinsoku w:val="0"/>
                    <w:autoSpaceDE w:val="0"/>
                    <w:spacing w:line="240" w:lineRule="auto"/>
                    <w:jc w:val="center"/>
                    <w:textAlignment w:val="baseline"/>
                    <w:rPr>
                      <w:b/>
                      <w:color w:val="000000"/>
                      <w:kern w:val="0"/>
                      <w:sz w:val="18"/>
                      <w:szCs w:val="18"/>
                    </w:rPr>
                  </w:pPr>
                  <w:r>
                    <w:rPr>
                      <w:rFonts w:ascii="宋体" w:hAnsi="宋体"/>
                      <w:b/>
                      <w:color w:val="000000"/>
                      <w:kern w:val="0"/>
                      <w:sz w:val="18"/>
                      <w:szCs w:val="18"/>
                    </w:rPr>
                    <w:t>空间布局</w:t>
                  </w:r>
                  <w:r>
                    <w:rPr>
                      <w:rFonts w:hint="eastAsia" w:ascii="宋体" w:hAnsi="宋体"/>
                      <w:b/>
                      <w:color w:val="000000"/>
                      <w:kern w:val="0"/>
                      <w:sz w:val="18"/>
                      <w:szCs w:val="18"/>
                    </w:rPr>
                    <w:t>引导</w:t>
                  </w:r>
                </w:p>
              </w:tc>
              <w:tc>
                <w:tcPr>
                  <w:tcW w:w="5076" w:type="dxa"/>
                  <w:noWrap/>
                  <w:vAlign w:val="center"/>
                </w:tcPr>
                <w:p w14:paraId="0F7470C7">
                  <w:pPr>
                    <w:kinsoku w:val="0"/>
                    <w:autoSpaceDE w:val="0"/>
                    <w:spacing w:line="240" w:lineRule="auto"/>
                    <w:textAlignment w:val="baseline"/>
                    <w:rPr>
                      <w:rFonts w:hint="eastAsia" w:ascii="宋体" w:hAnsi="宋体"/>
                      <w:color w:val="000000"/>
                      <w:kern w:val="0"/>
                      <w:sz w:val="18"/>
                      <w:szCs w:val="18"/>
                    </w:rPr>
                  </w:pPr>
                  <w:r>
                    <w:rPr>
                      <w:rFonts w:hint="eastAsia" w:ascii="宋体" w:hAnsi="宋体"/>
                      <w:color w:val="000000"/>
                      <w:kern w:val="0"/>
                      <w:sz w:val="18"/>
                      <w:szCs w:val="18"/>
                    </w:rPr>
                    <w:t>禁止新建、扩建三类工业项目，现有三类工业项目改建不得增加污染物</w:t>
                  </w:r>
                </w:p>
                <w:p w14:paraId="01174BA7">
                  <w:pPr>
                    <w:kinsoku w:val="0"/>
                    <w:autoSpaceDE w:val="0"/>
                    <w:spacing w:line="240" w:lineRule="auto"/>
                    <w:textAlignment w:val="baseline"/>
                    <w:rPr>
                      <w:color w:val="000000"/>
                      <w:kern w:val="0"/>
                      <w:sz w:val="18"/>
                      <w:szCs w:val="18"/>
                    </w:rPr>
                  </w:pPr>
                  <w:r>
                    <w:rPr>
                      <w:rFonts w:hint="eastAsia" w:ascii="宋体" w:hAnsi="宋体"/>
                      <w:color w:val="000000"/>
                      <w:kern w:val="0"/>
                      <w:sz w:val="18"/>
                      <w:szCs w:val="18"/>
                    </w:rPr>
                    <w:t>排放总量，鼓励现有三类工业项目搬迁关闭。除工业功能区（小微园区、工业集聚点）外，原则上禁止新建其他二类工业项目。现有二类工业项目改建、扩建，不得增加管控单元污染物排放总量。严格执行畜禽养殖禁养区规定。</w:t>
                  </w:r>
                </w:p>
              </w:tc>
            </w:tr>
            <w:tr w14:paraId="7F3CA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98" w:type="dxa"/>
                  <w:noWrap/>
                  <w:vAlign w:val="center"/>
                </w:tcPr>
                <w:p w14:paraId="130BFDA1">
                  <w:pPr>
                    <w:kinsoku w:val="0"/>
                    <w:autoSpaceDE w:val="0"/>
                    <w:spacing w:line="240" w:lineRule="auto"/>
                    <w:jc w:val="center"/>
                    <w:textAlignment w:val="baseline"/>
                    <w:rPr>
                      <w:b/>
                      <w:color w:val="000000"/>
                      <w:kern w:val="0"/>
                      <w:sz w:val="18"/>
                      <w:szCs w:val="18"/>
                    </w:rPr>
                  </w:pPr>
                  <w:r>
                    <w:rPr>
                      <w:rFonts w:ascii="宋体" w:hAnsi="宋体"/>
                      <w:b/>
                      <w:color w:val="000000"/>
                      <w:kern w:val="0"/>
                      <w:sz w:val="18"/>
                      <w:szCs w:val="18"/>
                    </w:rPr>
                    <w:t>污染物排放管控</w:t>
                  </w:r>
                </w:p>
              </w:tc>
              <w:tc>
                <w:tcPr>
                  <w:tcW w:w="5076" w:type="dxa"/>
                  <w:noWrap/>
                  <w:vAlign w:val="center"/>
                </w:tcPr>
                <w:p w14:paraId="4E0DB745">
                  <w:pPr>
                    <w:kinsoku w:val="0"/>
                    <w:autoSpaceDE w:val="0"/>
                    <w:spacing w:line="240" w:lineRule="auto"/>
                    <w:textAlignment w:val="baseline"/>
                    <w:rPr>
                      <w:color w:val="000000"/>
                      <w:kern w:val="0"/>
                      <w:sz w:val="18"/>
                      <w:szCs w:val="18"/>
                    </w:rPr>
                  </w:pPr>
                  <w:r>
                    <w:rPr>
                      <w:rFonts w:hint="eastAsia" w:ascii="宋体" w:hAnsi="宋体"/>
                      <w:color w:val="000000"/>
                      <w:kern w:val="0"/>
                      <w:sz w:val="18"/>
                      <w:szCs w:val="18"/>
                    </w:rPr>
                    <w:t>深化城镇“污水零直排区”建设。加强噪声和臭气异味防治，强化餐饮油烟治理，严格施工扬尘监管。</w:t>
                  </w:r>
                </w:p>
              </w:tc>
            </w:tr>
            <w:tr w14:paraId="2B35E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98" w:type="dxa"/>
                  <w:noWrap/>
                  <w:vAlign w:val="center"/>
                </w:tcPr>
                <w:p w14:paraId="5581D61E">
                  <w:pPr>
                    <w:kinsoku w:val="0"/>
                    <w:autoSpaceDE w:val="0"/>
                    <w:spacing w:line="240" w:lineRule="auto"/>
                    <w:jc w:val="center"/>
                    <w:textAlignment w:val="baseline"/>
                    <w:rPr>
                      <w:b/>
                      <w:color w:val="000000"/>
                      <w:kern w:val="0"/>
                      <w:sz w:val="18"/>
                      <w:szCs w:val="18"/>
                    </w:rPr>
                  </w:pPr>
                  <w:r>
                    <w:rPr>
                      <w:rFonts w:ascii="宋体" w:hAnsi="宋体"/>
                      <w:b/>
                      <w:color w:val="000000"/>
                      <w:kern w:val="0"/>
                      <w:sz w:val="18"/>
                      <w:szCs w:val="18"/>
                    </w:rPr>
                    <w:t>环境风险防控</w:t>
                  </w:r>
                </w:p>
              </w:tc>
              <w:tc>
                <w:tcPr>
                  <w:tcW w:w="5076" w:type="dxa"/>
                  <w:noWrap/>
                  <w:vAlign w:val="center"/>
                </w:tcPr>
                <w:p w14:paraId="71001516">
                  <w:pPr>
                    <w:kinsoku w:val="0"/>
                    <w:autoSpaceDE w:val="0"/>
                    <w:spacing w:line="240" w:lineRule="auto"/>
                    <w:textAlignment w:val="baseline"/>
                    <w:rPr>
                      <w:color w:val="000000"/>
                      <w:kern w:val="0"/>
                      <w:sz w:val="18"/>
                      <w:szCs w:val="18"/>
                    </w:rPr>
                  </w:pPr>
                  <w:r>
                    <w:rPr>
                      <w:rFonts w:hint="eastAsia" w:ascii="宋体" w:hAnsi="宋体"/>
                      <w:color w:val="000000"/>
                      <w:kern w:val="0"/>
                      <w:sz w:val="18"/>
                      <w:szCs w:val="18"/>
                    </w:rPr>
                    <w:t>合理布局工业、商业、居住、科教等功能区块，严格控制噪声、恶臭、油烟等污染排放较大的建设项目布局。</w:t>
                  </w:r>
                </w:p>
              </w:tc>
            </w:tr>
            <w:tr w14:paraId="46DA67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98" w:type="dxa"/>
                  <w:noWrap/>
                  <w:vAlign w:val="center"/>
                </w:tcPr>
                <w:p w14:paraId="4DA5D6AC">
                  <w:pPr>
                    <w:kinsoku w:val="0"/>
                    <w:autoSpaceDE w:val="0"/>
                    <w:spacing w:line="240" w:lineRule="auto"/>
                    <w:jc w:val="center"/>
                    <w:textAlignment w:val="baseline"/>
                    <w:rPr>
                      <w:b/>
                      <w:color w:val="000000"/>
                      <w:kern w:val="0"/>
                      <w:sz w:val="18"/>
                      <w:szCs w:val="18"/>
                    </w:rPr>
                  </w:pPr>
                  <w:r>
                    <w:rPr>
                      <w:rFonts w:ascii="宋体" w:hAnsi="宋体"/>
                      <w:b/>
                      <w:color w:val="000000"/>
                      <w:kern w:val="0"/>
                      <w:sz w:val="18"/>
                      <w:szCs w:val="18"/>
                    </w:rPr>
                    <w:t>资源开发效率要求</w:t>
                  </w:r>
                </w:p>
              </w:tc>
              <w:tc>
                <w:tcPr>
                  <w:tcW w:w="5076" w:type="dxa"/>
                  <w:noWrap/>
                  <w:vAlign w:val="center"/>
                </w:tcPr>
                <w:p w14:paraId="6E2970D4">
                  <w:pPr>
                    <w:kinsoku w:val="0"/>
                    <w:autoSpaceDE w:val="0"/>
                    <w:spacing w:line="240" w:lineRule="auto"/>
                    <w:textAlignment w:val="baseline"/>
                    <w:rPr>
                      <w:color w:val="000000"/>
                      <w:kern w:val="0"/>
                      <w:sz w:val="18"/>
                      <w:szCs w:val="18"/>
                    </w:rPr>
                  </w:pPr>
                  <w:r>
                    <w:rPr>
                      <w:rFonts w:hint="eastAsia"/>
                      <w:color w:val="000000"/>
                      <w:kern w:val="0"/>
                      <w:sz w:val="18"/>
                      <w:szCs w:val="18"/>
                    </w:rPr>
                    <w:t>全面开展节水型社会建设，推进节水产品推广普及，限制高耗水服务业用水。</w:t>
                  </w:r>
                </w:p>
              </w:tc>
            </w:tr>
            <w:tr w14:paraId="4463EB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98" w:type="dxa"/>
                  <w:noWrap/>
                  <w:vAlign w:val="center"/>
                </w:tcPr>
                <w:p w14:paraId="43D00E1C">
                  <w:pPr>
                    <w:kinsoku w:val="0"/>
                    <w:autoSpaceDE w:val="0"/>
                    <w:spacing w:line="240" w:lineRule="auto"/>
                    <w:jc w:val="center"/>
                    <w:textAlignment w:val="baseline"/>
                    <w:rPr>
                      <w:b/>
                      <w:color w:val="000000"/>
                      <w:kern w:val="0"/>
                      <w:sz w:val="18"/>
                      <w:szCs w:val="18"/>
                    </w:rPr>
                  </w:pPr>
                  <w:r>
                    <w:rPr>
                      <w:rFonts w:ascii="宋体" w:hAnsi="宋体"/>
                      <w:b/>
                      <w:color w:val="000000"/>
                      <w:kern w:val="0"/>
                      <w:sz w:val="18"/>
                      <w:szCs w:val="18"/>
                    </w:rPr>
                    <w:t>重点管控对象</w:t>
                  </w:r>
                </w:p>
              </w:tc>
              <w:tc>
                <w:tcPr>
                  <w:tcW w:w="5076" w:type="dxa"/>
                  <w:noWrap/>
                  <w:vAlign w:val="center"/>
                </w:tcPr>
                <w:p w14:paraId="1FBA2D2D">
                  <w:pPr>
                    <w:kinsoku w:val="0"/>
                    <w:autoSpaceDE w:val="0"/>
                    <w:spacing w:line="240" w:lineRule="auto"/>
                    <w:textAlignment w:val="baseline"/>
                    <w:rPr>
                      <w:color w:val="000000"/>
                      <w:kern w:val="0"/>
                      <w:sz w:val="18"/>
                      <w:szCs w:val="18"/>
                    </w:rPr>
                  </w:pPr>
                  <w:r>
                    <w:rPr>
                      <w:rFonts w:hint="eastAsia" w:ascii="宋体" w:hAnsi="宋体"/>
                      <w:color w:val="000000"/>
                      <w:kern w:val="0"/>
                      <w:sz w:val="18"/>
                      <w:szCs w:val="18"/>
                    </w:rPr>
                    <w:t>大江东城镇生活区。义蓬街道工业集聚点（京东集团（浙江）智能产业中心，艾乐肤、恒致总部引进项目，青六路西侧产业区块，蜜蜂区块工业集聚点，钱塘快速路北侧工业片区，锦盛化纤产业园，吉盛产业园工业集聚点，南沙路精密产业园工业集聚点，灯塔村恒祥小微园工业集聚点，翔成文创园产业集聚点，豪居宝汽车电磁项目，汽车产业园项目，春园、春光数贸产业园工业集聚点及全民村工业集聚点）；新湾街道工业集聚点（宏新村工业集聚点）；河庄街道工业集聚点（共联科创园区块工业集聚点，久福区块工业集聚点，明达摩配区块工业集聚点，明杰建筑服务产业园工业集聚点，新和村工业集聚点，建一村工业集聚点，华商区块工业集聚点，建设村工业集聚点，蜀山区块工业集聚点，颂扬区块工业集聚点，富士卫浴区块工业集聚点，永新线沿线工业集聚点，蜀南村工业集聚点）；钱塘芯谷青六路江东三路区块工业集聚点。</w:t>
                  </w:r>
                </w:p>
              </w:tc>
            </w:tr>
            <w:tr w14:paraId="3345A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98" w:type="dxa"/>
                  <w:noWrap/>
                  <w:vAlign w:val="center"/>
                </w:tcPr>
                <w:p w14:paraId="484E19F0">
                  <w:pPr>
                    <w:kinsoku w:val="0"/>
                    <w:autoSpaceDE w:val="0"/>
                    <w:spacing w:line="240" w:lineRule="auto"/>
                    <w:jc w:val="center"/>
                    <w:textAlignment w:val="baseline"/>
                    <w:rPr>
                      <w:b/>
                      <w:color w:val="000000"/>
                      <w:kern w:val="0"/>
                      <w:sz w:val="18"/>
                      <w:szCs w:val="18"/>
                    </w:rPr>
                  </w:pPr>
                  <w:r>
                    <w:rPr>
                      <w:rFonts w:ascii="宋体" w:hAnsi="宋体"/>
                      <w:b/>
                      <w:color w:val="000000"/>
                      <w:kern w:val="0"/>
                      <w:sz w:val="18"/>
                      <w:szCs w:val="18"/>
                    </w:rPr>
                    <w:t>符合性分析</w:t>
                  </w:r>
                </w:p>
              </w:tc>
              <w:tc>
                <w:tcPr>
                  <w:tcW w:w="5076" w:type="dxa"/>
                  <w:vAlign w:val="center"/>
                </w:tcPr>
                <w:p w14:paraId="7745EBDE">
                  <w:pPr>
                    <w:kinsoku w:val="0"/>
                    <w:autoSpaceDE w:val="0"/>
                    <w:spacing w:line="240" w:lineRule="auto"/>
                    <w:textAlignment w:val="baseline"/>
                    <w:rPr>
                      <w:color w:val="000000"/>
                      <w:kern w:val="0"/>
                      <w:sz w:val="18"/>
                      <w:szCs w:val="18"/>
                    </w:rPr>
                  </w:pPr>
                  <w:r>
                    <w:rPr>
                      <w:rFonts w:ascii="宋体" w:hAnsi="宋体"/>
                      <w:b/>
                      <w:color w:val="000000"/>
                      <w:kern w:val="0"/>
                      <w:sz w:val="18"/>
                      <w:szCs w:val="18"/>
                    </w:rPr>
                    <w:t>空间布局引导：符合。</w:t>
                  </w:r>
                  <w:r>
                    <w:rPr>
                      <w:rFonts w:ascii="宋体" w:hAnsi="宋体"/>
                      <w:color w:val="000000"/>
                      <w:kern w:val="0"/>
                      <w:sz w:val="18"/>
                      <w:szCs w:val="18"/>
                    </w:rPr>
                    <w:t>本工程为城市道路工程，非工业生产项目，符合重点管控单元空间布局要求。</w:t>
                  </w:r>
                </w:p>
                <w:p w14:paraId="5076A220">
                  <w:pPr>
                    <w:kinsoku w:val="0"/>
                    <w:autoSpaceDE w:val="0"/>
                    <w:spacing w:line="240" w:lineRule="auto"/>
                    <w:textAlignment w:val="baseline"/>
                    <w:rPr>
                      <w:color w:val="000000"/>
                      <w:kern w:val="0"/>
                      <w:sz w:val="18"/>
                      <w:szCs w:val="18"/>
                    </w:rPr>
                  </w:pPr>
                  <w:r>
                    <w:rPr>
                      <w:rFonts w:ascii="宋体" w:hAnsi="宋体"/>
                      <w:b/>
                      <w:color w:val="000000"/>
                      <w:kern w:val="0"/>
                      <w:sz w:val="18"/>
                      <w:szCs w:val="18"/>
                    </w:rPr>
                    <w:t>污染物排放管控：符合。</w:t>
                  </w:r>
                  <w:r>
                    <w:rPr>
                      <w:rFonts w:ascii="宋体" w:hAnsi="宋体"/>
                      <w:color w:val="000000"/>
                      <w:kern w:val="0"/>
                      <w:sz w:val="18"/>
                      <w:szCs w:val="18"/>
                    </w:rPr>
                    <w:t>本项目为城市道路工程，运营期采用预留隔声窗等隔声降噪措施，以减少噪声影响。</w:t>
                  </w:r>
                </w:p>
                <w:p w14:paraId="723696D7">
                  <w:pPr>
                    <w:kinsoku w:val="0"/>
                    <w:autoSpaceDE w:val="0"/>
                    <w:spacing w:line="240" w:lineRule="auto"/>
                    <w:textAlignment w:val="baseline"/>
                    <w:rPr>
                      <w:color w:val="000000"/>
                      <w:kern w:val="0"/>
                      <w:sz w:val="18"/>
                      <w:szCs w:val="18"/>
                    </w:rPr>
                  </w:pPr>
                  <w:r>
                    <w:rPr>
                      <w:rFonts w:ascii="宋体" w:hAnsi="宋体"/>
                      <w:b/>
                      <w:color w:val="000000"/>
                      <w:kern w:val="0"/>
                      <w:sz w:val="18"/>
                      <w:szCs w:val="18"/>
                    </w:rPr>
                    <w:t>环境风险防控：符合。</w:t>
                  </w:r>
                  <w:r>
                    <w:rPr>
                      <w:rFonts w:ascii="宋体" w:hAnsi="宋体"/>
                      <w:color w:val="000000"/>
                      <w:kern w:val="0"/>
                      <w:sz w:val="18"/>
                      <w:szCs w:val="18"/>
                    </w:rPr>
                    <w:t>本工程非工业生产项目，不属于工业集聚区风险企业。</w:t>
                  </w:r>
                  <w:r>
                    <w:rPr>
                      <w:color w:val="000000"/>
                      <w:kern w:val="0"/>
                      <w:sz w:val="18"/>
                      <w:szCs w:val="18"/>
                    </w:rPr>
                    <w:br w:type="textWrapping"/>
                  </w:r>
                  <w:r>
                    <w:rPr>
                      <w:rFonts w:ascii="宋体" w:hAnsi="宋体"/>
                      <w:b/>
                      <w:color w:val="000000"/>
                      <w:kern w:val="0"/>
                      <w:sz w:val="18"/>
                      <w:szCs w:val="18"/>
                    </w:rPr>
                    <w:t>资源开发效率：</w:t>
                  </w:r>
                  <w:r>
                    <w:rPr>
                      <w:rFonts w:hint="eastAsia"/>
                      <w:bCs/>
                      <w:color w:val="000000"/>
                      <w:kern w:val="0"/>
                      <w:sz w:val="18"/>
                      <w:szCs w:val="18"/>
                    </w:rPr>
                    <w:t>本项目运营期不主动消耗水资源。</w:t>
                  </w:r>
                  <w:r>
                    <w:rPr>
                      <w:color w:val="000000"/>
                      <w:kern w:val="0"/>
                      <w:sz w:val="18"/>
                      <w:szCs w:val="18"/>
                    </w:rPr>
                    <w:br w:type="textWrapping"/>
                  </w:r>
                  <w:r>
                    <w:rPr>
                      <w:rFonts w:ascii="宋体" w:hAnsi="宋体"/>
                      <w:color w:val="000000"/>
                      <w:kern w:val="0"/>
                      <w:sz w:val="18"/>
                      <w:szCs w:val="18"/>
                    </w:rPr>
                    <w:t>因此，本项目的建设符合环境管控单元的空间布局引导、污染物排放管控、环境风险管控和资源开发效率要求。</w:t>
                  </w:r>
                </w:p>
              </w:tc>
            </w:tr>
          </w:tbl>
          <w:p w14:paraId="11538A59">
            <w:pPr>
              <w:kinsoku w:val="0"/>
              <w:autoSpaceDE w:val="0"/>
              <w:autoSpaceDN w:val="0"/>
              <w:ind w:firstLine="420" w:firstLineChars="200"/>
              <w:textAlignment w:val="baseline"/>
              <w:rPr>
                <w:color w:val="000000"/>
                <w:kern w:val="0"/>
                <w:szCs w:val="21"/>
              </w:rPr>
            </w:pPr>
            <w:r>
              <w:rPr>
                <w:rFonts w:ascii="宋体" w:hAnsi="宋体"/>
                <w:color w:val="000000"/>
                <w:kern w:val="0"/>
                <w:szCs w:val="21"/>
              </w:rPr>
              <w:t>综上分析，本项目建设</w:t>
            </w:r>
            <w:r>
              <w:rPr>
                <w:rFonts w:ascii="宋体" w:hAnsi="宋体"/>
                <w:bCs/>
                <w:color w:val="000000"/>
                <w:kern w:val="0"/>
                <w:szCs w:val="21"/>
              </w:rPr>
              <w:t>符合</w:t>
            </w:r>
            <w:r>
              <w:rPr>
                <w:rFonts w:ascii="宋体" w:hAnsi="宋体"/>
                <w:color w:val="000000"/>
                <w:kern w:val="0"/>
                <w:szCs w:val="21"/>
              </w:rPr>
              <w:t>《杭州市生态环境分区管控动态更新方案》要求。</w:t>
            </w:r>
          </w:p>
          <w:p w14:paraId="4CEF2FEE">
            <w:pPr>
              <w:kinsoku w:val="0"/>
              <w:autoSpaceDE w:val="0"/>
              <w:autoSpaceDN w:val="0"/>
              <w:ind w:firstLine="422" w:firstLineChars="200"/>
              <w:textAlignment w:val="baseline"/>
              <w:rPr>
                <w:b/>
                <w:color w:val="000000"/>
                <w:kern w:val="0"/>
                <w:szCs w:val="21"/>
              </w:rPr>
            </w:pPr>
            <w:r>
              <w:rPr>
                <w:rFonts w:ascii="宋体" w:hAnsi="宋体"/>
                <w:b/>
                <w:color w:val="000000"/>
                <w:kern w:val="0"/>
                <w:szCs w:val="21"/>
              </w:rPr>
              <w:t>（</w:t>
            </w:r>
            <w:r>
              <w:rPr>
                <w:b/>
                <w:color w:val="000000"/>
                <w:kern w:val="0"/>
                <w:szCs w:val="21"/>
              </w:rPr>
              <w:t>2</w:t>
            </w:r>
            <w:r>
              <w:rPr>
                <w:rFonts w:ascii="宋体" w:hAnsi="宋体"/>
                <w:b/>
                <w:color w:val="000000"/>
                <w:kern w:val="0"/>
                <w:szCs w:val="21"/>
              </w:rPr>
              <w:t>）</w:t>
            </w:r>
            <w:r>
              <w:rPr>
                <w:b/>
                <w:color w:val="000000"/>
                <w:kern w:val="0"/>
                <w:szCs w:val="21"/>
              </w:rPr>
              <w:t>“</w:t>
            </w:r>
            <w:r>
              <w:rPr>
                <w:rFonts w:ascii="宋体" w:hAnsi="宋体"/>
                <w:b/>
                <w:color w:val="000000"/>
                <w:kern w:val="0"/>
                <w:szCs w:val="21"/>
              </w:rPr>
              <w:t>三区三线</w:t>
            </w:r>
            <w:r>
              <w:rPr>
                <w:b/>
                <w:color w:val="000000"/>
                <w:kern w:val="0"/>
                <w:szCs w:val="21"/>
              </w:rPr>
              <w:t>”</w:t>
            </w:r>
            <w:r>
              <w:rPr>
                <w:rFonts w:ascii="宋体" w:hAnsi="宋体"/>
                <w:b/>
                <w:color w:val="000000"/>
                <w:kern w:val="0"/>
                <w:szCs w:val="21"/>
              </w:rPr>
              <w:t>管控要求符合性分析</w:t>
            </w:r>
          </w:p>
          <w:p w14:paraId="0F0E8EC3">
            <w:pPr>
              <w:kinsoku w:val="0"/>
              <w:autoSpaceDE w:val="0"/>
              <w:autoSpaceDN w:val="0"/>
              <w:ind w:firstLine="420" w:firstLineChars="200"/>
              <w:textAlignment w:val="baseline"/>
              <w:rPr>
                <w:color w:val="000000"/>
                <w:kern w:val="0"/>
                <w:szCs w:val="21"/>
              </w:rPr>
            </w:pPr>
            <w:r>
              <w:rPr>
                <w:rFonts w:ascii="宋体" w:hAnsi="宋体"/>
                <w:color w:val="000000"/>
                <w:kern w:val="0"/>
                <w:szCs w:val="21"/>
              </w:rPr>
              <w:t>根据杭州市自然资源和规划局出具的用地预审与选址意见</w:t>
            </w:r>
            <w:r>
              <w:rPr>
                <w:rFonts w:hint="eastAsia" w:ascii="宋体" w:hAnsi="宋体"/>
                <w:color w:val="000000"/>
                <w:kern w:val="0"/>
                <w:szCs w:val="21"/>
              </w:rPr>
              <w:t>（</w:t>
            </w:r>
            <w:r>
              <w:rPr>
                <w:rFonts w:ascii="宋体" w:hAnsi="宋体"/>
                <w:color w:val="000000"/>
                <w:kern w:val="0"/>
                <w:szCs w:val="21"/>
              </w:rPr>
              <w:t>用字第</w:t>
            </w:r>
            <w:r>
              <w:rPr>
                <w:color w:val="000000"/>
                <w:kern w:val="0"/>
                <w:szCs w:val="21"/>
              </w:rPr>
              <w:t>3301142025XS0083576</w:t>
            </w:r>
            <w:r>
              <w:rPr>
                <w:rFonts w:hint="eastAsia" w:ascii="宋体" w:hAnsi="宋体"/>
                <w:color w:val="000000"/>
                <w:kern w:val="0"/>
                <w:szCs w:val="21"/>
              </w:rPr>
              <w:t>）</w:t>
            </w:r>
            <w:r>
              <w:rPr>
                <w:rFonts w:ascii="宋体" w:hAnsi="宋体"/>
                <w:color w:val="000000"/>
                <w:kern w:val="0"/>
                <w:szCs w:val="21"/>
              </w:rPr>
              <w:t>以及</w:t>
            </w:r>
            <w:r>
              <w:rPr>
                <w:rFonts w:hint="eastAsia" w:ascii="宋体" w:hAnsi="宋体"/>
                <w:color w:val="000000"/>
                <w:kern w:val="0"/>
                <w:szCs w:val="21"/>
              </w:rPr>
              <w:t>杭州市钱塘区国土空间分区规划</w:t>
            </w:r>
            <w:r>
              <w:rPr>
                <w:rFonts w:hint="eastAsia"/>
                <w:color w:val="000000"/>
                <w:kern w:val="0"/>
                <w:szCs w:val="21"/>
              </w:rPr>
              <w:t>(2021-2035</w:t>
            </w:r>
            <w:r>
              <w:rPr>
                <w:rFonts w:hint="eastAsia" w:ascii="宋体" w:hAnsi="宋体"/>
                <w:color w:val="000000"/>
                <w:kern w:val="0"/>
                <w:szCs w:val="21"/>
              </w:rPr>
              <w:t>年</w:t>
            </w:r>
            <w:r>
              <w:rPr>
                <w:rFonts w:hint="eastAsia"/>
                <w:color w:val="000000"/>
                <w:kern w:val="0"/>
                <w:szCs w:val="21"/>
              </w:rPr>
              <w:t>)</w:t>
            </w:r>
            <w:r>
              <w:rPr>
                <w:rFonts w:hint="eastAsia" w:ascii="宋体" w:hAnsi="宋体"/>
                <w:color w:val="000000"/>
                <w:kern w:val="0"/>
                <w:szCs w:val="21"/>
              </w:rPr>
              <w:t>三条控制线图</w:t>
            </w:r>
            <w:r>
              <w:rPr>
                <w:rFonts w:ascii="宋体" w:hAnsi="宋体"/>
                <w:color w:val="000000"/>
                <w:kern w:val="0"/>
                <w:szCs w:val="21"/>
              </w:rPr>
              <w:t>，本项目用地符合目前</w:t>
            </w:r>
            <w:r>
              <w:rPr>
                <w:color w:val="000000"/>
                <w:kern w:val="0"/>
                <w:szCs w:val="21"/>
              </w:rPr>
              <w:t>“</w:t>
            </w:r>
            <w:r>
              <w:rPr>
                <w:rFonts w:ascii="宋体" w:hAnsi="宋体"/>
                <w:color w:val="000000"/>
                <w:kern w:val="0"/>
                <w:szCs w:val="21"/>
              </w:rPr>
              <w:t>三区三线</w:t>
            </w:r>
            <w:r>
              <w:rPr>
                <w:color w:val="000000"/>
                <w:kern w:val="0"/>
                <w:szCs w:val="21"/>
              </w:rPr>
              <w:t>”</w:t>
            </w:r>
            <w:r>
              <w:rPr>
                <w:rFonts w:ascii="宋体" w:hAnsi="宋体"/>
                <w:color w:val="000000"/>
                <w:kern w:val="0"/>
                <w:szCs w:val="21"/>
              </w:rPr>
              <w:t>等国土空间规划管控规则，符合三区三线管控要求。</w:t>
            </w:r>
          </w:p>
          <w:p w14:paraId="3C878563">
            <w:pPr>
              <w:kinsoku w:val="0"/>
              <w:autoSpaceDE w:val="0"/>
              <w:autoSpaceDN w:val="0"/>
              <w:textAlignment w:val="baseline"/>
              <w:rPr>
                <w:b/>
                <w:color w:val="000000"/>
                <w:kern w:val="0"/>
                <w:szCs w:val="21"/>
              </w:rPr>
            </w:pPr>
            <w:r>
              <w:rPr>
                <w:rFonts w:ascii="宋体" w:hAnsi="宋体"/>
                <w:b/>
                <w:color w:val="000000"/>
                <w:kern w:val="0"/>
                <w:szCs w:val="21"/>
              </w:rPr>
              <w:t>（</w:t>
            </w:r>
            <w:r>
              <w:rPr>
                <w:b/>
                <w:color w:val="000000"/>
                <w:kern w:val="0"/>
                <w:szCs w:val="21"/>
              </w:rPr>
              <w:t>3</w:t>
            </w:r>
            <w:r>
              <w:rPr>
                <w:rFonts w:ascii="宋体" w:hAnsi="宋体"/>
                <w:b/>
                <w:color w:val="000000"/>
                <w:kern w:val="0"/>
                <w:szCs w:val="21"/>
              </w:rPr>
              <w:t>）四</w:t>
            </w:r>
            <w:r>
              <w:rPr>
                <w:rFonts w:ascii="宋体" w:hAnsi="宋体"/>
                <w:b/>
                <w:bCs/>
                <w:color w:val="000000"/>
                <w:kern w:val="0"/>
                <w:szCs w:val="21"/>
              </w:rPr>
              <w:t>性</w:t>
            </w:r>
            <w:r>
              <w:rPr>
                <w:rFonts w:ascii="宋体" w:hAnsi="宋体"/>
                <w:b/>
                <w:color w:val="000000"/>
                <w:kern w:val="0"/>
                <w:szCs w:val="21"/>
              </w:rPr>
              <w:t>五不批符合性分析</w:t>
            </w:r>
          </w:p>
          <w:p w14:paraId="361509CC">
            <w:pPr>
              <w:pStyle w:val="9"/>
              <w:spacing w:before="120"/>
            </w:pPr>
            <w:r>
              <w:t xml:space="preserve">表 </w:t>
            </w:r>
            <w:r>
              <w:fldChar w:fldCharType="begin"/>
            </w:r>
            <w:r>
              <w:instrText xml:space="preserve"> STYLEREF 1 \s </w:instrText>
            </w:r>
            <w:r>
              <w:fldChar w:fldCharType="separate"/>
            </w:r>
            <w:r>
              <w:t>1</w:t>
            </w:r>
            <w:r>
              <w:fldChar w:fldCharType="end"/>
            </w:r>
            <w:r>
              <w:noBreakHyphen/>
            </w:r>
            <w:r>
              <w:fldChar w:fldCharType="begin"/>
            </w:r>
            <w:r>
              <w:instrText xml:space="preserve"> SEQ 表 \* ARABIC \s 1 </w:instrText>
            </w:r>
            <w:r>
              <w:fldChar w:fldCharType="separate"/>
            </w:r>
            <w:r>
              <w:t>6</w:t>
            </w:r>
            <w:r>
              <w:fldChar w:fldCharType="end"/>
            </w:r>
            <w:r>
              <w:t>本工程与环评审查“四性”分析一览表</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71"/>
              <w:gridCol w:w="5313"/>
            </w:tblGrid>
            <w:tr w14:paraId="26F1C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Align w:val="center"/>
                </w:tcPr>
                <w:p w14:paraId="6025A0FD">
                  <w:pPr>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序号</w:t>
                  </w:r>
                </w:p>
              </w:tc>
              <w:tc>
                <w:tcPr>
                  <w:tcW w:w="1843" w:type="dxa"/>
                  <w:vAlign w:val="center"/>
                </w:tcPr>
                <w:p w14:paraId="1E9DE77F">
                  <w:pPr>
                    <w:kinsoku w:val="0"/>
                    <w:autoSpaceDE w:val="0"/>
                    <w:autoSpaceDN w:val="0"/>
                    <w:spacing w:line="240" w:lineRule="auto"/>
                    <w:jc w:val="center"/>
                    <w:textAlignment w:val="baseline"/>
                    <w:outlineLvl w:val="1"/>
                    <w:rPr>
                      <w:b/>
                      <w:bCs/>
                      <w:color w:val="000000"/>
                      <w:kern w:val="28"/>
                      <w:sz w:val="18"/>
                      <w:szCs w:val="18"/>
                    </w:rPr>
                  </w:pPr>
                  <w:r>
                    <w:rPr>
                      <w:b/>
                      <w:bCs/>
                      <w:color w:val="000000"/>
                      <w:kern w:val="28"/>
                      <w:sz w:val="18"/>
                      <w:szCs w:val="18"/>
                    </w:rPr>
                    <w:t>“</w:t>
                  </w:r>
                  <w:r>
                    <w:rPr>
                      <w:rFonts w:ascii="宋体" w:hAnsi="宋体"/>
                      <w:b/>
                      <w:bCs/>
                      <w:color w:val="000000"/>
                      <w:kern w:val="28"/>
                      <w:sz w:val="18"/>
                      <w:szCs w:val="18"/>
                    </w:rPr>
                    <w:t>四性</w:t>
                  </w:r>
                  <w:r>
                    <w:rPr>
                      <w:b/>
                      <w:bCs/>
                      <w:color w:val="000000"/>
                      <w:kern w:val="28"/>
                      <w:sz w:val="18"/>
                      <w:szCs w:val="18"/>
                    </w:rPr>
                    <w:t>”</w:t>
                  </w:r>
                  <w:r>
                    <w:rPr>
                      <w:rFonts w:ascii="宋体" w:hAnsi="宋体"/>
                      <w:b/>
                      <w:bCs/>
                      <w:color w:val="000000"/>
                      <w:kern w:val="28"/>
                      <w:sz w:val="18"/>
                      <w:szCs w:val="18"/>
                    </w:rPr>
                    <w:t>内容</w:t>
                  </w:r>
                </w:p>
              </w:tc>
              <w:tc>
                <w:tcPr>
                  <w:tcW w:w="5925" w:type="dxa"/>
                  <w:vAlign w:val="center"/>
                </w:tcPr>
                <w:p w14:paraId="2AC6C7F5">
                  <w:pPr>
                    <w:kinsoku w:val="0"/>
                    <w:autoSpaceDE w:val="0"/>
                    <w:autoSpaceDN w:val="0"/>
                    <w:spacing w:line="240" w:lineRule="auto"/>
                    <w:jc w:val="center"/>
                    <w:textAlignment w:val="baseline"/>
                    <w:outlineLvl w:val="1"/>
                    <w:rPr>
                      <w:b/>
                      <w:bCs/>
                      <w:color w:val="000000"/>
                      <w:kern w:val="28"/>
                      <w:sz w:val="18"/>
                      <w:szCs w:val="18"/>
                    </w:rPr>
                  </w:pPr>
                  <w:r>
                    <w:rPr>
                      <w:b/>
                      <w:bCs/>
                      <w:color w:val="000000"/>
                      <w:kern w:val="28"/>
                      <w:sz w:val="18"/>
                      <w:szCs w:val="18"/>
                    </w:rPr>
                    <w:t>“</w:t>
                  </w:r>
                  <w:r>
                    <w:rPr>
                      <w:rFonts w:ascii="宋体" w:hAnsi="宋体"/>
                      <w:b/>
                      <w:bCs/>
                      <w:color w:val="000000"/>
                      <w:kern w:val="28"/>
                      <w:sz w:val="18"/>
                      <w:szCs w:val="18"/>
                    </w:rPr>
                    <w:t>四性</w:t>
                  </w:r>
                  <w:r>
                    <w:rPr>
                      <w:b/>
                      <w:bCs/>
                      <w:color w:val="000000"/>
                      <w:kern w:val="28"/>
                      <w:sz w:val="18"/>
                      <w:szCs w:val="18"/>
                    </w:rPr>
                    <w:t>”</w:t>
                  </w:r>
                  <w:r>
                    <w:rPr>
                      <w:rFonts w:ascii="宋体" w:hAnsi="宋体"/>
                      <w:b/>
                      <w:bCs/>
                      <w:color w:val="000000"/>
                      <w:kern w:val="28"/>
                      <w:sz w:val="18"/>
                      <w:szCs w:val="18"/>
                    </w:rPr>
                    <w:t>符合性分析</w:t>
                  </w:r>
                </w:p>
              </w:tc>
            </w:tr>
            <w:tr w14:paraId="4F17CD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Align w:val="center"/>
                </w:tcPr>
                <w:p w14:paraId="2558587E">
                  <w:pPr>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1</w:t>
                  </w:r>
                </w:p>
              </w:tc>
              <w:tc>
                <w:tcPr>
                  <w:tcW w:w="1843" w:type="dxa"/>
                  <w:vAlign w:val="center"/>
                </w:tcPr>
                <w:p w14:paraId="49478EE6">
                  <w:pPr>
                    <w:kinsoku w:val="0"/>
                    <w:autoSpaceDE w:val="0"/>
                    <w:autoSpaceDN w:val="0"/>
                    <w:spacing w:line="240" w:lineRule="auto"/>
                    <w:textAlignment w:val="baseline"/>
                    <w:outlineLvl w:val="1"/>
                    <w:rPr>
                      <w:bCs/>
                      <w:color w:val="000000"/>
                      <w:kern w:val="28"/>
                      <w:sz w:val="18"/>
                      <w:szCs w:val="18"/>
                    </w:rPr>
                  </w:pPr>
                  <w:r>
                    <w:rPr>
                      <w:rFonts w:ascii="宋体" w:hAnsi="宋体"/>
                      <w:bCs/>
                      <w:color w:val="000000"/>
                      <w:kern w:val="28"/>
                      <w:sz w:val="18"/>
                      <w:szCs w:val="18"/>
                    </w:rPr>
                    <w:t>建设项目的环境可行性</w:t>
                  </w:r>
                </w:p>
              </w:tc>
              <w:tc>
                <w:tcPr>
                  <w:tcW w:w="5925" w:type="dxa"/>
                  <w:vAlign w:val="center"/>
                </w:tcPr>
                <w:p w14:paraId="5941DF13">
                  <w:pPr>
                    <w:kinsoku w:val="0"/>
                    <w:autoSpaceDE w:val="0"/>
                    <w:autoSpaceDN w:val="0"/>
                    <w:spacing w:line="240" w:lineRule="auto"/>
                    <w:textAlignment w:val="baseline"/>
                    <w:outlineLvl w:val="1"/>
                    <w:rPr>
                      <w:bCs/>
                      <w:color w:val="000000"/>
                      <w:kern w:val="28"/>
                      <w:sz w:val="18"/>
                      <w:szCs w:val="18"/>
                    </w:rPr>
                  </w:pPr>
                  <w:r>
                    <w:rPr>
                      <w:rFonts w:ascii="宋体" w:hAnsi="宋体"/>
                      <w:b/>
                      <w:bCs/>
                      <w:color w:val="000000"/>
                      <w:kern w:val="28"/>
                      <w:sz w:val="18"/>
                      <w:szCs w:val="18"/>
                    </w:rPr>
                    <w:t>符合。</w:t>
                  </w:r>
                  <w:r>
                    <w:rPr>
                      <w:rFonts w:ascii="宋体" w:hAnsi="宋体"/>
                      <w:bCs/>
                      <w:color w:val="000000"/>
                      <w:kern w:val="28"/>
                      <w:sz w:val="18"/>
                      <w:szCs w:val="18"/>
                    </w:rPr>
                    <w:t>据本环评对噪声、大气、水、固废、生态等分析，本工程建设和运营对</w:t>
                  </w:r>
                  <w:r>
                    <w:rPr>
                      <w:rFonts w:hint="eastAsia" w:ascii="宋体" w:hAnsi="宋体"/>
                      <w:bCs/>
                      <w:color w:val="000000"/>
                      <w:kern w:val="28"/>
                      <w:sz w:val="18"/>
                      <w:szCs w:val="18"/>
                    </w:rPr>
                    <w:t>生态</w:t>
                  </w:r>
                  <w:r>
                    <w:rPr>
                      <w:rFonts w:ascii="宋体" w:hAnsi="宋体"/>
                      <w:bCs/>
                      <w:color w:val="000000"/>
                      <w:kern w:val="28"/>
                      <w:sz w:val="18"/>
                      <w:szCs w:val="18"/>
                    </w:rPr>
                    <w:t>环境存在一定影响，但是通过实施本环评提出的环保措施后，各污染物均能达标或维持现状，具有</w:t>
                  </w:r>
                  <w:r>
                    <w:rPr>
                      <w:rFonts w:hint="eastAsia" w:ascii="宋体" w:hAnsi="宋体"/>
                      <w:bCs/>
                      <w:color w:val="000000"/>
                      <w:kern w:val="28"/>
                      <w:sz w:val="18"/>
                      <w:szCs w:val="18"/>
                    </w:rPr>
                    <w:t>生态</w:t>
                  </w:r>
                  <w:r>
                    <w:rPr>
                      <w:rFonts w:ascii="宋体" w:hAnsi="宋体"/>
                      <w:bCs/>
                      <w:color w:val="000000"/>
                      <w:kern w:val="28"/>
                      <w:sz w:val="18"/>
                      <w:szCs w:val="18"/>
                    </w:rPr>
                    <w:t>环境可行性。</w:t>
                  </w:r>
                </w:p>
              </w:tc>
            </w:tr>
            <w:tr w14:paraId="6C9C56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Align w:val="center"/>
                </w:tcPr>
                <w:p w14:paraId="5F3BE24F">
                  <w:pPr>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2</w:t>
                  </w:r>
                </w:p>
              </w:tc>
              <w:tc>
                <w:tcPr>
                  <w:tcW w:w="1843" w:type="dxa"/>
                  <w:vAlign w:val="center"/>
                </w:tcPr>
                <w:p w14:paraId="1765E212">
                  <w:pPr>
                    <w:kinsoku w:val="0"/>
                    <w:autoSpaceDE w:val="0"/>
                    <w:autoSpaceDN w:val="0"/>
                    <w:spacing w:line="240" w:lineRule="auto"/>
                    <w:textAlignment w:val="baseline"/>
                    <w:outlineLvl w:val="1"/>
                    <w:rPr>
                      <w:bCs/>
                      <w:color w:val="000000"/>
                      <w:kern w:val="28"/>
                      <w:sz w:val="18"/>
                      <w:szCs w:val="18"/>
                    </w:rPr>
                  </w:pPr>
                  <w:r>
                    <w:rPr>
                      <w:rFonts w:ascii="宋体" w:hAnsi="宋体"/>
                      <w:bCs/>
                      <w:color w:val="000000"/>
                      <w:kern w:val="28"/>
                      <w:sz w:val="18"/>
                      <w:szCs w:val="18"/>
                    </w:rPr>
                    <w:t>环境影响分析预测评估的可靠性</w:t>
                  </w:r>
                </w:p>
              </w:tc>
              <w:tc>
                <w:tcPr>
                  <w:tcW w:w="5925" w:type="dxa"/>
                  <w:vAlign w:val="center"/>
                </w:tcPr>
                <w:p w14:paraId="3A9E7932">
                  <w:pPr>
                    <w:kinsoku w:val="0"/>
                    <w:autoSpaceDE w:val="0"/>
                    <w:autoSpaceDN w:val="0"/>
                    <w:spacing w:line="240" w:lineRule="auto"/>
                    <w:textAlignment w:val="baseline"/>
                    <w:outlineLvl w:val="1"/>
                    <w:rPr>
                      <w:bCs/>
                      <w:color w:val="000000"/>
                      <w:kern w:val="28"/>
                      <w:sz w:val="18"/>
                      <w:szCs w:val="18"/>
                    </w:rPr>
                  </w:pPr>
                  <w:r>
                    <w:rPr>
                      <w:rFonts w:ascii="宋体" w:hAnsi="宋体"/>
                      <w:b/>
                      <w:bCs/>
                      <w:color w:val="000000"/>
                      <w:kern w:val="28"/>
                      <w:sz w:val="18"/>
                      <w:szCs w:val="18"/>
                    </w:rPr>
                    <w:t>符合。</w:t>
                  </w:r>
                  <w:r>
                    <w:rPr>
                      <w:rFonts w:ascii="宋体" w:hAnsi="宋体"/>
                      <w:bCs/>
                      <w:color w:val="000000"/>
                      <w:kern w:val="28"/>
                      <w:sz w:val="18"/>
                      <w:szCs w:val="18"/>
                    </w:rPr>
                    <w:t>本环评采用</w:t>
                  </w:r>
                  <w:r>
                    <w:rPr>
                      <w:rFonts w:hint="eastAsia" w:ascii="宋体" w:hAnsi="宋体"/>
                      <w:bCs/>
                      <w:color w:val="000000"/>
                      <w:kern w:val="28"/>
                      <w:sz w:val="18"/>
                      <w:szCs w:val="18"/>
                    </w:rPr>
                    <w:t>生态</w:t>
                  </w:r>
                  <w:r>
                    <w:rPr>
                      <w:rFonts w:ascii="宋体" w:hAnsi="宋体"/>
                      <w:bCs/>
                      <w:color w:val="000000"/>
                      <w:kern w:val="28"/>
                      <w:sz w:val="18"/>
                      <w:szCs w:val="18"/>
                    </w:rPr>
                    <w:t>环境影响评价技术导则推荐模式和方法进行各专题的</w:t>
                  </w:r>
                  <w:r>
                    <w:rPr>
                      <w:rFonts w:hint="eastAsia" w:ascii="宋体" w:hAnsi="宋体"/>
                      <w:bCs/>
                      <w:color w:val="000000"/>
                      <w:kern w:val="28"/>
                      <w:sz w:val="18"/>
                      <w:szCs w:val="18"/>
                    </w:rPr>
                    <w:t>生态</w:t>
                  </w:r>
                  <w:r>
                    <w:rPr>
                      <w:rFonts w:ascii="宋体" w:hAnsi="宋体"/>
                      <w:bCs/>
                      <w:color w:val="000000"/>
                      <w:kern w:val="28"/>
                      <w:sz w:val="18"/>
                      <w:szCs w:val="18"/>
                    </w:rPr>
                    <w:t>环境影响分析，使用技术和方法均较为成熟，同时对数据和预测过程进行多重审核，环境影响分析预测评估较为可靠。</w:t>
                  </w:r>
                </w:p>
              </w:tc>
            </w:tr>
            <w:tr w14:paraId="2F0674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Align w:val="center"/>
                </w:tcPr>
                <w:p w14:paraId="44BE5FF7">
                  <w:pPr>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3</w:t>
                  </w:r>
                </w:p>
              </w:tc>
              <w:tc>
                <w:tcPr>
                  <w:tcW w:w="1843" w:type="dxa"/>
                  <w:vAlign w:val="center"/>
                </w:tcPr>
                <w:p w14:paraId="56745960">
                  <w:pPr>
                    <w:kinsoku w:val="0"/>
                    <w:autoSpaceDE w:val="0"/>
                    <w:autoSpaceDN w:val="0"/>
                    <w:spacing w:line="240" w:lineRule="auto"/>
                    <w:textAlignment w:val="baseline"/>
                    <w:outlineLvl w:val="1"/>
                    <w:rPr>
                      <w:bCs/>
                      <w:color w:val="000000"/>
                      <w:kern w:val="28"/>
                      <w:sz w:val="18"/>
                      <w:szCs w:val="18"/>
                    </w:rPr>
                  </w:pPr>
                  <w:r>
                    <w:rPr>
                      <w:rFonts w:ascii="宋体" w:hAnsi="宋体"/>
                      <w:bCs/>
                      <w:color w:val="000000"/>
                      <w:kern w:val="28"/>
                      <w:sz w:val="18"/>
                      <w:szCs w:val="18"/>
                    </w:rPr>
                    <w:t>环境保护措施的有效性</w:t>
                  </w:r>
                </w:p>
              </w:tc>
              <w:tc>
                <w:tcPr>
                  <w:tcW w:w="5925" w:type="dxa"/>
                  <w:vAlign w:val="center"/>
                </w:tcPr>
                <w:p w14:paraId="48959F20">
                  <w:pPr>
                    <w:kinsoku w:val="0"/>
                    <w:autoSpaceDE w:val="0"/>
                    <w:autoSpaceDN w:val="0"/>
                    <w:spacing w:line="240" w:lineRule="auto"/>
                    <w:textAlignment w:val="baseline"/>
                    <w:outlineLvl w:val="1"/>
                    <w:rPr>
                      <w:bCs/>
                      <w:color w:val="000000"/>
                      <w:kern w:val="28"/>
                      <w:sz w:val="18"/>
                      <w:szCs w:val="18"/>
                    </w:rPr>
                  </w:pPr>
                  <w:r>
                    <w:rPr>
                      <w:rFonts w:ascii="宋体" w:hAnsi="宋体"/>
                      <w:b/>
                      <w:bCs/>
                      <w:color w:val="000000"/>
                      <w:kern w:val="28"/>
                      <w:sz w:val="18"/>
                      <w:szCs w:val="18"/>
                    </w:rPr>
                    <w:t>符合。</w:t>
                  </w:r>
                  <w:r>
                    <w:rPr>
                      <w:rFonts w:ascii="宋体" w:hAnsi="宋体"/>
                      <w:bCs/>
                      <w:color w:val="000000"/>
                      <w:kern w:val="28"/>
                      <w:sz w:val="18"/>
                      <w:szCs w:val="18"/>
                    </w:rPr>
                    <w:t>本环评所提出的噪声、废水、废气等防治措施及生态环境影响减缓措施具有经济技术可行性，各</w:t>
                  </w:r>
                  <w:r>
                    <w:rPr>
                      <w:rFonts w:hint="eastAsia" w:ascii="宋体" w:hAnsi="宋体"/>
                      <w:bCs/>
                      <w:color w:val="000000"/>
                      <w:kern w:val="28"/>
                      <w:sz w:val="18"/>
                      <w:szCs w:val="18"/>
                    </w:rPr>
                    <w:t>生态</w:t>
                  </w:r>
                  <w:r>
                    <w:rPr>
                      <w:rFonts w:ascii="宋体" w:hAnsi="宋体"/>
                      <w:bCs/>
                      <w:color w:val="000000"/>
                      <w:kern w:val="28"/>
                      <w:sz w:val="18"/>
                      <w:szCs w:val="18"/>
                    </w:rPr>
                    <w:t>环境保护措施能较好地发挥污染防治和生态环境影响减缓作用。</w:t>
                  </w:r>
                </w:p>
              </w:tc>
            </w:tr>
            <w:tr w14:paraId="07B907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Align w:val="center"/>
                </w:tcPr>
                <w:p w14:paraId="259D1AFD">
                  <w:pPr>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4</w:t>
                  </w:r>
                </w:p>
              </w:tc>
              <w:tc>
                <w:tcPr>
                  <w:tcW w:w="1843" w:type="dxa"/>
                  <w:vAlign w:val="center"/>
                </w:tcPr>
                <w:p w14:paraId="17212079">
                  <w:pPr>
                    <w:kinsoku w:val="0"/>
                    <w:autoSpaceDE w:val="0"/>
                    <w:autoSpaceDN w:val="0"/>
                    <w:spacing w:line="240" w:lineRule="auto"/>
                    <w:textAlignment w:val="baseline"/>
                    <w:outlineLvl w:val="1"/>
                    <w:rPr>
                      <w:bCs/>
                      <w:color w:val="000000"/>
                      <w:kern w:val="28"/>
                      <w:sz w:val="18"/>
                      <w:szCs w:val="18"/>
                    </w:rPr>
                  </w:pPr>
                  <w:r>
                    <w:rPr>
                      <w:rFonts w:ascii="宋体" w:hAnsi="宋体"/>
                      <w:bCs/>
                      <w:color w:val="000000"/>
                      <w:kern w:val="28"/>
                      <w:sz w:val="18"/>
                      <w:szCs w:val="18"/>
                    </w:rPr>
                    <w:t>环境影响评价结论的科学性</w:t>
                  </w:r>
                </w:p>
              </w:tc>
              <w:tc>
                <w:tcPr>
                  <w:tcW w:w="5925" w:type="dxa"/>
                  <w:vAlign w:val="center"/>
                </w:tcPr>
                <w:p w14:paraId="6CE77D26">
                  <w:pPr>
                    <w:kinsoku w:val="0"/>
                    <w:autoSpaceDE w:val="0"/>
                    <w:autoSpaceDN w:val="0"/>
                    <w:spacing w:line="240" w:lineRule="auto"/>
                    <w:textAlignment w:val="baseline"/>
                    <w:outlineLvl w:val="1"/>
                    <w:rPr>
                      <w:bCs/>
                      <w:color w:val="000000"/>
                      <w:kern w:val="28"/>
                      <w:sz w:val="18"/>
                      <w:szCs w:val="18"/>
                    </w:rPr>
                  </w:pPr>
                  <w:r>
                    <w:rPr>
                      <w:rFonts w:ascii="宋体" w:hAnsi="宋体"/>
                      <w:b/>
                      <w:bCs/>
                      <w:color w:val="000000"/>
                      <w:kern w:val="28"/>
                      <w:sz w:val="18"/>
                      <w:szCs w:val="18"/>
                    </w:rPr>
                    <w:t>符合。</w:t>
                  </w:r>
                  <w:r>
                    <w:rPr>
                      <w:rFonts w:ascii="宋体" w:hAnsi="宋体"/>
                      <w:bCs/>
                      <w:color w:val="000000"/>
                      <w:kern w:val="28"/>
                      <w:sz w:val="18"/>
                      <w:szCs w:val="18"/>
                    </w:rPr>
                    <w:t>本环评论证了项目与</w:t>
                  </w:r>
                  <w:r>
                    <w:rPr>
                      <w:rFonts w:hint="eastAsia" w:ascii="宋体" w:hAnsi="宋体"/>
                      <w:bCs/>
                      <w:color w:val="000000"/>
                      <w:kern w:val="28"/>
                      <w:sz w:val="18"/>
                      <w:szCs w:val="18"/>
                    </w:rPr>
                    <w:t>生态</w:t>
                  </w:r>
                  <w:r>
                    <w:rPr>
                      <w:rFonts w:ascii="宋体" w:hAnsi="宋体"/>
                      <w:bCs/>
                      <w:color w:val="000000"/>
                      <w:kern w:val="28"/>
                      <w:sz w:val="18"/>
                      <w:szCs w:val="18"/>
                    </w:rPr>
                    <w:t>环境功能区划、规划环评的相符性，并基于现行的技术导则开展量化为主的分析，通过对标</w:t>
                  </w:r>
                  <w:r>
                    <w:rPr>
                      <w:rFonts w:hint="eastAsia" w:ascii="宋体" w:hAnsi="宋体"/>
                      <w:bCs/>
                      <w:color w:val="000000"/>
                      <w:kern w:val="28"/>
                      <w:sz w:val="18"/>
                      <w:szCs w:val="18"/>
                    </w:rPr>
                    <w:t>生态</w:t>
                  </w:r>
                  <w:r>
                    <w:rPr>
                      <w:rFonts w:ascii="宋体" w:hAnsi="宋体"/>
                      <w:bCs/>
                      <w:color w:val="000000"/>
                      <w:kern w:val="28"/>
                      <w:sz w:val="18"/>
                      <w:szCs w:val="18"/>
                    </w:rPr>
                    <w:t>环境质量和污染物排放标准，并综合考虑建设项目实施后对各种</w:t>
                  </w:r>
                  <w:r>
                    <w:rPr>
                      <w:rFonts w:hint="eastAsia" w:ascii="宋体" w:hAnsi="宋体"/>
                      <w:bCs/>
                      <w:color w:val="000000"/>
                      <w:kern w:val="28"/>
                      <w:sz w:val="18"/>
                      <w:szCs w:val="18"/>
                    </w:rPr>
                    <w:t>生态</w:t>
                  </w:r>
                  <w:r>
                    <w:rPr>
                      <w:rFonts w:ascii="宋体" w:hAnsi="宋体"/>
                      <w:bCs/>
                      <w:color w:val="000000"/>
                      <w:kern w:val="28"/>
                      <w:sz w:val="18"/>
                      <w:szCs w:val="18"/>
                    </w:rPr>
                    <w:t>环境因素可能造成的影响，提出当前较为成熟的环保措施，确保项目</w:t>
                  </w:r>
                  <w:r>
                    <w:rPr>
                      <w:rFonts w:hint="eastAsia" w:ascii="宋体" w:hAnsi="宋体"/>
                      <w:bCs/>
                      <w:color w:val="000000"/>
                      <w:kern w:val="28"/>
                      <w:sz w:val="18"/>
                      <w:szCs w:val="18"/>
                    </w:rPr>
                    <w:t>生态</w:t>
                  </w:r>
                  <w:r>
                    <w:rPr>
                      <w:rFonts w:ascii="宋体" w:hAnsi="宋体"/>
                      <w:bCs/>
                      <w:color w:val="000000"/>
                      <w:kern w:val="28"/>
                      <w:sz w:val="18"/>
                      <w:szCs w:val="18"/>
                    </w:rPr>
                    <w:t>环境质量达标或维持现状，因此本环评结论具有较好的科学性。</w:t>
                  </w:r>
                </w:p>
              </w:tc>
            </w:tr>
          </w:tbl>
          <w:p w14:paraId="1CA56387">
            <w:pPr>
              <w:pStyle w:val="9"/>
              <w:spacing w:before="120"/>
            </w:pPr>
            <w:r>
              <w:t xml:space="preserve">表 </w:t>
            </w:r>
            <w:r>
              <w:fldChar w:fldCharType="begin"/>
            </w:r>
            <w:r>
              <w:instrText xml:space="preserve"> STYLEREF 1 \s </w:instrText>
            </w:r>
            <w:r>
              <w:fldChar w:fldCharType="separate"/>
            </w:r>
            <w:r>
              <w:t>1</w:t>
            </w:r>
            <w:r>
              <w:fldChar w:fldCharType="end"/>
            </w:r>
            <w:r>
              <w:noBreakHyphen/>
            </w:r>
            <w:r>
              <w:fldChar w:fldCharType="begin"/>
            </w:r>
            <w:r>
              <w:instrText xml:space="preserve"> SEQ 表 \* ARABIC \s 1 </w:instrText>
            </w:r>
            <w:r>
              <w:fldChar w:fldCharType="separate"/>
            </w:r>
            <w:r>
              <w:t>7</w:t>
            </w:r>
            <w:r>
              <w:fldChar w:fldCharType="end"/>
            </w:r>
            <w:r>
              <w:t>本工程与环评审查“五不批”分析一览表</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673"/>
              <w:gridCol w:w="2331"/>
              <w:gridCol w:w="4655"/>
            </w:tblGrid>
            <w:tr w14:paraId="305EE6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5" w:type="dxa"/>
                  <w:vAlign w:val="center"/>
                </w:tcPr>
                <w:p w14:paraId="0FE7E838">
                  <w:pPr>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序号</w:t>
                  </w:r>
                </w:p>
              </w:tc>
              <w:tc>
                <w:tcPr>
                  <w:tcW w:w="2061" w:type="dxa"/>
                  <w:vAlign w:val="center"/>
                </w:tcPr>
                <w:p w14:paraId="4EC46C55">
                  <w:pPr>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不得审批情形</w:t>
                  </w:r>
                </w:p>
              </w:tc>
              <w:tc>
                <w:tcPr>
                  <w:tcW w:w="4115" w:type="dxa"/>
                  <w:vAlign w:val="center"/>
                </w:tcPr>
                <w:p w14:paraId="607CD75D">
                  <w:pPr>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符合性分析</w:t>
                  </w:r>
                </w:p>
              </w:tc>
            </w:tr>
            <w:tr w14:paraId="557E5D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5" w:type="dxa"/>
                  <w:vAlign w:val="center"/>
                </w:tcPr>
                <w:p w14:paraId="43BD7C90">
                  <w:pPr>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1</w:t>
                  </w:r>
                </w:p>
              </w:tc>
              <w:tc>
                <w:tcPr>
                  <w:tcW w:w="2061" w:type="dxa"/>
                  <w:vAlign w:val="center"/>
                </w:tcPr>
                <w:p w14:paraId="576085C4">
                  <w:pPr>
                    <w:kinsoku w:val="0"/>
                    <w:autoSpaceDE w:val="0"/>
                    <w:autoSpaceDN w:val="0"/>
                    <w:spacing w:line="240" w:lineRule="auto"/>
                    <w:textAlignment w:val="baseline"/>
                    <w:outlineLvl w:val="1"/>
                    <w:rPr>
                      <w:bCs/>
                      <w:color w:val="000000"/>
                      <w:kern w:val="28"/>
                      <w:sz w:val="18"/>
                      <w:szCs w:val="18"/>
                    </w:rPr>
                  </w:pPr>
                  <w:r>
                    <w:rPr>
                      <w:rFonts w:ascii="宋体" w:hAnsi="宋体"/>
                      <w:bCs/>
                      <w:color w:val="000000"/>
                      <w:kern w:val="28"/>
                      <w:sz w:val="18"/>
                      <w:szCs w:val="18"/>
                    </w:rPr>
                    <w:t>建设项目类型及其选址、布局、规模等不符合环境保护法律法规和相关法定规划</w:t>
                  </w:r>
                </w:p>
              </w:tc>
              <w:tc>
                <w:tcPr>
                  <w:tcW w:w="4115" w:type="dxa"/>
                  <w:vAlign w:val="center"/>
                </w:tcPr>
                <w:p w14:paraId="2CF887CC">
                  <w:pPr>
                    <w:kinsoku w:val="0"/>
                    <w:autoSpaceDE w:val="0"/>
                    <w:autoSpaceDN w:val="0"/>
                    <w:spacing w:line="240" w:lineRule="auto"/>
                    <w:textAlignment w:val="baseline"/>
                    <w:outlineLvl w:val="1"/>
                    <w:rPr>
                      <w:bCs/>
                      <w:color w:val="000000"/>
                      <w:kern w:val="28"/>
                      <w:sz w:val="18"/>
                      <w:szCs w:val="18"/>
                    </w:rPr>
                  </w:pPr>
                  <w:r>
                    <w:rPr>
                      <w:rFonts w:ascii="宋体" w:hAnsi="宋体"/>
                      <w:b/>
                      <w:bCs/>
                      <w:color w:val="000000"/>
                      <w:kern w:val="28"/>
                      <w:sz w:val="18"/>
                      <w:szCs w:val="18"/>
                    </w:rPr>
                    <w:t>符合。</w:t>
                  </w:r>
                  <w:r>
                    <w:rPr>
                      <w:rFonts w:ascii="宋体" w:hAnsi="宋体"/>
                      <w:bCs/>
                      <w:color w:val="000000"/>
                      <w:kern w:val="28"/>
                      <w:sz w:val="18"/>
                      <w:szCs w:val="18"/>
                    </w:rPr>
                    <w:t>本项目符合相关法律法规和规划。目前项目已经由杭州市规划与自然资源局出具了《建设项目用地预审与选址意见书》（（用字第</w:t>
                  </w:r>
                  <w:r>
                    <w:rPr>
                      <w:bCs/>
                      <w:color w:val="000000"/>
                      <w:kern w:val="28"/>
                      <w:sz w:val="18"/>
                      <w:szCs w:val="18"/>
                    </w:rPr>
                    <w:t>3301142025XS0083576</w:t>
                  </w:r>
                  <w:r>
                    <w:rPr>
                      <w:rFonts w:ascii="宋体" w:hAnsi="宋体"/>
                      <w:bCs/>
                      <w:color w:val="000000"/>
                      <w:kern w:val="28"/>
                      <w:sz w:val="18"/>
                      <w:szCs w:val="18"/>
                    </w:rPr>
                    <w:t>）），符合土地利用规划要求。</w:t>
                  </w:r>
                </w:p>
              </w:tc>
            </w:tr>
            <w:tr w14:paraId="402F4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5" w:type="dxa"/>
                  <w:vAlign w:val="center"/>
                </w:tcPr>
                <w:p w14:paraId="6BD7A5CA">
                  <w:pPr>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2</w:t>
                  </w:r>
                </w:p>
              </w:tc>
              <w:tc>
                <w:tcPr>
                  <w:tcW w:w="2061" w:type="dxa"/>
                  <w:vAlign w:val="center"/>
                </w:tcPr>
                <w:p w14:paraId="4B001FBB">
                  <w:pPr>
                    <w:kinsoku w:val="0"/>
                    <w:autoSpaceDE w:val="0"/>
                    <w:autoSpaceDN w:val="0"/>
                    <w:spacing w:line="240" w:lineRule="auto"/>
                    <w:textAlignment w:val="baseline"/>
                    <w:outlineLvl w:val="1"/>
                    <w:rPr>
                      <w:bCs/>
                      <w:color w:val="000000"/>
                      <w:kern w:val="28"/>
                      <w:sz w:val="18"/>
                      <w:szCs w:val="18"/>
                    </w:rPr>
                  </w:pPr>
                  <w:r>
                    <w:rPr>
                      <w:rFonts w:ascii="宋体" w:hAnsi="宋体"/>
                      <w:bCs/>
                      <w:color w:val="000000"/>
                      <w:kern w:val="28"/>
                      <w:sz w:val="18"/>
                      <w:szCs w:val="18"/>
                    </w:rPr>
                    <w:t>所在区域环境质量未达到国家或者地方</w:t>
                  </w:r>
                  <w:r>
                    <w:rPr>
                      <w:rFonts w:hint="eastAsia" w:ascii="宋体" w:hAnsi="宋体"/>
                      <w:bCs/>
                      <w:color w:val="000000"/>
                      <w:kern w:val="28"/>
                      <w:sz w:val="18"/>
                      <w:szCs w:val="18"/>
                    </w:rPr>
                    <w:t>生态</w:t>
                  </w:r>
                  <w:r>
                    <w:rPr>
                      <w:rFonts w:ascii="宋体" w:hAnsi="宋体"/>
                      <w:bCs/>
                      <w:color w:val="000000"/>
                      <w:kern w:val="28"/>
                      <w:sz w:val="18"/>
                      <w:szCs w:val="18"/>
                    </w:rPr>
                    <w:t>环境质量标准，且建设项目拟采取的措施不能满足区域环境质量改善目标管理要求</w:t>
                  </w:r>
                </w:p>
              </w:tc>
              <w:tc>
                <w:tcPr>
                  <w:tcW w:w="4115" w:type="dxa"/>
                  <w:vAlign w:val="center"/>
                </w:tcPr>
                <w:p w14:paraId="5ECE31C2">
                  <w:pPr>
                    <w:spacing w:line="240" w:lineRule="auto"/>
                    <w:rPr>
                      <w:sz w:val="18"/>
                      <w:szCs w:val="18"/>
                    </w:rPr>
                  </w:pPr>
                  <w:r>
                    <w:rPr>
                      <w:b/>
                    </w:rPr>
                    <w:t>符合。</w:t>
                  </w:r>
                  <w:r>
                    <w:t>1、</w:t>
                  </w:r>
                  <w:r>
                    <w:rPr>
                      <w:sz w:val="18"/>
                      <w:szCs w:val="18"/>
                    </w:rPr>
                    <w:t>根据《2024年杭州市</w:t>
                  </w:r>
                  <w:r>
                    <w:rPr>
                      <w:rFonts w:hint="eastAsia"/>
                      <w:sz w:val="18"/>
                      <w:szCs w:val="18"/>
                    </w:rPr>
                    <w:t>钱塘</w:t>
                  </w:r>
                  <w:r>
                    <w:rPr>
                      <w:sz w:val="18"/>
                      <w:szCs w:val="18"/>
                    </w:rPr>
                    <w:t>区生态环境状况公报》，本项目地块所在区域O</w:t>
                  </w:r>
                  <w:r>
                    <w:rPr>
                      <w:sz w:val="18"/>
                      <w:szCs w:val="18"/>
                      <w:vertAlign w:val="subscript"/>
                    </w:rPr>
                    <w:t>3</w:t>
                  </w:r>
                  <w:r>
                    <w:rPr>
                      <w:sz w:val="18"/>
                      <w:szCs w:val="18"/>
                    </w:rPr>
                    <w:t>日最大8小时平均浓度超过国家二级标准，因此属于不达标区。根据《杭州市人民政府办公厅关于印发杭州市大气环境质量限期达标规划的通知》、《杭州市建设全市域大气“清洁排放区”的实施意见》等文件，</w:t>
                  </w:r>
                  <w:r>
                    <w:rPr>
                      <w:rFonts w:hint="eastAsia"/>
                      <w:sz w:val="18"/>
                      <w:szCs w:val="18"/>
                    </w:rPr>
                    <w:t>钱塘</w:t>
                  </w:r>
                  <w:r>
                    <w:rPr>
                      <w:sz w:val="18"/>
                      <w:szCs w:val="18"/>
                    </w:rPr>
                    <w:t>区正积极致力于从能源结构与产业布局调整、绿色低碳交通推进等多个方面加强大气污染防治，推动大气环境质量持续改善。且本环评提出本项目施工时运输车辆加盖篷布、加强洒水抑尘、粉尘类建筑材料密闭存放或覆盖</w:t>
                  </w:r>
                  <w:r>
                    <w:rPr>
                      <w:rFonts w:hint="eastAsia"/>
                      <w:sz w:val="18"/>
                      <w:szCs w:val="18"/>
                    </w:rPr>
                    <w:t>等</w:t>
                  </w:r>
                  <w:r>
                    <w:rPr>
                      <w:sz w:val="18"/>
                      <w:szCs w:val="18"/>
                    </w:rPr>
                    <w:t>措施，不会降低区域现有区域环境质量。本工程营运期废气主要为汽车尾气，不排放O</w:t>
                  </w:r>
                  <w:r>
                    <w:rPr>
                      <w:sz w:val="18"/>
                      <w:szCs w:val="18"/>
                      <w:vertAlign w:val="subscript"/>
                    </w:rPr>
                    <w:t>3</w:t>
                  </w:r>
                  <w:r>
                    <w:rPr>
                      <w:sz w:val="18"/>
                      <w:szCs w:val="18"/>
                    </w:rPr>
                    <w:t>，随着我国执行单车排放标准的不断提高，单车尾气的排放量将会不断降低。因此，不会降低现有大气环境质量。</w:t>
                  </w:r>
                </w:p>
                <w:p w14:paraId="2757BDBD">
                  <w:pPr>
                    <w:spacing w:line="240" w:lineRule="auto"/>
                    <w:rPr>
                      <w:sz w:val="18"/>
                      <w:szCs w:val="18"/>
                    </w:rPr>
                  </w:pPr>
                  <w:r>
                    <w:rPr>
                      <w:sz w:val="18"/>
                      <w:szCs w:val="18"/>
                    </w:rPr>
                    <w:t>2、本项目所在</w:t>
                  </w:r>
                  <w:r>
                    <w:rPr>
                      <w:rFonts w:hint="eastAsia"/>
                      <w:sz w:val="18"/>
                      <w:szCs w:val="18"/>
                    </w:rPr>
                    <w:t>区域</w:t>
                  </w:r>
                  <w:r>
                    <w:rPr>
                      <w:sz w:val="18"/>
                      <w:szCs w:val="18"/>
                    </w:rPr>
                    <w:t>地表水</w:t>
                  </w:r>
                  <w:r>
                    <w:rPr>
                      <w:rFonts w:hint="eastAsia"/>
                      <w:sz w:val="18"/>
                      <w:szCs w:val="18"/>
                    </w:rPr>
                    <w:t>为</w:t>
                  </w:r>
                  <w:r>
                    <w:rPr>
                      <w:sz w:val="18"/>
                      <w:szCs w:val="18"/>
                    </w:rPr>
                    <w:t>河庄横河及位于工程东侧的小泗埠直河</w:t>
                  </w:r>
                  <w:r>
                    <w:rPr>
                      <w:rFonts w:hint="eastAsia"/>
                      <w:sz w:val="18"/>
                      <w:szCs w:val="18"/>
                    </w:rPr>
                    <w:t>，水功能区参照钱塘337执行，</w:t>
                  </w:r>
                  <w:r>
                    <w:rPr>
                      <w:sz w:val="18"/>
                      <w:szCs w:val="18"/>
                    </w:rPr>
                    <w:t>该水功能区属萧绍河网萧山工业、农业用水区，水质现状为劣Ⅴ类，目标水质为IV类。本项目运营期不排放废水，排水体制采用雨污分流制，不会降低现有地表水质量。</w:t>
                  </w:r>
                </w:p>
                <w:p w14:paraId="6C16C277">
                  <w:pPr>
                    <w:spacing w:line="240" w:lineRule="auto"/>
                  </w:pPr>
                  <w:r>
                    <w:rPr>
                      <w:sz w:val="18"/>
                      <w:szCs w:val="18"/>
                    </w:rPr>
                    <w:t>3</w:t>
                  </w:r>
                  <w:r>
                    <w:rPr>
                      <w:rFonts w:hint="eastAsia"/>
                      <w:sz w:val="18"/>
                      <w:szCs w:val="18"/>
                    </w:rPr>
                    <w:t>、</w:t>
                  </w:r>
                  <w:r>
                    <w:rPr>
                      <w:sz w:val="18"/>
                      <w:szCs w:val="18"/>
                    </w:rPr>
                    <w:t>本工程沿线噪声敏感目标现状监测结果能达到所在声环境功能区的质量标准，本环评提出本项目施工时安装临时围护隔声设施、采用低噪声设备、合理安排施工时间等措施，运营期采用预留隔声窗措施，能适度改善声环境质量，各敏感点目标的室内声环境能满足相应的室内噪声限值要求。</w:t>
                  </w:r>
                </w:p>
              </w:tc>
            </w:tr>
            <w:tr w14:paraId="7AD8FA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5" w:type="dxa"/>
                  <w:vAlign w:val="center"/>
                </w:tcPr>
                <w:p w14:paraId="70049E25">
                  <w:pPr>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3</w:t>
                  </w:r>
                </w:p>
              </w:tc>
              <w:tc>
                <w:tcPr>
                  <w:tcW w:w="2061" w:type="dxa"/>
                  <w:vAlign w:val="center"/>
                </w:tcPr>
                <w:p w14:paraId="7C33D398">
                  <w:pPr>
                    <w:kinsoku w:val="0"/>
                    <w:autoSpaceDE w:val="0"/>
                    <w:autoSpaceDN w:val="0"/>
                    <w:spacing w:line="240" w:lineRule="auto"/>
                    <w:textAlignment w:val="baseline"/>
                    <w:outlineLvl w:val="1"/>
                    <w:rPr>
                      <w:bCs/>
                      <w:color w:val="000000"/>
                      <w:kern w:val="28"/>
                      <w:sz w:val="18"/>
                      <w:szCs w:val="18"/>
                    </w:rPr>
                  </w:pPr>
                  <w:r>
                    <w:rPr>
                      <w:rFonts w:ascii="宋体" w:hAnsi="宋体"/>
                      <w:bCs/>
                      <w:color w:val="000000"/>
                      <w:kern w:val="28"/>
                      <w:sz w:val="18"/>
                      <w:szCs w:val="18"/>
                    </w:rPr>
                    <w:t>建设项目采取的污染防治措施无法确保污染物排放达到国家和地方排放标准，或者未采取必要措施预防和控制生态破坏</w:t>
                  </w:r>
                </w:p>
              </w:tc>
              <w:tc>
                <w:tcPr>
                  <w:tcW w:w="4115" w:type="dxa"/>
                  <w:vAlign w:val="center"/>
                </w:tcPr>
                <w:p w14:paraId="6B496C9F">
                  <w:pPr>
                    <w:kinsoku w:val="0"/>
                    <w:autoSpaceDE w:val="0"/>
                    <w:autoSpaceDN w:val="0"/>
                    <w:spacing w:line="240" w:lineRule="auto"/>
                    <w:textAlignment w:val="baseline"/>
                    <w:outlineLvl w:val="1"/>
                    <w:rPr>
                      <w:bCs/>
                      <w:color w:val="000000"/>
                      <w:kern w:val="28"/>
                      <w:sz w:val="18"/>
                      <w:szCs w:val="18"/>
                    </w:rPr>
                  </w:pPr>
                  <w:r>
                    <w:rPr>
                      <w:rFonts w:ascii="宋体" w:hAnsi="宋体"/>
                      <w:b/>
                      <w:bCs/>
                      <w:color w:val="000000"/>
                      <w:kern w:val="28"/>
                      <w:sz w:val="18"/>
                      <w:szCs w:val="18"/>
                    </w:rPr>
                    <w:t>符合。</w:t>
                  </w:r>
                  <w:r>
                    <w:rPr>
                      <w:rFonts w:ascii="宋体" w:hAnsi="宋体"/>
                      <w:bCs/>
                      <w:color w:val="000000"/>
                      <w:kern w:val="28"/>
                      <w:sz w:val="18"/>
                      <w:szCs w:val="18"/>
                    </w:rPr>
                    <w:t>通过落实环评报告提出的污染防治措施和生态减缓措施后，本工程排放污染物不会超过国家和浙江省规定的污染物排放标准，并能有效控制生态破坏。</w:t>
                  </w:r>
                </w:p>
              </w:tc>
            </w:tr>
            <w:tr w14:paraId="4576AA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5" w:type="dxa"/>
                  <w:vAlign w:val="center"/>
                </w:tcPr>
                <w:p w14:paraId="70FEEE3D">
                  <w:pPr>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4</w:t>
                  </w:r>
                </w:p>
              </w:tc>
              <w:tc>
                <w:tcPr>
                  <w:tcW w:w="2061" w:type="dxa"/>
                  <w:vAlign w:val="center"/>
                </w:tcPr>
                <w:p w14:paraId="7F0688AD">
                  <w:pPr>
                    <w:kinsoku w:val="0"/>
                    <w:autoSpaceDE w:val="0"/>
                    <w:autoSpaceDN w:val="0"/>
                    <w:spacing w:line="240" w:lineRule="auto"/>
                    <w:textAlignment w:val="baseline"/>
                    <w:outlineLvl w:val="1"/>
                    <w:rPr>
                      <w:bCs/>
                      <w:color w:val="000000"/>
                      <w:kern w:val="28"/>
                      <w:sz w:val="18"/>
                      <w:szCs w:val="18"/>
                    </w:rPr>
                  </w:pPr>
                  <w:r>
                    <w:rPr>
                      <w:rFonts w:ascii="宋体" w:hAnsi="宋体"/>
                      <w:bCs/>
                      <w:color w:val="000000"/>
                      <w:kern w:val="28"/>
                      <w:sz w:val="18"/>
                      <w:szCs w:val="18"/>
                    </w:rPr>
                    <w:t>改建、扩建和技术改造项目，未针对项目原有环境污染和生态破坏提出有效防治措施</w:t>
                  </w:r>
                </w:p>
              </w:tc>
              <w:tc>
                <w:tcPr>
                  <w:tcW w:w="4115" w:type="dxa"/>
                  <w:vAlign w:val="center"/>
                </w:tcPr>
                <w:p w14:paraId="38B6520E">
                  <w:pPr>
                    <w:kinsoku w:val="0"/>
                    <w:autoSpaceDE w:val="0"/>
                    <w:autoSpaceDN w:val="0"/>
                    <w:spacing w:line="240" w:lineRule="auto"/>
                    <w:textAlignment w:val="baseline"/>
                    <w:outlineLvl w:val="1"/>
                    <w:rPr>
                      <w:bCs/>
                      <w:color w:val="000000"/>
                      <w:kern w:val="28"/>
                      <w:sz w:val="18"/>
                      <w:szCs w:val="18"/>
                    </w:rPr>
                  </w:pPr>
                  <w:r>
                    <w:rPr>
                      <w:rFonts w:ascii="宋体" w:hAnsi="宋体"/>
                      <w:b/>
                      <w:bCs/>
                      <w:color w:val="000000"/>
                      <w:kern w:val="28"/>
                      <w:sz w:val="18"/>
                      <w:szCs w:val="18"/>
                    </w:rPr>
                    <w:t>符合。</w:t>
                  </w:r>
                  <w:r>
                    <w:rPr>
                      <w:rFonts w:ascii="宋体" w:hAnsi="宋体"/>
                      <w:bCs/>
                      <w:color w:val="000000"/>
                      <w:kern w:val="28"/>
                      <w:sz w:val="18"/>
                      <w:szCs w:val="18"/>
                    </w:rPr>
                    <w:t>本项目为新建项目。不涉及原有环境污染和生态破坏</w:t>
                  </w:r>
                </w:p>
              </w:tc>
            </w:tr>
            <w:tr w14:paraId="171D8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95" w:type="dxa"/>
                  <w:vAlign w:val="center"/>
                </w:tcPr>
                <w:p w14:paraId="747D4152">
                  <w:pPr>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5</w:t>
                  </w:r>
                </w:p>
              </w:tc>
              <w:tc>
                <w:tcPr>
                  <w:tcW w:w="2061" w:type="dxa"/>
                  <w:vAlign w:val="center"/>
                </w:tcPr>
                <w:p w14:paraId="043FEEA3">
                  <w:pPr>
                    <w:kinsoku w:val="0"/>
                    <w:autoSpaceDE w:val="0"/>
                    <w:autoSpaceDN w:val="0"/>
                    <w:spacing w:line="240" w:lineRule="auto"/>
                    <w:textAlignment w:val="baseline"/>
                    <w:outlineLvl w:val="1"/>
                    <w:rPr>
                      <w:bCs/>
                      <w:color w:val="000000"/>
                      <w:kern w:val="28"/>
                      <w:sz w:val="18"/>
                      <w:szCs w:val="18"/>
                    </w:rPr>
                  </w:pPr>
                  <w:r>
                    <w:rPr>
                      <w:rFonts w:ascii="宋体" w:hAnsi="宋体"/>
                      <w:bCs/>
                      <w:color w:val="000000"/>
                      <w:kern w:val="28"/>
                      <w:sz w:val="18"/>
                      <w:szCs w:val="18"/>
                    </w:rPr>
                    <w:t>建设项目的环境影响报告书、环境影响报告表的基础资料数据明显不实，内容存在重大缺陷、遗漏，或者环境影响评价结论不明确、不合理</w:t>
                  </w:r>
                </w:p>
              </w:tc>
              <w:tc>
                <w:tcPr>
                  <w:tcW w:w="4115" w:type="dxa"/>
                  <w:vAlign w:val="center"/>
                </w:tcPr>
                <w:p w14:paraId="23B2A2D5">
                  <w:pPr>
                    <w:kinsoku w:val="0"/>
                    <w:autoSpaceDE w:val="0"/>
                    <w:autoSpaceDN w:val="0"/>
                    <w:spacing w:line="240" w:lineRule="auto"/>
                    <w:textAlignment w:val="baseline"/>
                    <w:outlineLvl w:val="1"/>
                    <w:rPr>
                      <w:bCs/>
                      <w:color w:val="000000"/>
                      <w:kern w:val="28"/>
                      <w:sz w:val="18"/>
                      <w:szCs w:val="18"/>
                    </w:rPr>
                  </w:pPr>
                  <w:r>
                    <w:rPr>
                      <w:rFonts w:ascii="宋体" w:hAnsi="宋体"/>
                      <w:b/>
                      <w:bCs/>
                      <w:color w:val="000000"/>
                      <w:kern w:val="28"/>
                      <w:sz w:val="18"/>
                      <w:szCs w:val="18"/>
                    </w:rPr>
                    <w:t>符合。</w:t>
                  </w:r>
                  <w:r>
                    <w:rPr>
                      <w:rFonts w:ascii="宋体" w:hAnsi="宋体"/>
                      <w:bCs/>
                      <w:color w:val="000000"/>
                      <w:kern w:val="28"/>
                      <w:sz w:val="18"/>
                      <w:szCs w:val="18"/>
                    </w:rPr>
                    <w:t>本项目环评过程基于项目建设方提供的设计文件、图纸等资料，按照现行的环境影响评价技术导则要求开展环评分析，内容完善，环境影响评价合理，符合审批要求。</w:t>
                  </w:r>
                </w:p>
              </w:tc>
            </w:tr>
          </w:tbl>
          <w:p w14:paraId="61EB8D22">
            <w:pPr>
              <w:pStyle w:val="119"/>
              <w:spacing w:line="360" w:lineRule="auto"/>
              <w:ind w:firstLine="0" w:firstLineChars="0"/>
              <w:jc w:val="left"/>
              <w:rPr>
                <w:rFonts w:cs="Times New Roman"/>
                <w:sz w:val="21"/>
                <w:szCs w:val="21"/>
                <w:highlight w:val="yellow"/>
              </w:rPr>
            </w:pPr>
          </w:p>
        </w:tc>
      </w:tr>
    </w:tbl>
    <w:p w14:paraId="182AD5FB">
      <w:pPr>
        <w:outlineLvl w:val="0"/>
        <w:rPr>
          <w:rFonts w:eastAsia="黑体"/>
          <w:sz w:val="30"/>
          <w:highlight w:val="yellow"/>
        </w:rPr>
        <w:sectPr>
          <w:footerReference r:id="rId8" w:type="default"/>
          <w:pgSz w:w="11906" w:h="16838"/>
          <w:pgMar w:top="1701" w:right="1531" w:bottom="1701" w:left="1531" w:header="851" w:footer="1077" w:gutter="0"/>
          <w:pgNumType w:start="1"/>
          <w:cols w:space="720" w:num="1"/>
          <w:docGrid w:linePitch="312" w:charSpace="0"/>
        </w:sectPr>
      </w:pPr>
    </w:p>
    <w:p w14:paraId="3E5FC9B6">
      <w:pPr>
        <w:pStyle w:val="2"/>
        <w:rPr>
          <w:snapToGrid w:val="0"/>
        </w:rPr>
      </w:pPr>
      <w:bookmarkStart w:id="25" w:name="_Toc238129005"/>
      <w:r>
        <w:rPr>
          <w:snapToGrid w:val="0"/>
        </w:rPr>
        <w:t>建设</w:t>
      </w:r>
      <w:r>
        <w:rPr>
          <w:rFonts w:hint="eastAsia"/>
          <w:snapToGrid w:val="0"/>
        </w:rPr>
        <w:t>内容</w:t>
      </w:r>
      <w:bookmarkEnd w:id="25"/>
    </w:p>
    <w:tbl>
      <w:tblPr>
        <w:tblStyle w:val="30"/>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6"/>
        <w:gridCol w:w="8644"/>
      </w:tblGrid>
      <w:tr w14:paraId="4DD34D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90" w:hRule="atLeast"/>
          <w:jc w:val="center"/>
        </w:trPr>
        <w:tc>
          <w:tcPr>
            <w:tcW w:w="416" w:type="dxa"/>
            <w:vAlign w:val="center"/>
          </w:tcPr>
          <w:p w14:paraId="7BCA288D">
            <w:pPr>
              <w:pStyle w:val="27"/>
              <w:spacing w:before="0" w:beforeAutospacing="0" w:after="0" w:afterAutospacing="0"/>
              <w:jc w:val="center"/>
              <w:rPr>
                <w:rFonts w:ascii="Times New Roman" w:hAnsi="Times New Roman"/>
                <w:sz w:val="21"/>
                <w:szCs w:val="21"/>
                <w:highlight w:val="yellow"/>
              </w:rPr>
            </w:pPr>
            <w:r>
              <w:rPr>
                <w:rFonts w:hint="eastAsia" w:ascii="Times New Roman" w:hAnsi="Times New Roman"/>
                <w:sz w:val="21"/>
                <w:szCs w:val="21"/>
              </w:rPr>
              <w:t>地理位置</w:t>
            </w:r>
          </w:p>
        </w:tc>
        <w:tc>
          <w:tcPr>
            <w:tcW w:w="8644" w:type="dxa"/>
            <w:tcBorders>
              <w:bottom w:val="single" w:color="auto" w:sz="4" w:space="0"/>
            </w:tcBorders>
            <w:vAlign w:val="center"/>
          </w:tcPr>
          <w:p w14:paraId="15829679">
            <w:pPr>
              <w:ind w:firstLine="420" w:firstLineChars="200"/>
              <w:rPr>
                <w:highlight w:val="yellow"/>
              </w:rPr>
            </w:pPr>
            <w:r>
              <w:rPr>
                <w:rFonts w:hint="eastAsia"/>
              </w:rPr>
              <w:t>本项目位于杭州市钱塘区河庄街道江东村，工</w:t>
            </w:r>
            <w:commentRangeStart w:id="18"/>
            <w:commentRangeStart w:id="19"/>
            <w:r>
              <w:rPr>
                <w:rFonts w:hint="eastAsia"/>
              </w:rPr>
              <w:t>程北起江东大道，南至河景路，</w:t>
            </w:r>
            <w:commentRangeEnd w:id="18"/>
            <w:r>
              <w:rPr>
                <w:rStyle w:val="38"/>
              </w:rPr>
              <w:commentReference w:id="18"/>
            </w:r>
            <w:commentRangeEnd w:id="19"/>
            <w:r>
              <w:rPr>
                <w:rStyle w:val="38"/>
              </w:rPr>
              <w:commentReference w:id="19"/>
            </w:r>
            <w:r>
              <w:t>沿线与向民路、向河路、向景路、向湖路等规划道路平面交叉</w:t>
            </w:r>
            <w:r>
              <w:rPr>
                <w:rFonts w:hint="eastAsia"/>
              </w:rPr>
              <w:t>，标准断面宽度为24米，道路全长约868m，其中新建长度 853m，用地规模约为2.3203 hm</w:t>
            </w:r>
            <w:r>
              <w:rPr>
                <w:rFonts w:hint="eastAsia"/>
                <w:vertAlign w:val="superscript"/>
              </w:rPr>
              <w:t>2</w:t>
            </w:r>
            <w:r>
              <w:rPr>
                <w:rFonts w:hint="eastAsia"/>
              </w:rPr>
              <w:t>。</w:t>
            </w:r>
          </w:p>
        </w:tc>
      </w:tr>
      <w:tr w14:paraId="4AB25A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416" w:type="dxa"/>
            <w:tcBorders>
              <w:right w:val="single" w:color="auto" w:sz="4" w:space="0"/>
            </w:tcBorders>
            <w:vAlign w:val="center"/>
          </w:tcPr>
          <w:p w14:paraId="3E4325DC">
            <w:pPr>
              <w:pStyle w:val="27"/>
              <w:spacing w:before="0" w:beforeAutospacing="0" w:after="0" w:afterAutospacing="0"/>
              <w:jc w:val="center"/>
              <w:rPr>
                <w:rFonts w:ascii="Times New Roman" w:hAnsi="Times New Roman"/>
                <w:sz w:val="21"/>
                <w:szCs w:val="21"/>
                <w:highlight w:val="yellow"/>
              </w:rPr>
            </w:pPr>
            <w:r>
              <w:rPr>
                <w:rFonts w:ascii="Times New Roman" w:hAnsi="Times New Roman"/>
                <w:sz w:val="21"/>
                <w:szCs w:val="21"/>
              </w:rPr>
              <w:t>项目组成及规模</w:t>
            </w:r>
          </w:p>
        </w:tc>
        <w:tc>
          <w:tcPr>
            <w:tcW w:w="8644" w:type="dxa"/>
            <w:tcBorders>
              <w:top w:val="single" w:color="auto" w:sz="4" w:space="0"/>
              <w:left w:val="single" w:color="auto" w:sz="4" w:space="0"/>
              <w:bottom w:val="single" w:color="auto" w:sz="4" w:space="0"/>
              <w:right w:val="single" w:color="auto" w:sz="4" w:space="0"/>
            </w:tcBorders>
          </w:tcPr>
          <w:p w14:paraId="31104336">
            <w:pPr>
              <w:pStyle w:val="3"/>
              <w:rPr>
                <w:color w:val="000000"/>
              </w:rPr>
            </w:pPr>
            <w:r>
              <w:rPr>
                <w:color w:val="000000"/>
              </w:rPr>
              <w:t>项目由来</w:t>
            </w:r>
          </w:p>
          <w:p w14:paraId="57EF43BC">
            <w:pPr>
              <w:ind w:firstLine="420" w:firstLineChars="200"/>
            </w:pPr>
            <w:bookmarkStart w:id="26" w:name="OLE_LINK25"/>
            <w:r>
              <w:rPr>
                <w:rFonts w:hint="eastAsia"/>
              </w:rPr>
              <w:t>青西二路（江东大道-河景路）是杭州市钱塘区江海之城详细规划中重要的配套基础设施，属于城市次干路，道路周边地块未来规划以商业地块、居住地块和公园绿化地块为主，因此，道路的建设可以较好满足周边地块发展需要，满足周边居住人群使用需求，达到城市品味高、形象好和风貌好的目标，项目建成后有助于响应“一带一路”，推进中企出海、有助于争取“金砖合作中心”顺利落地、从“城中村”到“国际港”，打造产城融合发展示范区。根据项目建设标准，道路标准段宽度为24米，设计车速为40km/h，路面类型为沥青混凝土路面。本项目拟用地规模为2.32公顷，建设的内容主要包括道路工程、交通工程、桥梁工程、排水工程、海绵工程、照明工程、绿化工程等。</w:t>
            </w:r>
          </w:p>
          <w:p w14:paraId="11066A54">
            <w:pPr>
              <w:ind w:firstLine="420" w:firstLineChars="200"/>
            </w:pPr>
            <w:r>
              <w:rPr>
                <w:rFonts w:hint="eastAsia"/>
              </w:rPr>
              <w:t>根据《中华人民共和国环境保护法》及</w:t>
            </w:r>
            <w:r>
              <w:t>国务院第682号令</w:t>
            </w:r>
            <w:r>
              <w:rPr>
                <w:rFonts w:hint="eastAsia"/>
              </w:rPr>
              <w:t>《建设项目环境保护管理条例》中有关规定，该建设项目应进行环境影响评价，从环保角度论证项目建设的可行性。</w:t>
            </w:r>
          </w:p>
          <w:p w14:paraId="3E29C2A0">
            <w:pPr>
              <w:ind w:firstLine="420" w:firstLineChars="200"/>
              <w:rPr>
                <w:highlight w:val="yellow"/>
              </w:rPr>
            </w:pPr>
            <w:r>
              <w:rPr>
                <w:rFonts w:hint="eastAsia"/>
              </w:rPr>
              <w:t>对照《国民经济行业分类》（GB/T4754-2017），根据工程内容，本项目应属于“E4813市政道路工程建筑”；对照《建设项目环境影响评价分类管理名录（2021版）》（中华人民共和国生态环境部部令第16号），本项目属于《名录》“五十二、交通运输业、管道运输业”中第131“城市道路（不含维护；不含支路、人行天桥、人行地道）”，名录对环评类别的判定如下：</w:t>
            </w:r>
          </w:p>
          <w:p w14:paraId="631C511C">
            <w:pPr>
              <w:pStyle w:val="9"/>
              <w:spacing w:before="120"/>
            </w:pPr>
            <w:r>
              <w:t xml:space="preserve">表 </w:t>
            </w:r>
            <w:r>
              <w:fldChar w:fldCharType="begin"/>
            </w:r>
            <w:r>
              <w:instrText xml:space="preserve"> STYLEREF 1 \s </w:instrText>
            </w:r>
            <w:r>
              <w:fldChar w:fldCharType="separate"/>
            </w:r>
            <w:r>
              <w:t>2</w:t>
            </w:r>
            <w:r>
              <w:fldChar w:fldCharType="end"/>
            </w:r>
            <w:r>
              <w:noBreakHyphen/>
            </w:r>
            <w:r>
              <w:fldChar w:fldCharType="begin"/>
            </w:r>
            <w:r>
              <w:instrText xml:space="preserve"> SEQ 表 \* ARABIC \s 1 </w:instrText>
            </w:r>
            <w:r>
              <w:fldChar w:fldCharType="separate"/>
            </w:r>
            <w:r>
              <w:t>1</w:t>
            </w:r>
            <w:r>
              <w:fldChar w:fldCharType="end"/>
            </w:r>
            <w:r>
              <w:t>环评类别判定表</w:t>
            </w:r>
          </w:p>
          <w:tbl>
            <w:tblPr>
              <w:tblStyle w:val="30"/>
              <w:tblW w:w="498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634"/>
              <w:gridCol w:w="994"/>
              <w:gridCol w:w="1417"/>
              <w:gridCol w:w="1560"/>
              <w:gridCol w:w="1370"/>
              <w:gridCol w:w="767"/>
            </w:tblGrid>
            <w:tr w14:paraId="6691AB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3723" w:type="pct"/>
                  <w:gridSpan w:val="5"/>
                  <w:vAlign w:val="center"/>
                </w:tcPr>
                <w:p w14:paraId="506088F8">
                  <w:pPr>
                    <w:pStyle w:val="27"/>
                    <w:spacing w:line="240" w:lineRule="auto"/>
                    <w:jc w:val="center"/>
                    <w:rPr>
                      <w:rFonts w:ascii="Times New Roman" w:hAnsi="Times New Roman" w:cs="宋体"/>
                      <w:b/>
                      <w:bCs/>
                      <w:color w:val="000000"/>
                      <w:sz w:val="18"/>
                      <w:szCs w:val="18"/>
                    </w:rPr>
                  </w:pPr>
                  <w:r>
                    <w:rPr>
                      <w:rFonts w:hint="eastAsia" w:ascii="Times New Roman" w:hAnsi="Times New Roman" w:cs="宋体"/>
                      <w:b/>
                      <w:bCs/>
                      <w:color w:val="000000"/>
                      <w:sz w:val="18"/>
                      <w:szCs w:val="18"/>
                    </w:rPr>
                    <w:t>文件要求</w:t>
                  </w:r>
                </w:p>
              </w:tc>
              <w:tc>
                <w:tcPr>
                  <w:tcW w:w="818" w:type="pct"/>
                  <w:vMerge w:val="restart"/>
                  <w:vAlign w:val="center"/>
                </w:tcPr>
                <w:p w14:paraId="22737E38">
                  <w:pPr>
                    <w:pStyle w:val="27"/>
                    <w:spacing w:line="240" w:lineRule="auto"/>
                    <w:jc w:val="center"/>
                    <w:rPr>
                      <w:rFonts w:ascii="Times New Roman" w:hAnsi="Times New Roman"/>
                      <w:b/>
                      <w:bCs/>
                      <w:color w:val="000000"/>
                      <w:sz w:val="18"/>
                      <w:szCs w:val="18"/>
                    </w:rPr>
                  </w:pPr>
                  <w:r>
                    <w:rPr>
                      <w:rFonts w:hint="eastAsia" w:ascii="Times New Roman" w:hAnsi="Times New Roman" w:cs="宋体"/>
                      <w:b/>
                      <w:bCs/>
                      <w:color w:val="000000"/>
                      <w:sz w:val="18"/>
                      <w:szCs w:val="18"/>
                    </w:rPr>
                    <w:t>本项目情况</w:t>
                  </w:r>
                </w:p>
              </w:tc>
              <w:tc>
                <w:tcPr>
                  <w:tcW w:w="458" w:type="pct"/>
                  <w:vMerge w:val="restart"/>
                  <w:vAlign w:val="center"/>
                </w:tcPr>
                <w:p w14:paraId="43BDE1F1">
                  <w:pPr>
                    <w:pStyle w:val="27"/>
                    <w:spacing w:line="240" w:lineRule="auto"/>
                    <w:jc w:val="center"/>
                    <w:rPr>
                      <w:rFonts w:ascii="Times New Roman" w:hAnsi="Times New Roman"/>
                      <w:b/>
                      <w:bCs/>
                      <w:color w:val="000000"/>
                      <w:sz w:val="18"/>
                      <w:szCs w:val="18"/>
                    </w:rPr>
                  </w:pPr>
                  <w:r>
                    <w:rPr>
                      <w:rFonts w:hint="eastAsia" w:ascii="Times New Roman" w:hAnsi="Times New Roman" w:cs="宋体"/>
                      <w:b/>
                      <w:bCs/>
                      <w:color w:val="000000"/>
                      <w:sz w:val="18"/>
                      <w:szCs w:val="18"/>
                    </w:rPr>
                    <w:t>本项目环评类别</w:t>
                  </w:r>
                </w:p>
              </w:tc>
            </w:tr>
            <w:tr w14:paraId="0A34AB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353" w:type="pct"/>
                  <w:gridSpan w:val="2"/>
                  <w:vAlign w:val="center"/>
                </w:tcPr>
                <w:p w14:paraId="7D7A80BD">
                  <w:pPr>
                    <w:pStyle w:val="27"/>
                    <w:spacing w:line="240" w:lineRule="auto"/>
                    <w:jc w:val="center"/>
                    <w:rPr>
                      <w:rFonts w:ascii="Times New Roman" w:hAnsi="Times New Roman"/>
                      <w:b/>
                      <w:bCs/>
                      <w:color w:val="000000"/>
                      <w:sz w:val="18"/>
                      <w:szCs w:val="18"/>
                    </w:rPr>
                  </w:pPr>
                  <w:r>
                    <w:rPr>
                      <w:rFonts w:hint="eastAsia" w:ascii="Times New Roman" w:hAnsi="Times New Roman" w:cs="宋体"/>
                      <w:b/>
                      <w:bCs/>
                      <w:color w:val="000000"/>
                      <w:sz w:val="18"/>
                      <w:szCs w:val="18"/>
                    </w:rPr>
                    <w:t>项目类别</w:t>
                  </w:r>
                </w:p>
              </w:tc>
              <w:tc>
                <w:tcPr>
                  <w:tcW w:w="593" w:type="pct"/>
                  <w:vAlign w:val="center"/>
                </w:tcPr>
                <w:p w14:paraId="5FA9DBDA">
                  <w:pPr>
                    <w:pStyle w:val="27"/>
                    <w:spacing w:line="240" w:lineRule="auto"/>
                    <w:jc w:val="center"/>
                    <w:rPr>
                      <w:rFonts w:ascii="Times New Roman" w:hAnsi="Times New Roman"/>
                      <w:b/>
                      <w:bCs/>
                      <w:color w:val="000000"/>
                      <w:sz w:val="18"/>
                      <w:szCs w:val="18"/>
                    </w:rPr>
                  </w:pPr>
                  <w:r>
                    <w:rPr>
                      <w:rFonts w:hint="eastAsia" w:ascii="Times New Roman" w:hAnsi="Times New Roman" w:cs="宋体"/>
                      <w:b/>
                      <w:bCs/>
                      <w:color w:val="000000"/>
                      <w:sz w:val="18"/>
                      <w:szCs w:val="18"/>
                    </w:rPr>
                    <w:t>报告书</w:t>
                  </w:r>
                </w:p>
              </w:tc>
              <w:tc>
                <w:tcPr>
                  <w:tcW w:w="846" w:type="pct"/>
                  <w:vAlign w:val="center"/>
                </w:tcPr>
                <w:p w14:paraId="12642A84">
                  <w:pPr>
                    <w:pStyle w:val="27"/>
                    <w:spacing w:line="240" w:lineRule="auto"/>
                    <w:jc w:val="center"/>
                    <w:rPr>
                      <w:rFonts w:ascii="Times New Roman" w:hAnsi="Times New Roman"/>
                      <w:b/>
                      <w:bCs/>
                      <w:color w:val="000000"/>
                      <w:sz w:val="18"/>
                      <w:szCs w:val="18"/>
                    </w:rPr>
                  </w:pPr>
                  <w:r>
                    <w:rPr>
                      <w:rFonts w:hint="eastAsia" w:ascii="Times New Roman" w:hAnsi="Times New Roman" w:cs="宋体"/>
                      <w:b/>
                      <w:bCs/>
                      <w:color w:val="000000"/>
                      <w:sz w:val="18"/>
                      <w:szCs w:val="18"/>
                    </w:rPr>
                    <w:t>报告表</w:t>
                  </w:r>
                </w:p>
              </w:tc>
              <w:tc>
                <w:tcPr>
                  <w:tcW w:w="931" w:type="pct"/>
                  <w:vAlign w:val="center"/>
                </w:tcPr>
                <w:p w14:paraId="27BFC825">
                  <w:pPr>
                    <w:spacing w:line="240" w:lineRule="auto"/>
                    <w:jc w:val="center"/>
                    <w:rPr>
                      <w:b/>
                      <w:bCs/>
                      <w:color w:val="000000"/>
                      <w:sz w:val="18"/>
                      <w:szCs w:val="18"/>
                    </w:rPr>
                  </w:pPr>
                  <w:r>
                    <w:rPr>
                      <w:rFonts w:hint="eastAsia"/>
                      <w:b/>
                      <w:bCs/>
                      <w:color w:val="000000"/>
                      <w:sz w:val="18"/>
                      <w:szCs w:val="18"/>
                    </w:rPr>
                    <w:t>登记表</w:t>
                  </w:r>
                </w:p>
              </w:tc>
              <w:tc>
                <w:tcPr>
                  <w:tcW w:w="818" w:type="pct"/>
                  <w:vMerge w:val="continue"/>
                  <w:vAlign w:val="center"/>
                </w:tcPr>
                <w:p w14:paraId="036E0425">
                  <w:pPr>
                    <w:spacing w:line="240" w:lineRule="auto"/>
                    <w:rPr>
                      <w:color w:val="000000"/>
                      <w:sz w:val="18"/>
                      <w:szCs w:val="18"/>
                    </w:rPr>
                  </w:pPr>
                </w:p>
              </w:tc>
              <w:tc>
                <w:tcPr>
                  <w:tcW w:w="458" w:type="pct"/>
                  <w:vMerge w:val="continue"/>
                  <w:vAlign w:val="center"/>
                </w:tcPr>
                <w:p w14:paraId="2EA1A49B">
                  <w:pPr>
                    <w:spacing w:line="240" w:lineRule="auto"/>
                    <w:rPr>
                      <w:color w:val="000000"/>
                      <w:sz w:val="18"/>
                      <w:szCs w:val="18"/>
                    </w:rPr>
                  </w:pPr>
                </w:p>
              </w:tc>
            </w:tr>
            <w:tr w14:paraId="67AC8A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8" w:type="pct"/>
                  <w:vAlign w:val="center"/>
                </w:tcPr>
                <w:p w14:paraId="21AD8545">
                  <w:pPr>
                    <w:pStyle w:val="171"/>
                    <w:widowControl/>
                    <w:spacing w:line="240" w:lineRule="auto"/>
                    <w:ind w:firstLine="0" w:firstLineChars="0"/>
                    <w:jc w:val="center"/>
                    <w:rPr>
                      <w:color w:val="000000"/>
                      <w:sz w:val="18"/>
                      <w:szCs w:val="18"/>
                    </w:rPr>
                  </w:pPr>
                  <w:r>
                    <w:rPr>
                      <w:rFonts w:hint="eastAsia"/>
                      <w:color w:val="000000"/>
                      <w:sz w:val="18"/>
                      <w:szCs w:val="18"/>
                    </w:rPr>
                    <w:t>五十二、交通运输业、管道运输业</w:t>
                  </w:r>
                </w:p>
              </w:tc>
              <w:tc>
                <w:tcPr>
                  <w:tcW w:w="975" w:type="pct"/>
                  <w:vAlign w:val="center"/>
                </w:tcPr>
                <w:p w14:paraId="18DE7B77">
                  <w:pPr>
                    <w:autoSpaceDE w:val="0"/>
                    <w:autoSpaceDN w:val="0"/>
                    <w:spacing w:line="240" w:lineRule="auto"/>
                    <w:jc w:val="center"/>
                    <w:rPr>
                      <w:color w:val="000000"/>
                      <w:sz w:val="18"/>
                      <w:szCs w:val="18"/>
                    </w:rPr>
                  </w:pPr>
                  <w:r>
                    <w:rPr>
                      <w:rFonts w:hint="eastAsia"/>
                      <w:color w:val="000000"/>
                      <w:sz w:val="18"/>
                      <w:szCs w:val="18"/>
                    </w:rPr>
                    <w:t xml:space="preserve">131 </w:t>
                  </w:r>
                  <w:r>
                    <w:rPr>
                      <w:rFonts w:hint="eastAsia"/>
                      <w:sz w:val="18"/>
                      <w:szCs w:val="18"/>
                    </w:rPr>
                    <w:t>城市道路（不含维护；不含支路、人行天桥、人行地道）</w:t>
                  </w:r>
                </w:p>
              </w:tc>
              <w:tc>
                <w:tcPr>
                  <w:tcW w:w="593" w:type="pct"/>
                  <w:vAlign w:val="center"/>
                </w:tcPr>
                <w:p w14:paraId="2A333E14">
                  <w:pPr>
                    <w:autoSpaceDE w:val="0"/>
                    <w:autoSpaceDN w:val="0"/>
                    <w:spacing w:line="240" w:lineRule="auto"/>
                    <w:jc w:val="center"/>
                    <w:rPr>
                      <w:color w:val="000000"/>
                      <w:sz w:val="18"/>
                      <w:szCs w:val="18"/>
                    </w:rPr>
                  </w:pPr>
                  <w:r>
                    <w:rPr>
                      <w:rFonts w:hint="eastAsia"/>
                      <w:color w:val="000000"/>
                      <w:sz w:val="18"/>
                      <w:szCs w:val="18"/>
                    </w:rPr>
                    <w:t>/</w:t>
                  </w:r>
                </w:p>
              </w:tc>
              <w:tc>
                <w:tcPr>
                  <w:tcW w:w="846" w:type="pct"/>
                  <w:vAlign w:val="center"/>
                </w:tcPr>
                <w:p w14:paraId="0AE14170">
                  <w:pPr>
                    <w:autoSpaceDE w:val="0"/>
                    <w:autoSpaceDN w:val="0"/>
                    <w:spacing w:line="240" w:lineRule="auto"/>
                    <w:jc w:val="center"/>
                    <w:rPr>
                      <w:color w:val="000000"/>
                      <w:sz w:val="18"/>
                      <w:szCs w:val="18"/>
                    </w:rPr>
                  </w:pPr>
                  <w:r>
                    <w:rPr>
                      <w:rFonts w:hint="eastAsia"/>
                      <w:sz w:val="18"/>
                      <w:szCs w:val="18"/>
                    </w:rPr>
                    <w:t>新建快速路、主干路；城市桥梁、隧道</w:t>
                  </w:r>
                </w:p>
              </w:tc>
              <w:tc>
                <w:tcPr>
                  <w:tcW w:w="931" w:type="pct"/>
                  <w:vAlign w:val="center"/>
                </w:tcPr>
                <w:p w14:paraId="7E9813B1">
                  <w:pPr>
                    <w:autoSpaceDE w:val="0"/>
                    <w:autoSpaceDN w:val="0"/>
                    <w:spacing w:line="240" w:lineRule="auto"/>
                    <w:jc w:val="center"/>
                    <w:rPr>
                      <w:color w:val="000000"/>
                      <w:sz w:val="18"/>
                      <w:szCs w:val="18"/>
                    </w:rPr>
                  </w:pPr>
                  <w:r>
                    <w:rPr>
                      <w:rFonts w:hint="eastAsia"/>
                      <w:color w:val="000000"/>
                      <w:sz w:val="18"/>
                      <w:szCs w:val="18"/>
                    </w:rPr>
                    <w:t>其他</w:t>
                  </w:r>
                </w:p>
              </w:tc>
              <w:tc>
                <w:tcPr>
                  <w:tcW w:w="818" w:type="pct"/>
                  <w:vAlign w:val="center"/>
                </w:tcPr>
                <w:p w14:paraId="2B385B5F">
                  <w:pPr>
                    <w:autoSpaceDE w:val="0"/>
                    <w:autoSpaceDN w:val="0"/>
                    <w:spacing w:line="240" w:lineRule="auto"/>
                    <w:jc w:val="center"/>
                    <w:rPr>
                      <w:color w:val="000000"/>
                      <w:sz w:val="18"/>
                      <w:szCs w:val="18"/>
                    </w:rPr>
                  </w:pPr>
                  <w:r>
                    <w:rPr>
                      <w:rFonts w:hint="eastAsia"/>
                      <w:color w:val="000000"/>
                      <w:sz w:val="18"/>
                      <w:szCs w:val="18"/>
                    </w:rPr>
                    <w:t>道路为城市次干路，工程包含</w:t>
                  </w:r>
                  <w:r>
                    <w:rPr>
                      <w:rFonts w:hint="eastAsia"/>
                      <w:sz w:val="18"/>
                      <w:szCs w:val="18"/>
                    </w:rPr>
                    <w:t>桥梁工程。</w:t>
                  </w:r>
                </w:p>
              </w:tc>
              <w:tc>
                <w:tcPr>
                  <w:tcW w:w="458" w:type="pct"/>
                  <w:vAlign w:val="center"/>
                </w:tcPr>
                <w:p w14:paraId="2C161EE9">
                  <w:pPr>
                    <w:autoSpaceDE w:val="0"/>
                    <w:autoSpaceDN w:val="0"/>
                    <w:spacing w:line="240" w:lineRule="auto"/>
                    <w:jc w:val="center"/>
                    <w:rPr>
                      <w:color w:val="000000"/>
                      <w:sz w:val="18"/>
                      <w:szCs w:val="18"/>
                    </w:rPr>
                  </w:pPr>
                  <w:r>
                    <w:rPr>
                      <w:rFonts w:hint="eastAsia" w:cs="宋体"/>
                      <w:color w:val="000000"/>
                      <w:sz w:val="18"/>
                      <w:szCs w:val="18"/>
                      <w:lang w:bidi="ar"/>
                    </w:rPr>
                    <w:t>环境影响报告表</w:t>
                  </w:r>
                </w:p>
              </w:tc>
            </w:tr>
          </w:tbl>
          <w:p w14:paraId="6149BFF0">
            <w:pPr>
              <w:widowControl/>
              <w:ind w:firstLine="420" w:firstLineChars="200"/>
              <w:jc w:val="left"/>
            </w:pPr>
            <w:r>
              <w:rPr>
                <w:rFonts w:hint="eastAsia"/>
              </w:rPr>
              <w:t>本项目道路属于次干路，但是包含城市桥梁工程，因此本项目生态环境</w:t>
            </w:r>
            <w:commentRangeStart w:id="20"/>
            <w:commentRangeStart w:id="21"/>
            <w:r>
              <w:rPr>
                <w:rFonts w:hint="eastAsia"/>
              </w:rPr>
              <w:t>影响评价类别应为报告表。</w:t>
            </w:r>
            <w:commentRangeEnd w:id="20"/>
            <w:r>
              <w:rPr>
                <w:rStyle w:val="38"/>
              </w:rPr>
              <w:commentReference w:id="20"/>
            </w:r>
            <w:commentRangeEnd w:id="21"/>
            <w:r>
              <w:rPr>
                <w:rStyle w:val="38"/>
              </w:rPr>
              <w:commentReference w:id="21"/>
            </w:r>
          </w:p>
          <w:p w14:paraId="5C808F00">
            <w:pPr>
              <w:widowControl/>
              <w:ind w:firstLine="420" w:firstLineChars="200"/>
              <w:jc w:val="left"/>
            </w:pPr>
            <w:r>
              <w:rPr>
                <w:rFonts w:hint="eastAsia"/>
              </w:rPr>
              <w:t>此外，根据</w:t>
            </w:r>
            <w:r>
              <w:t>《杭州钱塘新区“区域环评+环境标准”改革实施方案》（钱塘管办发[2019]54号）</w:t>
            </w:r>
            <w:r>
              <w:rPr>
                <w:rFonts w:hint="eastAsia"/>
              </w:rPr>
              <w:t>，</w:t>
            </w:r>
            <w:r>
              <w:t>杭州钱塘新区范围内原《杭州大江东产业集聚区（大江东新区）分区规划环境影响报告书》评价范围和大创小镇</w:t>
            </w:r>
            <w:r>
              <w:rPr>
                <w:rFonts w:hint="eastAsia"/>
              </w:rPr>
              <w:t>内的项目，</w:t>
            </w:r>
            <w:r>
              <w:t>对环评审批负面清单外且符合准入环境标准的项目，原要求编制</w:t>
            </w:r>
            <w:r>
              <w:rPr>
                <w:rFonts w:hint="eastAsia"/>
              </w:rPr>
              <w:t>生态</w:t>
            </w:r>
            <w:r>
              <w:t>环境影响报告书的，可以编制</w:t>
            </w:r>
            <w:r>
              <w:rPr>
                <w:rFonts w:hint="eastAsia"/>
              </w:rPr>
              <w:t>生态</w:t>
            </w:r>
            <w:r>
              <w:t>环境影响报告表；原要求编制</w:t>
            </w:r>
            <w:r>
              <w:rPr>
                <w:rFonts w:hint="eastAsia"/>
              </w:rPr>
              <w:t>生态</w:t>
            </w:r>
            <w:r>
              <w:t>环境影响报告表的，可以填报</w:t>
            </w:r>
            <w:r>
              <w:rPr>
                <w:rFonts w:hint="eastAsia"/>
              </w:rPr>
              <w:t>生态</w:t>
            </w:r>
            <w:r>
              <w:t>环境影响登记表。本项目不属于环评审批负面清单范围，环评文件类型可由报告表降级为登记表。</w:t>
            </w:r>
          </w:p>
          <w:bookmarkEnd w:id="26"/>
          <w:p w14:paraId="655554EB">
            <w:pPr>
              <w:widowControl/>
              <w:ind w:firstLine="420" w:firstLineChars="200"/>
              <w:jc w:val="left"/>
              <w:rPr>
                <w:color w:val="000000"/>
                <w:szCs w:val="21"/>
                <w:highlight w:val="yellow"/>
              </w:rPr>
            </w:pPr>
            <w:r>
              <w:rPr>
                <w:rFonts w:hint="eastAsia"/>
                <w:color w:val="000000"/>
                <w:szCs w:val="21"/>
              </w:rPr>
              <w:t>受建设单位委托，浙江百诺数智环境科技股份有限公司承担了本项目的生态环境影响评价工作。根据国家和浙江省建设项目管理的有关规定，按照建设单位提供的项目技术资料、国家产业政策、地方相关规划和《建设项目环境影响报告表编制技术指南（生态影响类）（试行）》的要求，在我公司技术人员赴现场踏勘调查、收集项目所在区域相关资料的基础上，编制完成了本项目的杭州市建设项目生态环境影响登记表。</w:t>
            </w:r>
          </w:p>
          <w:p w14:paraId="15A7A972">
            <w:pPr>
              <w:pStyle w:val="3"/>
              <w:rPr>
                <w:color w:val="000000"/>
              </w:rPr>
            </w:pPr>
            <w:bookmarkStart w:id="27" w:name="_Ref227663036"/>
            <w:r>
              <w:rPr>
                <w:rStyle w:val="39"/>
                <w:b/>
                <w:bCs/>
                <w:color w:val="000000"/>
              </w:rPr>
              <w:t>项目组成</w:t>
            </w:r>
            <w:r>
              <w:rPr>
                <w:rStyle w:val="39"/>
                <w:rFonts w:hint="eastAsia"/>
                <w:b/>
                <w:bCs/>
                <w:color w:val="000000"/>
              </w:rPr>
              <w:t>及建设内容</w:t>
            </w:r>
            <w:bookmarkEnd w:id="27"/>
          </w:p>
          <w:p w14:paraId="5C1C275F">
            <w:pPr>
              <w:rPr>
                <w:color w:val="000000"/>
                <w:szCs w:val="21"/>
              </w:rPr>
            </w:pPr>
            <w:r>
              <w:rPr>
                <w:b/>
                <w:bCs/>
                <w:color w:val="000000"/>
                <w:szCs w:val="21"/>
              </w:rPr>
              <w:t>项目名称：</w:t>
            </w:r>
            <w:r>
              <w:rPr>
                <w:rFonts w:hint="eastAsia"/>
                <w:color w:val="000000"/>
                <w:szCs w:val="21"/>
              </w:rPr>
              <w:t>青西二路（江东大道-河景路）道路工程</w:t>
            </w:r>
            <w:r>
              <w:rPr>
                <w:color w:val="000000"/>
                <w:szCs w:val="21"/>
              </w:rPr>
              <w:t>；</w:t>
            </w:r>
          </w:p>
          <w:p w14:paraId="3F1F40C0">
            <w:pPr>
              <w:rPr>
                <w:color w:val="000000"/>
                <w:szCs w:val="21"/>
              </w:rPr>
            </w:pPr>
            <w:r>
              <w:rPr>
                <w:b/>
                <w:bCs/>
                <w:color w:val="000000"/>
                <w:szCs w:val="21"/>
              </w:rPr>
              <w:t>建设单位：</w:t>
            </w:r>
            <w:r>
              <w:rPr>
                <w:rFonts w:hint="eastAsia"/>
                <w:color w:val="000000"/>
                <w:szCs w:val="21"/>
              </w:rPr>
              <w:t>杭州青西建设开发有限公司</w:t>
            </w:r>
            <w:r>
              <w:rPr>
                <w:color w:val="000000"/>
                <w:szCs w:val="21"/>
              </w:rPr>
              <w:t>；</w:t>
            </w:r>
          </w:p>
          <w:p w14:paraId="2D03EC67">
            <w:pPr>
              <w:rPr>
                <w:color w:val="000000"/>
                <w:szCs w:val="21"/>
              </w:rPr>
            </w:pPr>
            <w:r>
              <w:rPr>
                <w:b/>
                <w:bCs/>
                <w:color w:val="000000"/>
                <w:szCs w:val="21"/>
              </w:rPr>
              <w:t>建设地点：</w:t>
            </w:r>
            <w:r>
              <w:rPr>
                <w:color w:val="000000"/>
                <w:szCs w:val="21"/>
              </w:rPr>
              <w:t>浙江省杭州市</w:t>
            </w:r>
            <w:r>
              <w:rPr>
                <w:rFonts w:hint="eastAsia"/>
                <w:color w:val="000000"/>
                <w:szCs w:val="21"/>
              </w:rPr>
              <w:t>钱塘区，</w:t>
            </w:r>
            <w:commentRangeStart w:id="22"/>
            <w:r>
              <w:rPr>
                <w:rFonts w:hint="eastAsia"/>
                <w:color w:val="000000"/>
                <w:szCs w:val="21"/>
              </w:rPr>
              <w:t>北起江东大道，南至河景路，</w:t>
            </w:r>
            <w:r>
              <w:rPr>
                <w:color w:val="000000"/>
                <w:szCs w:val="21"/>
              </w:rPr>
              <w:t>沿线与向民路、向河路、向景路、向湖路等规划道路平面交叉；</w:t>
            </w:r>
            <w:commentRangeEnd w:id="22"/>
            <w:r>
              <w:rPr>
                <w:rStyle w:val="38"/>
                <w:color w:val="000000"/>
                <w:szCs w:val="21"/>
              </w:rPr>
              <w:commentReference w:id="22"/>
            </w:r>
          </w:p>
          <w:p w14:paraId="0A90FF6B">
            <w:pPr>
              <w:rPr>
                <w:color w:val="000000"/>
                <w:szCs w:val="21"/>
              </w:rPr>
            </w:pPr>
            <w:r>
              <w:rPr>
                <w:b/>
                <w:bCs/>
                <w:color w:val="000000"/>
                <w:szCs w:val="21"/>
              </w:rPr>
              <w:t>项目性质：</w:t>
            </w:r>
            <w:r>
              <w:rPr>
                <w:rFonts w:hint="eastAsia"/>
                <w:color w:val="000000"/>
                <w:szCs w:val="21"/>
              </w:rPr>
              <w:t>新建</w:t>
            </w:r>
            <w:r>
              <w:rPr>
                <w:color w:val="000000"/>
                <w:szCs w:val="21"/>
              </w:rPr>
              <w:t>；</w:t>
            </w:r>
          </w:p>
          <w:p w14:paraId="77A350BC">
            <w:pPr>
              <w:ind w:firstLine="420" w:firstLineChars="200"/>
              <w:rPr>
                <w:color w:val="000000"/>
                <w:szCs w:val="21"/>
              </w:rPr>
            </w:pPr>
            <w:r>
              <w:rPr>
                <w:rFonts w:hint="eastAsia"/>
                <w:color w:val="000000"/>
                <w:szCs w:val="21"/>
              </w:rPr>
              <w:t>工程</w:t>
            </w:r>
            <w:r>
              <w:rPr>
                <w:color w:val="000000"/>
                <w:szCs w:val="21"/>
              </w:rPr>
              <w:t>建设内容：</w:t>
            </w:r>
            <w:r>
              <w:rPr>
                <w:rFonts w:hint="eastAsia"/>
                <w:color w:val="000000"/>
                <w:szCs w:val="21"/>
              </w:rPr>
              <w:t>道路工程、交通工程、桥梁工程、建筑工程、结构工程、 给排水工程、照明工程、电力工程、绿化工程等。</w:t>
            </w:r>
            <w:r>
              <w:rPr>
                <w:color w:val="000000"/>
                <w:szCs w:val="21"/>
              </w:rPr>
              <w:t>项目组成和建设内容见下表：</w:t>
            </w:r>
          </w:p>
          <w:p w14:paraId="4F5D2439">
            <w:pPr>
              <w:pStyle w:val="9"/>
              <w:spacing w:before="120"/>
            </w:pPr>
            <w:bookmarkStart w:id="28" w:name="OLE_LINK13"/>
            <w:r>
              <w:t xml:space="preserve">表 </w:t>
            </w:r>
            <w:r>
              <w:fldChar w:fldCharType="begin"/>
            </w:r>
            <w:r>
              <w:instrText xml:space="preserve"> STYLEREF 1 \s </w:instrText>
            </w:r>
            <w:r>
              <w:fldChar w:fldCharType="separate"/>
            </w:r>
            <w:r>
              <w:t>2</w:t>
            </w:r>
            <w:r>
              <w:fldChar w:fldCharType="end"/>
            </w:r>
            <w:r>
              <w:noBreakHyphen/>
            </w:r>
            <w:r>
              <w:fldChar w:fldCharType="begin"/>
            </w:r>
            <w:r>
              <w:instrText xml:space="preserve"> SEQ 表 \* ARABIC \s 1 </w:instrText>
            </w:r>
            <w:r>
              <w:fldChar w:fldCharType="separate"/>
            </w:r>
            <w:r>
              <w:t>2</w:t>
            </w:r>
            <w:r>
              <w:fldChar w:fldCharType="end"/>
            </w:r>
            <w:r>
              <w:t>项目组成和建设内容一览表</w:t>
            </w:r>
          </w:p>
          <w:bookmarkEnd w:id="28"/>
          <w:tbl>
            <w:tblPr>
              <w:tblStyle w:val="30"/>
              <w:tblW w:w="4903" w:type="pct"/>
              <w:jc w:val="center"/>
              <w:tblLayout w:type="fixed"/>
              <w:tblCellMar>
                <w:top w:w="0" w:type="dxa"/>
                <w:left w:w="108" w:type="dxa"/>
                <w:bottom w:w="0" w:type="dxa"/>
                <w:right w:w="108" w:type="dxa"/>
              </w:tblCellMar>
            </w:tblPr>
            <w:tblGrid>
              <w:gridCol w:w="1139"/>
              <w:gridCol w:w="616"/>
              <w:gridCol w:w="1183"/>
              <w:gridCol w:w="5298"/>
              <w:gridCol w:w="28"/>
            </w:tblGrid>
            <w:tr w14:paraId="534F2130">
              <w:tblPrEx>
                <w:tblCellMar>
                  <w:top w:w="0" w:type="dxa"/>
                  <w:left w:w="108" w:type="dxa"/>
                  <w:bottom w:w="0" w:type="dxa"/>
                  <w:right w:w="108" w:type="dxa"/>
                </w:tblCellMar>
              </w:tblPrEx>
              <w:trPr>
                <w:gridAfter w:val="1"/>
                <w:wAfter w:w="17" w:type="pct"/>
                <w:trHeight w:val="340" w:hRule="atLeast"/>
                <w:jc w:val="center"/>
              </w:trPr>
              <w:tc>
                <w:tcPr>
                  <w:tcW w:w="689" w:type="pct"/>
                  <w:tcBorders>
                    <w:top w:val="single" w:color="auto" w:sz="12" w:space="0"/>
                    <w:left w:val="single" w:color="auto" w:sz="12" w:space="0"/>
                    <w:bottom w:val="single" w:color="000000" w:sz="4" w:space="0"/>
                    <w:right w:val="single" w:color="000000" w:sz="4" w:space="0"/>
                  </w:tcBorders>
                  <w:vAlign w:val="center"/>
                </w:tcPr>
                <w:p w14:paraId="43437626">
                  <w:pPr>
                    <w:widowControl/>
                    <w:spacing w:line="240" w:lineRule="auto"/>
                    <w:jc w:val="center"/>
                    <w:textAlignment w:val="center"/>
                    <w:rPr>
                      <w:b/>
                      <w:bCs/>
                      <w:color w:val="000000"/>
                      <w:sz w:val="18"/>
                      <w:szCs w:val="18"/>
                    </w:rPr>
                  </w:pPr>
                  <w:r>
                    <w:rPr>
                      <w:b/>
                      <w:bCs/>
                      <w:color w:val="000000"/>
                      <w:kern w:val="0"/>
                      <w:sz w:val="18"/>
                      <w:szCs w:val="18"/>
                      <w:lang w:bidi="ar"/>
                    </w:rPr>
                    <w:t>工程类别</w:t>
                  </w:r>
                </w:p>
              </w:tc>
              <w:tc>
                <w:tcPr>
                  <w:tcW w:w="1089" w:type="pct"/>
                  <w:gridSpan w:val="2"/>
                  <w:tcBorders>
                    <w:top w:val="single" w:color="auto" w:sz="12" w:space="0"/>
                    <w:left w:val="single" w:color="000000" w:sz="4" w:space="0"/>
                    <w:bottom w:val="single" w:color="auto" w:sz="4" w:space="0"/>
                    <w:right w:val="single" w:color="000000" w:sz="4" w:space="0"/>
                  </w:tcBorders>
                  <w:vAlign w:val="center"/>
                </w:tcPr>
                <w:p w14:paraId="0E1868AC">
                  <w:pPr>
                    <w:widowControl/>
                    <w:spacing w:line="240" w:lineRule="auto"/>
                    <w:jc w:val="center"/>
                    <w:textAlignment w:val="center"/>
                    <w:rPr>
                      <w:b/>
                      <w:bCs/>
                      <w:color w:val="000000"/>
                      <w:sz w:val="18"/>
                      <w:szCs w:val="18"/>
                    </w:rPr>
                  </w:pPr>
                  <w:r>
                    <w:rPr>
                      <w:b/>
                      <w:bCs/>
                      <w:color w:val="000000"/>
                      <w:kern w:val="0"/>
                      <w:sz w:val="18"/>
                      <w:szCs w:val="18"/>
                      <w:lang w:bidi="ar"/>
                    </w:rPr>
                    <w:t>建/构筑物名称</w:t>
                  </w:r>
                </w:p>
              </w:tc>
              <w:tc>
                <w:tcPr>
                  <w:tcW w:w="3205" w:type="pct"/>
                  <w:tcBorders>
                    <w:top w:val="single" w:color="auto" w:sz="12" w:space="0"/>
                    <w:left w:val="single" w:color="000000" w:sz="4" w:space="0"/>
                    <w:bottom w:val="single" w:color="000000" w:sz="4" w:space="0"/>
                    <w:right w:val="single" w:color="auto" w:sz="12" w:space="0"/>
                  </w:tcBorders>
                  <w:vAlign w:val="center"/>
                </w:tcPr>
                <w:p w14:paraId="5974524B">
                  <w:pPr>
                    <w:widowControl/>
                    <w:spacing w:line="240" w:lineRule="auto"/>
                    <w:jc w:val="center"/>
                    <w:textAlignment w:val="center"/>
                    <w:rPr>
                      <w:b/>
                      <w:bCs/>
                      <w:color w:val="000000"/>
                      <w:sz w:val="18"/>
                      <w:szCs w:val="18"/>
                    </w:rPr>
                  </w:pPr>
                  <w:r>
                    <w:rPr>
                      <w:b/>
                      <w:bCs/>
                      <w:color w:val="000000"/>
                      <w:kern w:val="0"/>
                      <w:sz w:val="18"/>
                      <w:szCs w:val="18"/>
                      <w:lang w:bidi="ar"/>
                    </w:rPr>
                    <w:t>建设内容及规模</w:t>
                  </w:r>
                </w:p>
                <w:p w14:paraId="5E85EFD8">
                  <w:pPr>
                    <w:widowControl/>
                    <w:spacing w:line="240" w:lineRule="auto"/>
                    <w:jc w:val="center"/>
                    <w:textAlignment w:val="center"/>
                    <w:rPr>
                      <w:b/>
                      <w:bCs/>
                      <w:color w:val="000000"/>
                      <w:sz w:val="18"/>
                      <w:szCs w:val="18"/>
                    </w:rPr>
                  </w:pPr>
                  <w:r>
                    <w:rPr>
                      <w:b/>
                      <w:bCs/>
                      <w:color w:val="000000"/>
                      <w:kern w:val="0"/>
                      <w:sz w:val="18"/>
                      <w:szCs w:val="18"/>
                      <w:lang w:bidi="ar"/>
                    </w:rPr>
                    <w:t>备注</w:t>
                  </w:r>
                </w:p>
              </w:tc>
            </w:tr>
            <w:tr w14:paraId="7A3EFAF0">
              <w:tblPrEx>
                <w:tblCellMar>
                  <w:top w:w="0" w:type="dxa"/>
                  <w:left w:w="108" w:type="dxa"/>
                  <w:bottom w:w="0" w:type="dxa"/>
                  <w:right w:w="108" w:type="dxa"/>
                </w:tblCellMar>
              </w:tblPrEx>
              <w:trPr>
                <w:gridAfter w:val="1"/>
                <w:wAfter w:w="17" w:type="pct"/>
                <w:trHeight w:val="340" w:hRule="atLeast"/>
                <w:jc w:val="center"/>
              </w:trPr>
              <w:tc>
                <w:tcPr>
                  <w:tcW w:w="689" w:type="pct"/>
                  <w:vMerge w:val="restart"/>
                  <w:tcBorders>
                    <w:top w:val="single" w:color="000000" w:sz="4" w:space="0"/>
                    <w:left w:val="single" w:color="auto" w:sz="12" w:space="0"/>
                    <w:right w:val="single" w:color="auto" w:sz="4" w:space="0"/>
                  </w:tcBorders>
                  <w:vAlign w:val="center"/>
                </w:tcPr>
                <w:p w14:paraId="1DB9019C">
                  <w:pPr>
                    <w:widowControl/>
                    <w:spacing w:line="240" w:lineRule="auto"/>
                    <w:jc w:val="center"/>
                    <w:textAlignment w:val="center"/>
                    <w:rPr>
                      <w:color w:val="000000"/>
                      <w:sz w:val="18"/>
                      <w:szCs w:val="18"/>
                    </w:rPr>
                  </w:pPr>
                  <w:bookmarkStart w:id="29" w:name="_Hlk227660567"/>
                  <w:bookmarkStart w:id="30" w:name="OLE_LINK3" w:colFirst="0" w:colLast="0"/>
                  <w:bookmarkStart w:id="31" w:name="OLE_LINK4" w:colFirst="0" w:colLast="0"/>
                  <w:r>
                    <w:rPr>
                      <w:color w:val="000000"/>
                      <w:kern w:val="0"/>
                      <w:sz w:val="18"/>
                      <w:szCs w:val="18"/>
                      <w:lang w:bidi="ar"/>
                    </w:rPr>
                    <w:t>主体工程</w:t>
                  </w:r>
                </w:p>
              </w:tc>
              <w:tc>
                <w:tcPr>
                  <w:tcW w:w="1089" w:type="pct"/>
                  <w:gridSpan w:val="2"/>
                  <w:tcBorders>
                    <w:top w:val="single" w:color="auto" w:sz="4" w:space="0"/>
                    <w:left w:val="single" w:color="auto" w:sz="4" w:space="0"/>
                    <w:bottom w:val="single" w:color="auto" w:sz="4" w:space="0"/>
                    <w:right w:val="single" w:color="auto" w:sz="4" w:space="0"/>
                  </w:tcBorders>
                  <w:vAlign w:val="center"/>
                </w:tcPr>
                <w:p w14:paraId="5D7F88F9">
                  <w:pPr>
                    <w:widowControl/>
                    <w:spacing w:line="240" w:lineRule="auto"/>
                    <w:jc w:val="center"/>
                    <w:textAlignment w:val="center"/>
                    <w:rPr>
                      <w:color w:val="000000"/>
                      <w:sz w:val="18"/>
                      <w:szCs w:val="18"/>
                    </w:rPr>
                  </w:pPr>
                  <w:r>
                    <w:rPr>
                      <w:rFonts w:hint="eastAsia"/>
                      <w:color w:val="000000"/>
                      <w:sz w:val="18"/>
                      <w:szCs w:val="18"/>
                    </w:rPr>
                    <w:t>道路工程</w:t>
                  </w:r>
                </w:p>
              </w:tc>
              <w:tc>
                <w:tcPr>
                  <w:tcW w:w="3205" w:type="pct"/>
                  <w:tcBorders>
                    <w:top w:val="single" w:color="000000" w:sz="4" w:space="0"/>
                    <w:left w:val="single" w:color="auto" w:sz="4" w:space="0"/>
                    <w:bottom w:val="single" w:color="000000" w:sz="4" w:space="0"/>
                    <w:right w:val="single" w:color="auto" w:sz="12" w:space="0"/>
                  </w:tcBorders>
                  <w:vAlign w:val="center"/>
                </w:tcPr>
                <w:p w14:paraId="00B6A75B">
                  <w:pPr>
                    <w:widowControl/>
                    <w:spacing w:line="240" w:lineRule="auto"/>
                    <w:jc w:val="center"/>
                    <w:textAlignment w:val="center"/>
                    <w:rPr>
                      <w:color w:val="000000"/>
                      <w:sz w:val="18"/>
                      <w:szCs w:val="18"/>
                    </w:rPr>
                  </w:pPr>
                  <w:r>
                    <w:rPr>
                      <w:rFonts w:hint="eastAsia"/>
                      <w:color w:val="000000"/>
                      <w:sz w:val="18"/>
                      <w:szCs w:val="18"/>
                    </w:rPr>
                    <w:t>道路全长约</w:t>
                  </w:r>
                  <w:r>
                    <w:rPr>
                      <w:color w:val="000000"/>
                      <w:sz w:val="18"/>
                      <w:szCs w:val="18"/>
                    </w:rPr>
                    <w:t>868m，其中新建长度 853m</w:t>
                  </w:r>
                  <w:r>
                    <w:rPr>
                      <w:rFonts w:hint="eastAsia"/>
                      <w:color w:val="000000"/>
                      <w:sz w:val="18"/>
                      <w:szCs w:val="18"/>
                    </w:rPr>
                    <w:t>，标准段宽24m，城市次干路，双向四车道，设计车速40km/h。起于江东大道，止于河景路，沿线与向民路、向河路、向景路、向湖路等规划道路平面交叉；与江东大道、河景路现状道路平交（右进右出）。</w:t>
                  </w:r>
                </w:p>
              </w:tc>
            </w:tr>
            <w:tr w14:paraId="2414593D">
              <w:tblPrEx>
                <w:tblCellMar>
                  <w:top w:w="0" w:type="dxa"/>
                  <w:left w:w="108" w:type="dxa"/>
                  <w:bottom w:w="0" w:type="dxa"/>
                  <w:right w:w="108" w:type="dxa"/>
                </w:tblCellMar>
              </w:tblPrEx>
              <w:trPr>
                <w:gridAfter w:val="1"/>
                <w:wAfter w:w="17" w:type="pct"/>
                <w:trHeight w:val="340" w:hRule="atLeast"/>
                <w:jc w:val="center"/>
              </w:trPr>
              <w:tc>
                <w:tcPr>
                  <w:tcW w:w="689" w:type="pct"/>
                  <w:vMerge w:val="continue"/>
                  <w:tcBorders>
                    <w:left w:val="single" w:color="auto" w:sz="12" w:space="0"/>
                    <w:bottom w:val="single" w:color="000000" w:sz="4" w:space="0"/>
                    <w:right w:val="single" w:color="auto" w:sz="4" w:space="0"/>
                  </w:tcBorders>
                  <w:vAlign w:val="center"/>
                </w:tcPr>
                <w:p w14:paraId="5D2DC1D2">
                  <w:pPr>
                    <w:widowControl/>
                    <w:spacing w:line="240" w:lineRule="auto"/>
                    <w:jc w:val="center"/>
                    <w:textAlignment w:val="center"/>
                    <w:rPr>
                      <w:color w:val="000000"/>
                      <w:kern w:val="0"/>
                      <w:sz w:val="18"/>
                      <w:szCs w:val="18"/>
                      <w:lang w:bidi="ar"/>
                    </w:rPr>
                  </w:pPr>
                </w:p>
              </w:tc>
              <w:tc>
                <w:tcPr>
                  <w:tcW w:w="1089" w:type="pct"/>
                  <w:gridSpan w:val="2"/>
                  <w:tcBorders>
                    <w:top w:val="single" w:color="auto" w:sz="4" w:space="0"/>
                    <w:left w:val="single" w:color="auto" w:sz="4" w:space="0"/>
                    <w:bottom w:val="single" w:color="auto" w:sz="4" w:space="0"/>
                    <w:right w:val="single" w:color="auto" w:sz="4" w:space="0"/>
                  </w:tcBorders>
                  <w:vAlign w:val="center"/>
                </w:tcPr>
                <w:p w14:paraId="3F718B9A">
                  <w:pPr>
                    <w:widowControl/>
                    <w:spacing w:line="240" w:lineRule="auto"/>
                    <w:jc w:val="center"/>
                    <w:textAlignment w:val="center"/>
                    <w:rPr>
                      <w:color w:val="000000"/>
                      <w:kern w:val="0"/>
                      <w:sz w:val="18"/>
                      <w:szCs w:val="18"/>
                      <w:lang w:bidi="ar"/>
                    </w:rPr>
                  </w:pPr>
                  <w:r>
                    <w:rPr>
                      <w:rFonts w:hint="eastAsia"/>
                      <w:color w:val="000000"/>
                      <w:kern w:val="0"/>
                      <w:sz w:val="18"/>
                      <w:szCs w:val="18"/>
                      <w:lang w:bidi="ar"/>
                    </w:rPr>
                    <w:t>桥梁工程</w:t>
                  </w:r>
                </w:p>
              </w:tc>
              <w:tc>
                <w:tcPr>
                  <w:tcW w:w="3205" w:type="pct"/>
                  <w:tcBorders>
                    <w:top w:val="single" w:color="000000" w:sz="4" w:space="0"/>
                    <w:left w:val="single" w:color="auto" w:sz="4" w:space="0"/>
                    <w:bottom w:val="single" w:color="000000" w:sz="4" w:space="0"/>
                    <w:right w:val="single" w:color="auto" w:sz="12" w:space="0"/>
                  </w:tcBorders>
                  <w:vAlign w:val="center"/>
                </w:tcPr>
                <w:p w14:paraId="02056585">
                  <w:pPr>
                    <w:widowControl/>
                    <w:spacing w:line="240" w:lineRule="auto"/>
                    <w:jc w:val="center"/>
                    <w:textAlignment w:val="center"/>
                    <w:rPr>
                      <w:color w:val="000000"/>
                      <w:kern w:val="0"/>
                      <w:sz w:val="18"/>
                      <w:szCs w:val="18"/>
                      <w:lang w:bidi="ar"/>
                    </w:rPr>
                  </w:pPr>
                  <w:r>
                    <w:rPr>
                      <w:rFonts w:hint="eastAsia"/>
                      <w:color w:val="000000"/>
                      <w:kern w:val="0"/>
                      <w:sz w:val="18"/>
                      <w:szCs w:val="18"/>
                      <w:lang w:bidi="ar"/>
                    </w:rPr>
                    <w:t>新建1座跨河庄横河中桥（K0+354.985），</w:t>
                  </w:r>
                  <w:commentRangeStart w:id="23"/>
                  <w:commentRangeStart w:id="24"/>
                  <w:r>
                    <w:rPr>
                      <w:rFonts w:hint="eastAsia"/>
                      <w:color w:val="000000"/>
                      <w:kern w:val="0"/>
                      <w:sz w:val="18"/>
                      <w:szCs w:val="18"/>
                      <w:lang w:bidi="ar"/>
                    </w:rPr>
                    <w:t>桥梁全长约55m，桥宽27m,占地</w:t>
                  </w:r>
                  <w:r>
                    <w:rPr>
                      <w:color w:val="000000"/>
                      <w:kern w:val="0"/>
                      <w:sz w:val="18"/>
                      <w:szCs w:val="18"/>
                      <w:lang w:bidi="ar"/>
                    </w:rPr>
                    <w:t>1144.80</w:t>
                  </w:r>
                  <w:r>
                    <w:rPr>
                      <w:rFonts w:hint="eastAsia"/>
                      <w:color w:val="000000"/>
                      <w:kern w:val="0"/>
                      <w:sz w:val="18"/>
                      <w:szCs w:val="18"/>
                      <w:lang w:bidi="ar"/>
                    </w:rPr>
                    <w:t>m</w:t>
                  </w:r>
                  <w:r>
                    <w:rPr>
                      <w:rFonts w:hint="eastAsia"/>
                      <w:color w:val="000000"/>
                      <w:kern w:val="0"/>
                      <w:sz w:val="18"/>
                      <w:szCs w:val="18"/>
                      <w:vertAlign w:val="superscript"/>
                      <w:lang w:bidi="ar"/>
                    </w:rPr>
                    <w:t>2</w:t>
                  </w:r>
                  <w:r>
                    <w:rPr>
                      <w:rFonts w:hint="eastAsia"/>
                      <w:color w:val="000000"/>
                      <w:kern w:val="0"/>
                      <w:sz w:val="18"/>
                      <w:szCs w:val="18"/>
                      <w:lang w:bidi="ar"/>
                    </w:rPr>
                    <w:t>，采用钢混组合梁/预应力小箱梁结构</w:t>
                  </w:r>
                  <w:commentRangeEnd w:id="23"/>
                  <w:r>
                    <w:rPr>
                      <w:rStyle w:val="38"/>
                      <w:rFonts w:hint="eastAsia"/>
                      <w:color w:val="000000"/>
                      <w:kern w:val="0"/>
                      <w:sz w:val="18"/>
                      <w:szCs w:val="18"/>
                      <w:lang w:bidi="ar"/>
                    </w:rPr>
                    <w:commentReference w:id="23"/>
                  </w:r>
                  <w:commentRangeEnd w:id="24"/>
                  <w:r>
                    <w:rPr>
                      <w:rStyle w:val="38"/>
                      <w:rFonts w:hint="eastAsia"/>
                      <w:color w:val="000000"/>
                      <w:kern w:val="0"/>
                      <w:sz w:val="18"/>
                      <w:szCs w:val="18"/>
                      <w:lang w:bidi="ar"/>
                    </w:rPr>
                    <w:commentReference w:id="24"/>
                  </w:r>
                  <w:r>
                    <w:rPr>
                      <w:rFonts w:hint="eastAsia"/>
                      <w:color w:val="000000"/>
                      <w:kern w:val="0"/>
                      <w:sz w:val="18"/>
                      <w:szCs w:val="18"/>
                      <w:lang w:bidi="ar"/>
                    </w:rPr>
                    <w:t>，一跨跨越河庄横河，不设水中桥墩。</w:t>
                  </w:r>
                </w:p>
              </w:tc>
            </w:tr>
            <w:tr w14:paraId="0194E9AD">
              <w:tblPrEx>
                <w:tblCellMar>
                  <w:top w:w="0" w:type="dxa"/>
                  <w:left w:w="108" w:type="dxa"/>
                  <w:bottom w:w="0" w:type="dxa"/>
                  <w:right w:w="108" w:type="dxa"/>
                </w:tblCellMar>
              </w:tblPrEx>
              <w:trPr>
                <w:gridAfter w:val="1"/>
                <w:wAfter w:w="17" w:type="pct"/>
                <w:trHeight w:val="340" w:hRule="atLeast"/>
                <w:jc w:val="center"/>
              </w:trPr>
              <w:tc>
                <w:tcPr>
                  <w:tcW w:w="689" w:type="pct"/>
                  <w:vMerge w:val="restart"/>
                  <w:tcBorders>
                    <w:top w:val="single" w:color="000000" w:sz="4" w:space="0"/>
                    <w:left w:val="single" w:color="auto" w:sz="12" w:space="0"/>
                    <w:right w:val="single" w:color="auto" w:sz="4" w:space="0"/>
                  </w:tcBorders>
                  <w:vAlign w:val="center"/>
                </w:tcPr>
                <w:p w14:paraId="3BB03C4D">
                  <w:pPr>
                    <w:widowControl/>
                    <w:spacing w:line="240" w:lineRule="auto"/>
                    <w:jc w:val="center"/>
                    <w:textAlignment w:val="center"/>
                    <w:rPr>
                      <w:color w:val="000000"/>
                      <w:sz w:val="18"/>
                      <w:szCs w:val="18"/>
                    </w:rPr>
                  </w:pPr>
                  <w:r>
                    <w:rPr>
                      <w:color w:val="000000"/>
                      <w:kern w:val="0"/>
                      <w:sz w:val="18"/>
                      <w:szCs w:val="18"/>
                      <w:lang w:bidi="ar"/>
                    </w:rPr>
                    <w:t>辅助工程</w:t>
                  </w:r>
                </w:p>
              </w:tc>
              <w:tc>
                <w:tcPr>
                  <w:tcW w:w="1089" w:type="pct"/>
                  <w:gridSpan w:val="2"/>
                  <w:tcBorders>
                    <w:top w:val="single" w:color="auto" w:sz="4" w:space="0"/>
                    <w:left w:val="single" w:color="auto" w:sz="4" w:space="0"/>
                    <w:bottom w:val="single" w:color="auto" w:sz="4" w:space="0"/>
                    <w:right w:val="single" w:color="auto" w:sz="4" w:space="0"/>
                  </w:tcBorders>
                  <w:vAlign w:val="center"/>
                </w:tcPr>
                <w:p w14:paraId="730616DC">
                  <w:pPr>
                    <w:widowControl/>
                    <w:spacing w:line="240" w:lineRule="auto"/>
                    <w:jc w:val="center"/>
                    <w:textAlignment w:val="center"/>
                    <w:rPr>
                      <w:color w:val="000000"/>
                      <w:sz w:val="18"/>
                      <w:szCs w:val="18"/>
                    </w:rPr>
                  </w:pPr>
                  <w:r>
                    <w:rPr>
                      <w:rFonts w:hint="eastAsia"/>
                      <w:color w:val="000000"/>
                      <w:sz w:val="18"/>
                      <w:szCs w:val="18"/>
                    </w:rPr>
                    <w:t>附属交通工程</w:t>
                  </w:r>
                </w:p>
              </w:tc>
              <w:tc>
                <w:tcPr>
                  <w:tcW w:w="3205" w:type="pct"/>
                  <w:tcBorders>
                    <w:top w:val="single" w:color="000000" w:sz="4" w:space="0"/>
                    <w:left w:val="single" w:color="auto" w:sz="4" w:space="0"/>
                    <w:bottom w:val="single" w:color="000000" w:sz="4" w:space="0"/>
                    <w:right w:val="single" w:color="auto" w:sz="12" w:space="0"/>
                  </w:tcBorders>
                  <w:vAlign w:val="center"/>
                </w:tcPr>
                <w:p w14:paraId="4BA7DB4D">
                  <w:pPr>
                    <w:widowControl/>
                    <w:spacing w:line="240" w:lineRule="auto"/>
                    <w:jc w:val="center"/>
                    <w:rPr>
                      <w:color w:val="000000"/>
                      <w:sz w:val="18"/>
                      <w:szCs w:val="18"/>
                    </w:rPr>
                  </w:pPr>
                  <w:r>
                    <w:rPr>
                      <w:rFonts w:hint="eastAsia"/>
                      <w:color w:val="000000"/>
                      <w:sz w:val="18"/>
                      <w:szCs w:val="18"/>
                    </w:rPr>
                    <w:t>包括交通标志、标线、护栏、信号灯、监控设施（含电子警察）及智能交通系统等。</w:t>
                  </w:r>
                </w:p>
              </w:tc>
            </w:tr>
            <w:tr w14:paraId="73B163B4">
              <w:tblPrEx>
                <w:tblCellMar>
                  <w:top w:w="0" w:type="dxa"/>
                  <w:left w:w="108" w:type="dxa"/>
                  <w:bottom w:w="0" w:type="dxa"/>
                  <w:right w:w="108" w:type="dxa"/>
                </w:tblCellMar>
              </w:tblPrEx>
              <w:trPr>
                <w:gridAfter w:val="1"/>
                <w:wAfter w:w="17" w:type="pct"/>
                <w:trHeight w:val="340" w:hRule="atLeast"/>
                <w:jc w:val="center"/>
              </w:trPr>
              <w:tc>
                <w:tcPr>
                  <w:tcW w:w="689" w:type="pct"/>
                  <w:vMerge w:val="continue"/>
                  <w:tcBorders>
                    <w:top w:val="single" w:color="000000" w:sz="4" w:space="0"/>
                    <w:left w:val="single" w:color="auto" w:sz="12" w:space="0"/>
                    <w:right w:val="single" w:color="auto" w:sz="4" w:space="0"/>
                  </w:tcBorders>
                  <w:vAlign w:val="center"/>
                </w:tcPr>
                <w:p w14:paraId="48D53703">
                  <w:pPr>
                    <w:widowControl/>
                    <w:spacing w:line="240" w:lineRule="auto"/>
                    <w:jc w:val="center"/>
                    <w:textAlignment w:val="center"/>
                    <w:rPr>
                      <w:color w:val="000000"/>
                      <w:kern w:val="0"/>
                      <w:sz w:val="18"/>
                      <w:szCs w:val="18"/>
                      <w:lang w:bidi="ar"/>
                    </w:rPr>
                  </w:pPr>
                </w:p>
              </w:tc>
              <w:tc>
                <w:tcPr>
                  <w:tcW w:w="1089" w:type="pct"/>
                  <w:gridSpan w:val="2"/>
                  <w:tcBorders>
                    <w:top w:val="single" w:color="auto" w:sz="4" w:space="0"/>
                    <w:left w:val="single" w:color="auto" w:sz="4" w:space="0"/>
                    <w:bottom w:val="single" w:color="auto" w:sz="4" w:space="0"/>
                    <w:right w:val="single" w:color="auto" w:sz="4" w:space="0"/>
                  </w:tcBorders>
                  <w:vAlign w:val="center"/>
                </w:tcPr>
                <w:p w14:paraId="36AC4B87">
                  <w:pPr>
                    <w:widowControl/>
                    <w:spacing w:line="240" w:lineRule="auto"/>
                    <w:jc w:val="center"/>
                    <w:textAlignment w:val="center"/>
                    <w:rPr>
                      <w:color w:val="000000"/>
                      <w:sz w:val="18"/>
                      <w:szCs w:val="18"/>
                    </w:rPr>
                  </w:pPr>
                  <w:r>
                    <w:rPr>
                      <w:rFonts w:hint="eastAsia"/>
                      <w:color w:val="000000"/>
                      <w:sz w:val="18"/>
                      <w:szCs w:val="18"/>
                    </w:rPr>
                    <w:t>管线工程</w:t>
                  </w:r>
                </w:p>
              </w:tc>
              <w:tc>
                <w:tcPr>
                  <w:tcW w:w="3205" w:type="pct"/>
                  <w:tcBorders>
                    <w:top w:val="single" w:color="000000" w:sz="4" w:space="0"/>
                    <w:left w:val="single" w:color="auto" w:sz="4" w:space="0"/>
                    <w:bottom w:val="single" w:color="000000" w:sz="4" w:space="0"/>
                    <w:right w:val="single" w:color="auto" w:sz="12" w:space="0"/>
                  </w:tcBorders>
                  <w:vAlign w:val="center"/>
                </w:tcPr>
                <w:p w14:paraId="0ADA4C65">
                  <w:pPr>
                    <w:widowControl/>
                    <w:spacing w:line="240" w:lineRule="auto"/>
                    <w:jc w:val="center"/>
                    <w:rPr>
                      <w:color w:val="000000"/>
                      <w:sz w:val="18"/>
                      <w:szCs w:val="18"/>
                    </w:rPr>
                  </w:pPr>
                  <w:r>
                    <w:rPr>
                      <w:rFonts w:hint="eastAsia"/>
                      <w:color w:val="000000"/>
                      <w:sz w:val="18"/>
                      <w:szCs w:val="18"/>
                    </w:rPr>
                    <w:t>新建雨水管（d600-d1500）、污水管（DN400）、给水管、电力管沟、通信管沟及燃气管位预留等。</w:t>
                  </w:r>
                </w:p>
              </w:tc>
            </w:tr>
            <w:tr w14:paraId="4B08BC59">
              <w:tblPrEx>
                <w:tblCellMar>
                  <w:top w:w="0" w:type="dxa"/>
                  <w:left w:w="108" w:type="dxa"/>
                  <w:bottom w:w="0" w:type="dxa"/>
                  <w:right w:w="108" w:type="dxa"/>
                </w:tblCellMar>
              </w:tblPrEx>
              <w:trPr>
                <w:gridAfter w:val="1"/>
                <w:wAfter w:w="17" w:type="pct"/>
                <w:trHeight w:val="340" w:hRule="atLeast"/>
                <w:jc w:val="center"/>
              </w:trPr>
              <w:tc>
                <w:tcPr>
                  <w:tcW w:w="689" w:type="pct"/>
                  <w:vMerge w:val="continue"/>
                  <w:tcBorders>
                    <w:top w:val="single" w:color="000000" w:sz="4" w:space="0"/>
                    <w:left w:val="single" w:color="auto" w:sz="12" w:space="0"/>
                    <w:right w:val="single" w:color="auto" w:sz="4" w:space="0"/>
                  </w:tcBorders>
                  <w:vAlign w:val="center"/>
                </w:tcPr>
                <w:p w14:paraId="774AE640">
                  <w:pPr>
                    <w:widowControl/>
                    <w:spacing w:line="240" w:lineRule="auto"/>
                    <w:jc w:val="center"/>
                    <w:textAlignment w:val="center"/>
                    <w:rPr>
                      <w:color w:val="000000"/>
                      <w:kern w:val="0"/>
                      <w:sz w:val="18"/>
                      <w:szCs w:val="18"/>
                      <w:lang w:bidi="ar"/>
                    </w:rPr>
                  </w:pPr>
                </w:p>
              </w:tc>
              <w:tc>
                <w:tcPr>
                  <w:tcW w:w="1089" w:type="pct"/>
                  <w:gridSpan w:val="2"/>
                  <w:tcBorders>
                    <w:top w:val="single" w:color="auto" w:sz="4" w:space="0"/>
                    <w:left w:val="single" w:color="auto" w:sz="4" w:space="0"/>
                    <w:bottom w:val="single" w:color="auto" w:sz="4" w:space="0"/>
                    <w:right w:val="single" w:color="auto" w:sz="4" w:space="0"/>
                  </w:tcBorders>
                  <w:vAlign w:val="center"/>
                </w:tcPr>
                <w:p w14:paraId="0F701AD1">
                  <w:pPr>
                    <w:widowControl/>
                    <w:spacing w:line="240" w:lineRule="auto"/>
                    <w:jc w:val="center"/>
                    <w:textAlignment w:val="center"/>
                    <w:rPr>
                      <w:color w:val="000000"/>
                      <w:sz w:val="18"/>
                      <w:szCs w:val="18"/>
                    </w:rPr>
                  </w:pPr>
                  <w:r>
                    <w:rPr>
                      <w:rFonts w:hint="eastAsia"/>
                      <w:color w:val="000000"/>
                      <w:sz w:val="18"/>
                      <w:szCs w:val="18"/>
                    </w:rPr>
                    <w:t>照明工程</w:t>
                  </w:r>
                </w:p>
              </w:tc>
              <w:tc>
                <w:tcPr>
                  <w:tcW w:w="3205" w:type="pct"/>
                  <w:tcBorders>
                    <w:top w:val="single" w:color="000000" w:sz="4" w:space="0"/>
                    <w:left w:val="single" w:color="auto" w:sz="4" w:space="0"/>
                    <w:bottom w:val="single" w:color="000000" w:sz="4" w:space="0"/>
                    <w:right w:val="single" w:color="auto" w:sz="12" w:space="0"/>
                  </w:tcBorders>
                  <w:vAlign w:val="center"/>
                </w:tcPr>
                <w:p w14:paraId="5AC17740">
                  <w:pPr>
                    <w:widowControl/>
                    <w:spacing w:line="240" w:lineRule="auto"/>
                    <w:jc w:val="center"/>
                    <w:rPr>
                      <w:color w:val="000000"/>
                      <w:sz w:val="18"/>
                      <w:szCs w:val="18"/>
                    </w:rPr>
                  </w:pPr>
                  <w:r>
                    <w:rPr>
                      <w:rFonts w:hint="eastAsia"/>
                      <w:color w:val="000000"/>
                      <w:sz w:val="18"/>
                      <w:szCs w:val="18"/>
                    </w:rPr>
                    <w:t>道路两侧对称布置LED路灯（10m/8m杆高），并配套智能控制系统，共54座。</w:t>
                  </w:r>
                </w:p>
              </w:tc>
            </w:tr>
            <w:tr w14:paraId="6017C0DD">
              <w:tblPrEx>
                <w:tblCellMar>
                  <w:top w:w="0" w:type="dxa"/>
                  <w:left w:w="108" w:type="dxa"/>
                  <w:bottom w:w="0" w:type="dxa"/>
                  <w:right w:w="108" w:type="dxa"/>
                </w:tblCellMar>
              </w:tblPrEx>
              <w:trPr>
                <w:gridAfter w:val="1"/>
                <w:wAfter w:w="17" w:type="pct"/>
                <w:trHeight w:val="340" w:hRule="atLeast"/>
                <w:jc w:val="center"/>
              </w:trPr>
              <w:tc>
                <w:tcPr>
                  <w:tcW w:w="689" w:type="pct"/>
                  <w:vMerge w:val="continue"/>
                  <w:tcBorders>
                    <w:top w:val="single" w:color="000000" w:sz="4" w:space="0"/>
                    <w:left w:val="single" w:color="auto" w:sz="12" w:space="0"/>
                    <w:right w:val="single" w:color="auto" w:sz="4" w:space="0"/>
                  </w:tcBorders>
                  <w:vAlign w:val="center"/>
                </w:tcPr>
                <w:p w14:paraId="292E83F7">
                  <w:pPr>
                    <w:widowControl/>
                    <w:spacing w:line="240" w:lineRule="auto"/>
                    <w:jc w:val="center"/>
                    <w:textAlignment w:val="center"/>
                    <w:rPr>
                      <w:color w:val="000000"/>
                      <w:kern w:val="0"/>
                      <w:sz w:val="18"/>
                      <w:szCs w:val="18"/>
                      <w:lang w:bidi="ar"/>
                    </w:rPr>
                  </w:pPr>
                </w:p>
              </w:tc>
              <w:tc>
                <w:tcPr>
                  <w:tcW w:w="1089" w:type="pct"/>
                  <w:gridSpan w:val="2"/>
                  <w:tcBorders>
                    <w:top w:val="single" w:color="auto" w:sz="4" w:space="0"/>
                    <w:left w:val="single" w:color="auto" w:sz="4" w:space="0"/>
                    <w:bottom w:val="single" w:color="auto" w:sz="4" w:space="0"/>
                    <w:right w:val="single" w:color="auto" w:sz="4" w:space="0"/>
                  </w:tcBorders>
                  <w:vAlign w:val="center"/>
                </w:tcPr>
                <w:p w14:paraId="78896834">
                  <w:pPr>
                    <w:widowControl/>
                    <w:spacing w:line="240" w:lineRule="auto"/>
                    <w:jc w:val="center"/>
                    <w:textAlignment w:val="center"/>
                    <w:rPr>
                      <w:color w:val="000000"/>
                      <w:sz w:val="18"/>
                      <w:szCs w:val="18"/>
                    </w:rPr>
                  </w:pPr>
                  <w:r>
                    <w:rPr>
                      <w:rFonts w:hint="eastAsia"/>
                      <w:color w:val="000000"/>
                      <w:sz w:val="18"/>
                      <w:szCs w:val="18"/>
                    </w:rPr>
                    <w:t>道路景观绿化工程</w:t>
                  </w:r>
                </w:p>
              </w:tc>
              <w:tc>
                <w:tcPr>
                  <w:tcW w:w="3205" w:type="pct"/>
                  <w:tcBorders>
                    <w:top w:val="single" w:color="000000" w:sz="4" w:space="0"/>
                    <w:left w:val="single" w:color="auto" w:sz="4" w:space="0"/>
                    <w:bottom w:val="single" w:color="000000" w:sz="4" w:space="0"/>
                    <w:right w:val="single" w:color="auto" w:sz="12" w:space="0"/>
                  </w:tcBorders>
                  <w:vAlign w:val="center"/>
                </w:tcPr>
                <w:p w14:paraId="4A6F8C0D">
                  <w:pPr>
                    <w:widowControl/>
                    <w:spacing w:line="240" w:lineRule="auto"/>
                    <w:jc w:val="center"/>
                    <w:rPr>
                      <w:color w:val="000000"/>
                      <w:sz w:val="18"/>
                      <w:szCs w:val="18"/>
                    </w:rPr>
                  </w:pPr>
                  <w:r>
                    <w:rPr>
                      <w:rFonts w:hint="eastAsia"/>
                      <w:color w:val="000000"/>
                      <w:sz w:val="18"/>
                      <w:szCs w:val="18"/>
                    </w:rPr>
                    <w:t>包括行道树、侧分带绿化及道路附属绿化以及道路周边公共座</w:t>
                  </w:r>
                </w:p>
                <w:p w14:paraId="345C9DA0">
                  <w:pPr>
                    <w:widowControl/>
                    <w:spacing w:line="240" w:lineRule="auto"/>
                    <w:jc w:val="center"/>
                    <w:rPr>
                      <w:color w:val="000000"/>
                      <w:sz w:val="18"/>
                      <w:szCs w:val="18"/>
                    </w:rPr>
                  </w:pPr>
                  <w:r>
                    <w:rPr>
                      <w:rFonts w:hint="eastAsia"/>
                      <w:color w:val="000000"/>
                      <w:sz w:val="18"/>
                      <w:szCs w:val="18"/>
                    </w:rPr>
                    <w:t>椅、垃圾桶、移动花箱、非机动车停车架等各类城市家具设施。</w:t>
                  </w:r>
                </w:p>
              </w:tc>
            </w:tr>
            <w:tr w14:paraId="3A7B99FA">
              <w:tblPrEx>
                <w:tblCellMar>
                  <w:top w:w="0" w:type="dxa"/>
                  <w:left w:w="108" w:type="dxa"/>
                  <w:bottom w:w="0" w:type="dxa"/>
                  <w:right w:w="108" w:type="dxa"/>
                </w:tblCellMar>
              </w:tblPrEx>
              <w:trPr>
                <w:gridAfter w:val="1"/>
                <w:wAfter w:w="17" w:type="pct"/>
                <w:trHeight w:val="340" w:hRule="atLeast"/>
                <w:jc w:val="center"/>
              </w:trPr>
              <w:tc>
                <w:tcPr>
                  <w:tcW w:w="689" w:type="pct"/>
                  <w:vMerge w:val="continue"/>
                  <w:tcBorders>
                    <w:left w:val="single" w:color="auto" w:sz="12" w:space="0"/>
                    <w:bottom w:val="single" w:color="000000" w:sz="4" w:space="0"/>
                    <w:right w:val="single" w:color="auto" w:sz="4" w:space="0"/>
                  </w:tcBorders>
                  <w:vAlign w:val="center"/>
                </w:tcPr>
                <w:p w14:paraId="0A4ED1E7">
                  <w:pPr>
                    <w:widowControl/>
                    <w:spacing w:line="240" w:lineRule="auto"/>
                    <w:jc w:val="center"/>
                    <w:textAlignment w:val="center"/>
                    <w:rPr>
                      <w:color w:val="000000"/>
                      <w:kern w:val="0"/>
                      <w:sz w:val="18"/>
                      <w:szCs w:val="18"/>
                      <w:lang w:bidi="ar"/>
                    </w:rPr>
                  </w:pPr>
                </w:p>
              </w:tc>
              <w:tc>
                <w:tcPr>
                  <w:tcW w:w="1089" w:type="pct"/>
                  <w:gridSpan w:val="2"/>
                  <w:tcBorders>
                    <w:top w:val="single" w:color="auto" w:sz="4" w:space="0"/>
                    <w:left w:val="single" w:color="auto" w:sz="4" w:space="0"/>
                    <w:bottom w:val="single" w:color="auto" w:sz="4" w:space="0"/>
                    <w:right w:val="single" w:color="auto" w:sz="4" w:space="0"/>
                  </w:tcBorders>
                  <w:vAlign w:val="center"/>
                </w:tcPr>
                <w:p w14:paraId="0CD748D0">
                  <w:pPr>
                    <w:widowControl/>
                    <w:spacing w:line="240" w:lineRule="auto"/>
                    <w:jc w:val="center"/>
                    <w:textAlignment w:val="center"/>
                    <w:rPr>
                      <w:color w:val="000000"/>
                      <w:sz w:val="18"/>
                      <w:szCs w:val="18"/>
                    </w:rPr>
                  </w:pPr>
                  <w:r>
                    <w:rPr>
                      <w:rFonts w:hint="eastAsia"/>
                      <w:color w:val="000000"/>
                      <w:sz w:val="18"/>
                      <w:szCs w:val="18"/>
                    </w:rPr>
                    <w:t>海绵城市工程</w:t>
                  </w:r>
                </w:p>
              </w:tc>
              <w:tc>
                <w:tcPr>
                  <w:tcW w:w="3205" w:type="pct"/>
                  <w:tcBorders>
                    <w:top w:val="single" w:color="000000" w:sz="4" w:space="0"/>
                    <w:left w:val="single" w:color="auto" w:sz="4" w:space="0"/>
                    <w:bottom w:val="single" w:color="000000" w:sz="4" w:space="0"/>
                    <w:right w:val="single" w:color="auto" w:sz="12" w:space="0"/>
                  </w:tcBorders>
                  <w:vAlign w:val="center"/>
                </w:tcPr>
                <w:p w14:paraId="3A110863">
                  <w:pPr>
                    <w:widowControl/>
                    <w:spacing w:line="240" w:lineRule="auto"/>
                    <w:jc w:val="center"/>
                    <w:rPr>
                      <w:color w:val="000000"/>
                      <w:sz w:val="18"/>
                      <w:szCs w:val="18"/>
                    </w:rPr>
                  </w:pPr>
                  <w:r>
                    <w:rPr>
                      <w:rFonts w:hint="eastAsia"/>
                      <w:color w:val="000000"/>
                      <w:sz w:val="18"/>
                      <w:szCs w:val="18"/>
                    </w:rPr>
                    <w:t>人行道采用透水铺装（透水砖+透水混凝土+碎石），结合碎石盲沟和透水管实现雨水渗、滞、净、排。</w:t>
                  </w:r>
                </w:p>
              </w:tc>
            </w:tr>
            <w:bookmarkEnd w:id="29"/>
            <w:bookmarkEnd w:id="30"/>
            <w:bookmarkEnd w:id="31"/>
            <w:tr w14:paraId="74DC5B00">
              <w:tblPrEx>
                <w:tblCellMar>
                  <w:top w:w="0" w:type="dxa"/>
                  <w:left w:w="108" w:type="dxa"/>
                  <w:bottom w:w="0" w:type="dxa"/>
                  <w:right w:w="108" w:type="dxa"/>
                </w:tblCellMar>
              </w:tblPrEx>
              <w:trPr>
                <w:trHeight w:val="340" w:hRule="atLeast"/>
                <w:jc w:val="center"/>
              </w:trPr>
              <w:tc>
                <w:tcPr>
                  <w:tcW w:w="689" w:type="pct"/>
                  <w:vMerge w:val="restart"/>
                  <w:tcBorders>
                    <w:top w:val="single" w:color="000000" w:sz="4" w:space="0"/>
                    <w:left w:val="single" w:color="auto" w:sz="12" w:space="0"/>
                    <w:right w:val="single" w:color="auto" w:sz="4" w:space="0"/>
                  </w:tcBorders>
                  <w:vAlign w:val="center"/>
                </w:tcPr>
                <w:p w14:paraId="32CEE7C2">
                  <w:pPr>
                    <w:widowControl/>
                    <w:spacing w:line="240" w:lineRule="auto"/>
                    <w:jc w:val="center"/>
                    <w:textAlignment w:val="center"/>
                    <w:rPr>
                      <w:color w:val="000000"/>
                      <w:sz w:val="18"/>
                      <w:szCs w:val="18"/>
                      <w:highlight w:val="yellow"/>
                    </w:rPr>
                  </w:pPr>
                  <w:r>
                    <w:rPr>
                      <w:rFonts w:hint="eastAsia"/>
                      <w:color w:val="000000"/>
                      <w:sz w:val="18"/>
                      <w:szCs w:val="18"/>
                    </w:rPr>
                    <w:t>环保工程</w:t>
                  </w:r>
                </w:p>
              </w:tc>
              <w:tc>
                <w:tcPr>
                  <w:tcW w:w="373" w:type="pct"/>
                  <w:vMerge w:val="restart"/>
                  <w:tcBorders>
                    <w:top w:val="single" w:color="auto" w:sz="4" w:space="0"/>
                    <w:left w:val="single" w:color="auto" w:sz="4" w:space="0"/>
                    <w:right w:val="single" w:color="auto" w:sz="4" w:space="0"/>
                  </w:tcBorders>
                  <w:vAlign w:val="center"/>
                </w:tcPr>
                <w:p w14:paraId="469DD272">
                  <w:pPr>
                    <w:widowControl/>
                    <w:spacing w:line="240" w:lineRule="auto"/>
                    <w:jc w:val="center"/>
                    <w:textAlignment w:val="center"/>
                    <w:rPr>
                      <w:color w:val="000000"/>
                      <w:sz w:val="18"/>
                      <w:szCs w:val="18"/>
                    </w:rPr>
                  </w:pPr>
                  <w:r>
                    <w:rPr>
                      <w:rFonts w:hint="eastAsia"/>
                      <w:color w:val="000000"/>
                      <w:sz w:val="18"/>
                      <w:szCs w:val="18"/>
                    </w:rPr>
                    <w:t>施工期</w:t>
                  </w:r>
                </w:p>
              </w:tc>
              <w:tc>
                <w:tcPr>
                  <w:tcW w:w="716" w:type="pct"/>
                  <w:tcBorders>
                    <w:top w:val="single" w:color="auto" w:sz="4" w:space="0"/>
                    <w:left w:val="single" w:color="auto" w:sz="4" w:space="0"/>
                    <w:bottom w:val="single" w:color="auto" w:sz="4" w:space="0"/>
                    <w:right w:val="single" w:color="auto" w:sz="4" w:space="0"/>
                  </w:tcBorders>
                  <w:vAlign w:val="center"/>
                </w:tcPr>
                <w:p w14:paraId="2F9F3881">
                  <w:pPr>
                    <w:widowControl/>
                    <w:spacing w:line="240" w:lineRule="auto"/>
                    <w:jc w:val="center"/>
                    <w:textAlignment w:val="center"/>
                    <w:rPr>
                      <w:color w:val="000000"/>
                      <w:sz w:val="18"/>
                      <w:szCs w:val="18"/>
                      <w:highlight w:val="yellow"/>
                    </w:rPr>
                  </w:pPr>
                  <w:r>
                    <w:rPr>
                      <w:rFonts w:hint="eastAsia"/>
                      <w:color w:val="000000"/>
                      <w:sz w:val="18"/>
                      <w:szCs w:val="18"/>
                    </w:rPr>
                    <w:t>生态保护与水土保持</w:t>
                  </w:r>
                </w:p>
              </w:tc>
              <w:tc>
                <w:tcPr>
                  <w:tcW w:w="3222" w:type="pct"/>
                  <w:gridSpan w:val="2"/>
                  <w:tcBorders>
                    <w:top w:val="single" w:color="000000" w:sz="4" w:space="0"/>
                    <w:left w:val="single" w:color="auto" w:sz="4" w:space="0"/>
                    <w:bottom w:val="single" w:color="000000" w:sz="4" w:space="0"/>
                    <w:right w:val="single" w:color="auto" w:sz="12" w:space="0"/>
                  </w:tcBorders>
                  <w:vAlign w:val="center"/>
                </w:tcPr>
                <w:p w14:paraId="0A478595">
                  <w:pPr>
                    <w:widowControl/>
                    <w:spacing w:line="240" w:lineRule="auto"/>
                    <w:jc w:val="center"/>
                    <w:textAlignment w:val="center"/>
                    <w:rPr>
                      <w:color w:val="000000"/>
                      <w:sz w:val="18"/>
                      <w:szCs w:val="18"/>
                      <w:highlight w:val="yellow"/>
                    </w:rPr>
                  </w:pPr>
                  <w:r>
                    <w:rPr>
                      <w:rFonts w:hint="eastAsia"/>
                      <w:color w:val="000000"/>
                      <w:sz w:val="18"/>
                      <w:szCs w:val="18"/>
                    </w:rPr>
                    <w:t>施工期临时设置排水沟</w:t>
                  </w:r>
                </w:p>
              </w:tc>
            </w:tr>
            <w:tr w14:paraId="0626CDFE">
              <w:tblPrEx>
                <w:tblCellMar>
                  <w:top w:w="0" w:type="dxa"/>
                  <w:left w:w="108" w:type="dxa"/>
                  <w:bottom w:w="0" w:type="dxa"/>
                  <w:right w:w="108" w:type="dxa"/>
                </w:tblCellMar>
              </w:tblPrEx>
              <w:trPr>
                <w:trHeight w:val="340" w:hRule="atLeast"/>
                <w:jc w:val="center"/>
              </w:trPr>
              <w:tc>
                <w:tcPr>
                  <w:tcW w:w="689" w:type="pct"/>
                  <w:vMerge w:val="continue"/>
                  <w:tcBorders>
                    <w:left w:val="single" w:color="auto" w:sz="12" w:space="0"/>
                    <w:right w:val="single" w:color="auto" w:sz="4" w:space="0"/>
                  </w:tcBorders>
                  <w:vAlign w:val="center"/>
                </w:tcPr>
                <w:p w14:paraId="449BFFD8">
                  <w:pPr>
                    <w:widowControl/>
                    <w:spacing w:line="240" w:lineRule="auto"/>
                    <w:jc w:val="center"/>
                    <w:rPr>
                      <w:color w:val="000000"/>
                      <w:sz w:val="18"/>
                      <w:szCs w:val="18"/>
                      <w:highlight w:val="yellow"/>
                    </w:rPr>
                  </w:pPr>
                </w:p>
              </w:tc>
              <w:tc>
                <w:tcPr>
                  <w:tcW w:w="373" w:type="pct"/>
                  <w:vMerge w:val="continue"/>
                  <w:tcBorders>
                    <w:left w:val="single" w:color="auto" w:sz="4" w:space="0"/>
                    <w:right w:val="single" w:color="auto" w:sz="4" w:space="0"/>
                  </w:tcBorders>
                  <w:vAlign w:val="center"/>
                </w:tcPr>
                <w:p w14:paraId="2FB2CA3A">
                  <w:pPr>
                    <w:widowControl/>
                    <w:spacing w:line="240" w:lineRule="auto"/>
                    <w:jc w:val="center"/>
                    <w:textAlignment w:val="center"/>
                    <w:rPr>
                      <w:color w:val="000000"/>
                      <w:sz w:val="18"/>
                      <w:szCs w:val="18"/>
                    </w:rPr>
                  </w:pPr>
                </w:p>
              </w:tc>
              <w:tc>
                <w:tcPr>
                  <w:tcW w:w="716" w:type="pct"/>
                  <w:tcBorders>
                    <w:top w:val="single" w:color="auto" w:sz="4" w:space="0"/>
                    <w:left w:val="single" w:color="auto" w:sz="4" w:space="0"/>
                    <w:bottom w:val="single" w:color="auto" w:sz="4" w:space="0"/>
                    <w:right w:val="single" w:color="auto" w:sz="4" w:space="0"/>
                  </w:tcBorders>
                  <w:vAlign w:val="center"/>
                </w:tcPr>
                <w:p w14:paraId="7904D4DB">
                  <w:pPr>
                    <w:widowControl/>
                    <w:spacing w:line="240" w:lineRule="auto"/>
                    <w:jc w:val="center"/>
                    <w:textAlignment w:val="center"/>
                    <w:rPr>
                      <w:color w:val="000000"/>
                      <w:sz w:val="18"/>
                      <w:szCs w:val="18"/>
                      <w:highlight w:val="yellow"/>
                    </w:rPr>
                  </w:pPr>
                  <w:r>
                    <w:rPr>
                      <w:rFonts w:hint="eastAsia"/>
                      <w:color w:val="000000"/>
                      <w:sz w:val="18"/>
                      <w:szCs w:val="18"/>
                    </w:rPr>
                    <w:t>噪声防治</w:t>
                  </w:r>
                </w:p>
              </w:tc>
              <w:tc>
                <w:tcPr>
                  <w:tcW w:w="3222" w:type="pct"/>
                  <w:gridSpan w:val="2"/>
                  <w:tcBorders>
                    <w:top w:val="single" w:color="000000" w:sz="4" w:space="0"/>
                    <w:left w:val="single" w:color="auto" w:sz="4" w:space="0"/>
                    <w:bottom w:val="single" w:color="000000" w:sz="4" w:space="0"/>
                    <w:right w:val="single" w:color="auto" w:sz="12" w:space="0"/>
                  </w:tcBorders>
                  <w:vAlign w:val="center"/>
                </w:tcPr>
                <w:p w14:paraId="4966C1D4">
                  <w:pPr>
                    <w:widowControl/>
                    <w:spacing w:line="240" w:lineRule="auto"/>
                    <w:jc w:val="center"/>
                    <w:textAlignment w:val="center"/>
                    <w:rPr>
                      <w:color w:val="000000"/>
                      <w:sz w:val="18"/>
                      <w:szCs w:val="18"/>
                      <w:highlight w:val="yellow"/>
                    </w:rPr>
                  </w:pPr>
                  <w:r>
                    <w:rPr>
                      <w:rFonts w:hint="eastAsia"/>
                      <w:color w:val="000000"/>
                      <w:sz w:val="18"/>
                      <w:szCs w:val="18"/>
                    </w:rPr>
                    <w:t>设置隔声围挡或采用低噪声设备，并合理安排施工时间。</w:t>
                  </w:r>
                </w:p>
              </w:tc>
            </w:tr>
            <w:tr w14:paraId="3BB7B1ED">
              <w:tblPrEx>
                <w:tblCellMar>
                  <w:top w:w="0" w:type="dxa"/>
                  <w:left w:w="108" w:type="dxa"/>
                  <w:bottom w:w="0" w:type="dxa"/>
                  <w:right w:w="108" w:type="dxa"/>
                </w:tblCellMar>
              </w:tblPrEx>
              <w:trPr>
                <w:trHeight w:val="340" w:hRule="atLeast"/>
                <w:jc w:val="center"/>
              </w:trPr>
              <w:tc>
                <w:tcPr>
                  <w:tcW w:w="689" w:type="pct"/>
                  <w:vMerge w:val="continue"/>
                  <w:tcBorders>
                    <w:left w:val="single" w:color="auto" w:sz="12" w:space="0"/>
                    <w:right w:val="single" w:color="auto" w:sz="4" w:space="0"/>
                  </w:tcBorders>
                  <w:vAlign w:val="center"/>
                </w:tcPr>
                <w:p w14:paraId="19B932F0">
                  <w:pPr>
                    <w:widowControl/>
                    <w:spacing w:line="240" w:lineRule="auto"/>
                    <w:jc w:val="center"/>
                    <w:rPr>
                      <w:color w:val="000000"/>
                      <w:sz w:val="18"/>
                      <w:szCs w:val="18"/>
                      <w:highlight w:val="yellow"/>
                    </w:rPr>
                  </w:pPr>
                </w:p>
              </w:tc>
              <w:tc>
                <w:tcPr>
                  <w:tcW w:w="373" w:type="pct"/>
                  <w:vMerge w:val="continue"/>
                  <w:tcBorders>
                    <w:left w:val="single" w:color="auto" w:sz="4" w:space="0"/>
                    <w:right w:val="single" w:color="auto" w:sz="4" w:space="0"/>
                  </w:tcBorders>
                  <w:vAlign w:val="center"/>
                </w:tcPr>
                <w:p w14:paraId="70E3D45C">
                  <w:pPr>
                    <w:widowControl/>
                    <w:spacing w:line="240" w:lineRule="auto"/>
                    <w:jc w:val="center"/>
                    <w:textAlignment w:val="center"/>
                    <w:rPr>
                      <w:color w:val="000000"/>
                      <w:sz w:val="18"/>
                      <w:szCs w:val="18"/>
                    </w:rPr>
                  </w:pPr>
                </w:p>
              </w:tc>
              <w:tc>
                <w:tcPr>
                  <w:tcW w:w="716" w:type="pct"/>
                  <w:tcBorders>
                    <w:top w:val="single" w:color="auto" w:sz="4" w:space="0"/>
                    <w:left w:val="single" w:color="auto" w:sz="4" w:space="0"/>
                    <w:bottom w:val="single" w:color="auto" w:sz="4" w:space="0"/>
                    <w:right w:val="single" w:color="auto" w:sz="4" w:space="0"/>
                  </w:tcBorders>
                  <w:vAlign w:val="center"/>
                </w:tcPr>
                <w:p w14:paraId="6F56CFF2">
                  <w:pPr>
                    <w:widowControl/>
                    <w:spacing w:line="240" w:lineRule="auto"/>
                    <w:jc w:val="center"/>
                    <w:textAlignment w:val="center"/>
                    <w:rPr>
                      <w:color w:val="000000"/>
                      <w:sz w:val="18"/>
                      <w:szCs w:val="18"/>
                      <w:highlight w:val="yellow"/>
                    </w:rPr>
                  </w:pPr>
                  <w:r>
                    <w:rPr>
                      <w:rFonts w:hint="eastAsia"/>
                      <w:color w:val="000000"/>
                      <w:sz w:val="18"/>
                      <w:szCs w:val="18"/>
                    </w:rPr>
                    <w:t>废水处理</w:t>
                  </w:r>
                </w:p>
              </w:tc>
              <w:tc>
                <w:tcPr>
                  <w:tcW w:w="3222" w:type="pct"/>
                  <w:gridSpan w:val="2"/>
                  <w:tcBorders>
                    <w:top w:val="single" w:color="000000" w:sz="4" w:space="0"/>
                    <w:left w:val="single" w:color="auto" w:sz="4" w:space="0"/>
                    <w:bottom w:val="single" w:color="000000" w:sz="4" w:space="0"/>
                    <w:right w:val="single" w:color="auto" w:sz="12" w:space="0"/>
                  </w:tcBorders>
                  <w:vAlign w:val="center"/>
                </w:tcPr>
                <w:p w14:paraId="707460EF">
                  <w:pPr>
                    <w:widowControl/>
                    <w:spacing w:line="240" w:lineRule="auto"/>
                    <w:jc w:val="center"/>
                    <w:textAlignment w:val="center"/>
                    <w:rPr>
                      <w:color w:val="000000"/>
                      <w:sz w:val="18"/>
                      <w:szCs w:val="18"/>
                      <w:highlight w:val="yellow"/>
                    </w:rPr>
                  </w:pPr>
                  <w:r>
                    <w:rPr>
                      <w:rFonts w:hint="eastAsia"/>
                      <w:color w:val="000000"/>
                      <w:sz w:val="18"/>
                      <w:szCs w:val="18"/>
                    </w:rPr>
                    <w:t>施工营地设置临时厕所，生活污水定期清运；泥浆水沉淀处理后回用或清运。</w:t>
                  </w:r>
                </w:p>
              </w:tc>
            </w:tr>
            <w:tr w14:paraId="1199F6BC">
              <w:tblPrEx>
                <w:tblCellMar>
                  <w:top w:w="0" w:type="dxa"/>
                  <w:left w:w="108" w:type="dxa"/>
                  <w:bottom w:w="0" w:type="dxa"/>
                  <w:right w:w="108" w:type="dxa"/>
                </w:tblCellMar>
              </w:tblPrEx>
              <w:trPr>
                <w:trHeight w:val="340" w:hRule="atLeast"/>
                <w:jc w:val="center"/>
              </w:trPr>
              <w:tc>
                <w:tcPr>
                  <w:tcW w:w="689" w:type="pct"/>
                  <w:vMerge w:val="continue"/>
                  <w:tcBorders>
                    <w:left w:val="single" w:color="auto" w:sz="12" w:space="0"/>
                    <w:right w:val="single" w:color="auto" w:sz="4" w:space="0"/>
                  </w:tcBorders>
                  <w:vAlign w:val="center"/>
                </w:tcPr>
                <w:p w14:paraId="1131A9BE">
                  <w:pPr>
                    <w:widowControl/>
                    <w:spacing w:line="240" w:lineRule="auto"/>
                    <w:jc w:val="center"/>
                    <w:rPr>
                      <w:color w:val="000000"/>
                      <w:sz w:val="18"/>
                      <w:szCs w:val="18"/>
                      <w:highlight w:val="yellow"/>
                    </w:rPr>
                  </w:pPr>
                </w:p>
              </w:tc>
              <w:tc>
                <w:tcPr>
                  <w:tcW w:w="373" w:type="pct"/>
                  <w:vMerge w:val="continue"/>
                  <w:tcBorders>
                    <w:left w:val="single" w:color="auto" w:sz="4" w:space="0"/>
                    <w:right w:val="single" w:color="auto" w:sz="4" w:space="0"/>
                  </w:tcBorders>
                  <w:vAlign w:val="center"/>
                </w:tcPr>
                <w:p w14:paraId="39498CEE">
                  <w:pPr>
                    <w:widowControl/>
                    <w:spacing w:line="240" w:lineRule="auto"/>
                    <w:jc w:val="center"/>
                    <w:textAlignment w:val="center"/>
                    <w:rPr>
                      <w:color w:val="000000"/>
                      <w:kern w:val="0"/>
                      <w:sz w:val="18"/>
                      <w:szCs w:val="18"/>
                      <w:lang w:bidi="ar"/>
                    </w:rPr>
                  </w:pPr>
                </w:p>
              </w:tc>
              <w:tc>
                <w:tcPr>
                  <w:tcW w:w="716" w:type="pct"/>
                  <w:tcBorders>
                    <w:top w:val="single" w:color="auto" w:sz="4" w:space="0"/>
                    <w:left w:val="single" w:color="auto" w:sz="4" w:space="0"/>
                    <w:bottom w:val="single" w:color="auto" w:sz="4" w:space="0"/>
                    <w:right w:val="single" w:color="auto" w:sz="4" w:space="0"/>
                  </w:tcBorders>
                  <w:vAlign w:val="center"/>
                </w:tcPr>
                <w:p w14:paraId="55B0550F">
                  <w:pPr>
                    <w:widowControl/>
                    <w:spacing w:line="240" w:lineRule="auto"/>
                    <w:jc w:val="center"/>
                    <w:textAlignment w:val="center"/>
                    <w:rPr>
                      <w:color w:val="000000"/>
                      <w:kern w:val="0"/>
                      <w:sz w:val="18"/>
                      <w:szCs w:val="18"/>
                      <w:highlight w:val="yellow"/>
                      <w:lang w:bidi="ar"/>
                    </w:rPr>
                  </w:pPr>
                  <w:r>
                    <w:rPr>
                      <w:rFonts w:hint="eastAsia"/>
                      <w:color w:val="000000"/>
                      <w:kern w:val="0"/>
                      <w:sz w:val="18"/>
                      <w:szCs w:val="18"/>
                      <w:lang w:bidi="ar"/>
                    </w:rPr>
                    <w:t>废气处理</w:t>
                  </w:r>
                </w:p>
              </w:tc>
              <w:tc>
                <w:tcPr>
                  <w:tcW w:w="3222" w:type="pct"/>
                  <w:gridSpan w:val="2"/>
                  <w:tcBorders>
                    <w:top w:val="single" w:color="000000" w:sz="4" w:space="0"/>
                    <w:left w:val="single" w:color="auto" w:sz="4" w:space="0"/>
                    <w:bottom w:val="single" w:color="000000" w:sz="4" w:space="0"/>
                    <w:right w:val="single" w:color="auto" w:sz="12" w:space="0"/>
                  </w:tcBorders>
                  <w:vAlign w:val="center"/>
                </w:tcPr>
                <w:p w14:paraId="68BC0F0B">
                  <w:pPr>
                    <w:widowControl/>
                    <w:spacing w:line="240" w:lineRule="auto"/>
                    <w:jc w:val="center"/>
                    <w:textAlignment w:val="center"/>
                    <w:rPr>
                      <w:color w:val="000000"/>
                      <w:sz w:val="18"/>
                      <w:szCs w:val="18"/>
                      <w:highlight w:val="yellow"/>
                    </w:rPr>
                  </w:pPr>
                  <w:r>
                    <w:rPr>
                      <w:rFonts w:hint="eastAsia"/>
                      <w:color w:val="000000"/>
                      <w:sz w:val="18"/>
                      <w:szCs w:val="18"/>
                    </w:rPr>
                    <w:t>施工期洒水抑尘、密闭运输。</w:t>
                  </w:r>
                </w:p>
              </w:tc>
            </w:tr>
            <w:tr w14:paraId="4F708442">
              <w:tblPrEx>
                <w:tblCellMar>
                  <w:top w:w="0" w:type="dxa"/>
                  <w:left w:w="108" w:type="dxa"/>
                  <w:bottom w:w="0" w:type="dxa"/>
                  <w:right w:w="108" w:type="dxa"/>
                </w:tblCellMar>
              </w:tblPrEx>
              <w:trPr>
                <w:trHeight w:val="335" w:hRule="atLeast"/>
                <w:jc w:val="center"/>
              </w:trPr>
              <w:tc>
                <w:tcPr>
                  <w:tcW w:w="689" w:type="pct"/>
                  <w:vMerge w:val="continue"/>
                  <w:tcBorders>
                    <w:left w:val="single" w:color="auto" w:sz="12" w:space="0"/>
                    <w:right w:val="single" w:color="auto" w:sz="4" w:space="0"/>
                  </w:tcBorders>
                  <w:vAlign w:val="center"/>
                </w:tcPr>
                <w:p w14:paraId="5A9B46B0">
                  <w:pPr>
                    <w:widowControl/>
                    <w:spacing w:line="240" w:lineRule="auto"/>
                    <w:jc w:val="center"/>
                    <w:rPr>
                      <w:color w:val="000000"/>
                      <w:sz w:val="18"/>
                      <w:szCs w:val="18"/>
                      <w:highlight w:val="yellow"/>
                    </w:rPr>
                  </w:pPr>
                </w:p>
              </w:tc>
              <w:tc>
                <w:tcPr>
                  <w:tcW w:w="373" w:type="pct"/>
                  <w:vMerge w:val="continue"/>
                  <w:tcBorders>
                    <w:left w:val="single" w:color="auto" w:sz="4" w:space="0"/>
                    <w:bottom w:val="single" w:color="auto" w:sz="4" w:space="0"/>
                    <w:right w:val="single" w:color="auto" w:sz="4" w:space="0"/>
                  </w:tcBorders>
                  <w:vAlign w:val="center"/>
                </w:tcPr>
                <w:p w14:paraId="11F3B737">
                  <w:pPr>
                    <w:widowControl/>
                    <w:spacing w:line="240" w:lineRule="auto"/>
                    <w:jc w:val="center"/>
                    <w:textAlignment w:val="center"/>
                    <w:rPr>
                      <w:color w:val="000000"/>
                      <w:sz w:val="18"/>
                      <w:szCs w:val="18"/>
                    </w:rPr>
                  </w:pPr>
                </w:p>
              </w:tc>
              <w:tc>
                <w:tcPr>
                  <w:tcW w:w="716" w:type="pct"/>
                  <w:tcBorders>
                    <w:top w:val="single" w:color="auto" w:sz="4" w:space="0"/>
                    <w:left w:val="single" w:color="auto" w:sz="4" w:space="0"/>
                    <w:bottom w:val="single" w:color="auto" w:sz="4" w:space="0"/>
                    <w:right w:val="single" w:color="auto" w:sz="4" w:space="0"/>
                  </w:tcBorders>
                  <w:vAlign w:val="center"/>
                </w:tcPr>
                <w:p w14:paraId="4DC87453">
                  <w:pPr>
                    <w:widowControl/>
                    <w:spacing w:line="240" w:lineRule="auto"/>
                    <w:jc w:val="center"/>
                    <w:textAlignment w:val="center"/>
                    <w:rPr>
                      <w:color w:val="000000"/>
                      <w:sz w:val="18"/>
                      <w:szCs w:val="18"/>
                      <w:highlight w:val="yellow"/>
                    </w:rPr>
                  </w:pPr>
                  <w:r>
                    <w:rPr>
                      <w:rFonts w:hint="eastAsia"/>
                      <w:color w:val="000000"/>
                      <w:sz w:val="18"/>
                      <w:szCs w:val="18"/>
                    </w:rPr>
                    <w:t>固废处置</w:t>
                  </w:r>
                </w:p>
              </w:tc>
              <w:tc>
                <w:tcPr>
                  <w:tcW w:w="3222" w:type="pct"/>
                  <w:gridSpan w:val="2"/>
                  <w:tcBorders>
                    <w:top w:val="single" w:color="000000" w:sz="4" w:space="0"/>
                    <w:left w:val="single" w:color="auto" w:sz="4" w:space="0"/>
                    <w:bottom w:val="single" w:color="000000" w:sz="4" w:space="0"/>
                    <w:right w:val="single" w:color="auto" w:sz="12" w:space="0"/>
                  </w:tcBorders>
                  <w:vAlign w:val="center"/>
                </w:tcPr>
                <w:p w14:paraId="1E236899">
                  <w:pPr>
                    <w:widowControl/>
                    <w:spacing w:line="240" w:lineRule="auto"/>
                    <w:jc w:val="center"/>
                    <w:textAlignment w:val="center"/>
                    <w:rPr>
                      <w:color w:val="000000"/>
                      <w:sz w:val="18"/>
                      <w:szCs w:val="18"/>
                      <w:highlight w:val="yellow"/>
                    </w:rPr>
                  </w:pPr>
                  <w:r>
                    <w:rPr>
                      <w:rFonts w:hint="eastAsia"/>
                      <w:color w:val="000000"/>
                      <w:sz w:val="18"/>
                      <w:szCs w:val="18"/>
                    </w:rPr>
                    <w:t>施工期建筑垃圾部分回用（如路基填料），部分废弃土方和泥浆用于就近公园景观填筑；生活垃圾由环卫清运。</w:t>
                  </w:r>
                </w:p>
              </w:tc>
            </w:tr>
            <w:tr w14:paraId="55C71AEE">
              <w:tblPrEx>
                <w:tblCellMar>
                  <w:top w:w="0" w:type="dxa"/>
                  <w:left w:w="108" w:type="dxa"/>
                  <w:bottom w:w="0" w:type="dxa"/>
                  <w:right w:w="108" w:type="dxa"/>
                </w:tblCellMar>
              </w:tblPrEx>
              <w:trPr>
                <w:trHeight w:val="875" w:hRule="atLeast"/>
                <w:jc w:val="center"/>
              </w:trPr>
              <w:tc>
                <w:tcPr>
                  <w:tcW w:w="689" w:type="pct"/>
                  <w:vMerge w:val="continue"/>
                  <w:tcBorders>
                    <w:left w:val="single" w:color="auto" w:sz="12" w:space="0"/>
                    <w:right w:val="single" w:color="auto" w:sz="4" w:space="0"/>
                  </w:tcBorders>
                  <w:vAlign w:val="center"/>
                </w:tcPr>
                <w:p w14:paraId="2A8EA72D">
                  <w:pPr>
                    <w:widowControl/>
                    <w:spacing w:line="240" w:lineRule="auto"/>
                    <w:jc w:val="center"/>
                    <w:rPr>
                      <w:color w:val="000000"/>
                      <w:sz w:val="18"/>
                      <w:szCs w:val="18"/>
                      <w:highlight w:val="yellow"/>
                    </w:rPr>
                  </w:pPr>
                </w:p>
              </w:tc>
              <w:tc>
                <w:tcPr>
                  <w:tcW w:w="373" w:type="pct"/>
                  <w:vMerge w:val="restart"/>
                  <w:tcBorders>
                    <w:top w:val="single" w:color="auto" w:sz="4" w:space="0"/>
                    <w:left w:val="single" w:color="auto" w:sz="4" w:space="0"/>
                    <w:right w:val="single" w:color="auto" w:sz="4" w:space="0"/>
                  </w:tcBorders>
                  <w:vAlign w:val="center"/>
                </w:tcPr>
                <w:p w14:paraId="3DB042F6">
                  <w:pPr>
                    <w:widowControl/>
                    <w:spacing w:line="240" w:lineRule="auto"/>
                    <w:jc w:val="center"/>
                    <w:textAlignment w:val="center"/>
                    <w:rPr>
                      <w:color w:val="000000"/>
                      <w:kern w:val="0"/>
                      <w:sz w:val="18"/>
                      <w:szCs w:val="18"/>
                      <w:highlight w:val="yellow"/>
                      <w:lang w:bidi="ar"/>
                    </w:rPr>
                  </w:pPr>
                  <w:r>
                    <w:rPr>
                      <w:rFonts w:hint="eastAsia"/>
                      <w:color w:val="000000"/>
                      <w:kern w:val="0"/>
                      <w:sz w:val="18"/>
                      <w:szCs w:val="18"/>
                      <w:lang w:bidi="ar"/>
                    </w:rPr>
                    <w:t>运营期</w:t>
                  </w:r>
                </w:p>
              </w:tc>
              <w:tc>
                <w:tcPr>
                  <w:tcW w:w="716" w:type="pct"/>
                  <w:tcBorders>
                    <w:top w:val="single" w:color="auto" w:sz="4" w:space="0"/>
                    <w:left w:val="single" w:color="auto" w:sz="4" w:space="0"/>
                    <w:bottom w:val="single" w:color="auto" w:sz="4" w:space="0"/>
                    <w:right w:val="single" w:color="auto" w:sz="4" w:space="0"/>
                  </w:tcBorders>
                  <w:vAlign w:val="center"/>
                </w:tcPr>
                <w:p w14:paraId="2E05BA80">
                  <w:pPr>
                    <w:widowControl/>
                    <w:spacing w:line="240" w:lineRule="auto"/>
                    <w:jc w:val="center"/>
                    <w:textAlignment w:val="center"/>
                    <w:rPr>
                      <w:color w:val="000000"/>
                      <w:kern w:val="0"/>
                      <w:sz w:val="18"/>
                      <w:szCs w:val="18"/>
                      <w:lang w:bidi="ar"/>
                    </w:rPr>
                  </w:pPr>
                  <w:r>
                    <w:rPr>
                      <w:rFonts w:hint="eastAsia"/>
                      <w:color w:val="000000"/>
                      <w:kern w:val="0"/>
                      <w:sz w:val="18"/>
                      <w:szCs w:val="18"/>
                      <w:lang w:bidi="ar"/>
                    </w:rPr>
                    <w:t>废气</w:t>
                  </w:r>
                </w:p>
              </w:tc>
              <w:tc>
                <w:tcPr>
                  <w:tcW w:w="3222" w:type="pct"/>
                  <w:gridSpan w:val="2"/>
                  <w:tcBorders>
                    <w:top w:val="single" w:color="000000" w:sz="4" w:space="0"/>
                    <w:left w:val="single" w:color="auto" w:sz="4" w:space="0"/>
                    <w:bottom w:val="single" w:color="000000" w:sz="4" w:space="0"/>
                    <w:right w:val="single" w:color="auto" w:sz="12" w:space="0"/>
                  </w:tcBorders>
                  <w:vAlign w:val="center"/>
                </w:tcPr>
                <w:p w14:paraId="2CD07FE4">
                  <w:pPr>
                    <w:widowControl/>
                    <w:spacing w:line="240" w:lineRule="auto"/>
                    <w:jc w:val="center"/>
                    <w:textAlignment w:val="center"/>
                    <w:rPr>
                      <w:color w:val="000000"/>
                      <w:sz w:val="18"/>
                      <w:szCs w:val="18"/>
                      <w:highlight w:val="yellow"/>
                    </w:rPr>
                  </w:pPr>
                  <w:r>
                    <w:rPr>
                      <w:rFonts w:hint="eastAsia"/>
                      <w:color w:val="000000"/>
                      <w:sz w:val="18"/>
                      <w:szCs w:val="18"/>
                    </w:rPr>
                    <w:t>运营期废气主要为汽车尾气，设置定时洒水清扫，降低扬尘的产生量；加强交通管理，抽查汽车尾气排放合格证，禁止尾气超标车辆上路行驶。</w:t>
                  </w:r>
                </w:p>
              </w:tc>
            </w:tr>
            <w:tr w14:paraId="553493F5">
              <w:tblPrEx>
                <w:tblCellMar>
                  <w:top w:w="0" w:type="dxa"/>
                  <w:left w:w="108" w:type="dxa"/>
                  <w:bottom w:w="0" w:type="dxa"/>
                  <w:right w:w="108" w:type="dxa"/>
                </w:tblCellMar>
              </w:tblPrEx>
              <w:trPr>
                <w:trHeight w:val="407" w:hRule="atLeast"/>
                <w:jc w:val="center"/>
              </w:trPr>
              <w:tc>
                <w:tcPr>
                  <w:tcW w:w="689" w:type="pct"/>
                  <w:vMerge w:val="continue"/>
                  <w:tcBorders>
                    <w:left w:val="single" w:color="auto" w:sz="12" w:space="0"/>
                    <w:right w:val="single" w:color="auto" w:sz="4" w:space="0"/>
                  </w:tcBorders>
                  <w:vAlign w:val="center"/>
                </w:tcPr>
                <w:p w14:paraId="5260F2C7">
                  <w:pPr>
                    <w:widowControl/>
                    <w:spacing w:line="240" w:lineRule="auto"/>
                    <w:jc w:val="center"/>
                    <w:rPr>
                      <w:color w:val="000000"/>
                      <w:sz w:val="18"/>
                      <w:szCs w:val="18"/>
                      <w:highlight w:val="yellow"/>
                    </w:rPr>
                  </w:pPr>
                </w:p>
              </w:tc>
              <w:tc>
                <w:tcPr>
                  <w:tcW w:w="373" w:type="pct"/>
                  <w:vMerge w:val="continue"/>
                  <w:tcBorders>
                    <w:left w:val="single" w:color="auto" w:sz="4" w:space="0"/>
                    <w:right w:val="single" w:color="auto" w:sz="4" w:space="0"/>
                  </w:tcBorders>
                  <w:vAlign w:val="center"/>
                </w:tcPr>
                <w:p w14:paraId="6C4E9FB8">
                  <w:pPr>
                    <w:widowControl/>
                    <w:spacing w:line="240" w:lineRule="auto"/>
                    <w:jc w:val="center"/>
                    <w:textAlignment w:val="center"/>
                    <w:rPr>
                      <w:color w:val="000000"/>
                      <w:kern w:val="0"/>
                      <w:sz w:val="18"/>
                      <w:szCs w:val="18"/>
                      <w:highlight w:val="yellow"/>
                      <w:lang w:bidi="ar"/>
                    </w:rPr>
                  </w:pPr>
                </w:p>
              </w:tc>
              <w:tc>
                <w:tcPr>
                  <w:tcW w:w="716" w:type="pct"/>
                  <w:tcBorders>
                    <w:top w:val="single" w:color="auto" w:sz="4" w:space="0"/>
                    <w:left w:val="single" w:color="auto" w:sz="4" w:space="0"/>
                    <w:bottom w:val="single" w:color="auto" w:sz="4" w:space="0"/>
                    <w:right w:val="single" w:color="auto" w:sz="4" w:space="0"/>
                  </w:tcBorders>
                  <w:vAlign w:val="center"/>
                </w:tcPr>
                <w:p w14:paraId="1F525779">
                  <w:pPr>
                    <w:widowControl/>
                    <w:spacing w:line="240" w:lineRule="auto"/>
                    <w:jc w:val="center"/>
                    <w:textAlignment w:val="center"/>
                    <w:rPr>
                      <w:color w:val="000000"/>
                      <w:kern w:val="0"/>
                      <w:sz w:val="18"/>
                      <w:szCs w:val="18"/>
                      <w:lang w:bidi="ar"/>
                    </w:rPr>
                  </w:pPr>
                  <w:r>
                    <w:rPr>
                      <w:rFonts w:hint="eastAsia"/>
                      <w:color w:val="000000"/>
                      <w:kern w:val="0"/>
                      <w:sz w:val="18"/>
                      <w:szCs w:val="18"/>
                      <w:lang w:bidi="ar"/>
                    </w:rPr>
                    <w:t>噪声</w:t>
                  </w:r>
                </w:p>
              </w:tc>
              <w:tc>
                <w:tcPr>
                  <w:tcW w:w="3222" w:type="pct"/>
                  <w:gridSpan w:val="2"/>
                  <w:tcBorders>
                    <w:top w:val="single" w:color="000000" w:sz="4" w:space="0"/>
                    <w:left w:val="single" w:color="auto" w:sz="4" w:space="0"/>
                    <w:bottom w:val="single" w:color="000000" w:sz="4" w:space="0"/>
                    <w:right w:val="single" w:color="auto" w:sz="12" w:space="0"/>
                  </w:tcBorders>
                  <w:vAlign w:val="center"/>
                </w:tcPr>
                <w:p w14:paraId="34F279BA">
                  <w:pPr>
                    <w:widowControl/>
                    <w:spacing w:line="240" w:lineRule="auto"/>
                    <w:jc w:val="center"/>
                    <w:textAlignment w:val="center"/>
                    <w:rPr>
                      <w:color w:val="000000"/>
                      <w:sz w:val="18"/>
                      <w:szCs w:val="18"/>
                      <w:highlight w:val="yellow"/>
                    </w:rPr>
                  </w:pPr>
                  <w:r>
                    <w:rPr>
                      <w:rFonts w:hint="eastAsia"/>
                      <w:color w:val="000000"/>
                      <w:sz w:val="18"/>
                      <w:szCs w:val="18"/>
                    </w:rPr>
                    <w:t>设置绿化带及夜间禁鸣标志，道路周边建筑采取隔声窗设计。</w:t>
                  </w:r>
                </w:p>
              </w:tc>
            </w:tr>
            <w:tr w14:paraId="4E92463D">
              <w:tblPrEx>
                <w:tblCellMar>
                  <w:top w:w="0" w:type="dxa"/>
                  <w:left w:w="108" w:type="dxa"/>
                  <w:bottom w:w="0" w:type="dxa"/>
                  <w:right w:w="108" w:type="dxa"/>
                </w:tblCellMar>
              </w:tblPrEx>
              <w:trPr>
                <w:trHeight w:val="407" w:hRule="atLeast"/>
                <w:jc w:val="center"/>
              </w:trPr>
              <w:tc>
                <w:tcPr>
                  <w:tcW w:w="689" w:type="pct"/>
                  <w:vMerge w:val="continue"/>
                  <w:tcBorders>
                    <w:left w:val="single" w:color="auto" w:sz="12" w:space="0"/>
                    <w:bottom w:val="single" w:color="000000" w:sz="4" w:space="0"/>
                    <w:right w:val="single" w:color="auto" w:sz="4" w:space="0"/>
                  </w:tcBorders>
                  <w:vAlign w:val="center"/>
                </w:tcPr>
                <w:p w14:paraId="5D1D1178">
                  <w:pPr>
                    <w:widowControl/>
                    <w:spacing w:line="240" w:lineRule="auto"/>
                    <w:jc w:val="center"/>
                    <w:rPr>
                      <w:color w:val="000000"/>
                      <w:sz w:val="18"/>
                      <w:szCs w:val="18"/>
                      <w:highlight w:val="yellow"/>
                    </w:rPr>
                  </w:pPr>
                </w:p>
              </w:tc>
              <w:tc>
                <w:tcPr>
                  <w:tcW w:w="373" w:type="pct"/>
                  <w:vMerge w:val="continue"/>
                  <w:tcBorders>
                    <w:left w:val="single" w:color="auto" w:sz="4" w:space="0"/>
                    <w:bottom w:val="single" w:color="auto" w:sz="4" w:space="0"/>
                    <w:right w:val="single" w:color="auto" w:sz="4" w:space="0"/>
                  </w:tcBorders>
                  <w:vAlign w:val="center"/>
                </w:tcPr>
                <w:p w14:paraId="3F33FEE9">
                  <w:pPr>
                    <w:widowControl/>
                    <w:spacing w:line="240" w:lineRule="auto"/>
                    <w:jc w:val="center"/>
                    <w:textAlignment w:val="center"/>
                    <w:rPr>
                      <w:color w:val="000000"/>
                      <w:kern w:val="0"/>
                      <w:sz w:val="18"/>
                      <w:szCs w:val="18"/>
                      <w:highlight w:val="yellow"/>
                      <w:lang w:bidi="ar"/>
                    </w:rPr>
                  </w:pPr>
                </w:p>
              </w:tc>
              <w:tc>
                <w:tcPr>
                  <w:tcW w:w="716" w:type="pct"/>
                  <w:tcBorders>
                    <w:top w:val="single" w:color="auto" w:sz="4" w:space="0"/>
                    <w:left w:val="single" w:color="auto" w:sz="4" w:space="0"/>
                    <w:bottom w:val="single" w:color="auto" w:sz="4" w:space="0"/>
                    <w:right w:val="single" w:color="auto" w:sz="4" w:space="0"/>
                  </w:tcBorders>
                  <w:vAlign w:val="center"/>
                </w:tcPr>
                <w:p w14:paraId="48C71413">
                  <w:pPr>
                    <w:widowControl/>
                    <w:spacing w:line="240" w:lineRule="auto"/>
                    <w:jc w:val="center"/>
                    <w:textAlignment w:val="center"/>
                    <w:rPr>
                      <w:color w:val="000000"/>
                      <w:kern w:val="0"/>
                      <w:sz w:val="18"/>
                      <w:szCs w:val="18"/>
                      <w:lang w:bidi="ar"/>
                    </w:rPr>
                  </w:pPr>
                  <w:r>
                    <w:rPr>
                      <w:rFonts w:hint="eastAsia"/>
                      <w:color w:val="000000"/>
                      <w:kern w:val="0"/>
                      <w:sz w:val="18"/>
                      <w:szCs w:val="18"/>
                      <w:lang w:bidi="ar"/>
                    </w:rPr>
                    <w:t>固废</w:t>
                  </w:r>
                </w:p>
              </w:tc>
              <w:tc>
                <w:tcPr>
                  <w:tcW w:w="3222" w:type="pct"/>
                  <w:gridSpan w:val="2"/>
                  <w:tcBorders>
                    <w:top w:val="single" w:color="000000" w:sz="4" w:space="0"/>
                    <w:left w:val="single" w:color="auto" w:sz="4" w:space="0"/>
                    <w:bottom w:val="single" w:color="000000" w:sz="4" w:space="0"/>
                    <w:right w:val="single" w:color="auto" w:sz="12" w:space="0"/>
                  </w:tcBorders>
                  <w:vAlign w:val="center"/>
                </w:tcPr>
                <w:p w14:paraId="1859F82B">
                  <w:pPr>
                    <w:widowControl/>
                    <w:spacing w:line="240" w:lineRule="auto"/>
                    <w:jc w:val="center"/>
                    <w:textAlignment w:val="center"/>
                    <w:rPr>
                      <w:color w:val="000000"/>
                      <w:sz w:val="18"/>
                      <w:szCs w:val="18"/>
                    </w:rPr>
                  </w:pPr>
                  <w:r>
                    <w:rPr>
                      <w:rFonts w:hint="eastAsia"/>
                      <w:color w:val="000000"/>
                      <w:sz w:val="18"/>
                      <w:szCs w:val="18"/>
                    </w:rPr>
                    <w:t>工程运营期沿线设置垃圾桶，生活垃圾统一收集，由环卫部门进行统一清运</w:t>
                  </w:r>
                </w:p>
              </w:tc>
            </w:tr>
            <w:tr w14:paraId="4C93E220">
              <w:tblPrEx>
                <w:tblCellMar>
                  <w:top w:w="0" w:type="dxa"/>
                  <w:left w:w="108" w:type="dxa"/>
                  <w:bottom w:w="0" w:type="dxa"/>
                  <w:right w:w="108" w:type="dxa"/>
                </w:tblCellMar>
              </w:tblPrEx>
              <w:trPr>
                <w:trHeight w:val="492" w:hRule="atLeast"/>
                <w:jc w:val="center"/>
              </w:trPr>
              <w:tc>
                <w:tcPr>
                  <w:tcW w:w="1062" w:type="pct"/>
                  <w:gridSpan w:val="2"/>
                  <w:vMerge w:val="restart"/>
                  <w:tcBorders>
                    <w:top w:val="single" w:color="000000" w:sz="4" w:space="0"/>
                    <w:left w:val="single" w:color="auto" w:sz="12" w:space="0"/>
                    <w:right w:val="single" w:color="auto" w:sz="4" w:space="0"/>
                  </w:tcBorders>
                  <w:vAlign w:val="center"/>
                </w:tcPr>
                <w:p w14:paraId="5C9D69FA">
                  <w:pPr>
                    <w:widowControl/>
                    <w:spacing w:line="240" w:lineRule="auto"/>
                    <w:jc w:val="center"/>
                    <w:rPr>
                      <w:color w:val="000000"/>
                      <w:sz w:val="18"/>
                      <w:szCs w:val="18"/>
                    </w:rPr>
                  </w:pPr>
                  <w:r>
                    <w:rPr>
                      <w:rFonts w:hint="eastAsia"/>
                      <w:color w:val="000000"/>
                      <w:sz w:val="18"/>
                      <w:szCs w:val="18"/>
                    </w:rPr>
                    <w:t>临时工程</w:t>
                  </w:r>
                </w:p>
              </w:tc>
              <w:tc>
                <w:tcPr>
                  <w:tcW w:w="716" w:type="pct"/>
                  <w:tcBorders>
                    <w:top w:val="single" w:color="auto" w:sz="4" w:space="0"/>
                    <w:left w:val="single" w:color="auto" w:sz="4" w:space="0"/>
                    <w:bottom w:val="single" w:color="auto" w:sz="4" w:space="0"/>
                    <w:right w:val="single" w:color="auto" w:sz="4" w:space="0"/>
                  </w:tcBorders>
                  <w:vAlign w:val="center"/>
                </w:tcPr>
                <w:p w14:paraId="1DF7712B">
                  <w:pPr>
                    <w:widowControl/>
                    <w:spacing w:line="240" w:lineRule="auto"/>
                    <w:jc w:val="center"/>
                    <w:textAlignment w:val="center"/>
                    <w:rPr>
                      <w:color w:val="000000"/>
                      <w:kern w:val="0"/>
                      <w:sz w:val="18"/>
                      <w:szCs w:val="18"/>
                      <w:lang w:bidi="ar"/>
                    </w:rPr>
                  </w:pPr>
                  <w:r>
                    <w:rPr>
                      <w:rFonts w:hint="eastAsia"/>
                      <w:color w:val="000000"/>
                      <w:kern w:val="0"/>
                      <w:sz w:val="18"/>
                      <w:szCs w:val="18"/>
                      <w:lang w:bidi="ar"/>
                    </w:rPr>
                    <w:t>临时施工道路</w:t>
                  </w:r>
                </w:p>
              </w:tc>
              <w:tc>
                <w:tcPr>
                  <w:tcW w:w="3222" w:type="pct"/>
                  <w:gridSpan w:val="2"/>
                  <w:tcBorders>
                    <w:top w:val="single" w:color="000000" w:sz="4" w:space="0"/>
                    <w:left w:val="single" w:color="auto" w:sz="4" w:space="0"/>
                    <w:bottom w:val="single" w:color="auto" w:sz="4" w:space="0"/>
                    <w:right w:val="single" w:color="auto" w:sz="12" w:space="0"/>
                  </w:tcBorders>
                  <w:vAlign w:val="center"/>
                </w:tcPr>
                <w:p w14:paraId="38BD2DD4">
                  <w:pPr>
                    <w:widowControl/>
                    <w:spacing w:line="240" w:lineRule="auto"/>
                    <w:jc w:val="center"/>
                    <w:textAlignment w:val="center"/>
                    <w:rPr>
                      <w:color w:val="000000"/>
                      <w:sz w:val="18"/>
                      <w:szCs w:val="18"/>
                    </w:rPr>
                  </w:pPr>
                  <w:r>
                    <w:rPr>
                      <w:rFonts w:hint="eastAsia"/>
                      <w:color w:val="000000"/>
                      <w:sz w:val="18"/>
                      <w:szCs w:val="18"/>
                    </w:rPr>
                    <w:t>大多利用现有道路，其中设置两处临时保通道路以保障村民农田作业通行，在北侧设置有一条施工便道方便机械施工。</w:t>
                  </w:r>
                </w:p>
              </w:tc>
            </w:tr>
            <w:tr w14:paraId="1C86CCA2">
              <w:tblPrEx>
                <w:tblCellMar>
                  <w:top w:w="0" w:type="dxa"/>
                  <w:left w:w="108" w:type="dxa"/>
                  <w:bottom w:w="0" w:type="dxa"/>
                  <w:right w:w="108" w:type="dxa"/>
                </w:tblCellMar>
              </w:tblPrEx>
              <w:trPr>
                <w:trHeight w:val="386" w:hRule="atLeast"/>
                <w:jc w:val="center"/>
              </w:trPr>
              <w:tc>
                <w:tcPr>
                  <w:tcW w:w="1062" w:type="pct"/>
                  <w:gridSpan w:val="2"/>
                  <w:vMerge w:val="continue"/>
                  <w:tcBorders>
                    <w:left w:val="single" w:color="auto" w:sz="12" w:space="0"/>
                    <w:bottom w:val="single" w:color="auto" w:sz="12" w:space="0"/>
                    <w:right w:val="single" w:color="auto" w:sz="4" w:space="0"/>
                  </w:tcBorders>
                  <w:vAlign w:val="center"/>
                </w:tcPr>
                <w:p w14:paraId="6056C3BC">
                  <w:pPr>
                    <w:widowControl/>
                    <w:spacing w:line="240" w:lineRule="auto"/>
                    <w:jc w:val="center"/>
                    <w:textAlignment w:val="center"/>
                    <w:rPr>
                      <w:color w:val="000000"/>
                      <w:kern w:val="0"/>
                      <w:sz w:val="18"/>
                      <w:szCs w:val="18"/>
                      <w:lang w:bidi="ar"/>
                    </w:rPr>
                  </w:pPr>
                </w:p>
              </w:tc>
              <w:tc>
                <w:tcPr>
                  <w:tcW w:w="716" w:type="pct"/>
                  <w:tcBorders>
                    <w:top w:val="single" w:color="auto" w:sz="4" w:space="0"/>
                    <w:left w:val="single" w:color="auto" w:sz="4" w:space="0"/>
                    <w:bottom w:val="single" w:color="auto" w:sz="12" w:space="0"/>
                    <w:right w:val="single" w:color="auto" w:sz="4" w:space="0"/>
                  </w:tcBorders>
                  <w:vAlign w:val="center"/>
                </w:tcPr>
                <w:p w14:paraId="7B9FE287">
                  <w:pPr>
                    <w:widowControl/>
                    <w:spacing w:line="240" w:lineRule="auto"/>
                    <w:jc w:val="center"/>
                    <w:textAlignment w:val="center"/>
                    <w:rPr>
                      <w:color w:val="000000"/>
                      <w:kern w:val="0"/>
                      <w:sz w:val="18"/>
                      <w:szCs w:val="18"/>
                      <w:lang w:bidi="ar"/>
                    </w:rPr>
                  </w:pPr>
                  <w:r>
                    <w:rPr>
                      <w:rFonts w:hint="eastAsia"/>
                      <w:color w:val="000000"/>
                      <w:kern w:val="0"/>
                      <w:sz w:val="18"/>
                      <w:szCs w:val="18"/>
                      <w:lang w:bidi="ar"/>
                    </w:rPr>
                    <w:t>生活场地</w:t>
                  </w:r>
                </w:p>
              </w:tc>
              <w:tc>
                <w:tcPr>
                  <w:tcW w:w="3222" w:type="pct"/>
                  <w:gridSpan w:val="2"/>
                  <w:tcBorders>
                    <w:top w:val="single" w:color="auto" w:sz="4" w:space="0"/>
                    <w:left w:val="single" w:color="auto" w:sz="4" w:space="0"/>
                    <w:bottom w:val="single" w:color="auto" w:sz="12" w:space="0"/>
                    <w:right w:val="single" w:color="auto" w:sz="12" w:space="0"/>
                  </w:tcBorders>
                  <w:vAlign w:val="center"/>
                </w:tcPr>
                <w:p w14:paraId="3FC25013">
                  <w:pPr>
                    <w:widowControl/>
                    <w:spacing w:line="240" w:lineRule="auto"/>
                    <w:jc w:val="center"/>
                    <w:textAlignment w:val="center"/>
                    <w:rPr>
                      <w:color w:val="000000"/>
                      <w:sz w:val="18"/>
                      <w:szCs w:val="18"/>
                    </w:rPr>
                  </w:pPr>
                  <w:r>
                    <w:rPr>
                      <w:rFonts w:hint="eastAsia"/>
                      <w:color w:val="000000"/>
                      <w:sz w:val="18"/>
                      <w:szCs w:val="18"/>
                    </w:rPr>
                    <w:t>在</w:t>
                  </w:r>
                  <w:r>
                    <w:rPr>
                      <w:color w:val="000000"/>
                      <w:sz w:val="18"/>
                      <w:szCs w:val="18"/>
                    </w:rPr>
                    <w:t>青西二路与规划向湖路东侧往东约250米处</w:t>
                  </w:r>
                  <w:r>
                    <w:rPr>
                      <w:rFonts w:hint="eastAsia"/>
                      <w:color w:val="000000"/>
                      <w:sz w:val="18"/>
                      <w:szCs w:val="18"/>
                    </w:rPr>
                    <w:t>设置临时办公、居住区和临时堆场、生活垃圾集中堆放点等。</w:t>
                  </w:r>
                </w:p>
              </w:tc>
            </w:tr>
          </w:tbl>
          <w:p w14:paraId="7A65339F">
            <w:pPr>
              <w:pStyle w:val="4"/>
            </w:pPr>
            <w:r>
              <w:rPr>
                <w:rFonts w:hint="eastAsia"/>
              </w:rPr>
              <w:t>工程技术标准及设计参数</w:t>
            </w:r>
          </w:p>
          <w:p w14:paraId="177A53A0">
            <w:pPr>
              <w:ind w:firstLine="420" w:firstLineChars="200"/>
              <w:rPr>
                <w:color w:val="000000"/>
              </w:rPr>
            </w:pPr>
            <w:r>
              <w:rPr>
                <w:rFonts w:hint="eastAsia"/>
                <w:color w:val="000000"/>
              </w:rPr>
              <w:t>本项目主要技术标准详见下表。</w:t>
            </w:r>
          </w:p>
          <w:p w14:paraId="2FFC09D4">
            <w:pPr>
              <w:pStyle w:val="9"/>
              <w:spacing w:before="120"/>
            </w:pPr>
            <w:r>
              <w:t xml:space="preserve">表 </w:t>
            </w:r>
            <w:r>
              <w:fldChar w:fldCharType="begin"/>
            </w:r>
            <w:r>
              <w:instrText xml:space="preserve"> STYLEREF 1 \s </w:instrText>
            </w:r>
            <w:r>
              <w:fldChar w:fldCharType="separate"/>
            </w:r>
            <w:r>
              <w:t>2</w:t>
            </w:r>
            <w:r>
              <w:fldChar w:fldCharType="end"/>
            </w:r>
            <w:r>
              <w:noBreakHyphen/>
            </w:r>
            <w:r>
              <w:fldChar w:fldCharType="begin"/>
            </w:r>
            <w:r>
              <w:instrText xml:space="preserve"> SEQ 表 \* ARABIC \s 1 </w:instrText>
            </w:r>
            <w:r>
              <w:fldChar w:fldCharType="separate"/>
            </w:r>
            <w:r>
              <w:t>3</w:t>
            </w:r>
            <w:r>
              <w:fldChar w:fldCharType="end"/>
            </w:r>
            <w:r>
              <w:t xml:space="preserve"> 工程技术标准及设计参数</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22"/>
              <w:gridCol w:w="1234"/>
              <w:gridCol w:w="958"/>
              <w:gridCol w:w="4384"/>
            </w:tblGrid>
            <w:tr w14:paraId="01EBD1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Merge w:val="restart"/>
                  <w:vAlign w:val="center"/>
                </w:tcPr>
                <w:p w14:paraId="4AE6D427">
                  <w:pPr>
                    <w:spacing w:line="240" w:lineRule="auto"/>
                    <w:jc w:val="center"/>
                    <w:rPr>
                      <w:rFonts w:cs="宋体"/>
                      <w:b/>
                      <w:bCs/>
                      <w:kern w:val="0"/>
                      <w:sz w:val="18"/>
                      <w:szCs w:val="18"/>
                    </w:rPr>
                  </w:pPr>
                  <w:r>
                    <w:rPr>
                      <w:rFonts w:hint="eastAsia" w:ascii="宋体" w:hAnsi="宋体"/>
                      <w:b/>
                      <w:bCs/>
                      <w:sz w:val="18"/>
                      <w:szCs w:val="18"/>
                    </w:rPr>
                    <w:t>指标</w:t>
                  </w:r>
                </w:p>
              </w:tc>
              <w:tc>
                <w:tcPr>
                  <w:tcW w:w="958" w:type="dxa"/>
                  <w:vMerge w:val="restart"/>
                  <w:vAlign w:val="center"/>
                </w:tcPr>
                <w:p w14:paraId="1465AA65">
                  <w:pPr>
                    <w:spacing w:line="240" w:lineRule="auto"/>
                    <w:jc w:val="center"/>
                    <w:rPr>
                      <w:rFonts w:cs="宋体"/>
                      <w:b/>
                      <w:bCs/>
                      <w:sz w:val="18"/>
                      <w:szCs w:val="18"/>
                    </w:rPr>
                  </w:pPr>
                  <w:r>
                    <w:rPr>
                      <w:rFonts w:hint="eastAsia" w:ascii="宋体" w:hAnsi="宋体"/>
                      <w:b/>
                      <w:bCs/>
                      <w:sz w:val="18"/>
                      <w:szCs w:val="18"/>
                    </w:rPr>
                    <w:t>单位</w:t>
                  </w:r>
                </w:p>
              </w:tc>
              <w:tc>
                <w:tcPr>
                  <w:tcW w:w="4384" w:type="dxa"/>
                  <w:vAlign w:val="center"/>
                </w:tcPr>
                <w:p w14:paraId="1B46B072">
                  <w:pPr>
                    <w:spacing w:line="240" w:lineRule="auto"/>
                    <w:jc w:val="center"/>
                    <w:rPr>
                      <w:rFonts w:cs="宋体"/>
                      <w:b/>
                      <w:bCs/>
                      <w:sz w:val="18"/>
                      <w:szCs w:val="18"/>
                    </w:rPr>
                  </w:pPr>
                  <w:r>
                    <w:rPr>
                      <w:rFonts w:hint="eastAsia" w:ascii="宋体" w:hAnsi="宋体"/>
                      <w:b/>
                      <w:bCs/>
                      <w:sz w:val="18"/>
                      <w:szCs w:val="18"/>
                    </w:rPr>
                    <w:t>技术标准</w:t>
                  </w:r>
                </w:p>
              </w:tc>
            </w:tr>
            <w:tr w14:paraId="728F8E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Merge w:val="continue"/>
                  <w:vAlign w:val="center"/>
                </w:tcPr>
                <w:p w14:paraId="4ECCCA36">
                  <w:pPr>
                    <w:adjustRightInd/>
                    <w:snapToGrid/>
                    <w:spacing w:line="240" w:lineRule="auto"/>
                    <w:rPr>
                      <w:rFonts w:cs="宋体"/>
                      <w:b/>
                      <w:bCs/>
                      <w:color w:val="000000"/>
                      <w:sz w:val="18"/>
                      <w:szCs w:val="18"/>
                    </w:rPr>
                  </w:pPr>
                </w:p>
              </w:tc>
              <w:tc>
                <w:tcPr>
                  <w:tcW w:w="958" w:type="dxa"/>
                  <w:vMerge w:val="continue"/>
                  <w:vAlign w:val="center"/>
                </w:tcPr>
                <w:p w14:paraId="21764E24">
                  <w:pPr>
                    <w:adjustRightInd/>
                    <w:snapToGrid/>
                    <w:spacing w:line="240" w:lineRule="auto"/>
                    <w:rPr>
                      <w:rFonts w:cs="宋体"/>
                      <w:b/>
                      <w:bCs/>
                      <w:color w:val="000000"/>
                      <w:sz w:val="18"/>
                      <w:szCs w:val="18"/>
                    </w:rPr>
                  </w:pPr>
                </w:p>
              </w:tc>
              <w:tc>
                <w:tcPr>
                  <w:tcW w:w="4384" w:type="dxa"/>
                  <w:vAlign w:val="center"/>
                </w:tcPr>
                <w:p w14:paraId="52A0815C">
                  <w:pPr>
                    <w:spacing w:line="240" w:lineRule="auto"/>
                    <w:jc w:val="center"/>
                    <w:rPr>
                      <w:rFonts w:cs="宋体"/>
                      <w:b/>
                      <w:bCs/>
                      <w:sz w:val="18"/>
                      <w:szCs w:val="18"/>
                    </w:rPr>
                  </w:pPr>
                  <w:r>
                    <w:rPr>
                      <w:rFonts w:hint="eastAsia" w:ascii="宋体" w:hAnsi="宋体"/>
                      <w:b/>
                      <w:bCs/>
                      <w:sz w:val="18"/>
                      <w:szCs w:val="18"/>
                    </w:rPr>
                    <w:t>青西二路（江东大道-河景路）</w:t>
                  </w:r>
                </w:p>
              </w:tc>
            </w:tr>
            <w:tr w14:paraId="4C8AF7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98" w:type="dxa"/>
                  <w:gridSpan w:val="4"/>
                  <w:vAlign w:val="center"/>
                </w:tcPr>
                <w:p w14:paraId="086602ED">
                  <w:pPr>
                    <w:spacing w:line="240" w:lineRule="auto"/>
                    <w:jc w:val="left"/>
                    <w:rPr>
                      <w:rFonts w:cs="宋体"/>
                      <w:sz w:val="18"/>
                      <w:szCs w:val="18"/>
                    </w:rPr>
                  </w:pPr>
                  <w:r>
                    <w:rPr>
                      <w:rFonts w:hint="eastAsia" w:ascii="宋体" w:hAnsi="宋体"/>
                      <w:sz w:val="18"/>
                      <w:szCs w:val="18"/>
                    </w:rPr>
                    <w:t>一、技术指标</w:t>
                  </w:r>
                </w:p>
              </w:tc>
            </w:tr>
            <w:tr w14:paraId="40959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0A3CDC40">
                  <w:pPr>
                    <w:spacing w:line="240" w:lineRule="auto"/>
                    <w:jc w:val="center"/>
                    <w:rPr>
                      <w:rFonts w:cs="宋体"/>
                      <w:sz w:val="18"/>
                      <w:szCs w:val="18"/>
                    </w:rPr>
                  </w:pPr>
                  <w:r>
                    <w:rPr>
                      <w:rFonts w:hint="eastAsia" w:ascii="宋体" w:hAnsi="宋体"/>
                      <w:sz w:val="18"/>
                      <w:szCs w:val="18"/>
                    </w:rPr>
                    <w:t>道路等级</w:t>
                  </w:r>
                </w:p>
              </w:tc>
              <w:tc>
                <w:tcPr>
                  <w:tcW w:w="958" w:type="dxa"/>
                  <w:vAlign w:val="center"/>
                </w:tcPr>
                <w:p w14:paraId="5BDA2FFB">
                  <w:pPr>
                    <w:spacing w:line="240" w:lineRule="auto"/>
                    <w:jc w:val="center"/>
                    <w:rPr>
                      <w:rFonts w:cs="宋体"/>
                      <w:sz w:val="18"/>
                      <w:szCs w:val="18"/>
                    </w:rPr>
                  </w:pPr>
                  <w:r>
                    <w:rPr>
                      <w:rFonts w:hint="eastAsia"/>
                      <w:sz w:val="18"/>
                      <w:szCs w:val="18"/>
                    </w:rPr>
                    <w:t>/</w:t>
                  </w:r>
                </w:p>
              </w:tc>
              <w:tc>
                <w:tcPr>
                  <w:tcW w:w="4384" w:type="dxa"/>
                  <w:vAlign w:val="center"/>
                </w:tcPr>
                <w:p w14:paraId="5C6F9AE1">
                  <w:pPr>
                    <w:spacing w:line="240" w:lineRule="auto"/>
                    <w:jc w:val="center"/>
                    <w:rPr>
                      <w:rFonts w:cs="宋体"/>
                      <w:sz w:val="18"/>
                      <w:szCs w:val="18"/>
                    </w:rPr>
                  </w:pPr>
                  <w:r>
                    <w:rPr>
                      <w:rFonts w:hint="eastAsia" w:ascii="宋体" w:hAnsi="宋体"/>
                      <w:sz w:val="18"/>
                      <w:szCs w:val="18"/>
                    </w:rPr>
                    <w:t>城市次干路</w:t>
                  </w:r>
                </w:p>
              </w:tc>
            </w:tr>
            <w:tr w14:paraId="51EFF2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46AB6AFC">
                  <w:pPr>
                    <w:spacing w:line="240" w:lineRule="auto"/>
                    <w:jc w:val="center"/>
                    <w:rPr>
                      <w:rFonts w:cs="宋体"/>
                      <w:sz w:val="18"/>
                      <w:szCs w:val="18"/>
                    </w:rPr>
                  </w:pPr>
                  <w:r>
                    <w:rPr>
                      <w:rFonts w:hint="eastAsia" w:ascii="宋体" w:hAnsi="宋体"/>
                      <w:sz w:val="18"/>
                      <w:szCs w:val="18"/>
                    </w:rPr>
                    <w:t>道路宽度</w:t>
                  </w:r>
                </w:p>
              </w:tc>
              <w:tc>
                <w:tcPr>
                  <w:tcW w:w="958" w:type="dxa"/>
                  <w:vAlign w:val="center"/>
                </w:tcPr>
                <w:p w14:paraId="39341B57">
                  <w:pPr>
                    <w:spacing w:line="240" w:lineRule="auto"/>
                    <w:jc w:val="center"/>
                    <w:rPr>
                      <w:rFonts w:cs="宋体"/>
                      <w:sz w:val="18"/>
                      <w:szCs w:val="18"/>
                    </w:rPr>
                  </w:pPr>
                  <w:r>
                    <w:rPr>
                      <w:rFonts w:hint="eastAsia"/>
                      <w:sz w:val="18"/>
                      <w:szCs w:val="18"/>
                    </w:rPr>
                    <w:t>m</w:t>
                  </w:r>
                </w:p>
              </w:tc>
              <w:tc>
                <w:tcPr>
                  <w:tcW w:w="4384" w:type="dxa"/>
                  <w:vAlign w:val="center"/>
                </w:tcPr>
                <w:p w14:paraId="1F09B19F">
                  <w:pPr>
                    <w:spacing w:line="240" w:lineRule="auto"/>
                    <w:jc w:val="center"/>
                    <w:rPr>
                      <w:rFonts w:cs="宋体"/>
                      <w:sz w:val="18"/>
                      <w:szCs w:val="18"/>
                    </w:rPr>
                  </w:pPr>
                  <w:r>
                    <w:rPr>
                      <w:rFonts w:hint="eastAsia" w:cs="宋体"/>
                      <w:sz w:val="18"/>
                      <w:szCs w:val="18"/>
                    </w:rPr>
                    <w:t>24</w:t>
                  </w:r>
                </w:p>
              </w:tc>
            </w:tr>
            <w:tr w14:paraId="577BE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7D374595">
                  <w:pPr>
                    <w:spacing w:line="240" w:lineRule="auto"/>
                    <w:jc w:val="center"/>
                    <w:rPr>
                      <w:rFonts w:cs="宋体"/>
                      <w:sz w:val="18"/>
                      <w:szCs w:val="18"/>
                    </w:rPr>
                  </w:pPr>
                  <w:r>
                    <w:rPr>
                      <w:rFonts w:hint="eastAsia" w:ascii="宋体" w:hAnsi="宋体"/>
                      <w:sz w:val="18"/>
                      <w:szCs w:val="18"/>
                    </w:rPr>
                    <w:t>设计速度</w:t>
                  </w:r>
                </w:p>
              </w:tc>
              <w:tc>
                <w:tcPr>
                  <w:tcW w:w="958" w:type="dxa"/>
                  <w:vAlign w:val="center"/>
                </w:tcPr>
                <w:p w14:paraId="4C755599">
                  <w:pPr>
                    <w:spacing w:line="240" w:lineRule="auto"/>
                    <w:jc w:val="center"/>
                    <w:rPr>
                      <w:rFonts w:cs="宋体"/>
                      <w:sz w:val="18"/>
                      <w:szCs w:val="18"/>
                    </w:rPr>
                  </w:pPr>
                  <w:r>
                    <w:rPr>
                      <w:rFonts w:hint="eastAsia"/>
                      <w:sz w:val="18"/>
                      <w:szCs w:val="18"/>
                    </w:rPr>
                    <w:t>km/h</w:t>
                  </w:r>
                </w:p>
              </w:tc>
              <w:tc>
                <w:tcPr>
                  <w:tcW w:w="4384" w:type="dxa"/>
                  <w:vAlign w:val="center"/>
                </w:tcPr>
                <w:p w14:paraId="4C619AC9">
                  <w:pPr>
                    <w:spacing w:line="240" w:lineRule="auto"/>
                    <w:jc w:val="center"/>
                    <w:rPr>
                      <w:rFonts w:cs="宋体"/>
                      <w:sz w:val="18"/>
                      <w:szCs w:val="18"/>
                    </w:rPr>
                  </w:pPr>
                  <w:r>
                    <w:rPr>
                      <w:rFonts w:hint="eastAsia" w:cs="宋体"/>
                      <w:sz w:val="18"/>
                      <w:szCs w:val="18"/>
                    </w:rPr>
                    <w:t>40</w:t>
                  </w:r>
                </w:p>
              </w:tc>
            </w:tr>
            <w:tr w14:paraId="3828A0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465E3D92">
                  <w:pPr>
                    <w:spacing w:line="240" w:lineRule="auto"/>
                    <w:jc w:val="center"/>
                    <w:rPr>
                      <w:rFonts w:cs="宋体"/>
                      <w:kern w:val="0"/>
                      <w:sz w:val="18"/>
                      <w:szCs w:val="18"/>
                    </w:rPr>
                  </w:pPr>
                  <w:r>
                    <w:rPr>
                      <w:rFonts w:hint="eastAsia" w:ascii="宋体" w:hAnsi="宋体"/>
                      <w:sz w:val="18"/>
                      <w:szCs w:val="18"/>
                    </w:rPr>
                    <w:t>车道数</w:t>
                  </w:r>
                </w:p>
              </w:tc>
              <w:tc>
                <w:tcPr>
                  <w:tcW w:w="958" w:type="dxa"/>
                  <w:vAlign w:val="center"/>
                </w:tcPr>
                <w:p w14:paraId="286CE0CF">
                  <w:pPr>
                    <w:spacing w:line="240" w:lineRule="auto"/>
                    <w:jc w:val="center"/>
                    <w:rPr>
                      <w:rFonts w:cs="Arial"/>
                      <w:sz w:val="18"/>
                      <w:szCs w:val="18"/>
                    </w:rPr>
                  </w:pPr>
                  <w:r>
                    <w:rPr>
                      <w:rFonts w:hint="eastAsia" w:ascii="宋体" w:hAnsi="宋体"/>
                      <w:sz w:val="18"/>
                      <w:szCs w:val="18"/>
                    </w:rPr>
                    <w:t>道</w:t>
                  </w:r>
                </w:p>
              </w:tc>
              <w:tc>
                <w:tcPr>
                  <w:tcW w:w="4384" w:type="dxa"/>
                  <w:vAlign w:val="center"/>
                </w:tcPr>
                <w:p w14:paraId="73F925B6">
                  <w:pPr>
                    <w:spacing w:line="240" w:lineRule="auto"/>
                    <w:jc w:val="center"/>
                    <w:rPr>
                      <w:sz w:val="18"/>
                      <w:szCs w:val="18"/>
                    </w:rPr>
                  </w:pPr>
                  <w:r>
                    <w:rPr>
                      <w:rFonts w:hint="eastAsia"/>
                      <w:sz w:val="18"/>
                      <w:szCs w:val="18"/>
                    </w:rPr>
                    <w:t>4</w:t>
                  </w:r>
                </w:p>
              </w:tc>
            </w:tr>
            <w:tr w14:paraId="65C76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98" w:type="dxa"/>
                  <w:gridSpan w:val="4"/>
                  <w:vAlign w:val="center"/>
                </w:tcPr>
                <w:p w14:paraId="098F9EAF">
                  <w:pPr>
                    <w:spacing w:line="240" w:lineRule="auto"/>
                    <w:jc w:val="left"/>
                    <w:rPr>
                      <w:rFonts w:cs="宋体"/>
                      <w:sz w:val="18"/>
                      <w:szCs w:val="18"/>
                    </w:rPr>
                  </w:pPr>
                  <w:r>
                    <w:rPr>
                      <w:rFonts w:hint="eastAsia" w:ascii="宋体" w:hAnsi="宋体"/>
                      <w:sz w:val="18"/>
                      <w:szCs w:val="18"/>
                    </w:rPr>
                    <w:t>二、平面指标</w:t>
                  </w:r>
                </w:p>
              </w:tc>
            </w:tr>
            <w:tr w14:paraId="4C241F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2D117125">
                  <w:pPr>
                    <w:spacing w:line="240" w:lineRule="auto"/>
                    <w:jc w:val="center"/>
                    <w:rPr>
                      <w:rFonts w:cs="宋体"/>
                      <w:sz w:val="18"/>
                      <w:szCs w:val="18"/>
                    </w:rPr>
                  </w:pPr>
                  <w:r>
                    <w:rPr>
                      <w:rFonts w:hint="eastAsia" w:ascii="宋体" w:hAnsi="宋体"/>
                      <w:sz w:val="18"/>
                      <w:szCs w:val="18"/>
                    </w:rPr>
                    <w:t>不设超高最小半径</w:t>
                  </w:r>
                </w:p>
              </w:tc>
              <w:tc>
                <w:tcPr>
                  <w:tcW w:w="958" w:type="dxa"/>
                  <w:vAlign w:val="center"/>
                </w:tcPr>
                <w:p w14:paraId="112E52E3">
                  <w:pPr>
                    <w:spacing w:line="240" w:lineRule="auto"/>
                    <w:jc w:val="center"/>
                    <w:rPr>
                      <w:rFonts w:cs="宋体"/>
                      <w:sz w:val="18"/>
                      <w:szCs w:val="18"/>
                    </w:rPr>
                  </w:pPr>
                  <w:r>
                    <w:rPr>
                      <w:rFonts w:hint="eastAsia"/>
                      <w:sz w:val="18"/>
                      <w:szCs w:val="18"/>
                    </w:rPr>
                    <w:t>m</w:t>
                  </w:r>
                </w:p>
              </w:tc>
              <w:tc>
                <w:tcPr>
                  <w:tcW w:w="4384" w:type="dxa"/>
                  <w:vAlign w:val="center"/>
                </w:tcPr>
                <w:p w14:paraId="392E9C04">
                  <w:pPr>
                    <w:spacing w:line="240" w:lineRule="auto"/>
                    <w:jc w:val="center"/>
                    <w:rPr>
                      <w:rFonts w:cs="宋体"/>
                      <w:sz w:val="18"/>
                      <w:szCs w:val="18"/>
                    </w:rPr>
                  </w:pPr>
                  <w:r>
                    <w:rPr>
                      <w:rFonts w:hint="eastAsia" w:cs="宋体"/>
                      <w:sz w:val="18"/>
                      <w:szCs w:val="18"/>
                    </w:rPr>
                    <w:t>300</w:t>
                  </w:r>
                </w:p>
              </w:tc>
            </w:tr>
            <w:tr w14:paraId="62A830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20CE720D">
                  <w:pPr>
                    <w:spacing w:line="240" w:lineRule="auto"/>
                    <w:jc w:val="center"/>
                    <w:rPr>
                      <w:rFonts w:cs="宋体"/>
                      <w:sz w:val="18"/>
                      <w:szCs w:val="18"/>
                    </w:rPr>
                  </w:pPr>
                  <w:r>
                    <w:rPr>
                      <w:rFonts w:hint="eastAsia" w:cs="宋体"/>
                      <w:sz w:val="18"/>
                      <w:szCs w:val="18"/>
                    </w:rPr>
                    <w:t>最大纵坡</w:t>
                  </w:r>
                </w:p>
              </w:tc>
              <w:tc>
                <w:tcPr>
                  <w:tcW w:w="958" w:type="dxa"/>
                  <w:vAlign w:val="center"/>
                </w:tcPr>
                <w:p w14:paraId="2AFA13DF">
                  <w:pPr>
                    <w:spacing w:line="240" w:lineRule="auto"/>
                    <w:jc w:val="center"/>
                    <w:rPr>
                      <w:rFonts w:cs="Arial"/>
                      <w:sz w:val="18"/>
                      <w:szCs w:val="18"/>
                    </w:rPr>
                  </w:pPr>
                  <w:r>
                    <w:rPr>
                      <w:rFonts w:hint="eastAsia" w:cs="Arial"/>
                      <w:sz w:val="18"/>
                      <w:szCs w:val="18"/>
                    </w:rPr>
                    <w:t>%</w:t>
                  </w:r>
                </w:p>
              </w:tc>
              <w:tc>
                <w:tcPr>
                  <w:tcW w:w="4384" w:type="dxa"/>
                  <w:vAlign w:val="center"/>
                </w:tcPr>
                <w:p w14:paraId="56D91FDC">
                  <w:pPr>
                    <w:spacing w:line="240" w:lineRule="auto"/>
                    <w:jc w:val="center"/>
                    <w:rPr>
                      <w:rFonts w:cs="宋体"/>
                      <w:sz w:val="18"/>
                      <w:szCs w:val="18"/>
                    </w:rPr>
                  </w:pPr>
                  <w:r>
                    <w:rPr>
                      <w:rFonts w:hint="eastAsia" w:cs="宋体"/>
                      <w:sz w:val="18"/>
                      <w:szCs w:val="18"/>
                    </w:rPr>
                    <w:t>3</w:t>
                  </w:r>
                </w:p>
              </w:tc>
            </w:tr>
            <w:tr w14:paraId="28DFD4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695BBE88">
                  <w:pPr>
                    <w:spacing w:line="240" w:lineRule="auto"/>
                    <w:jc w:val="center"/>
                    <w:rPr>
                      <w:rFonts w:cs="宋体"/>
                      <w:sz w:val="18"/>
                      <w:szCs w:val="18"/>
                    </w:rPr>
                  </w:pPr>
                  <w:r>
                    <w:rPr>
                      <w:rFonts w:hint="eastAsia" w:cs="宋体"/>
                      <w:sz w:val="18"/>
                      <w:szCs w:val="18"/>
                    </w:rPr>
                    <w:t>最小坡长</w:t>
                  </w:r>
                </w:p>
              </w:tc>
              <w:tc>
                <w:tcPr>
                  <w:tcW w:w="958" w:type="dxa"/>
                  <w:vAlign w:val="center"/>
                </w:tcPr>
                <w:p w14:paraId="7FA94669">
                  <w:pPr>
                    <w:spacing w:line="240" w:lineRule="auto"/>
                    <w:jc w:val="center"/>
                    <w:rPr>
                      <w:rFonts w:cs="Arial"/>
                      <w:sz w:val="18"/>
                      <w:szCs w:val="18"/>
                    </w:rPr>
                  </w:pPr>
                  <w:r>
                    <w:rPr>
                      <w:rFonts w:hint="eastAsia" w:cs="Arial"/>
                      <w:sz w:val="18"/>
                      <w:szCs w:val="18"/>
                    </w:rPr>
                    <w:t>m</w:t>
                  </w:r>
                </w:p>
              </w:tc>
              <w:tc>
                <w:tcPr>
                  <w:tcW w:w="4384" w:type="dxa"/>
                  <w:vAlign w:val="center"/>
                </w:tcPr>
                <w:p w14:paraId="1BFF36A3">
                  <w:pPr>
                    <w:spacing w:line="240" w:lineRule="auto"/>
                    <w:jc w:val="center"/>
                    <w:rPr>
                      <w:rFonts w:cs="宋体"/>
                      <w:sz w:val="18"/>
                      <w:szCs w:val="18"/>
                    </w:rPr>
                  </w:pPr>
                  <w:r>
                    <w:rPr>
                      <w:rFonts w:hint="eastAsia" w:cs="宋体"/>
                      <w:sz w:val="18"/>
                      <w:szCs w:val="18"/>
                    </w:rPr>
                    <w:t>110</w:t>
                  </w:r>
                </w:p>
              </w:tc>
            </w:tr>
            <w:tr w14:paraId="75513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2DF637B2">
                  <w:pPr>
                    <w:spacing w:line="240" w:lineRule="auto"/>
                    <w:jc w:val="center"/>
                    <w:rPr>
                      <w:rFonts w:cs="宋体"/>
                      <w:sz w:val="18"/>
                      <w:szCs w:val="18"/>
                    </w:rPr>
                  </w:pPr>
                  <w:r>
                    <w:rPr>
                      <w:rFonts w:hint="eastAsia" w:ascii="宋体" w:hAnsi="宋体"/>
                      <w:sz w:val="18"/>
                      <w:szCs w:val="18"/>
                    </w:rPr>
                    <w:t>停车视距</w:t>
                  </w:r>
                </w:p>
              </w:tc>
              <w:tc>
                <w:tcPr>
                  <w:tcW w:w="958" w:type="dxa"/>
                  <w:vAlign w:val="center"/>
                </w:tcPr>
                <w:p w14:paraId="59C3627B">
                  <w:pPr>
                    <w:spacing w:line="240" w:lineRule="auto"/>
                    <w:jc w:val="center"/>
                    <w:rPr>
                      <w:rFonts w:cs="Arial"/>
                      <w:sz w:val="18"/>
                      <w:szCs w:val="18"/>
                    </w:rPr>
                  </w:pPr>
                  <w:r>
                    <w:rPr>
                      <w:rFonts w:hint="eastAsia"/>
                      <w:sz w:val="18"/>
                      <w:szCs w:val="18"/>
                    </w:rPr>
                    <w:t>m</w:t>
                  </w:r>
                </w:p>
              </w:tc>
              <w:tc>
                <w:tcPr>
                  <w:tcW w:w="4384" w:type="dxa"/>
                  <w:vAlign w:val="center"/>
                </w:tcPr>
                <w:p w14:paraId="37A5F914">
                  <w:pPr>
                    <w:spacing w:line="240" w:lineRule="auto"/>
                    <w:jc w:val="center"/>
                    <w:rPr>
                      <w:rFonts w:cs="宋体"/>
                      <w:sz w:val="18"/>
                      <w:szCs w:val="18"/>
                    </w:rPr>
                  </w:pPr>
                  <w:r>
                    <w:rPr>
                      <w:rFonts w:hint="eastAsia" w:cs="宋体"/>
                      <w:sz w:val="18"/>
                      <w:szCs w:val="18"/>
                    </w:rPr>
                    <w:t>40</w:t>
                  </w:r>
                </w:p>
              </w:tc>
            </w:tr>
            <w:tr w14:paraId="628FA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98" w:type="dxa"/>
                  <w:gridSpan w:val="4"/>
                  <w:vAlign w:val="center"/>
                </w:tcPr>
                <w:p w14:paraId="4814D72D">
                  <w:pPr>
                    <w:spacing w:line="240" w:lineRule="auto"/>
                    <w:jc w:val="left"/>
                    <w:rPr>
                      <w:sz w:val="18"/>
                      <w:szCs w:val="18"/>
                    </w:rPr>
                  </w:pPr>
                  <w:r>
                    <w:rPr>
                      <w:rFonts w:hint="eastAsia" w:ascii="宋体" w:hAnsi="宋体"/>
                      <w:sz w:val="18"/>
                      <w:szCs w:val="18"/>
                    </w:rPr>
                    <w:t>三、纵断指标</w:t>
                  </w:r>
                </w:p>
              </w:tc>
            </w:tr>
            <w:tr w14:paraId="23231C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3BC921E8">
                  <w:pPr>
                    <w:spacing w:line="240" w:lineRule="auto"/>
                    <w:jc w:val="center"/>
                    <w:rPr>
                      <w:rFonts w:cs="宋体"/>
                      <w:sz w:val="18"/>
                      <w:szCs w:val="18"/>
                    </w:rPr>
                  </w:pPr>
                  <w:r>
                    <w:rPr>
                      <w:rFonts w:hint="eastAsia" w:ascii="宋体" w:hAnsi="宋体"/>
                      <w:sz w:val="18"/>
                      <w:szCs w:val="18"/>
                    </w:rPr>
                    <w:t>最小纵坡</w:t>
                  </w:r>
                </w:p>
              </w:tc>
              <w:tc>
                <w:tcPr>
                  <w:tcW w:w="958" w:type="dxa"/>
                  <w:vAlign w:val="center"/>
                </w:tcPr>
                <w:p w14:paraId="2E2691AE">
                  <w:pPr>
                    <w:spacing w:line="240" w:lineRule="auto"/>
                    <w:jc w:val="center"/>
                    <w:rPr>
                      <w:rFonts w:cs="Arial"/>
                      <w:sz w:val="18"/>
                      <w:szCs w:val="18"/>
                    </w:rPr>
                  </w:pPr>
                  <w:r>
                    <w:rPr>
                      <w:rFonts w:hint="eastAsia"/>
                      <w:sz w:val="18"/>
                      <w:szCs w:val="18"/>
                    </w:rPr>
                    <w:t>%</w:t>
                  </w:r>
                </w:p>
              </w:tc>
              <w:tc>
                <w:tcPr>
                  <w:tcW w:w="4384" w:type="dxa"/>
                  <w:vAlign w:val="center"/>
                </w:tcPr>
                <w:p w14:paraId="18AF963B">
                  <w:pPr>
                    <w:spacing w:line="240" w:lineRule="auto"/>
                    <w:jc w:val="center"/>
                    <w:rPr>
                      <w:rFonts w:cs="宋体"/>
                      <w:sz w:val="18"/>
                      <w:szCs w:val="18"/>
                    </w:rPr>
                  </w:pPr>
                  <w:r>
                    <w:rPr>
                      <w:rFonts w:hint="eastAsia" w:cs="宋体"/>
                      <w:sz w:val="18"/>
                      <w:szCs w:val="18"/>
                    </w:rPr>
                    <w:t>0.3</w:t>
                  </w:r>
                </w:p>
              </w:tc>
            </w:tr>
            <w:tr w14:paraId="4285CA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56" w:type="dxa"/>
                  <w:gridSpan w:val="2"/>
                  <w:vAlign w:val="center"/>
                </w:tcPr>
                <w:p w14:paraId="151C01A9">
                  <w:pPr>
                    <w:spacing w:line="240" w:lineRule="auto"/>
                    <w:jc w:val="center"/>
                    <w:rPr>
                      <w:rFonts w:cs="宋体"/>
                      <w:sz w:val="18"/>
                      <w:szCs w:val="18"/>
                    </w:rPr>
                  </w:pPr>
                  <w:r>
                    <w:rPr>
                      <w:rFonts w:hint="eastAsia" w:ascii="宋体" w:hAnsi="宋体"/>
                      <w:sz w:val="18"/>
                      <w:szCs w:val="18"/>
                    </w:rPr>
                    <w:t>最大纵坡</w:t>
                  </w:r>
                </w:p>
              </w:tc>
              <w:tc>
                <w:tcPr>
                  <w:tcW w:w="958" w:type="dxa"/>
                  <w:vAlign w:val="center"/>
                </w:tcPr>
                <w:p w14:paraId="6E786B83">
                  <w:pPr>
                    <w:spacing w:line="240" w:lineRule="auto"/>
                    <w:jc w:val="center"/>
                    <w:rPr>
                      <w:rFonts w:cs="Arial"/>
                      <w:sz w:val="18"/>
                      <w:szCs w:val="18"/>
                    </w:rPr>
                  </w:pPr>
                  <w:r>
                    <w:rPr>
                      <w:rFonts w:hint="eastAsia"/>
                      <w:sz w:val="18"/>
                      <w:szCs w:val="18"/>
                    </w:rPr>
                    <w:t>%</w:t>
                  </w:r>
                </w:p>
              </w:tc>
              <w:tc>
                <w:tcPr>
                  <w:tcW w:w="4384" w:type="dxa"/>
                  <w:vAlign w:val="center"/>
                </w:tcPr>
                <w:p w14:paraId="1CC1667F">
                  <w:pPr>
                    <w:spacing w:line="240" w:lineRule="auto"/>
                    <w:jc w:val="center"/>
                    <w:rPr>
                      <w:rFonts w:cs="宋体"/>
                      <w:sz w:val="18"/>
                      <w:szCs w:val="18"/>
                    </w:rPr>
                  </w:pPr>
                  <w:r>
                    <w:rPr>
                      <w:rFonts w:hint="eastAsia" w:cs="宋体"/>
                      <w:sz w:val="18"/>
                      <w:szCs w:val="18"/>
                    </w:rPr>
                    <w:t>3</w:t>
                  </w:r>
                </w:p>
              </w:tc>
            </w:tr>
            <w:tr w14:paraId="1F6115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2" w:type="dxa"/>
                  <w:vMerge w:val="restart"/>
                  <w:vAlign w:val="center"/>
                </w:tcPr>
                <w:p w14:paraId="21C25BA4">
                  <w:pPr>
                    <w:spacing w:line="240" w:lineRule="auto"/>
                    <w:jc w:val="center"/>
                    <w:rPr>
                      <w:rFonts w:cs="宋体"/>
                      <w:sz w:val="18"/>
                      <w:szCs w:val="18"/>
                    </w:rPr>
                  </w:pPr>
                  <w:r>
                    <w:rPr>
                      <w:rFonts w:hint="eastAsia" w:ascii="宋体" w:hAnsi="宋体"/>
                      <w:sz w:val="18"/>
                      <w:szCs w:val="18"/>
                    </w:rPr>
                    <w:t>凸形竖曲线</w:t>
                  </w:r>
                </w:p>
              </w:tc>
              <w:tc>
                <w:tcPr>
                  <w:tcW w:w="1234" w:type="dxa"/>
                  <w:vAlign w:val="center"/>
                </w:tcPr>
                <w:p w14:paraId="38426065">
                  <w:pPr>
                    <w:spacing w:line="240" w:lineRule="auto"/>
                    <w:jc w:val="center"/>
                    <w:rPr>
                      <w:rFonts w:cs="宋体"/>
                      <w:sz w:val="18"/>
                      <w:szCs w:val="18"/>
                    </w:rPr>
                  </w:pPr>
                  <w:r>
                    <w:rPr>
                      <w:rFonts w:hint="eastAsia" w:ascii="宋体" w:hAnsi="宋体"/>
                      <w:sz w:val="18"/>
                      <w:szCs w:val="18"/>
                    </w:rPr>
                    <w:t>一般值</w:t>
                  </w:r>
                </w:p>
              </w:tc>
              <w:tc>
                <w:tcPr>
                  <w:tcW w:w="958" w:type="dxa"/>
                  <w:vAlign w:val="center"/>
                </w:tcPr>
                <w:p w14:paraId="6578D6E9">
                  <w:pPr>
                    <w:spacing w:line="240" w:lineRule="auto"/>
                    <w:jc w:val="center"/>
                    <w:rPr>
                      <w:rFonts w:cs="宋体"/>
                      <w:sz w:val="18"/>
                      <w:szCs w:val="18"/>
                    </w:rPr>
                  </w:pPr>
                  <w:r>
                    <w:rPr>
                      <w:rFonts w:hint="eastAsia"/>
                      <w:sz w:val="18"/>
                      <w:szCs w:val="18"/>
                    </w:rPr>
                    <w:t>m</w:t>
                  </w:r>
                </w:p>
              </w:tc>
              <w:tc>
                <w:tcPr>
                  <w:tcW w:w="4384" w:type="dxa"/>
                  <w:vAlign w:val="center"/>
                </w:tcPr>
                <w:p w14:paraId="67D988C7">
                  <w:pPr>
                    <w:spacing w:line="240" w:lineRule="auto"/>
                    <w:jc w:val="center"/>
                    <w:rPr>
                      <w:rFonts w:cs="宋体"/>
                      <w:sz w:val="18"/>
                      <w:szCs w:val="18"/>
                    </w:rPr>
                  </w:pPr>
                  <w:r>
                    <w:rPr>
                      <w:rFonts w:hint="eastAsia" w:cs="宋体"/>
                      <w:sz w:val="18"/>
                      <w:szCs w:val="18"/>
                    </w:rPr>
                    <w:t>900</w:t>
                  </w:r>
                </w:p>
              </w:tc>
            </w:tr>
            <w:tr w14:paraId="07509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2" w:type="dxa"/>
                  <w:vMerge w:val="continue"/>
                  <w:vAlign w:val="center"/>
                </w:tcPr>
                <w:p w14:paraId="6A904B0C">
                  <w:pPr>
                    <w:spacing w:line="240" w:lineRule="auto"/>
                    <w:jc w:val="center"/>
                    <w:rPr>
                      <w:rFonts w:hint="eastAsia" w:ascii="宋体" w:hAnsi="宋体"/>
                      <w:sz w:val="18"/>
                      <w:szCs w:val="18"/>
                    </w:rPr>
                  </w:pPr>
                </w:p>
              </w:tc>
              <w:tc>
                <w:tcPr>
                  <w:tcW w:w="1234" w:type="dxa"/>
                  <w:vAlign w:val="center"/>
                </w:tcPr>
                <w:p w14:paraId="3C9BF90E">
                  <w:pPr>
                    <w:spacing w:line="240" w:lineRule="auto"/>
                    <w:jc w:val="center"/>
                    <w:rPr>
                      <w:rFonts w:hint="eastAsia" w:ascii="宋体" w:hAnsi="宋体"/>
                      <w:sz w:val="18"/>
                      <w:szCs w:val="18"/>
                    </w:rPr>
                  </w:pPr>
                  <w:r>
                    <w:rPr>
                      <w:rFonts w:hint="eastAsia" w:ascii="宋体" w:hAnsi="宋体"/>
                      <w:sz w:val="18"/>
                      <w:szCs w:val="18"/>
                    </w:rPr>
                    <w:t>极限值</w:t>
                  </w:r>
                </w:p>
              </w:tc>
              <w:tc>
                <w:tcPr>
                  <w:tcW w:w="958" w:type="dxa"/>
                  <w:vAlign w:val="center"/>
                </w:tcPr>
                <w:p w14:paraId="46AE64EE">
                  <w:pPr>
                    <w:spacing w:line="240" w:lineRule="auto"/>
                    <w:jc w:val="center"/>
                    <w:rPr>
                      <w:sz w:val="18"/>
                      <w:szCs w:val="18"/>
                    </w:rPr>
                  </w:pPr>
                  <w:r>
                    <w:rPr>
                      <w:rFonts w:hint="eastAsia"/>
                      <w:sz w:val="18"/>
                      <w:szCs w:val="18"/>
                    </w:rPr>
                    <w:t>m</w:t>
                  </w:r>
                </w:p>
              </w:tc>
              <w:tc>
                <w:tcPr>
                  <w:tcW w:w="4384" w:type="dxa"/>
                  <w:vAlign w:val="center"/>
                </w:tcPr>
                <w:p w14:paraId="2B62C5F2">
                  <w:pPr>
                    <w:spacing w:line="240" w:lineRule="auto"/>
                    <w:jc w:val="center"/>
                    <w:rPr>
                      <w:rFonts w:cs="宋体"/>
                      <w:sz w:val="18"/>
                      <w:szCs w:val="18"/>
                    </w:rPr>
                  </w:pPr>
                  <w:r>
                    <w:rPr>
                      <w:rFonts w:hint="eastAsia" w:cs="宋体"/>
                      <w:sz w:val="18"/>
                      <w:szCs w:val="18"/>
                    </w:rPr>
                    <w:t>/</w:t>
                  </w:r>
                </w:p>
              </w:tc>
            </w:tr>
            <w:tr w14:paraId="295DD1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2" w:type="dxa"/>
                  <w:vMerge w:val="restart"/>
                  <w:vAlign w:val="center"/>
                </w:tcPr>
                <w:p w14:paraId="3930E31E">
                  <w:pPr>
                    <w:spacing w:line="240" w:lineRule="auto"/>
                    <w:jc w:val="center"/>
                    <w:rPr>
                      <w:rFonts w:cs="宋体"/>
                      <w:sz w:val="18"/>
                      <w:szCs w:val="18"/>
                    </w:rPr>
                  </w:pPr>
                  <w:r>
                    <w:rPr>
                      <w:rFonts w:hint="eastAsia" w:ascii="宋体" w:hAnsi="宋体"/>
                      <w:sz w:val="18"/>
                      <w:szCs w:val="18"/>
                    </w:rPr>
                    <w:t>凹形竖曲线</w:t>
                  </w:r>
                </w:p>
              </w:tc>
              <w:tc>
                <w:tcPr>
                  <w:tcW w:w="1234" w:type="dxa"/>
                  <w:vAlign w:val="center"/>
                </w:tcPr>
                <w:p w14:paraId="2385DB6E">
                  <w:pPr>
                    <w:spacing w:line="240" w:lineRule="auto"/>
                    <w:jc w:val="center"/>
                    <w:rPr>
                      <w:rFonts w:cs="Arial"/>
                      <w:sz w:val="18"/>
                      <w:szCs w:val="18"/>
                    </w:rPr>
                  </w:pPr>
                  <w:r>
                    <w:rPr>
                      <w:rFonts w:hint="eastAsia" w:ascii="宋体" w:hAnsi="宋体"/>
                      <w:sz w:val="18"/>
                      <w:szCs w:val="18"/>
                    </w:rPr>
                    <w:t>一般值</w:t>
                  </w:r>
                </w:p>
              </w:tc>
              <w:tc>
                <w:tcPr>
                  <w:tcW w:w="958" w:type="dxa"/>
                  <w:vAlign w:val="center"/>
                </w:tcPr>
                <w:p w14:paraId="613FC328">
                  <w:pPr>
                    <w:spacing w:line="240" w:lineRule="auto"/>
                    <w:jc w:val="center"/>
                    <w:rPr>
                      <w:rFonts w:cs="宋体"/>
                      <w:sz w:val="18"/>
                      <w:szCs w:val="18"/>
                    </w:rPr>
                  </w:pPr>
                  <w:r>
                    <w:rPr>
                      <w:rFonts w:hint="eastAsia"/>
                      <w:sz w:val="18"/>
                      <w:szCs w:val="18"/>
                    </w:rPr>
                    <w:t>m</w:t>
                  </w:r>
                </w:p>
              </w:tc>
              <w:tc>
                <w:tcPr>
                  <w:tcW w:w="4384" w:type="dxa"/>
                  <w:vAlign w:val="center"/>
                </w:tcPr>
                <w:p w14:paraId="662EB836">
                  <w:pPr>
                    <w:spacing w:line="240" w:lineRule="auto"/>
                    <w:jc w:val="center"/>
                    <w:rPr>
                      <w:rFonts w:cs="宋体"/>
                      <w:sz w:val="18"/>
                      <w:szCs w:val="18"/>
                    </w:rPr>
                  </w:pPr>
                  <w:r>
                    <w:rPr>
                      <w:rFonts w:hint="eastAsia" w:cs="宋体"/>
                      <w:sz w:val="18"/>
                      <w:szCs w:val="18"/>
                    </w:rPr>
                    <w:t>2000</w:t>
                  </w:r>
                </w:p>
              </w:tc>
            </w:tr>
            <w:tr w14:paraId="20CAEA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2" w:type="dxa"/>
                  <w:vMerge w:val="continue"/>
                  <w:vAlign w:val="center"/>
                </w:tcPr>
                <w:p w14:paraId="0F4B3091">
                  <w:pPr>
                    <w:adjustRightInd/>
                    <w:snapToGrid/>
                    <w:spacing w:line="240" w:lineRule="auto"/>
                    <w:rPr>
                      <w:rFonts w:cs="宋体"/>
                      <w:color w:val="000000"/>
                      <w:sz w:val="18"/>
                      <w:szCs w:val="18"/>
                    </w:rPr>
                  </w:pPr>
                </w:p>
              </w:tc>
              <w:tc>
                <w:tcPr>
                  <w:tcW w:w="1234" w:type="dxa"/>
                  <w:vAlign w:val="center"/>
                </w:tcPr>
                <w:p w14:paraId="5292D862">
                  <w:pPr>
                    <w:spacing w:line="240" w:lineRule="auto"/>
                    <w:jc w:val="center"/>
                    <w:rPr>
                      <w:rFonts w:cs="宋体"/>
                      <w:sz w:val="18"/>
                      <w:szCs w:val="18"/>
                    </w:rPr>
                  </w:pPr>
                  <w:r>
                    <w:rPr>
                      <w:rFonts w:hint="eastAsia" w:cs="宋体"/>
                      <w:sz w:val="18"/>
                      <w:szCs w:val="18"/>
                    </w:rPr>
                    <w:t>极限值</w:t>
                  </w:r>
                </w:p>
              </w:tc>
              <w:tc>
                <w:tcPr>
                  <w:tcW w:w="958" w:type="dxa"/>
                  <w:vAlign w:val="center"/>
                </w:tcPr>
                <w:p w14:paraId="6683F9CC">
                  <w:pPr>
                    <w:spacing w:line="240" w:lineRule="auto"/>
                    <w:jc w:val="center"/>
                    <w:rPr>
                      <w:rFonts w:cs="宋体"/>
                      <w:sz w:val="18"/>
                      <w:szCs w:val="18"/>
                    </w:rPr>
                  </w:pPr>
                  <w:r>
                    <w:rPr>
                      <w:rFonts w:hint="eastAsia" w:cs="宋体"/>
                      <w:sz w:val="18"/>
                      <w:szCs w:val="18"/>
                    </w:rPr>
                    <w:t>m</w:t>
                  </w:r>
                </w:p>
              </w:tc>
              <w:tc>
                <w:tcPr>
                  <w:tcW w:w="4384" w:type="dxa"/>
                  <w:vAlign w:val="center"/>
                </w:tcPr>
                <w:p w14:paraId="7012EAE9">
                  <w:pPr>
                    <w:spacing w:line="240" w:lineRule="auto"/>
                    <w:jc w:val="center"/>
                    <w:rPr>
                      <w:rFonts w:cs="宋体"/>
                      <w:sz w:val="18"/>
                      <w:szCs w:val="18"/>
                    </w:rPr>
                  </w:pPr>
                  <w:r>
                    <w:rPr>
                      <w:rFonts w:hint="eastAsia" w:cs="宋体"/>
                      <w:sz w:val="18"/>
                      <w:szCs w:val="18"/>
                    </w:rPr>
                    <w:t>/</w:t>
                  </w:r>
                </w:p>
              </w:tc>
            </w:tr>
            <w:tr w14:paraId="6F181B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2" w:type="dxa"/>
                  <w:vMerge w:val="restart"/>
                  <w:vAlign w:val="center"/>
                </w:tcPr>
                <w:p w14:paraId="239C9634">
                  <w:pPr>
                    <w:adjustRightInd/>
                    <w:snapToGrid/>
                    <w:spacing w:line="240" w:lineRule="auto"/>
                    <w:jc w:val="center"/>
                    <w:rPr>
                      <w:rFonts w:cs="宋体"/>
                      <w:color w:val="000000"/>
                      <w:sz w:val="18"/>
                      <w:szCs w:val="18"/>
                    </w:rPr>
                  </w:pPr>
                  <w:r>
                    <w:rPr>
                      <w:rFonts w:hint="eastAsia" w:cs="宋体"/>
                      <w:color w:val="000000"/>
                      <w:sz w:val="18"/>
                      <w:szCs w:val="18"/>
                    </w:rPr>
                    <w:t>竖曲线最小长度</w:t>
                  </w:r>
                </w:p>
              </w:tc>
              <w:tc>
                <w:tcPr>
                  <w:tcW w:w="1234" w:type="dxa"/>
                  <w:vAlign w:val="center"/>
                </w:tcPr>
                <w:p w14:paraId="493B032F">
                  <w:pPr>
                    <w:spacing w:line="240" w:lineRule="auto"/>
                    <w:jc w:val="center"/>
                    <w:rPr>
                      <w:rFonts w:hint="eastAsia" w:ascii="宋体" w:hAnsi="宋体"/>
                      <w:sz w:val="18"/>
                      <w:szCs w:val="18"/>
                    </w:rPr>
                  </w:pPr>
                  <w:r>
                    <w:rPr>
                      <w:rFonts w:hint="eastAsia" w:ascii="宋体" w:hAnsi="宋体"/>
                      <w:sz w:val="18"/>
                      <w:szCs w:val="18"/>
                    </w:rPr>
                    <w:t>一般值</w:t>
                  </w:r>
                </w:p>
              </w:tc>
              <w:tc>
                <w:tcPr>
                  <w:tcW w:w="958" w:type="dxa"/>
                  <w:vAlign w:val="center"/>
                </w:tcPr>
                <w:p w14:paraId="77F6080C">
                  <w:pPr>
                    <w:spacing w:line="240" w:lineRule="auto"/>
                    <w:jc w:val="center"/>
                    <w:rPr>
                      <w:sz w:val="18"/>
                      <w:szCs w:val="18"/>
                    </w:rPr>
                  </w:pPr>
                  <w:r>
                    <w:rPr>
                      <w:rFonts w:hint="eastAsia"/>
                      <w:sz w:val="18"/>
                      <w:szCs w:val="18"/>
                    </w:rPr>
                    <w:t>m</w:t>
                  </w:r>
                </w:p>
              </w:tc>
              <w:tc>
                <w:tcPr>
                  <w:tcW w:w="4384" w:type="dxa"/>
                  <w:vAlign w:val="center"/>
                </w:tcPr>
                <w:p w14:paraId="349FBCBB">
                  <w:pPr>
                    <w:spacing w:line="240" w:lineRule="auto"/>
                    <w:jc w:val="center"/>
                    <w:rPr>
                      <w:rFonts w:cs="宋体"/>
                      <w:sz w:val="18"/>
                      <w:szCs w:val="18"/>
                    </w:rPr>
                  </w:pPr>
                  <w:r>
                    <w:rPr>
                      <w:rFonts w:hint="eastAsia" w:cs="宋体"/>
                      <w:sz w:val="18"/>
                      <w:szCs w:val="18"/>
                    </w:rPr>
                    <w:t>90</w:t>
                  </w:r>
                </w:p>
              </w:tc>
            </w:tr>
            <w:tr w14:paraId="0F5F1B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2" w:type="dxa"/>
                  <w:vMerge w:val="continue"/>
                  <w:vAlign w:val="center"/>
                </w:tcPr>
                <w:p w14:paraId="0AF2B806">
                  <w:pPr>
                    <w:adjustRightInd/>
                    <w:snapToGrid/>
                    <w:spacing w:line="240" w:lineRule="auto"/>
                    <w:rPr>
                      <w:rFonts w:cs="宋体"/>
                      <w:color w:val="000000"/>
                      <w:sz w:val="18"/>
                      <w:szCs w:val="18"/>
                    </w:rPr>
                  </w:pPr>
                </w:p>
              </w:tc>
              <w:tc>
                <w:tcPr>
                  <w:tcW w:w="1234" w:type="dxa"/>
                  <w:vAlign w:val="center"/>
                </w:tcPr>
                <w:p w14:paraId="1C8A68AB">
                  <w:pPr>
                    <w:spacing w:line="240" w:lineRule="auto"/>
                    <w:jc w:val="center"/>
                    <w:rPr>
                      <w:rFonts w:hint="eastAsia" w:ascii="宋体" w:hAnsi="宋体"/>
                      <w:sz w:val="18"/>
                      <w:szCs w:val="18"/>
                    </w:rPr>
                  </w:pPr>
                  <w:r>
                    <w:rPr>
                      <w:rFonts w:hint="eastAsia" w:ascii="宋体" w:hAnsi="宋体"/>
                      <w:sz w:val="18"/>
                      <w:szCs w:val="18"/>
                    </w:rPr>
                    <w:t>极限值</w:t>
                  </w:r>
                </w:p>
              </w:tc>
              <w:tc>
                <w:tcPr>
                  <w:tcW w:w="958" w:type="dxa"/>
                  <w:vAlign w:val="center"/>
                </w:tcPr>
                <w:p w14:paraId="04DE1B3A">
                  <w:pPr>
                    <w:spacing w:line="240" w:lineRule="auto"/>
                    <w:jc w:val="center"/>
                    <w:rPr>
                      <w:sz w:val="18"/>
                      <w:szCs w:val="18"/>
                    </w:rPr>
                  </w:pPr>
                  <w:r>
                    <w:rPr>
                      <w:rFonts w:hint="eastAsia"/>
                      <w:sz w:val="18"/>
                      <w:szCs w:val="18"/>
                    </w:rPr>
                    <w:t>m</w:t>
                  </w:r>
                </w:p>
              </w:tc>
              <w:tc>
                <w:tcPr>
                  <w:tcW w:w="4384" w:type="dxa"/>
                  <w:vAlign w:val="center"/>
                </w:tcPr>
                <w:p w14:paraId="57C72EE6">
                  <w:pPr>
                    <w:spacing w:line="240" w:lineRule="auto"/>
                    <w:jc w:val="center"/>
                    <w:rPr>
                      <w:rFonts w:cs="宋体"/>
                      <w:sz w:val="18"/>
                      <w:szCs w:val="18"/>
                    </w:rPr>
                  </w:pPr>
                  <w:r>
                    <w:rPr>
                      <w:rFonts w:hint="eastAsia" w:cs="宋体"/>
                      <w:sz w:val="18"/>
                      <w:szCs w:val="18"/>
                    </w:rPr>
                    <w:t>41.8</w:t>
                  </w:r>
                </w:p>
              </w:tc>
            </w:tr>
          </w:tbl>
          <w:p w14:paraId="31FA6744">
            <w:pPr>
              <w:pStyle w:val="4"/>
            </w:pPr>
            <w:r>
              <w:rPr>
                <w:rFonts w:hint="eastAsia"/>
              </w:rPr>
              <w:t>交通车流预测</w:t>
            </w:r>
          </w:p>
          <w:p w14:paraId="58E415C9">
            <w:pPr>
              <w:widowControl/>
              <w:kinsoku w:val="0"/>
              <w:autoSpaceDE w:val="0"/>
              <w:autoSpaceDN w:val="0"/>
              <w:ind w:firstLine="420" w:firstLineChars="200"/>
              <w:jc w:val="left"/>
              <w:textAlignment w:val="baseline"/>
            </w:pPr>
            <w:r>
              <w:rPr>
                <w:rFonts w:hint="eastAsia"/>
              </w:rPr>
              <w:t>道路建成后为城市次干路，车流量数据由</w:t>
            </w:r>
            <w:r>
              <w:t>本工程项目设计单位</w:t>
            </w:r>
            <w:r>
              <w:rPr>
                <w:rFonts w:hint="eastAsia"/>
              </w:rPr>
              <w:t>预测得到，</w:t>
            </w:r>
            <w:r>
              <w:t>建成后各预测年的小时均车流量见</w:t>
            </w:r>
            <w:r>
              <w:fldChar w:fldCharType="begin"/>
            </w:r>
            <w:r>
              <w:instrText xml:space="preserve"> REF _Ref237270355 \h </w:instrText>
            </w:r>
            <w:r>
              <w:fldChar w:fldCharType="separate"/>
            </w:r>
            <w:r>
              <w:rPr>
                <w:rFonts w:hint="eastAsia"/>
              </w:rPr>
              <w:t xml:space="preserve">表 </w:t>
            </w:r>
            <w:r>
              <w:t>2</w:t>
            </w:r>
            <w:r>
              <w:noBreakHyphen/>
            </w:r>
            <w:r>
              <w:t>4</w:t>
            </w:r>
            <w:r>
              <w:fldChar w:fldCharType="end"/>
            </w:r>
            <w:r>
              <w:rPr>
                <w:rFonts w:hint="eastAsia"/>
              </w:rPr>
              <w:t>，</w:t>
            </w:r>
            <w:r>
              <w:t>各预测年车型比例见</w:t>
            </w:r>
            <w:r>
              <w:fldChar w:fldCharType="begin"/>
            </w:r>
            <w:r>
              <w:instrText xml:space="preserve"> REF _Ref237270664 \h </w:instrText>
            </w:r>
            <w:r>
              <w:fldChar w:fldCharType="separate"/>
            </w:r>
            <w:r>
              <w:rPr>
                <w:rFonts w:hint="eastAsia"/>
              </w:rPr>
              <w:t xml:space="preserve">表 </w:t>
            </w:r>
            <w:r>
              <w:t>2</w:t>
            </w:r>
            <w:r>
              <w:noBreakHyphen/>
            </w:r>
            <w:r>
              <w:t>5</w:t>
            </w:r>
            <w:r>
              <w:fldChar w:fldCharType="end"/>
            </w:r>
            <w:r>
              <w:t>。</w:t>
            </w:r>
          </w:p>
          <w:p w14:paraId="34942330">
            <w:pPr>
              <w:pStyle w:val="9"/>
              <w:keepNext/>
              <w:spacing w:before="120"/>
            </w:pPr>
            <w:bookmarkStart w:id="32" w:name="_Ref237270355"/>
            <w:r>
              <w:rPr>
                <w:rFonts w:hint="eastAsia"/>
              </w:rPr>
              <w:t xml:space="preserve">表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表 \* ARABIC \s 1</w:instrText>
            </w:r>
            <w:r>
              <w:instrText xml:space="preserve"> </w:instrText>
            </w:r>
            <w:r>
              <w:fldChar w:fldCharType="separate"/>
            </w:r>
            <w:r>
              <w:t>4</w:t>
            </w:r>
            <w:r>
              <w:fldChar w:fldCharType="end"/>
            </w:r>
            <w:bookmarkEnd w:id="32"/>
            <w:r>
              <w:t>初步设计特征年路段高峰小时交通量预测表（pcu/h）</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716"/>
              <w:gridCol w:w="1420"/>
              <w:gridCol w:w="1421"/>
              <w:gridCol w:w="1310"/>
              <w:gridCol w:w="1542"/>
            </w:tblGrid>
            <w:tr w14:paraId="6DD7F5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1615" w:type="pct"/>
                  <w:vMerge w:val="restart"/>
                  <w:tcBorders>
                    <w:top w:val="single" w:color="auto" w:sz="12" w:space="0"/>
                    <w:left w:val="single" w:color="auto" w:sz="12" w:space="0"/>
                    <w:bottom w:val="single" w:color="auto" w:sz="4" w:space="0"/>
                    <w:right w:val="single" w:color="auto" w:sz="4" w:space="0"/>
                  </w:tcBorders>
                  <w:vAlign w:val="center"/>
                </w:tcPr>
                <w:p w14:paraId="3831906D">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路段</w:t>
                  </w:r>
                </w:p>
              </w:tc>
              <w:tc>
                <w:tcPr>
                  <w:tcW w:w="3385" w:type="pct"/>
                  <w:gridSpan w:val="4"/>
                  <w:tcBorders>
                    <w:top w:val="single" w:color="auto" w:sz="12" w:space="0"/>
                    <w:left w:val="single" w:color="auto" w:sz="4" w:space="0"/>
                    <w:bottom w:val="single" w:color="auto" w:sz="4" w:space="0"/>
                    <w:right w:val="single" w:color="auto" w:sz="12" w:space="0"/>
                  </w:tcBorders>
                  <w:vAlign w:val="center"/>
                </w:tcPr>
                <w:p w14:paraId="607E7193">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特征年</w:t>
                  </w:r>
                </w:p>
              </w:tc>
            </w:tr>
            <w:tr w14:paraId="13DD0E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15" w:type="pct"/>
                  <w:vMerge w:val="continue"/>
                  <w:tcBorders>
                    <w:top w:val="single" w:color="auto" w:sz="8" w:space="0"/>
                    <w:left w:val="single" w:color="auto" w:sz="12" w:space="0"/>
                    <w:bottom w:val="single" w:color="auto" w:sz="4" w:space="0"/>
                    <w:right w:val="single" w:color="auto" w:sz="4" w:space="0"/>
                  </w:tcBorders>
                  <w:vAlign w:val="center"/>
                </w:tcPr>
                <w:p w14:paraId="10E9C60B">
                  <w:pPr>
                    <w:widowControl/>
                    <w:adjustRightInd/>
                    <w:snapToGrid/>
                    <w:spacing w:line="240" w:lineRule="auto"/>
                    <w:jc w:val="left"/>
                    <w:rPr>
                      <w:b/>
                      <w:bCs/>
                      <w:color w:val="000000"/>
                      <w:kern w:val="28"/>
                      <w:sz w:val="18"/>
                      <w:szCs w:val="18"/>
                    </w:rPr>
                  </w:pPr>
                </w:p>
              </w:tc>
              <w:tc>
                <w:tcPr>
                  <w:tcW w:w="844" w:type="pct"/>
                  <w:tcBorders>
                    <w:top w:val="single" w:color="auto" w:sz="4" w:space="0"/>
                    <w:left w:val="single" w:color="auto" w:sz="4" w:space="0"/>
                    <w:bottom w:val="single" w:color="auto" w:sz="4" w:space="0"/>
                    <w:right w:val="single" w:color="auto" w:sz="4" w:space="0"/>
                  </w:tcBorders>
                  <w:vAlign w:val="center"/>
                </w:tcPr>
                <w:p w14:paraId="735F4346">
                  <w:pPr>
                    <w:widowControl/>
                    <w:kinsoku w:val="0"/>
                    <w:autoSpaceDE w:val="0"/>
                    <w:autoSpaceDN w:val="0"/>
                    <w:spacing w:line="240" w:lineRule="auto"/>
                    <w:jc w:val="center"/>
                    <w:textAlignment w:val="baseline"/>
                    <w:outlineLvl w:val="1"/>
                    <w:rPr>
                      <w:b/>
                      <w:color w:val="000000"/>
                      <w:kern w:val="28"/>
                      <w:sz w:val="18"/>
                      <w:szCs w:val="18"/>
                    </w:rPr>
                  </w:pPr>
                  <w:r>
                    <w:rPr>
                      <w:rFonts w:hint="eastAsia"/>
                      <w:b/>
                      <w:color w:val="000000"/>
                      <w:kern w:val="28"/>
                      <w:sz w:val="18"/>
                      <w:szCs w:val="18"/>
                    </w:rPr>
                    <w:t>2027</w:t>
                  </w:r>
                </w:p>
              </w:tc>
              <w:tc>
                <w:tcPr>
                  <w:tcW w:w="845" w:type="pct"/>
                  <w:tcBorders>
                    <w:top w:val="single" w:color="auto" w:sz="4" w:space="0"/>
                    <w:left w:val="single" w:color="auto" w:sz="4" w:space="0"/>
                    <w:bottom w:val="single" w:color="auto" w:sz="4" w:space="0"/>
                    <w:right w:val="single" w:color="auto" w:sz="4" w:space="0"/>
                  </w:tcBorders>
                  <w:vAlign w:val="center"/>
                </w:tcPr>
                <w:p w14:paraId="28A4C5DF">
                  <w:pPr>
                    <w:widowControl/>
                    <w:kinsoku w:val="0"/>
                    <w:autoSpaceDE w:val="0"/>
                    <w:autoSpaceDN w:val="0"/>
                    <w:spacing w:line="240" w:lineRule="auto"/>
                    <w:jc w:val="center"/>
                    <w:textAlignment w:val="baseline"/>
                    <w:outlineLvl w:val="1"/>
                    <w:rPr>
                      <w:b/>
                      <w:color w:val="000000"/>
                      <w:kern w:val="28"/>
                      <w:sz w:val="18"/>
                      <w:szCs w:val="18"/>
                    </w:rPr>
                  </w:pPr>
                  <w:r>
                    <w:rPr>
                      <w:rFonts w:hint="eastAsia"/>
                      <w:b/>
                      <w:color w:val="000000"/>
                      <w:kern w:val="28"/>
                      <w:sz w:val="18"/>
                      <w:szCs w:val="18"/>
                    </w:rPr>
                    <w:t>2032</w:t>
                  </w:r>
                </w:p>
              </w:tc>
              <w:tc>
                <w:tcPr>
                  <w:tcW w:w="779" w:type="pct"/>
                  <w:tcBorders>
                    <w:top w:val="single" w:color="auto" w:sz="4" w:space="0"/>
                    <w:left w:val="single" w:color="auto" w:sz="4" w:space="0"/>
                    <w:bottom w:val="single" w:color="auto" w:sz="4" w:space="0"/>
                    <w:right w:val="single" w:color="auto" w:sz="4" w:space="0"/>
                  </w:tcBorders>
                  <w:vAlign w:val="center"/>
                </w:tcPr>
                <w:p w14:paraId="5447D626">
                  <w:pPr>
                    <w:widowControl/>
                    <w:kinsoku w:val="0"/>
                    <w:autoSpaceDE w:val="0"/>
                    <w:autoSpaceDN w:val="0"/>
                    <w:spacing w:line="240" w:lineRule="auto"/>
                    <w:jc w:val="center"/>
                    <w:textAlignment w:val="baseline"/>
                    <w:outlineLvl w:val="1"/>
                    <w:rPr>
                      <w:b/>
                      <w:color w:val="000000"/>
                      <w:kern w:val="28"/>
                      <w:sz w:val="18"/>
                      <w:szCs w:val="18"/>
                    </w:rPr>
                  </w:pPr>
                  <w:r>
                    <w:rPr>
                      <w:rFonts w:hint="eastAsia"/>
                      <w:b/>
                      <w:color w:val="000000"/>
                      <w:kern w:val="28"/>
                      <w:sz w:val="18"/>
                      <w:szCs w:val="18"/>
                    </w:rPr>
                    <w:t>2037</w:t>
                  </w:r>
                </w:p>
              </w:tc>
              <w:tc>
                <w:tcPr>
                  <w:tcW w:w="916" w:type="pct"/>
                  <w:tcBorders>
                    <w:top w:val="single" w:color="auto" w:sz="4" w:space="0"/>
                    <w:left w:val="single" w:color="auto" w:sz="4" w:space="0"/>
                    <w:bottom w:val="single" w:color="auto" w:sz="4" w:space="0"/>
                    <w:right w:val="single" w:color="auto" w:sz="12" w:space="0"/>
                  </w:tcBorders>
                  <w:vAlign w:val="center"/>
                </w:tcPr>
                <w:p w14:paraId="62EF5D59">
                  <w:pPr>
                    <w:widowControl/>
                    <w:kinsoku w:val="0"/>
                    <w:autoSpaceDE w:val="0"/>
                    <w:autoSpaceDN w:val="0"/>
                    <w:spacing w:line="240" w:lineRule="auto"/>
                    <w:jc w:val="center"/>
                    <w:textAlignment w:val="baseline"/>
                    <w:outlineLvl w:val="1"/>
                    <w:rPr>
                      <w:b/>
                      <w:color w:val="000000"/>
                      <w:kern w:val="28"/>
                      <w:sz w:val="18"/>
                      <w:szCs w:val="18"/>
                    </w:rPr>
                  </w:pPr>
                  <w:r>
                    <w:rPr>
                      <w:rFonts w:hint="eastAsia"/>
                      <w:b/>
                      <w:color w:val="000000"/>
                      <w:kern w:val="28"/>
                      <w:sz w:val="18"/>
                      <w:szCs w:val="18"/>
                    </w:rPr>
                    <w:t>2042</w:t>
                  </w:r>
                </w:p>
              </w:tc>
            </w:tr>
            <w:tr w14:paraId="2BE8A9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15" w:type="pct"/>
                  <w:tcBorders>
                    <w:top w:val="single" w:color="auto" w:sz="4" w:space="0"/>
                    <w:left w:val="single" w:color="auto" w:sz="12" w:space="0"/>
                    <w:bottom w:val="single" w:color="auto" w:sz="12" w:space="0"/>
                    <w:right w:val="single" w:color="auto" w:sz="4" w:space="0"/>
                  </w:tcBorders>
                  <w:vAlign w:val="center"/>
                </w:tcPr>
                <w:p w14:paraId="2285F9AC">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青西二路（江东大道-河景路）</w:t>
                  </w:r>
                </w:p>
              </w:tc>
              <w:tc>
                <w:tcPr>
                  <w:tcW w:w="844" w:type="pct"/>
                  <w:tcBorders>
                    <w:top w:val="single" w:color="auto" w:sz="4" w:space="0"/>
                    <w:left w:val="single" w:color="auto" w:sz="4" w:space="0"/>
                    <w:bottom w:val="single" w:color="auto" w:sz="12" w:space="0"/>
                    <w:right w:val="single" w:color="auto" w:sz="4" w:space="0"/>
                  </w:tcBorders>
                  <w:vAlign w:val="center"/>
                </w:tcPr>
                <w:p w14:paraId="08C7F927">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1104</w:t>
                  </w:r>
                </w:p>
              </w:tc>
              <w:tc>
                <w:tcPr>
                  <w:tcW w:w="845" w:type="pct"/>
                  <w:tcBorders>
                    <w:top w:val="single" w:color="auto" w:sz="4" w:space="0"/>
                    <w:left w:val="single" w:color="auto" w:sz="4" w:space="0"/>
                    <w:bottom w:val="single" w:color="auto" w:sz="12" w:space="0"/>
                    <w:right w:val="single" w:color="auto" w:sz="4" w:space="0"/>
                  </w:tcBorders>
                  <w:vAlign w:val="center"/>
                </w:tcPr>
                <w:p w14:paraId="7AAE1373">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1279</w:t>
                  </w:r>
                </w:p>
              </w:tc>
              <w:tc>
                <w:tcPr>
                  <w:tcW w:w="779" w:type="pct"/>
                  <w:tcBorders>
                    <w:top w:val="single" w:color="auto" w:sz="4" w:space="0"/>
                    <w:left w:val="single" w:color="auto" w:sz="4" w:space="0"/>
                    <w:bottom w:val="single" w:color="auto" w:sz="12" w:space="0"/>
                    <w:right w:val="single" w:color="auto" w:sz="4" w:space="0"/>
                  </w:tcBorders>
                  <w:vAlign w:val="center"/>
                </w:tcPr>
                <w:p w14:paraId="032D0B28">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1448</w:t>
                  </w:r>
                </w:p>
              </w:tc>
              <w:tc>
                <w:tcPr>
                  <w:tcW w:w="916" w:type="pct"/>
                  <w:tcBorders>
                    <w:top w:val="single" w:color="auto" w:sz="4" w:space="0"/>
                    <w:left w:val="single" w:color="auto" w:sz="4" w:space="0"/>
                    <w:bottom w:val="single" w:color="auto" w:sz="12" w:space="0"/>
                    <w:right w:val="single" w:color="auto" w:sz="12" w:space="0"/>
                  </w:tcBorders>
                  <w:vAlign w:val="center"/>
                </w:tcPr>
                <w:p w14:paraId="7211B20E">
                  <w:pPr>
                    <w:keepNext/>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1638</w:t>
                  </w:r>
                </w:p>
              </w:tc>
            </w:tr>
          </w:tbl>
          <w:p w14:paraId="55AC5057">
            <w:pPr>
              <w:pStyle w:val="9"/>
              <w:keepNext/>
              <w:spacing w:before="120"/>
            </w:pPr>
            <w:bookmarkStart w:id="33" w:name="_Ref237270664"/>
            <w:r>
              <w:rPr>
                <w:rFonts w:hint="eastAsia"/>
              </w:rPr>
              <w:t xml:space="preserve">表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表 \* ARABIC \s 1</w:instrText>
            </w:r>
            <w:r>
              <w:instrText xml:space="preserve"> </w:instrText>
            </w:r>
            <w:r>
              <w:fldChar w:fldCharType="separate"/>
            </w:r>
            <w:r>
              <w:t>5</w:t>
            </w:r>
            <w:r>
              <w:fldChar w:fldCharType="end"/>
            </w:r>
            <w:bookmarkEnd w:id="33"/>
            <w:r>
              <w:rPr>
                <w:rFonts w:hint="eastAsia"/>
              </w:rPr>
              <w:t>初</w:t>
            </w:r>
            <w:commentRangeStart w:id="25"/>
            <w:r>
              <w:rPr>
                <w:rFonts w:hint="eastAsia"/>
              </w:rPr>
              <w:t>步设计</w:t>
            </w:r>
            <w:r>
              <w:t>各特征年</w:t>
            </w:r>
            <w:r>
              <w:rPr>
                <w:rFonts w:hint="eastAsia"/>
              </w:rPr>
              <w:t>不同</w:t>
            </w:r>
            <w:r>
              <w:t>车型</w:t>
            </w:r>
            <w:commentRangeEnd w:id="25"/>
            <w:r>
              <w:rPr>
                <w:rStyle w:val="38"/>
                <w:rFonts w:hint="eastAsia"/>
              </w:rPr>
              <w:commentReference w:id="25"/>
            </w:r>
            <w:r>
              <w:rPr>
                <w:rFonts w:hint="eastAsia"/>
              </w:rPr>
              <w:t>比例（%）</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4"/>
              <w:gridCol w:w="882"/>
              <w:gridCol w:w="882"/>
              <w:gridCol w:w="882"/>
              <w:gridCol w:w="882"/>
              <w:gridCol w:w="882"/>
              <w:gridCol w:w="1944"/>
              <w:gridCol w:w="1430"/>
            </w:tblGrid>
            <w:tr w14:paraId="6BF1DC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14" w:type="dxa"/>
                  <w:noWrap/>
                  <w:vAlign w:val="center"/>
                </w:tcPr>
                <w:p w14:paraId="093B53AB">
                  <w:pPr>
                    <w:widowControl/>
                    <w:adjustRightInd/>
                    <w:snapToGrid/>
                    <w:spacing w:line="240" w:lineRule="auto"/>
                    <w:jc w:val="center"/>
                    <w:rPr>
                      <w:rFonts w:cs="宋体"/>
                      <w:b/>
                      <w:bCs/>
                      <w:color w:val="000000"/>
                      <w:kern w:val="0"/>
                      <w:sz w:val="18"/>
                      <w:szCs w:val="18"/>
                    </w:rPr>
                  </w:pPr>
                  <w:r>
                    <w:rPr>
                      <w:rFonts w:cs="宋体"/>
                      <w:b/>
                      <w:bCs/>
                      <w:color w:val="000000"/>
                      <w:kern w:val="0"/>
                      <w:sz w:val="18"/>
                      <w:szCs w:val="18"/>
                    </w:rPr>
                    <w:t>年份</w:t>
                  </w:r>
                </w:p>
              </w:tc>
              <w:tc>
                <w:tcPr>
                  <w:tcW w:w="882" w:type="dxa"/>
                  <w:noWrap/>
                  <w:vAlign w:val="center"/>
                </w:tcPr>
                <w:p w14:paraId="4405786D">
                  <w:pPr>
                    <w:widowControl/>
                    <w:adjustRightInd/>
                    <w:snapToGrid/>
                    <w:spacing w:line="240" w:lineRule="auto"/>
                    <w:jc w:val="center"/>
                    <w:rPr>
                      <w:rFonts w:cs="宋体"/>
                      <w:b/>
                      <w:bCs/>
                      <w:color w:val="000000"/>
                      <w:kern w:val="0"/>
                      <w:sz w:val="18"/>
                      <w:szCs w:val="18"/>
                    </w:rPr>
                  </w:pPr>
                  <w:r>
                    <w:rPr>
                      <w:rFonts w:cs="宋体"/>
                      <w:b/>
                      <w:bCs/>
                      <w:color w:val="000000"/>
                      <w:kern w:val="0"/>
                      <w:sz w:val="18"/>
                      <w:szCs w:val="18"/>
                    </w:rPr>
                    <w:t>小客车</w:t>
                  </w:r>
                </w:p>
              </w:tc>
              <w:tc>
                <w:tcPr>
                  <w:tcW w:w="882" w:type="dxa"/>
                  <w:noWrap/>
                  <w:vAlign w:val="center"/>
                </w:tcPr>
                <w:p w14:paraId="20E9B502">
                  <w:pPr>
                    <w:widowControl/>
                    <w:adjustRightInd/>
                    <w:snapToGrid/>
                    <w:spacing w:line="240" w:lineRule="auto"/>
                    <w:jc w:val="center"/>
                    <w:rPr>
                      <w:rFonts w:cs="宋体"/>
                      <w:b/>
                      <w:bCs/>
                      <w:color w:val="000000"/>
                      <w:kern w:val="0"/>
                      <w:sz w:val="18"/>
                      <w:szCs w:val="18"/>
                    </w:rPr>
                  </w:pPr>
                  <w:r>
                    <w:rPr>
                      <w:rFonts w:cs="宋体"/>
                      <w:b/>
                      <w:bCs/>
                      <w:color w:val="000000"/>
                      <w:kern w:val="0"/>
                      <w:sz w:val="18"/>
                      <w:szCs w:val="18"/>
                    </w:rPr>
                    <w:t>大客车</w:t>
                  </w:r>
                </w:p>
              </w:tc>
              <w:tc>
                <w:tcPr>
                  <w:tcW w:w="882" w:type="dxa"/>
                  <w:noWrap/>
                  <w:vAlign w:val="center"/>
                </w:tcPr>
                <w:p w14:paraId="40D1C52C">
                  <w:pPr>
                    <w:widowControl/>
                    <w:adjustRightInd/>
                    <w:snapToGrid/>
                    <w:spacing w:line="240" w:lineRule="auto"/>
                    <w:jc w:val="center"/>
                    <w:rPr>
                      <w:rFonts w:cs="宋体"/>
                      <w:b/>
                      <w:bCs/>
                      <w:color w:val="000000"/>
                      <w:kern w:val="0"/>
                      <w:sz w:val="18"/>
                      <w:szCs w:val="18"/>
                    </w:rPr>
                  </w:pPr>
                  <w:r>
                    <w:rPr>
                      <w:rFonts w:cs="宋体"/>
                      <w:b/>
                      <w:bCs/>
                      <w:color w:val="000000"/>
                      <w:kern w:val="0"/>
                      <w:sz w:val="18"/>
                      <w:szCs w:val="18"/>
                    </w:rPr>
                    <w:t>小货车</w:t>
                  </w:r>
                </w:p>
              </w:tc>
              <w:tc>
                <w:tcPr>
                  <w:tcW w:w="882" w:type="dxa"/>
                  <w:noWrap/>
                  <w:vAlign w:val="center"/>
                </w:tcPr>
                <w:p w14:paraId="4A8612B5">
                  <w:pPr>
                    <w:widowControl/>
                    <w:adjustRightInd/>
                    <w:snapToGrid/>
                    <w:spacing w:line="240" w:lineRule="auto"/>
                    <w:jc w:val="center"/>
                    <w:rPr>
                      <w:rFonts w:cs="宋体"/>
                      <w:b/>
                      <w:bCs/>
                      <w:color w:val="000000"/>
                      <w:kern w:val="0"/>
                      <w:sz w:val="18"/>
                      <w:szCs w:val="18"/>
                    </w:rPr>
                  </w:pPr>
                  <w:r>
                    <w:rPr>
                      <w:rFonts w:cs="宋体"/>
                      <w:b/>
                      <w:bCs/>
                      <w:color w:val="000000"/>
                      <w:kern w:val="0"/>
                      <w:sz w:val="18"/>
                      <w:szCs w:val="18"/>
                    </w:rPr>
                    <w:t>中货车</w:t>
                  </w:r>
                </w:p>
              </w:tc>
              <w:tc>
                <w:tcPr>
                  <w:tcW w:w="882" w:type="dxa"/>
                  <w:noWrap/>
                  <w:vAlign w:val="center"/>
                </w:tcPr>
                <w:p w14:paraId="14888EE9">
                  <w:pPr>
                    <w:widowControl/>
                    <w:adjustRightInd/>
                    <w:snapToGrid/>
                    <w:spacing w:line="240" w:lineRule="auto"/>
                    <w:jc w:val="center"/>
                    <w:rPr>
                      <w:rFonts w:cs="宋体"/>
                      <w:b/>
                      <w:bCs/>
                      <w:color w:val="000000"/>
                      <w:kern w:val="0"/>
                      <w:sz w:val="18"/>
                      <w:szCs w:val="18"/>
                    </w:rPr>
                  </w:pPr>
                  <w:r>
                    <w:rPr>
                      <w:rFonts w:cs="宋体"/>
                      <w:b/>
                      <w:bCs/>
                      <w:color w:val="000000"/>
                      <w:kern w:val="0"/>
                      <w:sz w:val="18"/>
                      <w:szCs w:val="18"/>
                    </w:rPr>
                    <w:t>大货车</w:t>
                  </w:r>
                </w:p>
              </w:tc>
              <w:tc>
                <w:tcPr>
                  <w:tcW w:w="1944" w:type="dxa"/>
                  <w:noWrap/>
                  <w:vAlign w:val="center"/>
                </w:tcPr>
                <w:p w14:paraId="55DF3C5D">
                  <w:pPr>
                    <w:widowControl/>
                    <w:adjustRightInd/>
                    <w:snapToGrid/>
                    <w:spacing w:line="240" w:lineRule="auto"/>
                    <w:jc w:val="center"/>
                    <w:rPr>
                      <w:rFonts w:cs="宋体"/>
                      <w:b/>
                      <w:bCs/>
                      <w:color w:val="000000"/>
                      <w:kern w:val="0"/>
                      <w:sz w:val="18"/>
                      <w:szCs w:val="18"/>
                    </w:rPr>
                  </w:pPr>
                  <w:r>
                    <w:rPr>
                      <w:rFonts w:cs="宋体"/>
                      <w:b/>
                      <w:bCs/>
                      <w:color w:val="000000"/>
                      <w:kern w:val="0"/>
                      <w:sz w:val="18"/>
                      <w:szCs w:val="18"/>
                    </w:rPr>
                    <w:t>拖挂（含特大货车）</w:t>
                  </w:r>
                </w:p>
              </w:tc>
              <w:tc>
                <w:tcPr>
                  <w:tcW w:w="1430" w:type="dxa"/>
                  <w:noWrap/>
                  <w:vAlign w:val="center"/>
                </w:tcPr>
                <w:p w14:paraId="701B8CB5">
                  <w:pPr>
                    <w:widowControl/>
                    <w:adjustRightInd/>
                    <w:snapToGrid/>
                    <w:spacing w:line="240" w:lineRule="auto"/>
                    <w:jc w:val="center"/>
                    <w:rPr>
                      <w:rFonts w:cs="宋体"/>
                      <w:b/>
                      <w:bCs/>
                      <w:color w:val="000000"/>
                      <w:kern w:val="0"/>
                      <w:sz w:val="18"/>
                      <w:szCs w:val="18"/>
                    </w:rPr>
                  </w:pPr>
                  <w:r>
                    <w:rPr>
                      <w:rFonts w:cs="宋体"/>
                      <w:b/>
                      <w:bCs/>
                      <w:color w:val="000000"/>
                      <w:kern w:val="0"/>
                      <w:sz w:val="18"/>
                      <w:szCs w:val="18"/>
                    </w:rPr>
                    <w:t>集装箱</w:t>
                  </w:r>
                  <w:r>
                    <w:rPr>
                      <w:rFonts w:hint="eastAsia" w:cs="宋体"/>
                      <w:b/>
                      <w:bCs/>
                      <w:color w:val="000000"/>
                      <w:kern w:val="0"/>
                      <w:sz w:val="18"/>
                      <w:szCs w:val="18"/>
                    </w:rPr>
                    <w:t>货车</w:t>
                  </w:r>
                </w:p>
              </w:tc>
            </w:tr>
            <w:tr w14:paraId="6888BC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14" w:type="dxa"/>
                  <w:noWrap/>
                  <w:vAlign w:val="center"/>
                </w:tcPr>
                <w:p w14:paraId="3898EE96">
                  <w:pPr>
                    <w:widowControl/>
                    <w:adjustRightInd/>
                    <w:snapToGrid/>
                    <w:spacing w:line="240" w:lineRule="auto"/>
                    <w:jc w:val="center"/>
                    <w:rPr>
                      <w:rFonts w:cs="宋体"/>
                      <w:color w:val="000000"/>
                      <w:kern w:val="0"/>
                      <w:sz w:val="18"/>
                      <w:szCs w:val="18"/>
                    </w:rPr>
                  </w:pPr>
                  <w:r>
                    <w:rPr>
                      <w:rFonts w:cs="宋体"/>
                      <w:color w:val="000000"/>
                      <w:kern w:val="0"/>
                      <w:sz w:val="18"/>
                      <w:szCs w:val="18"/>
                    </w:rPr>
                    <w:t>2027</w:t>
                  </w:r>
                </w:p>
              </w:tc>
              <w:tc>
                <w:tcPr>
                  <w:tcW w:w="882" w:type="dxa"/>
                  <w:noWrap/>
                  <w:vAlign w:val="center"/>
                </w:tcPr>
                <w:p w14:paraId="5E05BF8A">
                  <w:pPr>
                    <w:widowControl/>
                    <w:adjustRightInd/>
                    <w:snapToGrid/>
                    <w:spacing w:line="240" w:lineRule="auto"/>
                    <w:jc w:val="center"/>
                    <w:rPr>
                      <w:rFonts w:cs="宋体"/>
                      <w:color w:val="000000"/>
                      <w:kern w:val="0"/>
                      <w:sz w:val="18"/>
                      <w:szCs w:val="18"/>
                    </w:rPr>
                  </w:pPr>
                  <w:r>
                    <w:rPr>
                      <w:rFonts w:cs="宋体"/>
                      <w:color w:val="000000"/>
                      <w:kern w:val="0"/>
                      <w:sz w:val="18"/>
                      <w:szCs w:val="18"/>
                    </w:rPr>
                    <w:t>37.92</w:t>
                  </w:r>
                </w:p>
              </w:tc>
              <w:tc>
                <w:tcPr>
                  <w:tcW w:w="882" w:type="dxa"/>
                  <w:noWrap/>
                  <w:vAlign w:val="center"/>
                </w:tcPr>
                <w:p w14:paraId="1D92032D">
                  <w:pPr>
                    <w:widowControl/>
                    <w:adjustRightInd/>
                    <w:snapToGrid/>
                    <w:spacing w:line="240" w:lineRule="auto"/>
                    <w:jc w:val="center"/>
                    <w:rPr>
                      <w:rFonts w:cs="宋体"/>
                      <w:color w:val="000000"/>
                      <w:kern w:val="0"/>
                      <w:sz w:val="18"/>
                      <w:szCs w:val="18"/>
                    </w:rPr>
                  </w:pPr>
                  <w:r>
                    <w:rPr>
                      <w:rFonts w:cs="宋体"/>
                      <w:color w:val="000000"/>
                      <w:kern w:val="0"/>
                      <w:sz w:val="18"/>
                      <w:szCs w:val="18"/>
                    </w:rPr>
                    <w:t>1.58</w:t>
                  </w:r>
                </w:p>
              </w:tc>
              <w:tc>
                <w:tcPr>
                  <w:tcW w:w="882" w:type="dxa"/>
                  <w:noWrap/>
                  <w:vAlign w:val="center"/>
                </w:tcPr>
                <w:p w14:paraId="05909A5C">
                  <w:pPr>
                    <w:widowControl/>
                    <w:adjustRightInd/>
                    <w:snapToGrid/>
                    <w:spacing w:line="240" w:lineRule="auto"/>
                    <w:jc w:val="center"/>
                    <w:rPr>
                      <w:rFonts w:cs="宋体"/>
                      <w:color w:val="000000"/>
                      <w:kern w:val="0"/>
                      <w:sz w:val="18"/>
                      <w:szCs w:val="18"/>
                    </w:rPr>
                  </w:pPr>
                  <w:r>
                    <w:rPr>
                      <w:rFonts w:cs="宋体"/>
                      <w:color w:val="000000"/>
                      <w:kern w:val="0"/>
                      <w:sz w:val="18"/>
                      <w:szCs w:val="18"/>
                    </w:rPr>
                    <w:t>27.62</w:t>
                  </w:r>
                </w:p>
              </w:tc>
              <w:tc>
                <w:tcPr>
                  <w:tcW w:w="882" w:type="dxa"/>
                  <w:noWrap/>
                  <w:vAlign w:val="center"/>
                </w:tcPr>
                <w:p w14:paraId="177E7A11">
                  <w:pPr>
                    <w:widowControl/>
                    <w:adjustRightInd/>
                    <w:snapToGrid/>
                    <w:spacing w:line="240" w:lineRule="auto"/>
                    <w:jc w:val="center"/>
                    <w:rPr>
                      <w:rFonts w:cs="宋体"/>
                      <w:color w:val="000000"/>
                      <w:kern w:val="0"/>
                      <w:sz w:val="18"/>
                      <w:szCs w:val="18"/>
                    </w:rPr>
                  </w:pPr>
                  <w:r>
                    <w:rPr>
                      <w:rFonts w:cs="宋体"/>
                      <w:color w:val="000000"/>
                      <w:kern w:val="0"/>
                      <w:sz w:val="18"/>
                      <w:szCs w:val="18"/>
                    </w:rPr>
                    <w:t>21.39</w:t>
                  </w:r>
                </w:p>
              </w:tc>
              <w:tc>
                <w:tcPr>
                  <w:tcW w:w="882" w:type="dxa"/>
                  <w:noWrap/>
                  <w:vAlign w:val="center"/>
                </w:tcPr>
                <w:p w14:paraId="6A1D8BF4">
                  <w:pPr>
                    <w:widowControl/>
                    <w:adjustRightInd/>
                    <w:snapToGrid/>
                    <w:spacing w:line="240" w:lineRule="auto"/>
                    <w:jc w:val="center"/>
                    <w:rPr>
                      <w:rFonts w:cs="宋体"/>
                      <w:color w:val="000000"/>
                      <w:kern w:val="0"/>
                      <w:sz w:val="18"/>
                      <w:szCs w:val="18"/>
                    </w:rPr>
                  </w:pPr>
                  <w:r>
                    <w:rPr>
                      <w:rFonts w:cs="宋体"/>
                      <w:color w:val="000000"/>
                      <w:kern w:val="0"/>
                      <w:sz w:val="18"/>
                      <w:szCs w:val="18"/>
                    </w:rPr>
                    <w:t>5.42</w:t>
                  </w:r>
                </w:p>
              </w:tc>
              <w:tc>
                <w:tcPr>
                  <w:tcW w:w="1944" w:type="dxa"/>
                  <w:noWrap/>
                  <w:vAlign w:val="center"/>
                </w:tcPr>
                <w:p w14:paraId="0A8F0F2C">
                  <w:pPr>
                    <w:widowControl/>
                    <w:adjustRightInd/>
                    <w:snapToGrid/>
                    <w:spacing w:line="240" w:lineRule="auto"/>
                    <w:jc w:val="center"/>
                    <w:rPr>
                      <w:rFonts w:cs="宋体"/>
                      <w:color w:val="000000"/>
                      <w:kern w:val="0"/>
                      <w:sz w:val="18"/>
                      <w:szCs w:val="18"/>
                    </w:rPr>
                  </w:pPr>
                  <w:r>
                    <w:rPr>
                      <w:rFonts w:cs="宋体"/>
                      <w:color w:val="000000"/>
                      <w:kern w:val="0"/>
                      <w:sz w:val="18"/>
                      <w:szCs w:val="18"/>
                    </w:rPr>
                    <w:t>3.25</w:t>
                  </w:r>
                </w:p>
              </w:tc>
              <w:tc>
                <w:tcPr>
                  <w:tcW w:w="1430" w:type="dxa"/>
                  <w:noWrap/>
                  <w:vAlign w:val="center"/>
                </w:tcPr>
                <w:p w14:paraId="2D45C44E">
                  <w:pPr>
                    <w:widowControl/>
                    <w:adjustRightInd/>
                    <w:snapToGrid/>
                    <w:spacing w:line="240" w:lineRule="auto"/>
                    <w:jc w:val="center"/>
                    <w:rPr>
                      <w:rFonts w:cs="宋体"/>
                      <w:color w:val="000000"/>
                      <w:kern w:val="0"/>
                      <w:sz w:val="18"/>
                      <w:szCs w:val="18"/>
                    </w:rPr>
                  </w:pPr>
                  <w:r>
                    <w:rPr>
                      <w:rFonts w:cs="宋体"/>
                      <w:color w:val="000000"/>
                      <w:kern w:val="0"/>
                      <w:sz w:val="18"/>
                      <w:szCs w:val="18"/>
                    </w:rPr>
                    <w:t>2.82</w:t>
                  </w:r>
                </w:p>
              </w:tc>
            </w:tr>
            <w:tr w14:paraId="0709D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14" w:type="dxa"/>
                  <w:noWrap/>
                  <w:vAlign w:val="center"/>
                </w:tcPr>
                <w:p w14:paraId="60B278FE">
                  <w:pPr>
                    <w:widowControl/>
                    <w:adjustRightInd/>
                    <w:snapToGrid/>
                    <w:spacing w:line="240" w:lineRule="auto"/>
                    <w:jc w:val="center"/>
                    <w:rPr>
                      <w:rFonts w:cs="宋体"/>
                      <w:color w:val="000000"/>
                      <w:kern w:val="0"/>
                      <w:sz w:val="18"/>
                      <w:szCs w:val="18"/>
                    </w:rPr>
                  </w:pPr>
                  <w:r>
                    <w:rPr>
                      <w:rFonts w:cs="宋体"/>
                      <w:color w:val="000000"/>
                      <w:kern w:val="0"/>
                      <w:sz w:val="18"/>
                      <w:szCs w:val="18"/>
                    </w:rPr>
                    <w:t>2032</w:t>
                  </w:r>
                </w:p>
              </w:tc>
              <w:tc>
                <w:tcPr>
                  <w:tcW w:w="882" w:type="dxa"/>
                  <w:noWrap/>
                  <w:vAlign w:val="center"/>
                </w:tcPr>
                <w:p w14:paraId="39D893B9">
                  <w:pPr>
                    <w:widowControl/>
                    <w:adjustRightInd/>
                    <w:snapToGrid/>
                    <w:spacing w:line="240" w:lineRule="auto"/>
                    <w:jc w:val="center"/>
                    <w:rPr>
                      <w:rFonts w:cs="宋体"/>
                      <w:color w:val="000000"/>
                      <w:kern w:val="0"/>
                      <w:sz w:val="18"/>
                      <w:szCs w:val="18"/>
                    </w:rPr>
                  </w:pPr>
                  <w:r>
                    <w:rPr>
                      <w:rFonts w:cs="宋体"/>
                      <w:color w:val="000000"/>
                      <w:kern w:val="0"/>
                      <w:sz w:val="18"/>
                      <w:szCs w:val="18"/>
                    </w:rPr>
                    <w:t>38.77</w:t>
                  </w:r>
                </w:p>
              </w:tc>
              <w:tc>
                <w:tcPr>
                  <w:tcW w:w="882" w:type="dxa"/>
                  <w:noWrap/>
                  <w:vAlign w:val="center"/>
                </w:tcPr>
                <w:p w14:paraId="44A7E5D1">
                  <w:pPr>
                    <w:widowControl/>
                    <w:adjustRightInd/>
                    <w:snapToGrid/>
                    <w:spacing w:line="240" w:lineRule="auto"/>
                    <w:jc w:val="center"/>
                    <w:rPr>
                      <w:rFonts w:cs="宋体"/>
                      <w:color w:val="000000"/>
                      <w:kern w:val="0"/>
                      <w:sz w:val="18"/>
                      <w:szCs w:val="18"/>
                    </w:rPr>
                  </w:pPr>
                  <w:r>
                    <w:rPr>
                      <w:rFonts w:cs="宋体"/>
                      <w:color w:val="000000"/>
                      <w:kern w:val="0"/>
                      <w:sz w:val="18"/>
                      <w:szCs w:val="18"/>
                    </w:rPr>
                    <w:t>2.15</w:t>
                  </w:r>
                </w:p>
              </w:tc>
              <w:tc>
                <w:tcPr>
                  <w:tcW w:w="882" w:type="dxa"/>
                  <w:noWrap/>
                  <w:vAlign w:val="center"/>
                </w:tcPr>
                <w:p w14:paraId="782852F2">
                  <w:pPr>
                    <w:widowControl/>
                    <w:adjustRightInd/>
                    <w:snapToGrid/>
                    <w:spacing w:line="240" w:lineRule="auto"/>
                    <w:jc w:val="center"/>
                    <w:rPr>
                      <w:rFonts w:cs="宋体"/>
                      <w:color w:val="000000"/>
                      <w:kern w:val="0"/>
                      <w:sz w:val="18"/>
                      <w:szCs w:val="18"/>
                    </w:rPr>
                  </w:pPr>
                  <w:r>
                    <w:rPr>
                      <w:rFonts w:cs="宋体"/>
                      <w:color w:val="000000"/>
                      <w:kern w:val="0"/>
                      <w:sz w:val="18"/>
                      <w:szCs w:val="18"/>
                    </w:rPr>
                    <w:t>26.46</w:t>
                  </w:r>
                </w:p>
              </w:tc>
              <w:tc>
                <w:tcPr>
                  <w:tcW w:w="882" w:type="dxa"/>
                  <w:noWrap/>
                  <w:vAlign w:val="center"/>
                </w:tcPr>
                <w:p w14:paraId="3E030DD1">
                  <w:pPr>
                    <w:widowControl/>
                    <w:adjustRightInd/>
                    <w:snapToGrid/>
                    <w:spacing w:line="240" w:lineRule="auto"/>
                    <w:jc w:val="center"/>
                    <w:rPr>
                      <w:rFonts w:cs="宋体"/>
                      <w:color w:val="000000"/>
                      <w:kern w:val="0"/>
                      <w:sz w:val="18"/>
                      <w:szCs w:val="18"/>
                    </w:rPr>
                  </w:pPr>
                  <w:r>
                    <w:rPr>
                      <w:rFonts w:cs="宋体"/>
                      <w:color w:val="000000"/>
                      <w:kern w:val="0"/>
                      <w:sz w:val="18"/>
                      <w:szCs w:val="18"/>
                    </w:rPr>
                    <w:t>20.45</w:t>
                  </w:r>
                </w:p>
              </w:tc>
              <w:tc>
                <w:tcPr>
                  <w:tcW w:w="882" w:type="dxa"/>
                  <w:noWrap/>
                  <w:vAlign w:val="center"/>
                </w:tcPr>
                <w:p w14:paraId="1635E72A">
                  <w:pPr>
                    <w:widowControl/>
                    <w:adjustRightInd/>
                    <w:snapToGrid/>
                    <w:spacing w:line="240" w:lineRule="auto"/>
                    <w:jc w:val="center"/>
                    <w:rPr>
                      <w:rFonts w:cs="宋体"/>
                      <w:color w:val="000000"/>
                      <w:kern w:val="0"/>
                      <w:sz w:val="18"/>
                      <w:szCs w:val="18"/>
                    </w:rPr>
                  </w:pPr>
                  <w:r>
                    <w:rPr>
                      <w:rFonts w:cs="宋体"/>
                      <w:color w:val="000000"/>
                      <w:kern w:val="0"/>
                      <w:sz w:val="18"/>
                      <w:szCs w:val="18"/>
                    </w:rPr>
                    <w:t>6.01</w:t>
                  </w:r>
                </w:p>
              </w:tc>
              <w:tc>
                <w:tcPr>
                  <w:tcW w:w="1944" w:type="dxa"/>
                  <w:noWrap/>
                  <w:vAlign w:val="center"/>
                </w:tcPr>
                <w:p w14:paraId="2CF200BD">
                  <w:pPr>
                    <w:widowControl/>
                    <w:adjustRightInd/>
                    <w:snapToGrid/>
                    <w:spacing w:line="240" w:lineRule="auto"/>
                    <w:jc w:val="center"/>
                    <w:rPr>
                      <w:rFonts w:cs="宋体"/>
                      <w:color w:val="000000"/>
                      <w:kern w:val="0"/>
                      <w:sz w:val="18"/>
                      <w:szCs w:val="18"/>
                    </w:rPr>
                  </w:pPr>
                  <w:r>
                    <w:rPr>
                      <w:rFonts w:cs="宋体"/>
                      <w:color w:val="000000"/>
                      <w:kern w:val="0"/>
                      <w:sz w:val="18"/>
                      <w:szCs w:val="18"/>
                    </w:rPr>
                    <w:t>3.64</w:t>
                  </w:r>
                </w:p>
              </w:tc>
              <w:tc>
                <w:tcPr>
                  <w:tcW w:w="1430" w:type="dxa"/>
                  <w:noWrap/>
                  <w:vAlign w:val="center"/>
                </w:tcPr>
                <w:p w14:paraId="5B131B44">
                  <w:pPr>
                    <w:widowControl/>
                    <w:adjustRightInd/>
                    <w:snapToGrid/>
                    <w:spacing w:line="240" w:lineRule="auto"/>
                    <w:jc w:val="center"/>
                    <w:rPr>
                      <w:rFonts w:cs="宋体"/>
                      <w:color w:val="000000"/>
                      <w:kern w:val="0"/>
                      <w:sz w:val="18"/>
                      <w:szCs w:val="18"/>
                    </w:rPr>
                  </w:pPr>
                  <w:r>
                    <w:rPr>
                      <w:rFonts w:cs="宋体"/>
                      <w:color w:val="000000"/>
                      <w:kern w:val="0"/>
                      <w:sz w:val="18"/>
                      <w:szCs w:val="18"/>
                    </w:rPr>
                    <w:t>2.52</w:t>
                  </w:r>
                </w:p>
              </w:tc>
            </w:tr>
            <w:tr w14:paraId="21E864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14" w:type="dxa"/>
                  <w:noWrap/>
                  <w:vAlign w:val="center"/>
                </w:tcPr>
                <w:p w14:paraId="1FF9DA86">
                  <w:pPr>
                    <w:widowControl/>
                    <w:adjustRightInd/>
                    <w:snapToGrid/>
                    <w:spacing w:line="240" w:lineRule="auto"/>
                    <w:jc w:val="center"/>
                    <w:rPr>
                      <w:rFonts w:cs="宋体"/>
                      <w:color w:val="000000"/>
                      <w:kern w:val="0"/>
                      <w:sz w:val="18"/>
                      <w:szCs w:val="18"/>
                    </w:rPr>
                  </w:pPr>
                  <w:r>
                    <w:rPr>
                      <w:rFonts w:cs="宋体"/>
                      <w:color w:val="000000"/>
                      <w:kern w:val="0"/>
                      <w:sz w:val="18"/>
                      <w:szCs w:val="18"/>
                    </w:rPr>
                    <w:t>2037</w:t>
                  </w:r>
                </w:p>
              </w:tc>
              <w:tc>
                <w:tcPr>
                  <w:tcW w:w="882" w:type="dxa"/>
                  <w:noWrap/>
                  <w:vAlign w:val="center"/>
                </w:tcPr>
                <w:p w14:paraId="4F410B77">
                  <w:pPr>
                    <w:widowControl/>
                    <w:adjustRightInd/>
                    <w:snapToGrid/>
                    <w:spacing w:line="240" w:lineRule="auto"/>
                    <w:jc w:val="center"/>
                    <w:rPr>
                      <w:rFonts w:cs="宋体"/>
                      <w:color w:val="000000"/>
                      <w:kern w:val="0"/>
                      <w:sz w:val="18"/>
                      <w:szCs w:val="18"/>
                    </w:rPr>
                  </w:pPr>
                  <w:r>
                    <w:rPr>
                      <w:rFonts w:cs="宋体"/>
                      <w:color w:val="000000"/>
                      <w:kern w:val="0"/>
                      <w:sz w:val="18"/>
                      <w:szCs w:val="18"/>
                    </w:rPr>
                    <w:t>39.43</w:t>
                  </w:r>
                </w:p>
              </w:tc>
              <w:tc>
                <w:tcPr>
                  <w:tcW w:w="882" w:type="dxa"/>
                  <w:noWrap/>
                  <w:vAlign w:val="center"/>
                </w:tcPr>
                <w:p w14:paraId="0D61A455">
                  <w:pPr>
                    <w:widowControl/>
                    <w:adjustRightInd/>
                    <w:snapToGrid/>
                    <w:spacing w:line="240" w:lineRule="auto"/>
                    <w:jc w:val="center"/>
                    <w:rPr>
                      <w:rFonts w:cs="宋体"/>
                      <w:color w:val="000000"/>
                      <w:kern w:val="0"/>
                      <w:sz w:val="18"/>
                      <w:szCs w:val="18"/>
                    </w:rPr>
                  </w:pPr>
                  <w:r>
                    <w:rPr>
                      <w:rFonts w:cs="宋体"/>
                      <w:color w:val="000000"/>
                      <w:kern w:val="0"/>
                      <w:sz w:val="18"/>
                      <w:szCs w:val="18"/>
                    </w:rPr>
                    <w:t>3.12</w:t>
                  </w:r>
                </w:p>
              </w:tc>
              <w:tc>
                <w:tcPr>
                  <w:tcW w:w="882" w:type="dxa"/>
                  <w:noWrap/>
                  <w:vAlign w:val="center"/>
                </w:tcPr>
                <w:p w14:paraId="75EA0B05">
                  <w:pPr>
                    <w:widowControl/>
                    <w:adjustRightInd/>
                    <w:snapToGrid/>
                    <w:spacing w:line="240" w:lineRule="auto"/>
                    <w:jc w:val="center"/>
                    <w:rPr>
                      <w:rFonts w:cs="宋体"/>
                      <w:color w:val="000000"/>
                      <w:kern w:val="0"/>
                      <w:sz w:val="18"/>
                      <w:szCs w:val="18"/>
                    </w:rPr>
                  </w:pPr>
                  <w:r>
                    <w:rPr>
                      <w:rFonts w:cs="宋体"/>
                      <w:color w:val="000000"/>
                      <w:kern w:val="0"/>
                      <w:sz w:val="18"/>
                      <w:szCs w:val="18"/>
                    </w:rPr>
                    <w:t>25.54</w:t>
                  </w:r>
                </w:p>
              </w:tc>
              <w:tc>
                <w:tcPr>
                  <w:tcW w:w="882" w:type="dxa"/>
                  <w:noWrap/>
                  <w:vAlign w:val="center"/>
                </w:tcPr>
                <w:p w14:paraId="2EB5BD39">
                  <w:pPr>
                    <w:widowControl/>
                    <w:adjustRightInd/>
                    <w:snapToGrid/>
                    <w:spacing w:line="240" w:lineRule="auto"/>
                    <w:jc w:val="center"/>
                    <w:rPr>
                      <w:rFonts w:cs="宋体"/>
                      <w:color w:val="000000"/>
                      <w:kern w:val="0"/>
                      <w:sz w:val="18"/>
                      <w:szCs w:val="18"/>
                    </w:rPr>
                  </w:pPr>
                  <w:r>
                    <w:rPr>
                      <w:rFonts w:cs="宋体"/>
                      <w:color w:val="000000"/>
                      <w:kern w:val="0"/>
                      <w:sz w:val="18"/>
                      <w:szCs w:val="18"/>
                    </w:rPr>
                    <w:t>19.24</w:t>
                  </w:r>
                </w:p>
              </w:tc>
              <w:tc>
                <w:tcPr>
                  <w:tcW w:w="882" w:type="dxa"/>
                  <w:noWrap/>
                  <w:vAlign w:val="center"/>
                </w:tcPr>
                <w:p w14:paraId="0D28F7AC">
                  <w:pPr>
                    <w:widowControl/>
                    <w:adjustRightInd/>
                    <w:snapToGrid/>
                    <w:spacing w:line="240" w:lineRule="auto"/>
                    <w:jc w:val="center"/>
                    <w:rPr>
                      <w:rFonts w:cs="宋体"/>
                      <w:color w:val="000000"/>
                      <w:kern w:val="0"/>
                      <w:sz w:val="18"/>
                      <w:szCs w:val="18"/>
                    </w:rPr>
                  </w:pPr>
                  <w:r>
                    <w:rPr>
                      <w:rFonts w:cs="宋体"/>
                      <w:color w:val="000000"/>
                      <w:kern w:val="0"/>
                      <w:sz w:val="18"/>
                      <w:szCs w:val="18"/>
                    </w:rPr>
                    <w:t>6.43</w:t>
                  </w:r>
                </w:p>
              </w:tc>
              <w:tc>
                <w:tcPr>
                  <w:tcW w:w="1944" w:type="dxa"/>
                  <w:noWrap/>
                  <w:vAlign w:val="center"/>
                </w:tcPr>
                <w:p w14:paraId="77B22B4B">
                  <w:pPr>
                    <w:widowControl/>
                    <w:adjustRightInd/>
                    <w:snapToGrid/>
                    <w:spacing w:line="240" w:lineRule="auto"/>
                    <w:jc w:val="center"/>
                    <w:rPr>
                      <w:rFonts w:cs="宋体"/>
                      <w:color w:val="000000"/>
                      <w:kern w:val="0"/>
                      <w:sz w:val="18"/>
                      <w:szCs w:val="18"/>
                    </w:rPr>
                  </w:pPr>
                  <w:r>
                    <w:rPr>
                      <w:rFonts w:cs="宋体"/>
                      <w:color w:val="000000"/>
                      <w:kern w:val="0"/>
                      <w:sz w:val="18"/>
                      <w:szCs w:val="18"/>
                    </w:rPr>
                    <w:t>3.97</w:t>
                  </w:r>
                </w:p>
              </w:tc>
              <w:tc>
                <w:tcPr>
                  <w:tcW w:w="1430" w:type="dxa"/>
                  <w:noWrap/>
                  <w:vAlign w:val="center"/>
                </w:tcPr>
                <w:p w14:paraId="0933C3BA">
                  <w:pPr>
                    <w:widowControl/>
                    <w:adjustRightInd/>
                    <w:snapToGrid/>
                    <w:spacing w:line="240" w:lineRule="auto"/>
                    <w:jc w:val="center"/>
                    <w:rPr>
                      <w:rFonts w:cs="宋体"/>
                      <w:color w:val="000000"/>
                      <w:kern w:val="0"/>
                      <w:sz w:val="18"/>
                      <w:szCs w:val="18"/>
                    </w:rPr>
                  </w:pPr>
                  <w:r>
                    <w:rPr>
                      <w:rFonts w:cs="宋体"/>
                      <w:color w:val="000000"/>
                      <w:kern w:val="0"/>
                      <w:sz w:val="18"/>
                      <w:szCs w:val="18"/>
                    </w:rPr>
                    <w:t>2.27</w:t>
                  </w:r>
                </w:p>
              </w:tc>
            </w:tr>
            <w:tr w14:paraId="0D348F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14" w:type="dxa"/>
                  <w:noWrap/>
                  <w:vAlign w:val="center"/>
                </w:tcPr>
                <w:p w14:paraId="6B58EA1E">
                  <w:pPr>
                    <w:widowControl/>
                    <w:adjustRightInd/>
                    <w:snapToGrid/>
                    <w:spacing w:line="240" w:lineRule="auto"/>
                    <w:jc w:val="center"/>
                    <w:rPr>
                      <w:rFonts w:cs="宋体"/>
                      <w:color w:val="000000"/>
                      <w:kern w:val="0"/>
                      <w:sz w:val="18"/>
                      <w:szCs w:val="18"/>
                    </w:rPr>
                  </w:pPr>
                  <w:r>
                    <w:rPr>
                      <w:rFonts w:cs="宋体"/>
                      <w:color w:val="000000"/>
                      <w:kern w:val="0"/>
                      <w:sz w:val="18"/>
                      <w:szCs w:val="18"/>
                    </w:rPr>
                    <w:t>2042</w:t>
                  </w:r>
                </w:p>
              </w:tc>
              <w:tc>
                <w:tcPr>
                  <w:tcW w:w="882" w:type="dxa"/>
                  <w:noWrap/>
                  <w:vAlign w:val="center"/>
                </w:tcPr>
                <w:p w14:paraId="4D1A68D3">
                  <w:pPr>
                    <w:widowControl/>
                    <w:adjustRightInd/>
                    <w:snapToGrid/>
                    <w:spacing w:line="240" w:lineRule="auto"/>
                    <w:jc w:val="center"/>
                    <w:rPr>
                      <w:rFonts w:cs="宋体"/>
                      <w:color w:val="000000"/>
                      <w:kern w:val="0"/>
                      <w:sz w:val="18"/>
                      <w:szCs w:val="18"/>
                    </w:rPr>
                  </w:pPr>
                  <w:r>
                    <w:rPr>
                      <w:rFonts w:cs="宋体"/>
                      <w:color w:val="000000"/>
                      <w:kern w:val="0"/>
                      <w:sz w:val="18"/>
                      <w:szCs w:val="18"/>
                    </w:rPr>
                    <w:t>40.15</w:t>
                  </w:r>
                </w:p>
              </w:tc>
              <w:tc>
                <w:tcPr>
                  <w:tcW w:w="882" w:type="dxa"/>
                  <w:noWrap/>
                  <w:vAlign w:val="center"/>
                </w:tcPr>
                <w:p w14:paraId="09343E19">
                  <w:pPr>
                    <w:widowControl/>
                    <w:adjustRightInd/>
                    <w:snapToGrid/>
                    <w:spacing w:line="240" w:lineRule="auto"/>
                    <w:jc w:val="center"/>
                    <w:rPr>
                      <w:rFonts w:cs="宋体"/>
                      <w:color w:val="000000"/>
                      <w:kern w:val="0"/>
                      <w:sz w:val="18"/>
                      <w:szCs w:val="18"/>
                    </w:rPr>
                  </w:pPr>
                  <w:r>
                    <w:rPr>
                      <w:rFonts w:cs="宋体"/>
                      <w:color w:val="000000"/>
                      <w:kern w:val="0"/>
                      <w:sz w:val="18"/>
                      <w:szCs w:val="18"/>
                    </w:rPr>
                    <w:t>3.75</w:t>
                  </w:r>
                </w:p>
              </w:tc>
              <w:tc>
                <w:tcPr>
                  <w:tcW w:w="882" w:type="dxa"/>
                  <w:noWrap/>
                  <w:vAlign w:val="center"/>
                </w:tcPr>
                <w:p w14:paraId="343EF796">
                  <w:pPr>
                    <w:widowControl/>
                    <w:adjustRightInd/>
                    <w:snapToGrid/>
                    <w:spacing w:line="240" w:lineRule="auto"/>
                    <w:jc w:val="center"/>
                    <w:rPr>
                      <w:rFonts w:cs="宋体"/>
                      <w:color w:val="000000"/>
                      <w:kern w:val="0"/>
                      <w:sz w:val="18"/>
                      <w:szCs w:val="18"/>
                    </w:rPr>
                  </w:pPr>
                  <w:r>
                    <w:rPr>
                      <w:rFonts w:cs="宋体"/>
                      <w:color w:val="000000"/>
                      <w:kern w:val="0"/>
                      <w:sz w:val="18"/>
                      <w:szCs w:val="18"/>
                    </w:rPr>
                    <w:t>24.46</w:t>
                  </w:r>
                </w:p>
              </w:tc>
              <w:tc>
                <w:tcPr>
                  <w:tcW w:w="882" w:type="dxa"/>
                  <w:noWrap/>
                  <w:vAlign w:val="center"/>
                </w:tcPr>
                <w:p w14:paraId="6EACF94D">
                  <w:pPr>
                    <w:widowControl/>
                    <w:adjustRightInd/>
                    <w:snapToGrid/>
                    <w:spacing w:line="240" w:lineRule="auto"/>
                    <w:jc w:val="center"/>
                    <w:rPr>
                      <w:rFonts w:cs="宋体"/>
                      <w:color w:val="000000"/>
                      <w:kern w:val="0"/>
                      <w:sz w:val="18"/>
                      <w:szCs w:val="18"/>
                    </w:rPr>
                  </w:pPr>
                  <w:r>
                    <w:rPr>
                      <w:rFonts w:cs="宋体"/>
                      <w:color w:val="000000"/>
                      <w:kern w:val="0"/>
                      <w:sz w:val="18"/>
                      <w:szCs w:val="18"/>
                    </w:rPr>
                    <w:t>18.74</w:t>
                  </w:r>
                </w:p>
              </w:tc>
              <w:tc>
                <w:tcPr>
                  <w:tcW w:w="882" w:type="dxa"/>
                  <w:noWrap/>
                  <w:vAlign w:val="center"/>
                </w:tcPr>
                <w:p w14:paraId="7CE4E792">
                  <w:pPr>
                    <w:widowControl/>
                    <w:adjustRightInd/>
                    <w:snapToGrid/>
                    <w:spacing w:line="240" w:lineRule="auto"/>
                    <w:jc w:val="center"/>
                    <w:rPr>
                      <w:rFonts w:cs="宋体"/>
                      <w:color w:val="000000"/>
                      <w:kern w:val="0"/>
                      <w:sz w:val="18"/>
                      <w:szCs w:val="18"/>
                    </w:rPr>
                  </w:pPr>
                  <w:r>
                    <w:rPr>
                      <w:rFonts w:cs="宋体"/>
                      <w:color w:val="000000"/>
                      <w:kern w:val="0"/>
                      <w:sz w:val="18"/>
                      <w:szCs w:val="18"/>
                    </w:rPr>
                    <w:t>6.84</w:t>
                  </w:r>
                </w:p>
              </w:tc>
              <w:tc>
                <w:tcPr>
                  <w:tcW w:w="1944" w:type="dxa"/>
                  <w:noWrap/>
                  <w:vAlign w:val="center"/>
                </w:tcPr>
                <w:p w14:paraId="7494BBC1">
                  <w:pPr>
                    <w:widowControl/>
                    <w:adjustRightInd/>
                    <w:snapToGrid/>
                    <w:spacing w:line="240" w:lineRule="auto"/>
                    <w:jc w:val="center"/>
                    <w:rPr>
                      <w:rFonts w:cs="宋体"/>
                      <w:color w:val="000000"/>
                      <w:kern w:val="0"/>
                      <w:sz w:val="18"/>
                      <w:szCs w:val="18"/>
                    </w:rPr>
                  </w:pPr>
                  <w:r>
                    <w:rPr>
                      <w:rFonts w:cs="宋体"/>
                      <w:color w:val="000000"/>
                      <w:kern w:val="0"/>
                      <w:sz w:val="18"/>
                      <w:szCs w:val="18"/>
                    </w:rPr>
                    <w:t>4.12</w:t>
                  </w:r>
                </w:p>
              </w:tc>
              <w:tc>
                <w:tcPr>
                  <w:tcW w:w="1430" w:type="dxa"/>
                  <w:noWrap/>
                  <w:vAlign w:val="center"/>
                </w:tcPr>
                <w:p w14:paraId="08F3D4BA">
                  <w:pPr>
                    <w:widowControl/>
                    <w:adjustRightInd/>
                    <w:snapToGrid/>
                    <w:spacing w:line="240" w:lineRule="auto"/>
                    <w:jc w:val="center"/>
                    <w:rPr>
                      <w:rFonts w:cs="宋体"/>
                      <w:color w:val="000000"/>
                      <w:kern w:val="0"/>
                      <w:sz w:val="18"/>
                      <w:szCs w:val="18"/>
                    </w:rPr>
                  </w:pPr>
                  <w:r>
                    <w:rPr>
                      <w:rFonts w:cs="宋体"/>
                      <w:color w:val="000000"/>
                      <w:kern w:val="0"/>
                      <w:sz w:val="18"/>
                      <w:szCs w:val="18"/>
                    </w:rPr>
                    <w:t>1.94</w:t>
                  </w:r>
                </w:p>
              </w:tc>
            </w:tr>
          </w:tbl>
          <w:p w14:paraId="4EB0BC93">
            <w:pPr>
              <w:pStyle w:val="4"/>
            </w:pPr>
            <w:r>
              <w:rPr>
                <w:rFonts w:hint="eastAsia"/>
              </w:rPr>
              <w:t>道路工程</w:t>
            </w:r>
          </w:p>
          <w:p w14:paraId="6D3F30C3">
            <w:pPr>
              <w:ind w:firstLine="420" w:firstLineChars="200"/>
            </w:pPr>
            <w:r>
              <w:rPr>
                <w:rFonts w:hint="eastAsia"/>
              </w:rPr>
              <w:t>1、平面设计</w:t>
            </w:r>
          </w:p>
          <w:p w14:paraId="2C3E8F1E">
            <w:pPr>
              <w:ind w:firstLine="420" w:firstLineChars="200"/>
            </w:pPr>
            <w:r>
              <w:rPr>
                <w:rFonts w:hint="eastAsia"/>
              </w:rPr>
              <w:t>青西二路（江东大道-河景路）道路全长约 868m，其中新建长度853m，改造搭接长度约为15m，标准段宽24m，道路等级为城市次干路，双向四车道，道路呈南北走向，</w:t>
            </w:r>
            <w:commentRangeStart w:id="26"/>
            <w:r>
              <w:rPr>
                <w:rFonts w:hint="eastAsia"/>
              </w:rPr>
              <w:t>北起江东大道，南至河景路，</w:t>
            </w:r>
            <w:r>
              <w:t>沿线与向民路、向河路、向景路、向湖路等规划道路平面交叉</w:t>
            </w:r>
            <w:r>
              <w:rPr>
                <w:rFonts w:hint="eastAsia"/>
              </w:rPr>
              <w:t>。</w:t>
            </w:r>
            <w:commentRangeEnd w:id="26"/>
            <w:r>
              <w:rPr>
                <w:rStyle w:val="38"/>
                <w:rFonts w:hint="eastAsia"/>
              </w:rPr>
              <w:commentReference w:id="26"/>
            </w:r>
            <w:r>
              <w:rPr>
                <w:rFonts w:hint="eastAsia"/>
              </w:rPr>
              <w:t>道路平面设计具体按照《城市道路工程设计规范（2016 修订版）》（CJJ37-2012）、《城市道路交通工程项目规范》（GB55011-2021）执行。</w:t>
            </w:r>
          </w:p>
          <w:p w14:paraId="68D0C1DD">
            <w:pPr>
              <w:keepNext/>
              <w:jc w:val="center"/>
            </w:pPr>
            <w:r>
              <w:drawing>
                <wp:inline distT="0" distB="0" distL="0" distR="0">
                  <wp:extent cx="3277870" cy="5290820"/>
                  <wp:effectExtent l="0" t="0" r="0" b="5080"/>
                  <wp:docPr id="13684718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71808" name="图片 1"/>
                          <pic:cNvPicPr>
                            <a:picLocks noChangeAspect="1"/>
                          </pic:cNvPicPr>
                        </pic:nvPicPr>
                        <pic:blipFill>
                          <a:blip r:embed="rId13"/>
                          <a:stretch>
                            <a:fillRect/>
                          </a:stretch>
                        </pic:blipFill>
                        <pic:spPr>
                          <a:xfrm>
                            <a:off x="0" y="0"/>
                            <a:ext cx="3298696" cy="5324668"/>
                          </a:xfrm>
                          <a:prstGeom prst="rect">
                            <a:avLst/>
                          </a:prstGeom>
                        </pic:spPr>
                      </pic:pic>
                    </a:graphicData>
                  </a:graphic>
                </wp:inline>
              </w:drawing>
            </w:r>
          </w:p>
          <w:p w14:paraId="20E12737">
            <w:pPr>
              <w:pStyle w:val="9"/>
              <w:spacing w:before="120"/>
              <w:rPr>
                <w:highlight w:val="yellow"/>
              </w:rPr>
            </w:pPr>
            <w:r>
              <w:t xml:space="preserve">图 </w:t>
            </w:r>
            <w:r>
              <w:fldChar w:fldCharType="begin"/>
            </w:r>
            <w:r>
              <w:instrText xml:space="preserve"> STYLEREF 1 \s </w:instrText>
            </w:r>
            <w:r>
              <w:fldChar w:fldCharType="separate"/>
            </w:r>
            <w:r>
              <w:t>2</w:t>
            </w:r>
            <w:r>
              <w:fldChar w:fldCharType="end"/>
            </w:r>
            <w:r>
              <w:noBreakHyphen/>
            </w:r>
            <w:r>
              <w:fldChar w:fldCharType="begin"/>
            </w:r>
            <w:r>
              <w:instrText xml:space="preserve"> SEQ 图 \* ARABIC \s 1 </w:instrText>
            </w:r>
            <w:r>
              <w:fldChar w:fldCharType="separate"/>
            </w:r>
            <w:r>
              <w:t>1</w:t>
            </w:r>
            <w:r>
              <w:fldChar w:fldCharType="end"/>
            </w:r>
            <w:r>
              <w:t>工程平面设计图</w:t>
            </w:r>
          </w:p>
          <w:p w14:paraId="78AA248C">
            <w:pPr>
              <w:ind w:firstLine="420" w:firstLineChars="200"/>
              <w:rPr>
                <w:color w:val="000000"/>
                <w:szCs w:val="21"/>
              </w:rPr>
            </w:pPr>
            <w:r>
              <w:rPr>
                <w:rFonts w:hint="eastAsia"/>
                <w:color w:val="000000"/>
                <w:szCs w:val="21"/>
              </w:rPr>
              <w:t>2、纵断面设计</w:t>
            </w:r>
          </w:p>
          <w:p w14:paraId="3248F836">
            <w:pPr>
              <w:ind w:firstLine="420" w:firstLineChars="200"/>
              <w:rPr>
                <w:color w:val="000000"/>
                <w:szCs w:val="21"/>
              </w:rPr>
            </w:pPr>
            <w:r>
              <w:rPr>
                <w:rFonts w:hint="eastAsia"/>
                <w:color w:val="000000"/>
                <w:szCs w:val="21"/>
              </w:rPr>
              <w:t>本工程所处区域地形平坦，最小纵坡宜尽量满足路面纵向排水要求，参照与已建成道路相交点的现状控制标高，满足沿路范围内地面水的排除；为保证行车安全、舒适，纵坡宜缓顺，起伏不宜频繁；为满足非机动车行驶，最大纵坡度按非机动车爬坡能力控制；设计时应对沿线地形、地质、水文、气候、地下管线、排水要求综合考虑；线性组合应满足行车安全、舒适，以及与沿线生态环境、景观协调的要求，保持平面、纵断面线性均衡，保证路面排水通畅。纵断面控制标高主要考虑现状路面标高及地块标高等进行控制；本工程道路最小纵坡度≥0.3%，机动车道最大纵坡≤6%，最小坡长≤110m。</w:t>
            </w:r>
          </w:p>
          <w:p w14:paraId="3466F214">
            <w:pPr>
              <w:ind w:firstLine="420" w:firstLineChars="200"/>
              <w:rPr>
                <w:color w:val="000000"/>
                <w:szCs w:val="21"/>
              </w:rPr>
            </w:pPr>
            <w:r>
              <w:rPr>
                <w:rFonts w:hint="eastAsia"/>
                <w:color w:val="000000"/>
                <w:szCs w:val="21"/>
              </w:rPr>
              <w:t>3、横断面设计</w:t>
            </w:r>
          </w:p>
          <w:p w14:paraId="6C61C786">
            <w:pPr>
              <w:ind w:firstLine="420" w:firstLineChars="200"/>
              <w:rPr>
                <w:highlight w:val="yellow"/>
              </w:rPr>
            </w:pPr>
            <w:r>
              <w:rPr>
                <w:rFonts w:hint="eastAsia"/>
                <w:color w:val="000000"/>
                <w:szCs w:val="21"/>
              </w:rPr>
              <w:t>横断面宜由机动车道、非机动车道、人行道、分车带、设施带、绿化带等组成，特殊断面还可包括应急车道、路肩和排水沟等。机动车道路面宽度应包括车行道宽度及两侧路缘带宽度单幅路及三幅路采用中间分隔物或双黄线分隔对向交通时，机动车道路面宽度还应包括分隔物或双黄线的宽度。道路横断面设计以满足道路交通、管线布置、景观绿化要求为基础，综合考虑规划道路功能、工程特点、交通量预测、现状或已设计道路预留接口、沿线土地利用规划等因素确定。本工程横断面设置为</w:t>
            </w:r>
            <w:r>
              <w:t>2.5m人行道（含1.5m树带）+2.5m非机动车道+6.75m行车道+0.5双黄线+6.75m行车道+2.5m非机动车道+2.5m人行道（含1.5m树带）=24m。</w:t>
            </w:r>
          </w:p>
          <w:p w14:paraId="7E304CD9">
            <w:pPr>
              <w:keepNext/>
              <w:jc w:val="center"/>
            </w:pPr>
            <w:r>
              <w:drawing>
                <wp:inline distT="0" distB="0" distL="0" distR="0">
                  <wp:extent cx="3990340" cy="2342515"/>
                  <wp:effectExtent l="0" t="0" r="0" b="635"/>
                  <wp:docPr id="21284617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461727" name="图片 1"/>
                          <pic:cNvPicPr>
                            <a:picLocks noChangeAspect="1"/>
                          </pic:cNvPicPr>
                        </pic:nvPicPr>
                        <pic:blipFill>
                          <a:blip r:embed="rId14"/>
                          <a:stretch>
                            <a:fillRect/>
                          </a:stretch>
                        </pic:blipFill>
                        <pic:spPr>
                          <a:xfrm>
                            <a:off x="0" y="0"/>
                            <a:ext cx="3990476" cy="2342857"/>
                          </a:xfrm>
                          <a:prstGeom prst="rect">
                            <a:avLst/>
                          </a:prstGeom>
                        </pic:spPr>
                      </pic:pic>
                    </a:graphicData>
                  </a:graphic>
                </wp:inline>
              </w:drawing>
            </w:r>
          </w:p>
          <w:p w14:paraId="1E0113B3">
            <w:pPr>
              <w:pStyle w:val="9"/>
              <w:spacing w:before="120"/>
              <w:rPr>
                <w:highlight w:val="yellow"/>
              </w:rPr>
            </w:pPr>
            <w:r>
              <w:t xml:space="preserve">图 </w:t>
            </w:r>
            <w:r>
              <w:fldChar w:fldCharType="begin"/>
            </w:r>
            <w:r>
              <w:instrText xml:space="preserve"> STYLEREF 1 \s </w:instrText>
            </w:r>
            <w:r>
              <w:fldChar w:fldCharType="separate"/>
            </w:r>
            <w:r>
              <w:t>2</w:t>
            </w:r>
            <w:r>
              <w:fldChar w:fldCharType="end"/>
            </w:r>
            <w:r>
              <w:noBreakHyphen/>
            </w:r>
            <w:r>
              <w:fldChar w:fldCharType="begin"/>
            </w:r>
            <w:r>
              <w:instrText xml:space="preserve"> SEQ 图 \* ARABIC \s 1 </w:instrText>
            </w:r>
            <w:r>
              <w:fldChar w:fldCharType="separate"/>
            </w:r>
            <w:r>
              <w:t>2</w:t>
            </w:r>
            <w:r>
              <w:fldChar w:fldCharType="end"/>
            </w:r>
            <w:r>
              <w:t>横断面图</w:t>
            </w:r>
          </w:p>
          <w:p w14:paraId="2A5D7F0A">
            <w:pPr>
              <w:ind w:firstLine="420" w:firstLineChars="200"/>
              <w:rPr>
                <w:color w:val="000000"/>
                <w:szCs w:val="21"/>
              </w:rPr>
            </w:pPr>
            <w:r>
              <w:rPr>
                <w:rFonts w:hint="eastAsia"/>
                <w:color w:val="000000"/>
                <w:szCs w:val="21"/>
              </w:rPr>
              <w:t>4、路基设计</w:t>
            </w:r>
          </w:p>
          <w:p w14:paraId="5FDF6145">
            <w:pPr>
              <w:ind w:firstLine="420" w:firstLineChars="200"/>
            </w:pPr>
            <w:r>
              <w:rPr>
                <w:rFonts w:hint="eastAsia"/>
              </w:rPr>
              <w:t>路基必须做到密实、均匀、稳定。路槽底面土基应保持中湿状态，否则应采取处理措施。路基设计应与城市规划和沿线自然景观相协调，有效利用原有地形，充分评估对沿线重要建筑、市政设施的影响。根据项目可研报告显示，本工程</w:t>
            </w:r>
            <w:r>
              <w:t>路基压实度采用 CJJ194-2013《城市道路路基设计规范》城市次干路重型击实标准控制。路基填料采用建筑垃圾再生填料。结合《城市道路路基设计规范》（CJJ194-2013）、《工程渣土再生填料道路路基技术规程》（DBJ33/T1312 2024）要求，采用S06等级再生填料。</w:t>
            </w:r>
            <w:r>
              <w:rPr>
                <w:rFonts w:hint="eastAsia"/>
              </w:rPr>
              <w:t>机非车道路床顶面设计回弹模量不小于 35MPa，人行道不小于20MPa。本道路所经路段地势平缓，填方边坡统一按 1：1.5 放坡，挖方按 1：1 放坡。道路人行道外侧放坡处理，采用植草护坡，当两侧土地开发后，边坡与开发地块整平接顺。</w:t>
            </w:r>
          </w:p>
          <w:p w14:paraId="17A38E94">
            <w:pPr>
              <w:ind w:firstLine="420" w:firstLineChars="200"/>
            </w:pPr>
            <w:r>
              <w:rPr>
                <w:rFonts w:hint="eastAsia"/>
              </w:rPr>
              <w:t>5、路面工程设计</w:t>
            </w:r>
          </w:p>
          <w:p w14:paraId="78A17690">
            <w:pPr>
              <w:ind w:firstLine="420" w:firstLineChars="200"/>
              <w:rPr>
                <w:color w:val="000000"/>
                <w:szCs w:val="21"/>
              </w:rPr>
            </w:pPr>
            <w:r>
              <w:rPr>
                <w:rFonts w:hint="eastAsia"/>
                <w:color w:val="000000"/>
                <w:szCs w:val="21"/>
              </w:rPr>
              <w:t>为保证机动车道及非机动车道行驶舒适性的特点，本工程设</w:t>
            </w:r>
            <w:commentRangeStart w:id="27"/>
            <w:commentRangeStart w:id="28"/>
            <w:r>
              <w:rPr>
                <w:rFonts w:hint="eastAsia"/>
                <w:color w:val="000000"/>
                <w:szCs w:val="21"/>
              </w:rPr>
              <w:t>计采用沥青混凝土路面，</w:t>
            </w:r>
            <w:commentRangeEnd w:id="27"/>
            <w:r>
              <w:rPr>
                <w:rStyle w:val="38"/>
                <w:rFonts w:hint="eastAsia"/>
                <w:color w:val="000000"/>
                <w:szCs w:val="21"/>
              </w:rPr>
              <w:commentReference w:id="27"/>
            </w:r>
            <w:commentRangeEnd w:id="28"/>
            <w:r>
              <w:rPr>
                <w:rStyle w:val="38"/>
                <w:rFonts w:hint="eastAsia"/>
                <w:color w:val="000000"/>
                <w:szCs w:val="21"/>
              </w:rPr>
              <w:commentReference w:id="28"/>
            </w:r>
            <w:r>
              <w:rPr>
                <w:rFonts w:hint="eastAsia"/>
                <w:color w:val="000000"/>
                <w:szCs w:val="21"/>
              </w:rPr>
              <w:t>为了加强基层强度和稳定性，基层材料采用水泥稳定碎石基层。人行道路面选用透水砖铺装路面。机动车道与非机动车道路面结构选用4cm 细粒式沥青砼（AC-13C SBS 改性）、8cm 中粒式沥青砼（AC-20C）、20cm 5%水泥稳定碎石（7d 抗压强度 4.5MPa）、20cm 4%水泥稳定碎石（7d 抗压强度 4.0MPa）、15cm 级配碎石、总厚度为67cm。人行道路面选用6cm PC 透水砖、3cm 干硬性水泥砂浆、反滤土工布、20cm C20 透水混凝土、15cm 级配碎石、总厚度为44cm。</w:t>
            </w:r>
          </w:p>
          <w:p w14:paraId="654E785B">
            <w:pPr>
              <w:ind w:firstLine="420" w:firstLineChars="200"/>
              <w:rPr>
                <w:color w:val="000000"/>
                <w:szCs w:val="21"/>
              </w:rPr>
            </w:pPr>
            <w:r>
              <w:rPr>
                <w:rFonts w:hint="eastAsia"/>
                <w:color w:val="000000"/>
                <w:szCs w:val="21"/>
              </w:rPr>
              <w:t>6、路基路面排水设计</w:t>
            </w:r>
          </w:p>
          <w:p w14:paraId="0E6C399E">
            <w:pPr>
              <w:ind w:firstLine="420" w:firstLineChars="200"/>
            </w:pPr>
            <w:r>
              <w:rPr>
                <w:rFonts w:hint="eastAsia"/>
              </w:rPr>
              <w:t>由于道路有海绵城市需求，路面排水考虑了人行道下海绵城市透水排水设计。透水人行道铺装下设置碎石盲沟，收集人行道铺装下渗雨水，经由纵向软式透水管（直径 100mm）和横向 PVC 管（直径 100mm）排入雨水口。由于地块待开发，道路两侧坡脚外做 50×50cm 梯形土沟临时排水。</w:t>
            </w:r>
          </w:p>
          <w:p w14:paraId="68EB0DDB">
            <w:pPr>
              <w:pStyle w:val="4"/>
            </w:pPr>
            <w:r>
              <w:rPr>
                <w:rFonts w:hint="eastAsia"/>
              </w:rPr>
              <w:t>桥梁工程</w:t>
            </w:r>
          </w:p>
          <w:p w14:paraId="1C7F71E3">
            <w:pPr>
              <w:ind w:firstLine="420" w:firstLineChars="200"/>
              <w:rPr>
                <w:highlight w:val="yellow"/>
              </w:rPr>
            </w:pPr>
            <w:r>
              <w:rPr>
                <w:rFonts w:hint="eastAsia"/>
              </w:rPr>
              <w:t>本工程于K0+354.985处修建桥梁一座，桥面宽度27m，跨越河庄横河，河道宽度25m，河底标高1.0m，50年一遇设计</w:t>
            </w:r>
            <w:commentRangeStart w:id="29"/>
            <w:r>
              <w:rPr>
                <w:rFonts w:hint="eastAsia"/>
              </w:rPr>
              <w:t>洪水位为5.25m</w:t>
            </w:r>
            <w:commentRangeEnd w:id="29"/>
            <w:r>
              <w:rPr>
                <w:rStyle w:val="38"/>
                <w:rFonts w:hint="eastAsia"/>
              </w:rPr>
              <w:commentReference w:id="29"/>
            </w:r>
            <w:r>
              <w:rPr>
                <w:rFonts w:hint="eastAsia"/>
              </w:rPr>
              <w:t>，常水位4.0m。通过方案比选，本</w:t>
            </w:r>
            <w:commentRangeStart w:id="30"/>
            <w:commentRangeStart w:id="31"/>
            <w:r>
              <w:rPr>
                <w:rFonts w:hint="eastAsia"/>
              </w:rPr>
              <w:t>工程桥梁跨径布置为11+28+11m，桥长55m</w:t>
            </w:r>
            <w:commentRangeEnd w:id="30"/>
            <w:r>
              <w:rPr>
                <w:rStyle w:val="38"/>
                <w:rFonts w:hint="eastAsia"/>
              </w:rPr>
              <w:commentReference w:id="30"/>
            </w:r>
            <w:commentRangeEnd w:id="31"/>
            <w:r>
              <w:rPr>
                <w:rStyle w:val="38"/>
                <w:rFonts w:hint="eastAsia"/>
              </w:rPr>
              <w:commentReference w:id="31"/>
            </w:r>
            <w:r>
              <w:rPr>
                <w:rFonts w:hint="eastAsia"/>
              </w:rPr>
              <w:t>，</w:t>
            </w:r>
            <w:r>
              <w:t>中跨28m 采用一跨过河的设计，确保主跨完全跨越河道，不在河道内设置桥墩</w:t>
            </w:r>
            <w:r>
              <w:rPr>
                <w:rFonts w:hint="eastAsia"/>
              </w:rPr>
              <w:t>，桥面宽度27m，左幅12m，右幅15m，斜交75°。28m中跨上部结构采用钢混组合梁，梁高1.5m；11m边跨上部结构采用C40钢筋砼现浇板，梁高0.85m；</w:t>
            </w:r>
            <w:r>
              <w:t>钢结构为工厂预制采购</w:t>
            </w:r>
            <w:r>
              <w:rPr>
                <w:rFonts w:hint="eastAsia"/>
              </w:rPr>
              <w:t>，</w:t>
            </w:r>
            <w:r>
              <w:t>两侧边跨</w:t>
            </w:r>
            <w:r>
              <w:rPr>
                <w:rFonts w:hint="eastAsia"/>
              </w:rPr>
              <w:t>为</w:t>
            </w:r>
            <w:r>
              <w:t>现场分两幅现浇</w:t>
            </w:r>
            <w:r>
              <w:rPr>
                <w:rFonts w:hint="eastAsia"/>
              </w:rPr>
              <w:t>。桥墩采用盖梁柱式墩，基础采用桩基础；桥台采用柱式桥台，基础采用桩基础。桥型简约，桥墩处不等高盖梁，通过一个装饰板遮挡，打造圆弧过渡。</w:t>
            </w:r>
            <w:r>
              <w:t>河道（挡墙+桩基施工）基坑采用双排拉森钢板桩支护+钢管支撑支护；围堰采用双排钢板桩围堰，钢板桩采用12m拉森钢板桩，南北侧围堰顶标高为+5.0和+6.0m，围堰内回填砂；围堰宽3.2m，采用直径50mm钢拉杆对拉，拉杆纵向间距1.6m。</w:t>
            </w:r>
          </w:p>
          <w:p w14:paraId="6040D772">
            <w:pPr>
              <w:keepNext/>
              <w:jc w:val="center"/>
            </w:pPr>
            <w:r>
              <w:drawing>
                <wp:inline distT="0" distB="0" distL="0" distR="0">
                  <wp:extent cx="4432300" cy="1905635"/>
                  <wp:effectExtent l="0" t="0" r="6350" b="0"/>
                  <wp:docPr id="420754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5432" name="图片 1"/>
                          <pic:cNvPicPr>
                            <a:picLocks noChangeAspect="1"/>
                          </pic:cNvPicPr>
                        </pic:nvPicPr>
                        <pic:blipFill>
                          <a:blip r:embed="rId15"/>
                          <a:stretch>
                            <a:fillRect/>
                          </a:stretch>
                        </pic:blipFill>
                        <pic:spPr>
                          <a:xfrm>
                            <a:off x="0" y="0"/>
                            <a:ext cx="4436591" cy="1907561"/>
                          </a:xfrm>
                          <a:prstGeom prst="rect">
                            <a:avLst/>
                          </a:prstGeom>
                        </pic:spPr>
                      </pic:pic>
                    </a:graphicData>
                  </a:graphic>
                </wp:inline>
              </w:drawing>
            </w:r>
          </w:p>
          <w:p w14:paraId="32962348">
            <w:pPr>
              <w:pStyle w:val="9"/>
              <w:spacing w:before="120"/>
              <w:rPr>
                <w:highlight w:val="yellow"/>
              </w:rPr>
            </w:pPr>
            <w:r>
              <w:t xml:space="preserve">图 </w:t>
            </w:r>
            <w:r>
              <w:fldChar w:fldCharType="begin"/>
            </w:r>
            <w:r>
              <w:instrText xml:space="preserve"> STYLEREF 1 \s </w:instrText>
            </w:r>
            <w:r>
              <w:fldChar w:fldCharType="separate"/>
            </w:r>
            <w:r>
              <w:t>2</w:t>
            </w:r>
            <w:r>
              <w:fldChar w:fldCharType="end"/>
            </w:r>
            <w:r>
              <w:noBreakHyphen/>
            </w:r>
            <w:r>
              <w:fldChar w:fldCharType="begin"/>
            </w:r>
            <w:r>
              <w:instrText xml:space="preserve"> SEQ 图 \* ARABIC \s 1 </w:instrText>
            </w:r>
            <w:r>
              <w:fldChar w:fldCharType="separate"/>
            </w:r>
            <w:r>
              <w:t>3</w:t>
            </w:r>
            <w:r>
              <w:fldChar w:fldCharType="end"/>
            </w:r>
            <w:r>
              <w:t>桥梁效果图</w:t>
            </w:r>
          </w:p>
          <w:p w14:paraId="44D44617">
            <w:pPr>
              <w:keepNext/>
              <w:jc w:val="center"/>
            </w:pPr>
            <w:r>
              <w:drawing>
                <wp:inline distT="0" distB="0" distL="0" distR="0">
                  <wp:extent cx="3916045" cy="2026285"/>
                  <wp:effectExtent l="0" t="0" r="8255" b="0"/>
                  <wp:docPr id="15165226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522657" name="图片 1"/>
                          <pic:cNvPicPr>
                            <a:picLocks noChangeAspect="1"/>
                          </pic:cNvPicPr>
                        </pic:nvPicPr>
                        <pic:blipFill>
                          <a:blip r:embed="rId16"/>
                          <a:stretch>
                            <a:fillRect/>
                          </a:stretch>
                        </pic:blipFill>
                        <pic:spPr>
                          <a:xfrm>
                            <a:off x="0" y="0"/>
                            <a:ext cx="3939548" cy="2038446"/>
                          </a:xfrm>
                          <a:prstGeom prst="rect">
                            <a:avLst/>
                          </a:prstGeom>
                        </pic:spPr>
                      </pic:pic>
                    </a:graphicData>
                  </a:graphic>
                </wp:inline>
              </w:drawing>
            </w:r>
          </w:p>
          <w:p w14:paraId="1E91BE65">
            <w:pPr>
              <w:pStyle w:val="9"/>
              <w:spacing w:before="120"/>
              <w:rPr>
                <w:highlight w:val="yellow"/>
              </w:rPr>
            </w:pPr>
            <w:r>
              <w:t xml:space="preserve">图 </w:t>
            </w:r>
            <w:r>
              <w:fldChar w:fldCharType="begin"/>
            </w:r>
            <w:r>
              <w:instrText xml:space="preserve"> STYLEREF 1 \s </w:instrText>
            </w:r>
            <w:r>
              <w:fldChar w:fldCharType="separate"/>
            </w:r>
            <w:r>
              <w:t>2</w:t>
            </w:r>
            <w:r>
              <w:fldChar w:fldCharType="end"/>
            </w:r>
            <w:r>
              <w:noBreakHyphen/>
            </w:r>
            <w:r>
              <w:fldChar w:fldCharType="begin"/>
            </w:r>
            <w:r>
              <w:instrText xml:space="preserve"> SEQ 图 \* ARABIC \s 1 </w:instrText>
            </w:r>
            <w:r>
              <w:fldChar w:fldCharType="separate"/>
            </w:r>
            <w:r>
              <w:t>4</w:t>
            </w:r>
            <w:r>
              <w:fldChar w:fldCharType="end"/>
            </w:r>
            <w:r>
              <w:t>桥型布置图</w:t>
            </w:r>
          </w:p>
          <w:p w14:paraId="5841DA98">
            <w:pPr>
              <w:pStyle w:val="4"/>
            </w:pPr>
            <w:r>
              <w:rPr>
                <w:rFonts w:hint="eastAsia"/>
              </w:rPr>
              <w:t>辅助工程</w:t>
            </w:r>
          </w:p>
          <w:p w14:paraId="716BD202">
            <w:pPr>
              <w:ind w:firstLine="422" w:firstLineChars="200"/>
              <w:rPr>
                <w:b/>
                <w:bCs/>
              </w:rPr>
            </w:pPr>
            <w:r>
              <w:rPr>
                <w:rFonts w:hint="eastAsia"/>
                <w:b/>
                <w:bCs/>
              </w:rPr>
              <w:t>1、交通工程</w:t>
            </w:r>
          </w:p>
          <w:p w14:paraId="506479EE">
            <w:pPr>
              <w:ind w:firstLine="422" w:firstLineChars="200"/>
              <w:rPr>
                <w:b/>
                <w:bCs/>
              </w:rPr>
            </w:pPr>
            <w:r>
              <w:rPr>
                <w:rFonts w:hint="eastAsia"/>
                <w:b/>
                <w:bCs/>
              </w:rPr>
              <w:t>（1）交通组织设计</w:t>
            </w:r>
          </w:p>
          <w:p w14:paraId="39A68C2F">
            <w:pPr>
              <w:ind w:firstLine="422" w:firstLineChars="200"/>
            </w:pPr>
            <w:r>
              <w:rPr>
                <w:rFonts w:hint="eastAsia"/>
                <w:b/>
                <w:bCs/>
              </w:rPr>
              <w:t>交叉口交通组织：</w:t>
            </w:r>
            <w:r>
              <w:rPr>
                <w:rFonts w:hint="eastAsia"/>
              </w:rPr>
              <w:t>本项目与向民路、向河路、向景路、向湖路相交采用平面交叉、信控组织形式，与现状河景路、江东大道相交采用右进右出组织形式。</w:t>
            </w:r>
          </w:p>
          <w:p w14:paraId="455CB00E">
            <w:pPr>
              <w:ind w:firstLine="422" w:firstLineChars="200"/>
            </w:pPr>
            <w:r>
              <w:rPr>
                <w:rFonts w:hint="eastAsia"/>
                <w:b/>
                <w:bCs/>
              </w:rPr>
              <w:t>非机动车交通组织：</w:t>
            </w:r>
            <w:r>
              <w:rPr>
                <w:rFonts w:hint="eastAsia"/>
              </w:rPr>
              <w:t>本项目设置机非混行道，非机动车道与机动车道之间有栏杆分隔；交叉口设有独立的非机动车信号灯，非机动车根据信号灯通行。全线设置人行道，人行过街采用人行横道过街形式。</w:t>
            </w:r>
          </w:p>
          <w:p w14:paraId="0FDADFC8">
            <w:pPr>
              <w:ind w:firstLine="422" w:firstLineChars="200"/>
              <w:rPr>
                <w:highlight w:val="yellow"/>
              </w:rPr>
            </w:pPr>
            <w:r>
              <w:rPr>
                <w:b/>
                <w:bCs/>
              </w:rPr>
              <w:t>行人交通组织</w:t>
            </w:r>
            <w:r>
              <w:rPr>
                <w:rFonts w:hint="eastAsia"/>
                <w:b/>
                <w:bCs/>
              </w:rPr>
              <w:t>：</w:t>
            </w:r>
            <w:r>
              <w:rPr>
                <w:rFonts w:hint="eastAsia"/>
              </w:rPr>
              <w:t>本项目与向民路、向河路、向景路、向湖路相交采用信号灯控制，行人根据信号灯通过；与现状河景路、江东大道相交采用右进右出组织形式，机动车让行行人通行。</w:t>
            </w:r>
          </w:p>
          <w:p w14:paraId="5AC7B533">
            <w:pPr>
              <w:ind w:firstLine="422" w:firstLineChars="200"/>
              <w:rPr>
                <w:b/>
                <w:bCs/>
                <w:highlight w:val="yellow"/>
              </w:rPr>
            </w:pPr>
            <w:r>
              <w:rPr>
                <w:rFonts w:hint="eastAsia"/>
                <w:b/>
                <w:bCs/>
              </w:rPr>
              <w:t>（2）交通安全标志设计</w:t>
            </w:r>
          </w:p>
          <w:p w14:paraId="3A7F528C">
            <w:pPr>
              <w:ind w:firstLine="422" w:firstLineChars="200"/>
            </w:pPr>
            <w:r>
              <w:rPr>
                <w:rFonts w:hint="eastAsia"/>
                <w:b/>
                <w:bCs/>
              </w:rPr>
              <w:t>交通标志：</w:t>
            </w:r>
            <w:r>
              <w:rPr>
                <w:rFonts w:hint="eastAsia"/>
              </w:rPr>
              <w:t>本项目设置的标志有限速、禁停等禁令标志，以及各平交口前均设置的分车道标志和指路标志，各种标志按其功能设置于路侧绿化带或人行道边缘。限速、禁停标志为附着式，采用圆形直径100cm的规格。禁令标志采用白底红边红杆黑图案，警告标志采用黄底黑边黑色图案，指示、指路标志采用蓝底白色图案。指路标志中文字体字高可根据道路设计速度和版面内容的不同确定。标志板面材料采用2mm（版面面积＜1m</w:t>
            </w:r>
            <w:r>
              <w:rPr>
                <w:rFonts w:hint="eastAsia"/>
                <w:vertAlign w:val="superscript"/>
              </w:rPr>
              <w:t>2</w:t>
            </w:r>
            <w:r>
              <w:rPr>
                <w:rFonts w:hint="eastAsia"/>
              </w:rPr>
              <w:t>）和3mm（版面面积≥1m</w:t>
            </w:r>
            <w:r>
              <w:rPr>
                <w:rFonts w:hint="eastAsia"/>
                <w:vertAlign w:val="superscript"/>
              </w:rPr>
              <w:t>2</w:t>
            </w:r>
            <w:r>
              <w:rPr>
                <w:rFonts w:hint="eastAsia"/>
              </w:rPr>
              <w:t>）厚3004型铝合金板，反光材料采用V类反光膜。钢结构部分</w:t>
            </w:r>
            <w:r>
              <w:t>均采用Q355B钢制作</w:t>
            </w:r>
            <w:r>
              <w:rPr>
                <w:rFonts w:hint="eastAsia"/>
              </w:rPr>
              <w:t>指路标志版面规格双向5车道及以上信控路口为500×270cm，双向4车道信控路口为400×240cm，其余未尽事宜按《杭州市城市道路交通设施设置指导意见》执行。</w:t>
            </w:r>
          </w:p>
          <w:p w14:paraId="418EA9B7">
            <w:pPr>
              <w:ind w:firstLine="422" w:firstLineChars="200"/>
            </w:pPr>
            <w:r>
              <w:rPr>
                <w:rFonts w:hint="eastAsia"/>
                <w:b/>
                <w:bCs/>
              </w:rPr>
              <w:t>交通标线：</w:t>
            </w:r>
            <w:r>
              <w:rPr>
                <w:rFonts w:hint="eastAsia"/>
              </w:rPr>
              <w:t>包括行车道边缘线、可跨越同向行车道分界线、中央双黄线、停止线、人行横道线、路口导向车道线、导向箭头、非机动车道路面标记等。采用350三级热熔标线涂料，并掺有玻璃珠，其材料及配合比</w:t>
            </w:r>
            <w:r>
              <w:t>符合 JT/T280-2022《路面标线涂料》的</w:t>
            </w:r>
            <w:r>
              <w:rPr>
                <w:rFonts w:hint="eastAsia"/>
              </w:rPr>
              <w:t>规定，玻璃珠的性能应符合现行国家标准《路面标线用玻璃珠》GB/T 24722 的要求。</w:t>
            </w:r>
          </w:p>
          <w:p w14:paraId="191197B1">
            <w:pPr>
              <w:ind w:firstLine="422" w:firstLineChars="200"/>
              <w:rPr>
                <w:highlight w:val="yellow"/>
              </w:rPr>
            </w:pPr>
            <w:r>
              <w:rPr>
                <w:rFonts w:hint="eastAsia"/>
                <w:b/>
                <w:bCs/>
              </w:rPr>
              <w:t>其他部分安全设施：</w:t>
            </w:r>
            <w:r>
              <w:rPr>
                <w:rFonts w:hint="eastAsia"/>
              </w:rPr>
              <w:t>包括：在青西二路机动车与非机动车之间设置的机非隔离栏杆，高度0.7m；以及人行道与地面直接的人行栏杆，采用杭州当地常见样式。</w:t>
            </w:r>
          </w:p>
          <w:p w14:paraId="52F51C58">
            <w:pPr>
              <w:ind w:firstLine="422" w:firstLineChars="200"/>
              <w:rPr>
                <w:b/>
                <w:bCs/>
              </w:rPr>
            </w:pPr>
            <w:r>
              <w:rPr>
                <w:rFonts w:hint="eastAsia"/>
                <w:b/>
                <w:bCs/>
              </w:rPr>
              <w:t>（3）交通管理设施设计</w:t>
            </w:r>
          </w:p>
          <w:p w14:paraId="204D3AE8">
            <w:pPr>
              <w:ind w:firstLine="422" w:firstLineChars="200"/>
            </w:pPr>
            <w:r>
              <w:rPr>
                <w:rFonts w:hint="eastAsia"/>
                <w:b/>
                <w:bCs/>
              </w:rPr>
              <w:t>信号灯设计：</w:t>
            </w:r>
            <w:r>
              <w:rPr>
                <w:rFonts w:hint="eastAsia"/>
              </w:rPr>
              <w:t>本项目在向民路、向河路、向景路、向湖路交叉口设置信号灯包含人行道信号灯、机动车道信号灯。交通信号控制系统采用单点远程信号灯控制系统，ACS-300型号</w:t>
            </w:r>
          </w:p>
          <w:p w14:paraId="4DD98F14">
            <w:r>
              <w:rPr>
                <w:rFonts w:hint="eastAsia"/>
              </w:rPr>
              <w:t>设备。均配置24灯组以上（含），控制信号系统与设备必须与交警控制中心兼容。</w:t>
            </w:r>
          </w:p>
          <w:p w14:paraId="2E52BFF8">
            <w:pPr>
              <w:ind w:firstLine="422" w:firstLineChars="200"/>
            </w:pPr>
            <w:r>
              <w:rPr>
                <w:rFonts w:hint="eastAsia"/>
                <w:b/>
                <w:bCs/>
              </w:rPr>
              <w:t>交通监控设计：</w:t>
            </w:r>
            <w:r>
              <w:rPr>
                <w:rFonts w:hint="eastAsia"/>
              </w:rPr>
              <w:t>交通监控系统建设内容包括：交通视频监控子系统、交通信号控制子系统、闯红灯电子警察子系统、非机动车物联感知系统。</w:t>
            </w:r>
          </w:p>
          <w:p w14:paraId="379B4E6F">
            <w:pPr>
              <w:ind w:firstLine="422" w:firstLineChars="200"/>
            </w:pPr>
            <w:r>
              <w:rPr>
                <w:rFonts w:hint="eastAsia"/>
                <w:b/>
                <w:bCs/>
              </w:rPr>
              <w:t>通讯系统：</w:t>
            </w:r>
            <w:r>
              <w:rPr>
                <w:rFonts w:hint="eastAsia"/>
              </w:rPr>
              <w:t>城市道路主线沿线按路口设置监控综合机箱，附近路段外场交通监控设备汇聚至监 控综合机箱汇聚光端机，通过租用社会光纤将监控数据上传至上级监控中心。本工程仅考虑外场监控设备接入信息汇聚点，信息汇聚点至监控中心的通信传输介质等由专业单位提供。</w:t>
            </w:r>
          </w:p>
          <w:p w14:paraId="5C1CBAC9">
            <w:pPr>
              <w:ind w:firstLine="422" w:firstLineChars="200"/>
              <w:rPr>
                <w:b/>
                <w:bCs/>
              </w:rPr>
            </w:pPr>
            <w:r>
              <w:rPr>
                <w:rFonts w:hint="eastAsia"/>
                <w:b/>
                <w:bCs/>
              </w:rPr>
              <w:t>（4）无障碍设施</w:t>
            </w:r>
          </w:p>
          <w:p w14:paraId="55368F47">
            <w:pPr>
              <w:ind w:firstLine="420" w:firstLineChars="200"/>
            </w:pPr>
            <w:r>
              <w:rPr>
                <w:rFonts w:hint="eastAsia"/>
              </w:rPr>
              <w:t>主要为所有人行道上设置的连续盲道，包括行进盲道和提示盲道。所有路口均设置无障碍路口。</w:t>
            </w:r>
          </w:p>
          <w:p w14:paraId="292383F7">
            <w:pPr>
              <w:ind w:firstLine="422" w:firstLineChars="200"/>
              <w:rPr>
                <w:b/>
                <w:bCs/>
              </w:rPr>
            </w:pPr>
            <w:r>
              <w:rPr>
                <w:rFonts w:hint="eastAsia"/>
                <w:b/>
                <w:bCs/>
              </w:rPr>
              <w:t>2、照明工程</w:t>
            </w:r>
          </w:p>
          <w:p w14:paraId="528A6728">
            <w:pPr>
              <w:ind w:firstLine="420" w:firstLineChars="200"/>
            </w:pPr>
            <w:r>
              <w:rPr>
                <w:rFonts w:hint="eastAsia"/>
              </w:rPr>
              <w:t>对称布置于道路两侧树带内，安装高度为10m/8m，同侧布灯间距为30m，机动车道侧采用 150W 的截光型 LED灯具，人行道采用 45W 的非截光型 LED 灯具为道路提供照明。</w:t>
            </w:r>
          </w:p>
          <w:p w14:paraId="22A44DDD">
            <w:pPr>
              <w:ind w:firstLine="422" w:firstLineChars="200"/>
              <w:rPr>
                <w:b/>
                <w:bCs/>
              </w:rPr>
            </w:pPr>
            <w:r>
              <w:rPr>
                <w:rFonts w:hint="eastAsia"/>
                <w:b/>
                <w:bCs/>
              </w:rPr>
              <w:t>3、景观绿化工程</w:t>
            </w:r>
          </w:p>
          <w:p w14:paraId="144BD315">
            <w:pPr>
              <w:ind w:firstLine="422" w:firstLineChars="200"/>
            </w:pPr>
            <w:r>
              <w:rPr>
                <w:rFonts w:hint="eastAsia"/>
                <w:b/>
                <w:bCs/>
              </w:rPr>
              <w:t>绿化树种：于</w:t>
            </w:r>
            <w:r>
              <w:rPr>
                <w:rFonts w:hint="eastAsia"/>
              </w:rPr>
              <w:t>道路两侧种植行道树，树种以香樟、珊瑚朴、榉树等为主。</w:t>
            </w:r>
          </w:p>
          <w:p w14:paraId="3BED7E28">
            <w:pPr>
              <w:ind w:firstLine="422" w:firstLineChars="200"/>
              <w:rPr>
                <w:b/>
                <w:bCs/>
              </w:rPr>
            </w:pPr>
            <w:r>
              <w:rPr>
                <w:rFonts w:hint="eastAsia"/>
                <w:b/>
                <w:bCs/>
              </w:rPr>
              <w:t>城市家具：</w:t>
            </w:r>
            <w:r>
              <w:rPr>
                <w:rFonts w:hint="eastAsia"/>
              </w:rPr>
              <w:t>主要内容包括公共座椅、垃圾桶、移动花箱、非机动车停车架等各类设施。</w:t>
            </w:r>
          </w:p>
          <w:p w14:paraId="210DA0D8">
            <w:pPr>
              <w:ind w:firstLine="422" w:firstLineChars="200"/>
              <w:rPr>
                <w:b/>
                <w:bCs/>
              </w:rPr>
            </w:pPr>
            <w:r>
              <w:rPr>
                <w:rFonts w:hint="eastAsia"/>
                <w:b/>
                <w:bCs/>
              </w:rPr>
              <w:t>4、管线工程</w:t>
            </w:r>
          </w:p>
          <w:p w14:paraId="22E04FEB">
            <w:pPr>
              <w:ind w:firstLine="422" w:firstLineChars="200"/>
              <w:rPr>
                <w:b/>
                <w:bCs/>
              </w:rPr>
            </w:pPr>
            <w:r>
              <w:rPr>
                <w:rFonts w:hint="eastAsia"/>
                <w:b/>
                <w:bCs/>
              </w:rPr>
              <w:t>（1）雨水管道工程</w:t>
            </w:r>
          </w:p>
          <w:p w14:paraId="1266AEDC">
            <w:pPr>
              <w:ind w:firstLine="420" w:firstLineChars="200"/>
              <w:rPr>
                <w:b/>
                <w:bCs/>
                <w:highlight w:val="yellow"/>
              </w:rPr>
            </w:pPr>
            <w:r>
              <w:rPr>
                <w:rFonts w:hint="eastAsia"/>
              </w:rPr>
              <w:t>本次工程新建雨水管道均铺设于道路中心线下，其中桩号K0+000~K0+340，雨水管道布置在西侧机动车道下方，距道路中心线5.25m，管径d800~d1500，埋深2.60~7.8m，由北向南排入河庄横河。桩号K0+400~K0+620，雨水管道布置在西侧机动车道下方，距道路中心线 5.25m，管径d1000~d1200，埋深3.00~4.96m，由南向北排入向河路d1200规划雨水管，最终排至河庄横河。桩号K0+720~K1+100，雨水管道布置在西侧机动车道下方，距道路中心线 5.25m，管径d800~d1000，埋深2.57~3.71m，分别由南、北往往中汇入向湖路拟建DN1000、DN800雨水管，最终排入小泗埠直河。</w:t>
            </w:r>
          </w:p>
          <w:p w14:paraId="084EE227">
            <w:pPr>
              <w:keepNext/>
              <w:jc w:val="center"/>
            </w:pPr>
            <w:r>
              <mc:AlternateContent>
                <mc:Choice Requires="wps">
                  <w:drawing>
                    <wp:anchor distT="0" distB="0" distL="114300" distR="114300" simplePos="0" relativeHeight="251665408" behindDoc="0" locked="0" layoutInCell="1" allowOverlap="1">
                      <wp:simplePos x="0" y="0"/>
                      <wp:positionH relativeFrom="column">
                        <wp:posOffset>1808480</wp:posOffset>
                      </wp:positionH>
                      <wp:positionV relativeFrom="paragraph">
                        <wp:posOffset>193675</wp:posOffset>
                      </wp:positionV>
                      <wp:extent cx="991870" cy="4276725"/>
                      <wp:effectExtent l="19050" t="19050" r="17780" b="28575"/>
                      <wp:wrapNone/>
                      <wp:docPr id="11021785" name="矩形 3"/>
                      <wp:cNvGraphicFramePr/>
                      <a:graphic xmlns:a="http://schemas.openxmlformats.org/drawingml/2006/main">
                        <a:graphicData uri="http://schemas.microsoft.com/office/word/2010/wordprocessingShape">
                          <wps:wsp>
                            <wps:cNvSpPr/>
                            <wps:spPr>
                              <a:xfrm>
                                <a:off x="0" y="0"/>
                                <a:ext cx="991929" cy="4276905"/>
                              </a:xfrm>
                              <a:prstGeom prst="rect">
                                <a:avLst/>
                              </a:prstGeom>
                              <a:noFill/>
                              <a:ln w="2857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 o:spid="_x0000_s1026" o:spt="1" style="position:absolute;left:0pt;margin-left:142.4pt;margin-top:15.25pt;height:336.75pt;width:78.1pt;z-index:251665408;v-text-anchor:middle;mso-width-relative:page;mso-height-relative:page;" filled="f" stroked="t" coordsize="21600,21600" o:gfxdata="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C0pOTi2AAAAAoBAAAP&#10;AAAAAAAAAAEAIAAAACIAAABkcnMvZG93bnJldi54bWxQSwECFAAUAAAACACHTuJA7u/Ne4oCAAAZ&#10;BQAADgAAAAAAAAABACAAAAAnAQAAZHJzL2Uyb0RvYy54bWxQSwUGAAAAAAYABgBZAQAAIwYAAAAA&#10;">
                      <v:fill on="f" focussize="0,0"/>
                      <v:stroke weight="2.25pt" color="#EE0000" joinstyle="round"/>
                      <v:imagedata o:title=""/>
                      <o:lock v:ext="edit" aspectratio="f"/>
                    </v:rect>
                  </w:pict>
                </mc:Fallback>
              </mc:AlternateContent>
            </w:r>
            <w:r>
              <w:drawing>
                <wp:inline distT="0" distB="0" distL="0" distR="0">
                  <wp:extent cx="3916045" cy="4847590"/>
                  <wp:effectExtent l="0" t="0" r="8255" b="0"/>
                  <wp:docPr id="3321931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193100" name="图片 1"/>
                          <pic:cNvPicPr>
                            <a:picLocks noChangeAspect="1"/>
                          </pic:cNvPicPr>
                        </pic:nvPicPr>
                        <pic:blipFill>
                          <a:blip r:embed="rId17"/>
                          <a:stretch>
                            <a:fillRect/>
                          </a:stretch>
                        </pic:blipFill>
                        <pic:spPr>
                          <a:xfrm>
                            <a:off x="0" y="0"/>
                            <a:ext cx="3950517" cy="4890288"/>
                          </a:xfrm>
                          <a:prstGeom prst="rect">
                            <a:avLst/>
                          </a:prstGeom>
                        </pic:spPr>
                      </pic:pic>
                    </a:graphicData>
                  </a:graphic>
                </wp:inline>
              </w:drawing>
            </w:r>
          </w:p>
          <w:p w14:paraId="5546966F">
            <w:pPr>
              <w:pStyle w:val="9"/>
              <w:spacing w:before="120"/>
              <w:rPr>
                <w:highlight w:val="yellow"/>
              </w:rPr>
            </w:pPr>
            <w:r>
              <w:t xml:space="preserve">图 </w:t>
            </w:r>
            <w:r>
              <w:fldChar w:fldCharType="begin"/>
            </w:r>
            <w:r>
              <w:instrText xml:space="preserve"> STYLEREF 1 \s </w:instrText>
            </w:r>
            <w:r>
              <w:fldChar w:fldCharType="separate"/>
            </w:r>
            <w:r>
              <w:t>2</w:t>
            </w:r>
            <w:r>
              <w:fldChar w:fldCharType="end"/>
            </w:r>
            <w:r>
              <w:noBreakHyphen/>
            </w:r>
            <w:r>
              <w:fldChar w:fldCharType="begin"/>
            </w:r>
            <w:r>
              <w:instrText xml:space="preserve"> SEQ 图 \* ARABIC \s 1 </w:instrText>
            </w:r>
            <w:r>
              <w:fldChar w:fldCharType="separate"/>
            </w:r>
            <w:r>
              <w:t>5</w:t>
            </w:r>
            <w:r>
              <w:fldChar w:fldCharType="end"/>
            </w:r>
            <w:r>
              <w:t>雨水管道总平面图</w:t>
            </w:r>
          </w:p>
          <w:p w14:paraId="1005F6DF">
            <w:pPr>
              <w:ind w:firstLine="422" w:firstLineChars="200"/>
              <w:rPr>
                <w:b/>
                <w:bCs/>
              </w:rPr>
            </w:pPr>
            <w:r>
              <w:rPr>
                <w:rFonts w:hint="eastAsia"/>
                <w:b/>
                <w:bCs/>
              </w:rPr>
              <w:t>（2）污水管道工程</w:t>
            </w:r>
          </w:p>
          <w:p w14:paraId="53AF3DD5">
            <w:pPr>
              <w:ind w:firstLine="420" w:firstLineChars="200"/>
            </w:pPr>
            <w:r>
              <w:rPr>
                <w:rFonts w:hint="eastAsia"/>
              </w:rPr>
              <w:t>本工程新建污水管道布置情况如下：桩号K0+000~K0+200，污水管道布置在东侧机动车道下方，管径DN400，埋深1.60~2.02m，由北向南汇入向民路拟建DN400污水管。桩号K0+400~K0+620，污水管道布置在东侧机动车道下方，管径DN400，埋深1.56~3.41m，由南向北汇入向河路拟建DN400污水管。桩号K0+720~K1+100，污水管道布置在东侧机动车道下方，管径DN400，埋深1.56~2.42m，分别由南、北</w:t>
            </w:r>
            <w:commentRangeStart w:id="32"/>
            <w:commentRangeStart w:id="33"/>
            <w:r>
              <w:rPr>
                <w:rFonts w:hint="eastAsia"/>
              </w:rPr>
              <w:t>往</w:t>
            </w:r>
            <w:commentRangeEnd w:id="32"/>
            <w:r>
              <w:rPr>
                <w:rStyle w:val="38"/>
                <w:rFonts w:hint="eastAsia"/>
              </w:rPr>
              <w:commentReference w:id="32"/>
            </w:r>
            <w:commentRangeEnd w:id="33"/>
            <w:r>
              <w:rPr>
                <w:rStyle w:val="38"/>
                <w:rFonts w:hint="eastAsia"/>
              </w:rPr>
              <w:commentReference w:id="33"/>
            </w:r>
            <w:r>
              <w:rPr>
                <w:rFonts w:hint="eastAsia"/>
              </w:rPr>
              <w:t>中部汇入向湖路拟建DN400污水管。根据周边地块接入要求，每间隔90m～120m设置预留管，预留管径DN400，坡度2%。管道材质</w:t>
            </w:r>
            <w:r>
              <w:t>包括钢筋混凝土管、球墨铸铁管、玻璃钢夹砂管和各种塑料管材（如 HDPE 管、UPVC 管）等。</w:t>
            </w:r>
          </w:p>
          <w:p w14:paraId="5772C6A9">
            <w:pPr>
              <w:jc w:val="center"/>
            </w:pPr>
            <w:r>
              <mc:AlternateContent>
                <mc:Choice Requires="wps">
                  <w:drawing>
                    <wp:anchor distT="0" distB="0" distL="114300" distR="114300" simplePos="0" relativeHeight="251667456" behindDoc="0" locked="0" layoutInCell="1" allowOverlap="1">
                      <wp:simplePos x="0" y="0"/>
                      <wp:positionH relativeFrom="column">
                        <wp:posOffset>1753235</wp:posOffset>
                      </wp:positionH>
                      <wp:positionV relativeFrom="paragraph">
                        <wp:posOffset>199390</wp:posOffset>
                      </wp:positionV>
                      <wp:extent cx="991870" cy="4276725"/>
                      <wp:effectExtent l="19050" t="19050" r="17780" b="28575"/>
                      <wp:wrapNone/>
                      <wp:docPr id="1828109020" name="矩形 3"/>
                      <wp:cNvGraphicFramePr/>
                      <a:graphic xmlns:a="http://schemas.openxmlformats.org/drawingml/2006/main">
                        <a:graphicData uri="http://schemas.microsoft.com/office/word/2010/wordprocessingShape">
                          <wps:wsp>
                            <wps:cNvSpPr/>
                            <wps:spPr>
                              <a:xfrm>
                                <a:off x="0" y="0"/>
                                <a:ext cx="991929" cy="4276905"/>
                              </a:xfrm>
                              <a:prstGeom prst="rect">
                                <a:avLst/>
                              </a:prstGeom>
                              <a:noFill/>
                              <a:ln w="28575" cap="flat" cmpd="sng" algn="ctr">
                                <a:solidFill>
                                  <a:srgbClr val="EE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 o:spid="_x0000_s1026" o:spt="1" style="position:absolute;left:0pt;margin-left:138.05pt;margin-top:15.7pt;height:336.75pt;width:78.1pt;z-index:251667456;v-text-anchor:middle;mso-width-relative:page;mso-height-relative:page;" filled="f" stroked="t" coordsize="21600,21600" o:gfxdata="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6Ofxb&#10;2AAAAAoBAAAPAAAAAAAAAAEAIAAAACIAAABkcnMvZG93bnJldi54bWxQSwECFAAUAAAACACHTuJA&#10;QqtxJJMCAAApBQAADgAAAAAAAAABACAAAAAnAQAAZHJzL2Uyb0RvYy54bWxQSwUGAAAAAAYABgBZ&#10;AQAALAYAAAAA&#10;">
                      <v:fill on="f" focussize="0,0"/>
                      <v:stroke weight="2.25pt" color="#EE0000" joinstyle="round"/>
                      <v:imagedata o:title=""/>
                      <o:lock v:ext="edit" aspectratio="f"/>
                    </v:rect>
                  </w:pict>
                </mc:Fallback>
              </mc:AlternateContent>
            </w:r>
            <w:r>
              <w:drawing>
                <wp:inline distT="0" distB="0" distL="0" distR="0">
                  <wp:extent cx="3916045" cy="4675505"/>
                  <wp:effectExtent l="0" t="0" r="8255" b="0"/>
                  <wp:docPr id="9499220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22090" name="图片 1"/>
                          <pic:cNvPicPr>
                            <a:picLocks noChangeAspect="1"/>
                          </pic:cNvPicPr>
                        </pic:nvPicPr>
                        <pic:blipFill>
                          <a:blip r:embed="rId18"/>
                          <a:stretch>
                            <a:fillRect/>
                          </a:stretch>
                        </pic:blipFill>
                        <pic:spPr>
                          <a:xfrm>
                            <a:off x="0" y="0"/>
                            <a:ext cx="3922586" cy="4682994"/>
                          </a:xfrm>
                          <a:prstGeom prst="rect">
                            <a:avLst/>
                          </a:prstGeom>
                        </pic:spPr>
                      </pic:pic>
                    </a:graphicData>
                  </a:graphic>
                </wp:inline>
              </w:drawing>
            </w:r>
          </w:p>
          <w:p w14:paraId="693C257F">
            <w:pPr>
              <w:pStyle w:val="9"/>
              <w:spacing w:before="120"/>
              <w:rPr>
                <w:highlight w:val="yellow"/>
              </w:rPr>
            </w:pPr>
            <w:r>
              <w:t xml:space="preserve">图 </w:t>
            </w:r>
            <w:r>
              <w:fldChar w:fldCharType="begin"/>
            </w:r>
            <w:r>
              <w:instrText xml:space="preserve"> STYLEREF 1 \s </w:instrText>
            </w:r>
            <w:r>
              <w:fldChar w:fldCharType="separate"/>
            </w:r>
            <w:r>
              <w:t>2</w:t>
            </w:r>
            <w:r>
              <w:fldChar w:fldCharType="end"/>
            </w:r>
            <w:r>
              <w:noBreakHyphen/>
            </w:r>
            <w:r>
              <w:fldChar w:fldCharType="begin"/>
            </w:r>
            <w:r>
              <w:instrText xml:space="preserve"> SEQ 图 \* ARABIC \s 1 </w:instrText>
            </w:r>
            <w:r>
              <w:fldChar w:fldCharType="separate"/>
            </w:r>
            <w:r>
              <w:t>6</w:t>
            </w:r>
            <w:r>
              <w:fldChar w:fldCharType="end"/>
            </w:r>
            <w:r>
              <w:t>污水管道总平面布置图</w:t>
            </w:r>
          </w:p>
          <w:p w14:paraId="43776CC0">
            <w:pPr>
              <w:ind w:firstLine="422" w:firstLineChars="200"/>
              <w:rPr>
                <w:b/>
                <w:bCs/>
              </w:rPr>
            </w:pPr>
            <w:r>
              <w:rPr>
                <w:rFonts w:hint="eastAsia"/>
                <w:b/>
                <w:bCs/>
              </w:rPr>
              <w:t>（3）其他管网</w:t>
            </w:r>
          </w:p>
          <w:p w14:paraId="5793E601">
            <w:pPr>
              <w:keepNext/>
              <w:ind w:firstLine="420" w:firstLineChars="200"/>
              <w:jc w:val="left"/>
            </w:pPr>
            <w:r>
              <w:rPr>
                <w:rFonts w:hint="eastAsia"/>
              </w:rPr>
              <w:t>本次道路工程规划通信管道位于东侧人行道下，距道路中心线11.75m；规划燃气管道位于东侧非机动车道下方，距道路中心线8.65m；规划给水管道位于东侧非机动车道下，距道路中心线7.70m；新建污水管道位于东侧机动车道下方，距道路中心线5.25m；新建雨水管道位于道路中心线下，距道路中心线0.00m；迁改污水压力管道位于西侧非机动车道下方，距道路中心线8.00m；规划电力管道位于西侧人行道下方，距道路中心线11.75m。规划通信管道位于东侧人行道下；规划燃气管道位于东侧人行道下；规划给水管道位于东侧桥梁外挂；规划电力管道位于西侧人行道下。</w:t>
            </w:r>
            <w:r>
              <w:drawing>
                <wp:inline distT="0" distB="0" distL="0" distR="0">
                  <wp:extent cx="5351780" cy="3238500"/>
                  <wp:effectExtent l="0" t="0" r="1270" b="0"/>
                  <wp:docPr id="2444814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81411" name="图片 1"/>
                          <pic:cNvPicPr>
                            <a:picLocks noChangeAspect="1"/>
                          </pic:cNvPicPr>
                        </pic:nvPicPr>
                        <pic:blipFill>
                          <a:blip r:embed="rId19"/>
                          <a:stretch>
                            <a:fillRect/>
                          </a:stretch>
                        </pic:blipFill>
                        <pic:spPr>
                          <a:xfrm>
                            <a:off x="0" y="0"/>
                            <a:ext cx="5351780" cy="3238500"/>
                          </a:xfrm>
                          <a:prstGeom prst="rect">
                            <a:avLst/>
                          </a:prstGeom>
                        </pic:spPr>
                      </pic:pic>
                    </a:graphicData>
                  </a:graphic>
                </wp:inline>
              </w:drawing>
            </w:r>
          </w:p>
          <w:p w14:paraId="5FEB8F8D">
            <w:pPr>
              <w:pStyle w:val="9"/>
              <w:spacing w:before="120" w:after="120"/>
            </w:pPr>
            <w:r>
              <w:drawing>
                <wp:inline distT="0" distB="0" distL="0" distR="0">
                  <wp:extent cx="5351780" cy="2644775"/>
                  <wp:effectExtent l="0" t="0" r="1270" b="3175"/>
                  <wp:docPr id="20382227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22774" name="图片 1"/>
                          <pic:cNvPicPr>
                            <a:picLocks noChangeAspect="1"/>
                          </pic:cNvPicPr>
                        </pic:nvPicPr>
                        <pic:blipFill>
                          <a:blip r:embed="rId20"/>
                          <a:stretch>
                            <a:fillRect/>
                          </a:stretch>
                        </pic:blipFill>
                        <pic:spPr>
                          <a:xfrm>
                            <a:off x="0" y="0"/>
                            <a:ext cx="5351780" cy="2644775"/>
                          </a:xfrm>
                          <a:prstGeom prst="rect">
                            <a:avLst/>
                          </a:prstGeom>
                        </pic:spPr>
                      </pic:pic>
                    </a:graphicData>
                  </a:graphic>
                </wp:inline>
              </w:drawing>
            </w:r>
          </w:p>
          <w:p w14:paraId="6AEEF03B">
            <w:pPr>
              <w:pStyle w:val="9"/>
              <w:spacing w:before="120"/>
            </w:pPr>
            <w:r>
              <w:t xml:space="preserve">图 </w:t>
            </w:r>
            <w:r>
              <w:fldChar w:fldCharType="begin"/>
            </w:r>
            <w:r>
              <w:instrText xml:space="preserve"> STYLEREF 1 \s </w:instrText>
            </w:r>
            <w:r>
              <w:fldChar w:fldCharType="separate"/>
            </w:r>
            <w:r>
              <w:t>2</w:t>
            </w:r>
            <w:r>
              <w:fldChar w:fldCharType="end"/>
            </w:r>
            <w:r>
              <w:noBreakHyphen/>
            </w:r>
            <w:r>
              <w:fldChar w:fldCharType="begin"/>
            </w:r>
            <w:r>
              <w:instrText xml:space="preserve"> SEQ 图 \* ARABIC \s 1 </w:instrText>
            </w:r>
            <w:r>
              <w:fldChar w:fldCharType="separate"/>
            </w:r>
            <w:r>
              <w:t>7</w:t>
            </w:r>
            <w:r>
              <w:fldChar w:fldCharType="end"/>
            </w:r>
            <w:r>
              <w:t>本工程管线综合标准横断面情况</w:t>
            </w:r>
          </w:p>
          <w:p w14:paraId="6B8309BB">
            <w:pPr>
              <w:ind w:firstLine="422" w:firstLineChars="200"/>
              <w:rPr>
                <w:b/>
                <w:bCs/>
              </w:rPr>
            </w:pPr>
            <w:r>
              <w:rPr>
                <w:rFonts w:hint="eastAsia"/>
                <w:b/>
                <w:bCs/>
              </w:rPr>
              <w:t>5、海绵城市工程</w:t>
            </w:r>
          </w:p>
          <w:p w14:paraId="1D194658">
            <w:pPr>
              <w:ind w:firstLine="420" w:firstLineChars="200"/>
              <w:rPr>
                <w:highlight w:val="yellow"/>
              </w:rPr>
            </w:pPr>
            <w:r>
              <w:rPr>
                <w:rFonts w:hint="eastAsia"/>
              </w:rPr>
              <w:t>本工程初步选取适宜本项目的海绵城市设施，主要采用“渗-滞-蓄-净-用-排”中的“渗-滞-净-排”。</w:t>
            </w:r>
            <w:r>
              <w:t>年径流总量控制率</w:t>
            </w:r>
            <w:r>
              <w:rPr>
                <w:rFonts w:hint="eastAsia"/>
              </w:rPr>
              <w:t>目标为≥65%，</w:t>
            </w:r>
            <w:r>
              <w:t>年径流污染物削减率（以 SS 计）</w:t>
            </w:r>
            <w:r>
              <w:rPr>
                <w:rFonts w:hint="eastAsia"/>
              </w:rPr>
              <w:t>目标为≥50%，综合雨量径流系数目标≤0.65。主要在人行道采用透水材料，基层采用透水混凝土和级配碎石，保障雨水下渗和一定的储水功能，面层：6cm 厚透水路面砖；结合层：3cm M15 干硬性水泥砂浆调平层；上基层：20cm 透水混凝土；下基层：15cm 级配碎石；满足压实度要求的土基。</w:t>
            </w:r>
          </w:p>
          <w:p w14:paraId="6DAC57BC">
            <w:pPr>
              <w:ind w:firstLine="422" w:firstLineChars="200"/>
              <w:rPr>
                <w:b/>
                <w:bCs/>
              </w:rPr>
            </w:pPr>
            <w:r>
              <w:rPr>
                <w:rFonts w:hint="eastAsia"/>
                <w:b/>
                <w:bCs/>
              </w:rPr>
              <w:t>6.工程占地及拆迁情况</w:t>
            </w:r>
          </w:p>
          <w:p w14:paraId="07AEC93A">
            <w:pPr>
              <w:ind w:firstLine="420" w:firstLineChars="200"/>
            </w:pPr>
            <w:r>
              <w:t>根据项目确定的红线范围，本项目需征收土地面积 2.3203 公顷。</w:t>
            </w:r>
            <w:r>
              <w:rPr>
                <w:rFonts w:hint="eastAsia"/>
              </w:rPr>
              <w:t>其中农用地0.5165公顷（耕地0.3685公顷，其中水田0.3685公顷，耕地质量等级7等），建设用地1.7231公顷（国有建设用地1.7231公顷），未利用地0.0807公顷。项目涉及新增建设用地0.5972公顷需报省政府审批，在用地报批前需纳入年度新增建设用地项目计划。建设单位应依法对拟占用土地的所有者和使用者进行安置补偿，并按法定程序和要求办理具体建设项目用地审批手续，未经批准，不得使用土地。针对拆迁土地，本项目实行货币安置。</w:t>
            </w:r>
          </w:p>
          <w:p w14:paraId="576A6859">
            <w:pPr>
              <w:ind w:firstLine="420" w:firstLineChars="200"/>
            </w:pPr>
            <w:r>
              <w:rPr>
                <w:rFonts w:hint="eastAsia"/>
              </w:rPr>
              <w:t>此外根据现场调查，青西二路需与江东大道预留现状平交口搭接，需对平交口进行改造，路面结构与青西二路保持一致，同时</w:t>
            </w:r>
            <w:r>
              <w:t>迁改路灯杆 1 个</w:t>
            </w:r>
            <w:r>
              <w:rPr>
                <w:rFonts w:hint="eastAsia"/>
              </w:rPr>
              <w:t>，利用于青西二路与江东大道平交口；</w:t>
            </w:r>
            <w:r>
              <w:t>青西二路与河景路平交口人行道需拆除4个树池（尺寸1.74m×1.57m）</w:t>
            </w:r>
            <w:r>
              <w:rPr>
                <w:rFonts w:hint="eastAsia"/>
              </w:rPr>
              <w:t>，</w:t>
            </w:r>
            <w:r>
              <w:t>河景路侧分带需要翻挖现状机非隔离带，新建路面结构</w:t>
            </w:r>
            <w:r>
              <w:rPr>
                <w:rFonts w:hint="eastAsia"/>
              </w:rPr>
              <w:t>，此外还需要</w:t>
            </w:r>
            <w:r>
              <w:t>迁改路灯杆 2 个</w:t>
            </w:r>
            <w:r>
              <w:rPr>
                <w:rFonts w:hint="eastAsia"/>
              </w:rPr>
              <w:t>，利用在青西二路与河景路平交口；青西二路 K0+600 位置存在杭州地铁集团监控设备 1 台（紧临青西二路与向景路道路设计范围），经初步沟通，后期将监控设备迁移至青西二路人行道或红线外侧。K0+600 位置需拆迁一幢民房，面积约 200 平方，位于道路中央，已无村民居住可直接拆除；</w:t>
            </w:r>
            <w:r>
              <w:t>红线范围内青西二路与河景路平交口，涉及人行道、侧分带绿化迁移朴树4株、黄杨4株、紫薇18株（胸径均小于 10cm）、金叶女贞36平方、草皮51平方，以</w:t>
            </w:r>
            <w:r>
              <w:rPr>
                <w:rFonts w:hint="eastAsia"/>
              </w:rPr>
              <w:t>“</w:t>
            </w:r>
            <w:r>
              <w:t>关于钱塘中企国际港市政配套项目道路临时开口事宜会议备忘录</w:t>
            </w:r>
            <w:r>
              <w:rPr>
                <w:rFonts w:hint="eastAsia"/>
              </w:rPr>
              <w:t>”</w:t>
            </w:r>
            <w:r>
              <w:t>为依据，经与产权单位中电建大江东公司等相关管养单位确认，朴树、黄杨先由施工单位中交二航局移栽并保管，保管期限为2年，后期用于钱塘中企国际港项目中央生态公园一期；紫薇（胸径均小于 10cm）、金叶女贞、草皮则直接废弃。其余除平交口范围内，经探明存在27株香樟（胸径均大于10cm），将先由施工单位中交二航局移栽并保管，保管期限为2年，后期用于钱塘中企国际港项目中央生态公园一期。</w:t>
            </w:r>
          </w:p>
          <w:p w14:paraId="2831F39A">
            <w:pPr>
              <w:ind w:firstLine="422" w:firstLineChars="200"/>
              <w:rPr>
                <w:b/>
                <w:bCs/>
              </w:rPr>
            </w:pPr>
            <w:r>
              <w:rPr>
                <w:rFonts w:hint="eastAsia"/>
                <w:b/>
                <w:bCs/>
              </w:rPr>
              <w:t>7、临时工程</w:t>
            </w:r>
          </w:p>
          <w:p w14:paraId="078DF3CE">
            <w:pPr>
              <w:ind w:firstLine="422" w:firstLineChars="200"/>
              <w:rPr>
                <w:b/>
                <w:bCs/>
              </w:rPr>
            </w:pPr>
            <w:r>
              <w:rPr>
                <w:rFonts w:hint="eastAsia"/>
                <w:b/>
                <w:bCs/>
              </w:rPr>
              <w:t>（1）临时施工营地</w:t>
            </w:r>
          </w:p>
          <w:p w14:paraId="43F925CE">
            <w:pPr>
              <w:ind w:firstLine="420" w:firstLineChars="200"/>
            </w:pPr>
            <w:r>
              <w:rPr>
                <w:rFonts w:hint="eastAsia"/>
              </w:rPr>
              <w:t>本项目工程设置有</w:t>
            </w:r>
            <w:r>
              <w:t>临时堆放场地和临时生活办公营地</w:t>
            </w:r>
            <w:r>
              <w:rPr>
                <w:rFonts w:hint="eastAsia"/>
              </w:rPr>
              <w:t>，</w:t>
            </w:r>
            <w:r>
              <w:t>位于青西二路与规划向湖路东侧往东约250米处</w:t>
            </w:r>
            <w:r>
              <w:rPr>
                <w:rFonts w:hint="eastAsia"/>
              </w:rPr>
              <w:t>，在生活营地周边</w:t>
            </w:r>
            <w:commentRangeStart w:id="34"/>
            <w:commentRangeStart w:id="35"/>
            <w:r>
              <w:rPr>
                <w:rFonts w:hint="eastAsia"/>
              </w:rPr>
              <w:t>设置有</w:t>
            </w:r>
            <w:commentRangeEnd w:id="34"/>
            <w:r>
              <w:rPr>
                <w:rStyle w:val="38"/>
              </w:rPr>
              <w:commentReference w:id="34"/>
            </w:r>
            <w:commentRangeEnd w:id="35"/>
            <w:r>
              <w:rPr>
                <w:rStyle w:val="38"/>
              </w:rPr>
              <w:commentReference w:id="35"/>
            </w:r>
            <w:r>
              <w:t>临时隔油池1个，位于生活区西北面、食堂外埋地设置；三级沉淀池1个，位于生活区东北面围栏外侧埋地设置；生活垃圾的集中放置在生活区西北面，施工建筑物料的集中堆放点位于生活区西南侧围栏外棚内。</w:t>
            </w:r>
          </w:p>
          <w:p w14:paraId="146F8593">
            <w:pPr>
              <w:ind w:firstLine="422" w:firstLineChars="200"/>
              <w:rPr>
                <w:b/>
                <w:bCs/>
              </w:rPr>
            </w:pPr>
            <w:r>
              <w:rPr>
                <w:rFonts w:hint="eastAsia"/>
                <w:b/>
                <w:bCs/>
              </w:rPr>
              <w:t>（2）临时道路</w:t>
            </w:r>
          </w:p>
          <w:p w14:paraId="64FAD7D8">
            <w:pPr>
              <w:ind w:firstLine="420" w:firstLineChars="200"/>
            </w:pPr>
            <w:r>
              <w:rPr>
                <w:rFonts w:hint="eastAsia"/>
              </w:rPr>
              <w:t>工程于K0+480和K0+750处设置2条</w:t>
            </w:r>
            <w:commentRangeStart w:id="36"/>
            <w:commentRangeStart w:id="37"/>
            <w:r>
              <w:rPr>
                <w:rFonts w:hint="eastAsia"/>
              </w:rPr>
              <w:t>临时保通道路</w:t>
            </w:r>
            <w:commentRangeEnd w:id="36"/>
            <w:r>
              <w:rPr>
                <w:rStyle w:val="38"/>
                <w:rFonts w:hint="eastAsia"/>
              </w:rPr>
              <w:commentReference w:id="36"/>
            </w:r>
            <w:commentRangeEnd w:id="37"/>
            <w:r>
              <w:rPr>
                <w:rStyle w:val="38"/>
                <w:rFonts w:hint="eastAsia"/>
              </w:rPr>
              <w:commentReference w:id="37"/>
            </w:r>
            <w:r>
              <w:rPr>
                <w:rFonts w:hint="eastAsia"/>
              </w:rPr>
              <w:t>。新建保通道路全长为309.33米，宽度约8米，路基下方均先铺设50cm塘渣，路面排水坡度为1%。此外为方便施工还在K0+220东侧修建施工便道1条。</w:t>
            </w:r>
          </w:p>
          <w:p w14:paraId="35026D8F">
            <w:pPr>
              <w:keepNext/>
              <w:jc w:val="center"/>
            </w:pPr>
            <w:r>
              <w:drawing>
                <wp:inline distT="0" distB="0" distL="0" distR="0">
                  <wp:extent cx="2606675" cy="6169660"/>
                  <wp:effectExtent l="0" t="0" r="3175" b="2540"/>
                  <wp:docPr id="10921318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31824" name="图片 1"/>
                          <pic:cNvPicPr>
                            <a:picLocks noChangeAspect="1"/>
                          </pic:cNvPicPr>
                        </pic:nvPicPr>
                        <pic:blipFill>
                          <a:blip r:embed="rId21"/>
                          <a:srcRect r="71623"/>
                          <a:stretch>
                            <a:fillRect/>
                          </a:stretch>
                        </pic:blipFill>
                        <pic:spPr>
                          <a:xfrm>
                            <a:off x="0" y="0"/>
                            <a:ext cx="2614622" cy="6188767"/>
                          </a:xfrm>
                          <a:prstGeom prst="rect">
                            <a:avLst/>
                          </a:prstGeom>
                          <a:ln>
                            <a:noFill/>
                          </a:ln>
                        </pic:spPr>
                      </pic:pic>
                    </a:graphicData>
                  </a:graphic>
                </wp:inline>
              </w:drawing>
            </w:r>
          </w:p>
          <w:p w14:paraId="62657082">
            <w:pPr>
              <w:pStyle w:val="9"/>
              <w:spacing w:before="120"/>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8</w:t>
            </w:r>
            <w:r>
              <w:fldChar w:fldCharType="end"/>
            </w:r>
            <w:r>
              <w:rPr>
                <w:rFonts w:hint="eastAsia"/>
              </w:rPr>
              <w:t>临时道路平面布置图</w:t>
            </w:r>
          </w:p>
          <w:p w14:paraId="7A2AE1EA">
            <w:pPr>
              <w:keepNext/>
              <w:jc w:val="center"/>
            </w:pPr>
            <w:r>
              <w:drawing>
                <wp:inline distT="0" distB="0" distL="0" distR="0">
                  <wp:extent cx="5351780" cy="3510915"/>
                  <wp:effectExtent l="0" t="0" r="1270" b="0"/>
                  <wp:docPr id="11309288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8875" name="图片 1"/>
                          <pic:cNvPicPr>
                            <a:picLocks noChangeAspect="1"/>
                          </pic:cNvPicPr>
                        </pic:nvPicPr>
                        <pic:blipFill>
                          <a:blip r:embed="rId22"/>
                          <a:stretch>
                            <a:fillRect/>
                          </a:stretch>
                        </pic:blipFill>
                        <pic:spPr>
                          <a:xfrm>
                            <a:off x="0" y="0"/>
                            <a:ext cx="5351780" cy="3510915"/>
                          </a:xfrm>
                          <a:prstGeom prst="rect">
                            <a:avLst/>
                          </a:prstGeom>
                        </pic:spPr>
                      </pic:pic>
                    </a:graphicData>
                  </a:graphic>
                </wp:inline>
              </w:drawing>
            </w:r>
          </w:p>
          <w:p w14:paraId="68E6D37B">
            <w:pPr>
              <w:pStyle w:val="9"/>
              <w:spacing w:before="120"/>
            </w:pPr>
            <w:r>
              <w:rPr>
                <w:rFonts w:hint="eastAsia"/>
              </w:rPr>
              <w:t xml:space="preserve">图 </w:t>
            </w:r>
            <w:r>
              <w:fldChar w:fldCharType="begin"/>
            </w:r>
            <w:r>
              <w:instrText xml:space="preserve"> </w:instrText>
            </w:r>
            <w:r>
              <w:rPr>
                <w:rFonts w:hint="eastAsia"/>
              </w:rPr>
              <w:instrText xml:space="preserve">STYLEREF 1 \s</w:instrText>
            </w:r>
            <w:r>
              <w:instrText xml:space="preserve"> </w:instrText>
            </w:r>
            <w:r>
              <w:fldChar w:fldCharType="separate"/>
            </w:r>
            <w:r>
              <w:t>2</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9</w:t>
            </w:r>
            <w:r>
              <w:fldChar w:fldCharType="end"/>
            </w:r>
            <w:r>
              <w:rPr>
                <w:rFonts w:hint="eastAsia"/>
              </w:rPr>
              <w:t>施工便道平面布置图</w:t>
            </w:r>
          </w:p>
          <w:p w14:paraId="2FEF84D0">
            <w:pPr>
              <w:ind w:firstLine="420" w:firstLineChars="200"/>
            </w:pPr>
            <w:r>
              <w:t>若工程需在建设用地红线外设置</w:t>
            </w:r>
            <w:r>
              <w:rPr>
                <w:rFonts w:hint="eastAsia"/>
              </w:rPr>
              <w:t>额外</w:t>
            </w:r>
            <w:r>
              <w:t>临时占地，须依法向规划和自然资源主管部门办理临时用</w:t>
            </w:r>
            <w:commentRangeStart w:id="38"/>
            <w:commentRangeStart w:id="39"/>
            <w:r>
              <w:t>地审批及土地复垦手续。</w:t>
            </w:r>
            <w:commentRangeEnd w:id="38"/>
            <w:r>
              <w:rPr>
                <w:rStyle w:val="38"/>
              </w:rPr>
              <w:commentReference w:id="38"/>
            </w:r>
            <w:commentRangeEnd w:id="39"/>
            <w:r>
              <w:rPr>
                <w:rStyle w:val="38"/>
              </w:rPr>
              <w:commentReference w:id="39"/>
            </w:r>
          </w:p>
          <w:p w14:paraId="0755A818">
            <w:pPr>
              <w:ind w:firstLine="422" w:firstLineChars="200"/>
              <w:rPr>
                <w:b/>
                <w:bCs/>
              </w:rPr>
            </w:pPr>
            <w:r>
              <w:rPr>
                <w:rFonts w:hint="eastAsia"/>
                <w:b/>
                <w:bCs/>
              </w:rPr>
              <w:t>8、能源及通信</w:t>
            </w:r>
          </w:p>
          <w:p w14:paraId="7C1E5816">
            <w:pPr>
              <w:ind w:firstLine="422" w:firstLineChars="200"/>
            </w:pPr>
            <w:r>
              <w:rPr>
                <w:rFonts w:hint="eastAsia"/>
                <w:b/>
                <w:bCs/>
              </w:rPr>
              <w:t>供电：</w:t>
            </w:r>
            <w:r>
              <w:t>本项目拟用周边市政供电线路供电。</w:t>
            </w:r>
          </w:p>
          <w:p w14:paraId="33264D1D">
            <w:pPr>
              <w:ind w:firstLine="422" w:firstLineChars="200"/>
            </w:pPr>
            <w:r>
              <w:rPr>
                <w:rFonts w:hint="eastAsia"/>
                <w:b/>
                <w:bCs/>
              </w:rPr>
              <w:t>天然气：</w:t>
            </w:r>
            <w:r>
              <w:t>采用杭州市主城天然气供气。</w:t>
            </w:r>
          </w:p>
          <w:p w14:paraId="5F691498">
            <w:pPr>
              <w:ind w:firstLine="422" w:firstLineChars="200"/>
            </w:pPr>
            <w:r>
              <w:rPr>
                <w:rFonts w:hint="eastAsia"/>
                <w:b/>
                <w:bCs/>
              </w:rPr>
              <w:t>通信：</w:t>
            </w:r>
            <w:r>
              <w:rPr>
                <w:rFonts w:hint="eastAsia"/>
              </w:rPr>
              <w:t>项目所在地区拥有较为完善的有线通讯网络和无线通讯设施，以先进的数字传输系统为主体的数据通讯、移动电话等现代化通讯网络。程控网络、无线寻呼、邮政特快专递等业务已开通，电传、传真、因特网等邮电通讯设施配套完善。</w:t>
            </w:r>
          </w:p>
          <w:p w14:paraId="5D47FADC">
            <w:pPr>
              <w:ind w:firstLine="422" w:firstLineChars="200"/>
              <w:rPr>
                <w:b/>
                <w:bCs/>
              </w:rPr>
            </w:pPr>
            <w:r>
              <w:rPr>
                <w:rFonts w:hint="eastAsia"/>
                <w:b/>
                <w:bCs/>
              </w:rPr>
              <w:t>9、土石方平衡</w:t>
            </w:r>
          </w:p>
          <w:p w14:paraId="3F1C57D7">
            <w:pPr>
              <w:ind w:firstLine="420" w:firstLineChars="200"/>
            </w:pPr>
            <w:r>
              <w:rPr>
                <w:rFonts w:hint="eastAsia"/>
              </w:rPr>
              <w:t>根据</w:t>
            </w:r>
            <w:r>
              <w:t>土方平衡专项论证报告</w:t>
            </w:r>
            <w:r>
              <w:rPr>
                <w:rFonts w:hint="eastAsia"/>
              </w:rPr>
              <w:t>显示，本项目清表、路基、管线、基坑等施工过</w:t>
            </w:r>
            <w:commentRangeStart w:id="40"/>
            <w:commentRangeStart w:id="41"/>
            <w:r>
              <w:rPr>
                <w:rFonts w:hint="eastAsia"/>
              </w:rPr>
              <w:t>程总挖方量为66034.56 m³（合计约118862.2t</w:t>
            </w:r>
            <w:commentRangeEnd w:id="40"/>
            <w:r>
              <w:rPr>
                <w:rStyle w:val="38"/>
                <w:rFonts w:hint="eastAsia"/>
              </w:rPr>
              <w:commentReference w:id="40"/>
            </w:r>
            <w:commentRangeEnd w:id="41"/>
            <w:r>
              <w:rPr>
                <w:rStyle w:val="38"/>
                <w:rFonts w:hint="eastAsia"/>
              </w:rPr>
              <w:commentReference w:id="41"/>
            </w:r>
            <w:r>
              <w:rPr>
                <w:rFonts w:hint="eastAsia"/>
              </w:rPr>
              <w:t>），总填方73720.10 m³（合计约132696.2t），需外运弃方18686.9m³（合计33636.5t），弃方将外运至指定的弃渣场，不堆放于施工用地内，经平衡计算后，还需外购土方26372.5m³（合计约47470.5t），自平衡率为71.7%。</w:t>
            </w:r>
          </w:p>
          <w:p w14:paraId="765FABAF">
            <w:pPr>
              <w:pStyle w:val="9"/>
              <w:spacing w:before="120"/>
            </w:pPr>
            <w:r>
              <w:t xml:space="preserve">表 </w:t>
            </w:r>
            <w:r>
              <w:fldChar w:fldCharType="begin"/>
            </w:r>
            <w:r>
              <w:instrText xml:space="preserve"> STYLEREF 1 \s </w:instrText>
            </w:r>
            <w:r>
              <w:fldChar w:fldCharType="separate"/>
            </w:r>
            <w:r>
              <w:t>2</w:t>
            </w:r>
            <w:r>
              <w:fldChar w:fldCharType="end"/>
            </w:r>
            <w:r>
              <w:noBreakHyphen/>
            </w:r>
            <w:r>
              <w:fldChar w:fldCharType="begin"/>
            </w:r>
            <w:r>
              <w:instrText xml:space="preserve"> SEQ 表 \* ARABIC \s 1 </w:instrText>
            </w:r>
            <w:r>
              <w:fldChar w:fldCharType="separate"/>
            </w:r>
            <w:r>
              <w:t>6</w:t>
            </w:r>
            <w:r>
              <w:fldChar w:fldCharType="end"/>
            </w:r>
            <w:r>
              <w:t>工程土石方平衡表（单位：m</w:t>
            </w:r>
            <w:r>
              <w:rPr>
                <w:vertAlign w:val="superscript"/>
              </w:rPr>
              <w:t>3</w:t>
            </w:r>
            <w:r>
              <w:t>）</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301"/>
              <w:gridCol w:w="1093"/>
              <w:gridCol w:w="1273"/>
              <w:gridCol w:w="1538"/>
              <w:gridCol w:w="1301"/>
              <w:gridCol w:w="1302"/>
            </w:tblGrid>
            <w:tr w14:paraId="133F64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1" w:hRule="atLeast"/>
                <w:jc w:val="center"/>
              </w:trPr>
              <w:tc>
                <w:tcPr>
                  <w:tcW w:w="591" w:type="dxa"/>
                  <w:vAlign w:val="center"/>
                </w:tcPr>
                <w:p w14:paraId="357ABF74">
                  <w:pPr>
                    <w:spacing w:line="240" w:lineRule="auto"/>
                    <w:jc w:val="center"/>
                    <w:rPr>
                      <w:b/>
                      <w:bCs/>
                      <w:sz w:val="18"/>
                      <w:szCs w:val="18"/>
                    </w:rPr>
                  </w:pPr>
                  <w:r>
                    <w:rPr>
                      <w:b/>
                      <w:bCs/>
                      <w:sz w:val="18"/>
                      <w:szCs w:val="18"/>
                    </w:rPr>
                    <w:t>项目</w:t>
                  </w:r>
                </w:p>
              </w:tc>
              <w:tc>
                <w:tcPr>
                  <w:tcW w:w="1304" w:type="dxa"/>
                  <w:vAlign w:val="center"/>
                </w:tcPr>
                <w:p w14:paraId="410F9251">
                  <w:pPr>
                    <w:spacing w:line="240" w:lineRule="auto"/>
                    <w:jc w:val="center"/>
                    <w:rPr>
                      <w:sz w:val="18"/>
                      <w:szCs w:val="18"/>
                    </w:rPr>
                  </w:pPr>
                  <w:r>
                    <w:rPr>
                      <w:rFonts w:hint="eastAsia"/>
                      <w:sz w:val="18"/>
                      <w:szCs w:val="18"/>
                    </w:rPr>
                    <w:t>总填方</w:t>
                  </w:r>
                </w:p>
              </w:tc>
              <w:tc>
                <w:tcPr>
                  <w:tcW w:w="1096" w:type="dxa"/>
                  <w:vAlign w:val="center"/>
                </w:tcPr>
                <w:p w14:paraId="0D6D0AB7">
                  <w:pPr>
                    <w:spacing w:line="240" w:lineRule="auto"/>
                    <w:jc w:val="center"/>
                    <w:rPr>
                      <w:sz w:val="18"/>
                      <w:szCs w:val="18"/>
                    </w:rPr>
                  </w:pPr>
                  <w:r>
                    <w:rPr>
                      <w:rFonts w:hint="eastAsia"/>
                      <w:sz w:val="18"/>
                      <w:szCs w:val="18"/>
                    </w:rPr>
                    <w:t>总挖方</w:t>
                  </w:r>
                </w:p>
              </w:tc>
              <w:tc>
                <w:tcPr>
                  <w:tcW w:w="1276" w:type="dxa"/>
                  <w:vAlign w:val="center"/>
                </w:tcPr>
                <w:p w14:paraId="2B40C76D">
                  <w:pPr>
                    <w:spacing w:line="240" w:lineRule="auto"/>
                    <w:jc w:val="center"/>
                    <w:rPr>
                      <w:sz w:val="18"/>
                      <w:szCs w:val="18"/>
                    </w:rPr>
                  </w:pPr>
                  <w:r>
                    <w:rPr>
                      <w:rFonts w:hint="eastAsia"/>
                      <w:sz w:val="18"/>
                      <w:szCs w:val="18"/>
                    </w:rPr>
                    <w:t>场内利用方</w:t>
                  </w:r>
                </w:p>
              </w:tc>
              <w:tc>
                <w:tcPr>
                  <w:tcW w:w="1542" w:type="dxa"/>
                  <w:vAlign w:val="center"/>
                </w:tcPr>
                <w:p w14:paraId="6F2F7C3B">
                  <w:pPr>
                    <w:spacing w:line="240" w:lineRule="auto"/>
                    <w:jc w:val="center"/>
                    <w:rPr>
                      <w:sz w:val="18"/>
                      <w:szCs w:val="18"/>
                    </w:rPr>
                  </w:pPr>
                  <w:r>
                    <w:rPr>
                      <w:rFonts w:hint="eastAsia"/>
                      <w:sz w:val="18"/>
                      <w:szCs w:val="18"/>
                    </w:rPr>
                    <w:t>外运方（弃方）</w:t>
                  </w:r>
                </w:p>
              </w:tc>
              <w:tc>
                <w:tcPr>
                  <w:tcW w:w="1304" w:type="dxa"/>
                  <w:vAlign w:val="center"/>
                </w:tcPr>
                <w:p w14:paraId="0BBDE942">
                  <w:pPr>
                    <w:spacing w:line="240" w:lineRule="auto"/>
                    <w:jc w:val="center"/>
                    <w:rPr>
                      <w:sz w:val="18"/>
                      <w:szCs w:val="18"/>
                    </w:rPr>
                  </w:pPr>
                  <w:r>
                    <w:rPr>
                      <w:rFonts w:hint="eastAsia"/>
                      <w:sz w:val="18"/>
                      <w:szCs w:val="18"/>
                    </w:rPr>
                    <w:t>外购方</w:t>
                  </w:r>
                </w:p>
              </w:tc>
              <w:tc>
                <w:tcPr>
                  <w:tcW w:w="1305" w:type="dxa"/>
                  <w:vAlign w:val="center"/>
                </w:tcPr>
                <w:p w14:paraId="0FAA4C57">
                  <w:pPr>
                    <w:spacing w:line="240" w:lineRule="auto"/>
                    <w:jc w:val="center"/>
                    <w:rPr>
                      <w:sz w:val="18"/>
                      <w:szCs w:val="18"/>
                    </w:rPr>
                  </w:pPr>
                  <w:r>
                    <w:rPr>
                      <w:sz w:val="18"/>
                      <w:szCs w:val="18"/>
                    </w:rPr>
                    <w:t>挖填差</w:t>
                  </w:r>
                </w:p>
              </w:tc>
            </w:tr>
            <w:tr w14:paraId="51065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91" w:type="dxa"/>
                  <w:vAlign w:val="center"/>
                </w:tcPr>
                <w:p w14:paraId="01FB58C7">
                  <w:pPr>
                    <w:spacing w:line="240" w:lineRule="auto"/>
                    <w:jc w:val="center"/>
                    <w:rPr>
                      <w:b/>
                      <w:bCs/>
                      <w:sz w:val="18"/>
                      <w:szCs w:val="18"/>
                    </w:rPr>
                  </w:pPr>
                  <w:r>
                    <w:rPr>
                      <w:rFonts w:hint="eastAsia"/>
                      <w:b/>
                      <w:bCs/>
                      <w:sz w:val="18"/>
                      <w:szCs w:val="18"/>
                    </w:rPr>
                    <w:t>体积</w:t>
                  </w:r>
                </w:p>
              </w:tc>
              <w:tc>
                <w:tcPr>
                  <w:tcW w:w="1304" w:type="dxa"/>
                  <w:vAlign w:val="center"/>
                </w:tcPr>
                <w:p w14:paraId="228974DB">
                  <w:pPr>
                    <w:spacing w:line="240" w:lineRule="auto"/>
                    <w:jc w:val="center"/>
                    <w:rPr>
                      <w:sz w:val="18"/>
                      <w:szCs w:val="18"/>
                    </w:rPr>
                  </w:pPr>
                  <w:r>
                    <w:rPr>
                      <w:sz w:val="18"/>
                      <w:szCs w:val="18"/>
                    </w:rPr>
                    <w:t>73720.10</w:t>
                  </w:r>
                </w:p>
              </w:tc>
              <w:tc>
                <w:tcPr>
                  <w:tcW w:w="1096" w:type="dxa"/>
                  <w:vAlign w:val="center"/>
                </w:tcPr>
                <w:p w14:paraId="0E54AFA2">
                  <w:pPr>
                    <w:spacing w:line="240" w:lineRule="auto"/>
                    <w:jc w:val="center"/>
                    <w:rPr>
                      <w:sz w:val="18"/>
                      <w:szCs w:val="18"/>
                    </w:rPr>
                  </w:pPr>
                  <w:r>
                    <w:rPr>
                      <w:sz w:val="18"/>
                      <w:szCs w:val="18"/>
                    </w:rPr>
                    <w:t>66034.</w:t>
                  </w:r>
                  <w:r>
                    <w:rPr>
                      <w:rFonts w:hint="eastAsia"/>
                      <w:sz w:val="18"/>
                      <w:szCs w:val="18"/>
                    </w:rPr>
                    <w:t>56</w:t>
                  </w:r>
                </w:p>
              </w:tc>
              <w:tc>
                <w:tcPr>
                  <w:tcW w:w="1276" w:type="dxa"/>
                  <w:vAlign w:val="center"/>
                </w:tcPr>
                <w:p w14:paraId="61E29B90">
                  <w:pPr>
                    <w:spacing w:line="240" w:lineRule="auto"/>
                    <w:jc w:val="center"/>
                    <w:rPr>
                      <w:sz w:val="18"/>
                      <w:szCs w:val="18"/>
                    </w:rPr>
                  </w:pPr>
                  <w:r>
                    <w:rPr>
                      <w:sz w:val="18"/>
                      <w:szCs w:val="18"/>
                    </w:rPr>
                    <w:t>47347.60</w:t>
                  </w:r>
                </w:p>
              </w:tc>
              <w:tc>
                <w:tcPr>
                  <w:tcW w:w="1542" w:type="dxa"/>
                  <w:vAlign w:val="center"/>
                </w:tcPr>
                <w:p w14:paraId="4D76C89D">
                  <w:pPr>
                    <w:spacing w:line="240" w:lineRule="auto"/>
                    <w:jc w:val="center"/>
                    <w:rPr>
                      <w:sz w:val="18"/>
                      <w:szCs w:val="18"/>
                    </w:rPr>
                  </w:pPr>
                  <w:r>
                    <w:rPr>
                      <w:sz w:val="18"/>
                      <w:szCs w:val="18"/>
                    </w:rPr>
                    <w:t>18686.90</w:t>
                  </w:r>
                </w:p>
              </w:tc>
              <w:tc>
                <w:tcPr>
                  <w:tcW w:w="1304" w:type="dxa"/>
                  <w:vAlign w:val="center"/>
                </w:tcPr>
                <w:p w14:paraId="60FB1F0D">
                  <w:pPr>
                    <w:spacing w:line="240" w:lineRule="auto"/>
                    <w:jc w:val="center"/>
                    <w:rPr>
                      <w:sz w:val="18"/>
                      <w:szCs w:val="18"/>
                    </w:rPr>
                  </w:pPr>
                  <w:r>
                    <w:rPr>
                      <w:sz w:val="18"/>
                      <w:szCs w:val="18"/>
                    </w:rPr>
                    <w:t>26372.50</w:t>
                  </w:r>
                </w:p>
              </w:tc>
              <w:tc>
                <w:tcPr>
                  <w:tcW w:w="1305" w:type="dxa"/>
                  <w:vAlign w:val="center"/>
                </w:tcPr>
                <w:p w14:paraId="1CE324C5">
                  <w:pPr>
                    <w:spacing w:line="240" w:lineRule="auto"/>
                    <w:jc w:val="center"/>
                    <w:rPr>
                      <w:sz w:val="18"/>
                      <w:szCs w:val="18"/>
                    </w:rPr>
                  </w:pPr>
                  <w:r>
                    <w:rPr>
                      <w:sz w:val="18"/>
                      <w:szCs w:val="18"/>
                    </w:rPr>
                    <w:t>-7685.60</w:t>
                  </w:r>
                </w:p>
              </w:tc>
            </w:tr>
          </w:tbl>
          <w:p w14:paraId="14CE557D">
            <w:pPr>
              <w:rPr>
                <w:b/>
                <w:bCs/>
                <w:highlight w:val="yellow"/>
              </w:rPr>
            </w:pPr>
          </w:p>
        </w:tc>
      </w:tr>
      <w:tr w14:paraId="48A9D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22" w:hRule="atLeast"/>
          <w:jc w:val="center"/>
        </w:trPr>
        <w:tc>
          <w:tcPr>
            <w:tcW w:w="416" w:type="dxa"/>
            <w:tcBorders>
              <w:bottom w:val="single" w:color="auto" w:sz="6" w:space="0"/>
            </w:tcBorders>
            <w:vAlign w:val="center"/>
          </w:tcPr>
          <w:p w14:paraId="3736778D">
            <w:pPr>
              <w:pStyle w:val="27"/>
              <w:spacing w:before="0" w:beforeAutospacing="0" w:after="0" w:afterAutospacing="0"/>
              <w:jc w:val="center"/>
              <w:rPr>
                <w:rFonts w:ascii="Times New Roman" w:hAnsi="Times New Roman"/>
                <w:sz w:val="21"/>
                <w:szCs w:val="21"/>
                <w:highlight w:val="yellow"/>
              </w:rPr>
            </w:pPr>
            <w:r>
              <w:rPr>
                <w:rFonts w:hint="eastAsia" w:ascii="Times New Roman" w:hAnsi="Times New Roman"/>
                <w:sz w:val="21"/>
                <w:szCs w:val="21"/>
              </w:rPr>
              <w:t>总平面及现场布置</w:t>
            </w:r>
          </w:p>
        </w:tc>
        <w:tc>
          <w:tcPr>
            <w:tcW w:w="8644" w:type="dxa"/>
            <w:tcBorders>
              <w:top w:val="single" w:color="auto" w:sz="4" w:space="0"/>
              <w:bottom w:val="single" w:color="auto" w:sz="4" w:space="0"/>
              <w:right w:val="single" w:color="auto" w:sz="4" w:space="0"/>
            </w:tcBorders>
          </w:tcPr>
          <w:p w14:paraId="3F951E3C">
            <w:pPr>
              <w:rPr>
                <w:b/>
                <w:bCs/>
              </w:rPr>
            </w:pPr>
            <w:r>
              <w:rPr>
                <w:rFonts w:hint="eastAsia"/>
                <w:b/>
                <w:bCs/>
              </w:rPr>
              <w:t>1、工</w:t>
            </w:r>
            <w:commentRangeStart w:id="42"/>
            <w:commentRangeStart w:id="43"/>
            <w:r>
              <w:rPr>
                <w:rFonts w:hint="eastAsia"/>
                <w:b/>
                <w:bCs/>
              </w:rPr>
              <w:t>程布局情况</w:t>
            </w:r>
            <w:commentRangeEnd w:id="42"/>
            <w:r>
              <w:rPr>
                <w:rStyle w:val="38"/>
                <w:b/>
                <w:bCs/>
              </w:rPr>
              <w:commentReference w:id="42"/>
            </w:r>
            <w:commentRangeEnd w:id="43"/>
            <w:r>
              <w:rPr>
                <w:rStyle w:val="38"/>
                <w:b/>
                <w:bCs/>
              </w:rPr>
              <w:commentReference w:id="43"/>
            </w:r>
          </w:p>
          <w:p w14:paraId="56B5BE9C">
            <w:pPr>
              <w:ind w:firstLine="420" w:firstLineChars="200"/>
            </w:pPr>
            <w:r>
              <w:rPr>
                <w:rFonts w:hint="eastAsia"/>
              </w:rPr>
              <w:t>据本项目初步设计，拟建设青西二路(江东大道一河景路)，本项目位于杭州市钱塘区河庄街道</w:t>
            </w:r>
            <w:r>
              <w:t>江东村，工程北起江东大道，南至河景路，标准断面宽度为24米，道路全长约</w:t>
            </w:r>
            <w:r>
              <w:rPr>
                <w:rFonts w:hint="eastAsia"/>
              </w:rPr>
              <w:t>868</w:t>
            </w:r>
            <w:r>
              <w:t>米</w:t>
            </w:r>
            <w:r>
              <w:rPr>
                <w:rFonts w:hint="eastAsia"/>
              </w:rPr>
              <w:t>，（新建853m），</w:t>
            </w:r>
            <w:r>
              <w:t>改造搭接长度约15米</w:t>
            </w:r>
            <w:r>
              <w:rPr>
                <w:rFonts w:hint="eastAsia"/>
              </w:rPr>
              <w:t>，</w:t>
            </w:r>
            <w:r>
              <w:t>道路等级为城市次干路</w:t>
            </w:r>
            <w:r>
              <w:rPr>
                <w:rFonts w:hint="eastAsia"/>
              </w:rPr>
              <w:t>，</w:t>
            </w:r>
            <w:r>
              <w:t>工程在桩号K0+354.985处新建一座中桥跨越河庄横河</w:t>
            </w:r>
            <w:r>
              <w:rPr>
                <w:rFonts w:hint="eastAsia"/>
              </w:rPr>
              <w:t>。</w:t>
            </w:r>
          </w:p>
          <w:p w14:paraId="155E4635">
            <w:pPr>
              <w:rPr>
                <w:b/>
                <w:bCs/>
              </w:rPr>
            </w:pPr>
            <w:r>
              <w:rPr>
                <w:rFonts w:hint="eastAsia"/>
                <w:b/>
                <w:bCs/>
              </w:rPr>
              <w:t>2、临时工程布局情况</w:t>
            </w:r>
          </w:p>
          <w:p w14:paraId="046DA1AA">
            <w:pPr>
              <w:ind w:firstLine="420" w:firstLineChars="200"/>
            </w:pPr>
            <w:r>
              <w:rPr>
                <w:rFonts w:hint="eastAsia"/>
              </w:rPr>
              <w:t>本项目不设混凝土拌合站、沥青拌合站、水稳拌合站、预制场等临时设施，相关施工物料均商购。</w:t>
            </w:r>
          </w:p>
          <w:p w14:paraId="497238BC">
            <w:pPr>
              <w:ind w:firstLine="420" w:firstLineChars="200"/>
            </w:pPr>
            <w:r>
              <w:rPr>
                <w:rFonts w:hint="eastAsia"/>
              </w:rPr>
              <w:t>（1）施工便道与保通道路</w:t>
            </w:r>
          </w:p>
          <w:p w14:paraId="14CE5462">
            <w:pPr>
              <w:ind w:firstLine="420" w:firstLineChars="200"/>
            </w:pPr>
            <w:r>
              <w:rPr>
                <w:rFonts w:hint="eastAsia"/>
              </w:rPr>
              <w:t>为保障施工期间区域交通及居民出行，工程在K0+600处原有沥青道路外侧设置了一条临时保通道路。该处原有道路服务于汇龙湖南侧村民前往北侧水稻田的通行需求，保通道路的设置确保了施工期间该通道不被中断。此外，沿线部分现状沥青道路（如K0+340、K0+360、K0+600等路段）在施工时需直接拆除，施工单位将根据现场情况合理安排拆除时序与临时通行方案。</w:t>
            </w:r>
          </w:p>
          <w:p w14:paraId="4A87E701">
            <w:pPr>
              <w:ind w:firstLine="420" w:firstLineChars="200"/>
            </w:pPr>
            <w:r>
              <w:rPr>
                <w:rFonts w:hint="eastAsia"/>
              </w:rPr>
              <w:t>（2）临时设施与材料堆放</w:t>
            </w:r>
          </w:p>
          <w:p w14:paraId="598C0EC9">
            <w:pPr>
              <w:ind w:firstLine="420" w:firstLineChars="200"/>
            </w:pPr>
            <w:r>
              <w:rPr>
                <w:rFonts w:hint="eastAsia"/>
              </w:rPr>
              <w:t>施工期间，施工单位将在项目红线范围内及周边临时借地范围内设置必要的临时设施，包括施工营地、材料堆场、机械设备停放区等，位置位于</w:t>
            </w:r>
            <w:r>
              <w:t>青西二路与规划向湖路东侧往东约250米处</w:t>
            </w:r>
            <w:r>
              <w:rPr>
                <w:rFonts w:hint="eastAsia"/>
              </w:rPr>
              <w:t>。工程临时借地面积约10.22亩。施工营地</w:t>
            </w:r>
            <w:r>
              <w:t>设置有临时隔油池1个，位于生活区西北面、食堂外埋地设置；三级沉淀池1个，位于生活区东北面围栏外侧埋地设置；生活垃圾的集中放置在生活区西北面，施工建筑物料的集中堆放点位于生活区西南侧围栏外棚内</w:t>
            </w:r>
            <w:r>
              <w:rPr>
                <w:rFonts w:hint="eastAsia"/>
              </w:rPr>
              <w:t>。营地设置临时厕所，工程人员生活产生的生活污水和洗涤废水收集后由</w:t>
            </w:r>
            <w:r>
              <w:t>洁洁城市管理有限公司</w:t>
            </w:r>
            <w:r>
              <w:rPr>
                <w:rFonts w:hint="eastAsia"/>
              </w:rPr>
              <w:t>定期进行抽运。</w:t>
            </w:r>
          </w:p>
          <w:p w14:paraId="4C89E613">
            <w:pPr>
              <w:keepNext/>
              <w:spacing w:line="240" w:lineRule="auto"/>
              <w:jc w:val="center"/>
            </w:pPr>
            <w:r>
              <w:drawing>
                <wp:inline distT="0" distB="0" distL="0" distR="0">
                  <wp:extent cx="5128895" cy="3579495"/>
                  <wp:effectExtent l="0" t="0" r="0" b="1905"/>
                  <wp:docPr id="211691800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18004" name="图片 5"/>
                          <pic:cNvPicPr>
                            <a:picLocks noChangeAspect="1" noChangeArrowheads="1"/>
                          </pic:cNvPicPr>
                        </pic:nvPicPr>
                        <pic:blipFill>
                          <a:blip r:embed="rId23"/>
                          <a:srcRect/>
                          <a:stretch>
                            <a:fillRect/>
                          </a:stretch>
                        </pic:blipFill>
                        <pic:spPr>
                          <a:xfrm>
                            <a:off x="0" y="0"/>
                            <a:ext cx="5153843" cy="3597251"/>
                          </a:xfrm>
                          <a:prstGeom prst="rect">
                            <a:avLst/>
                          </a:prstGeom>
                          <a:noFill/>
                        </pic:spPr>
                      </pic:pic>
                    </a:graphicData>
                  </a:graphic>
                </wp:inline>
              </w:drawing>
            </w:r>
          </w:p>
          <w:p w14:paraId="3F5FB60A">
            <w:pPr>
              <w:pStyle w:val="9"/>
              <w:spacing w:before="120"/>
            </w:pPr>
            <w:r>
              <w:t xml:space="preserve">图 </w:t>
            </w:r>
            <w:r>
              <w:fldChar w:fldCharType="begin"/>
            </w:r>
            <w:r>
              <w:instrText xml:space="preserve"> STYLEREF 1 \s </w:instrText>
            </w:r>
            <w:r>
              <w:fldChar w:fldCharType="separate"/>
            </w:r>
            <w:r>
              <w:t>2</w:t>
            </w:r>
            <w:r>
              <w:fldChar w:fldCharType="end"/>
            </w:r>
            <w:r>
              <w:noBreakHyphen/>
            </w:r>
            <w:r>
              <w:fldChar w:fldCharType="begin"/>
            </w:r>
            <w:r>
              <w:instrText xml:space="preserve"> SEQ 图 \* ARABIC \s 1 </w:instrText>
            </w:r>
            <w:r>
              <w:fldChar w:fldCharType="separate"/>
            </w:r>
            <w:r>
              <w:t>10</w:t>
            </w:r>
            <w:r>
              <w:fldChar w:fldCharType="end"/>
            </w:r>
            <w:r>
              <w:t>施工临时驻地位置</w:t>
            </w:r>
          </w:p>
          <w:p w14:paraId="6D202AA8">
            <w:pPr>
              <w:ind w:firstLine="420" w:firstLineChars="200"/>
            </w:pPr>
            <w:r>
              <w:rPr>
                <w:rFonts w:hint="eastAsia"/>
              </w:rPr>
              <w:t>（3）临时排水与防护措施</w:t>
            </w:r>
          </w:p>
          <w:p w14:paraId="7763BF2B">
            <w:pPr>
              <w:ind w:firstLine="420" w:firstLineChars="200"/>
            </w:pPr>
            <w:r>
              <w:rPr>
                <w:rFonts w:hint="eastAsia"/>
              </w:rPr>
              <w:t>施工期间，</w:t>
            </w:r>
            <w:commentRangeStart w:id="44"/>
            <w:commentRangeStart w:id="45"/>
            <w:r>
              <w:rPr>
                <w:rFonts w:hint="eastAsia"/>
              </w:rPr>
              <w:t>由于道路两侧地块尚未开发，在道路两侧坡脚外设置50×50cm梯形土沟作为临时排水设施。临时弃土（渣）场周围采用砖砌墙进行分隔和阻挡，场地四周临时开挖简易排水沟，末端设置沉沙池，经沉淀后的上清液回用或委托清运。</w:t>
            </w:r>
            <w:commentRangeEnd w:id="44"/>
            <w:r>
              <w:rPr>
                <w:rStyle w:val="38"/>
                <w:rFonts w:hint="eastAsia"/>
              </w:rPr>
              <w:commentReference w:id="44"/>
            </w:r>
            <w:commentRangeEnd w:id="45"/>
            <w:r>
              <w:rPr>
                <w:rStyle w:val="38"/>
                <w:rFonts w:hint="eastAsia"/>
              </w:rPr>
              <w:commentReference w:id="45"/>
            </w:r>
            <w:r>
              <w:rPr>
                <w:rFonts w:hint="eastAsia"/>
              </w:rPr>
              <w:t>此外在施工营地处设置三级沉淀池一个，在桥梁施工场地设置三级沉淀池一个。</w:t>
            </w:r>
          </w:p>
        </w:tc>
      </w:tr>
      <w:tr w14:paraId="7794E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dxa"/>
            <w:tcBorders>
              <w:top w:val="single" w:color="auto" w:sz="6" w:space="0"/>
              <w:left w:val="single" w:color="auto" w:sz="8" w:space="0"/>
              <w:bottom w:val="single" w:color="auto" w:sz="6" w:space="0"/>
              <w:right w:val="single" w:color="auto" w:sz="4" w:space="0"/>
            </w:tcBorders>
            <w:vAlign w:val="center"/>
          </w:tcPr>
          <w:p w14:paraId="35BB3B62">
            <w:pPr>
              <w:pStyle w:val="27"/>
              <w:spacing w:before="0" w:beforeAutospacing="0" w:after="0" w:afterAutospacing="0" w:line="240" w:lineRule="auto"/>
              <w:jc w:val="center"/>
              <w:rPr>
                <w:rFonts w:ascii="Times New Roman" w:hAnsi="Times New Roman"/>
                <w:sz w:val="21"/>
                <w:szCs w:val="21"/>
                <w:highlight w:val="yellow"/>
              </w:rPr>
            </w:pPr>
            <w:r>
              <w:rPr>
                <w:rFonts w:hint="eastAsia" w:ascii="Times New Roman" w:hAnsi="Times New Roman"/>
                <w:sz w:val="21"/>
                <w:szCs w:val="21"/>
              </w:rPr>
              <w:t>施工方案</w:t>
            </w:r>
          </w:p>
        </w:tc>
        <w:tc>
          <w:tcPr>
            <w:tcW w:w="8644" w:type="dxa"/>
            <w:tcBorders>
              <w:top w:val="single" w:color="auto" w:sz="4" w:space="0"/>
              <w:left w:val="single" w:color="auto" w:sz="4" w:space="0"/>
              <w:bottom w:val="single" w:color="auto" w:sz="4" w:space="0"/>
              <w:right w:val="single" w:color="auto" w:sz="4" w:space="0"/>
            </w:tcBorders>
            <w:vAlign w:val="center"/>
          </w:tcPr>
          <w:p w14:paraId="6AE1F750">
            <w:pPr>
              <w:widowControl/>
              <w:kinsoku w:val="0"/>
              <w:autoSpaceDE w:val="0"/>
              <w:autoSpaceDN w:val="0"/>
              <w:spacing w:before="120"/>
              <w:jc w:val="left"/>
              <w:textAlignment w:val="baseline"/>
              <w:outlineLvl w:val="1"/>
              <w:rPr>
                <w:b/>
                <w:color w:val="000000"/>
                <w:kern w:val="0"/>
                <w:szCs w:val="21"/>
              </w:rPr>
            </w:pPr>
            <w:r>
              <w:rPr>
                <w:b/>
                <w:color w:val="000000"/>
                <w:kern w:val="0"/>
                <w:szCs w:val="21"/>
              </w:rPr>
              <w:t>1</w:t>
            </w:r>
            <w:r>
              <w:rPr>
                <w:rFonts w:ascii="宋体" w:hAnsi="宋体"/>
                <w:b/>
                <w:color w:val="000000"/>
                <w:kern w:val="0"/>
                <w:szCs w:val="21"/>
              </w:rPr>
              <w:t>、施工内容</w:t>
            </w:r>
          </w:p>
          <w:p w14:paraId="79D9BAA9">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本项目建设内容主要包括：道路工程、交通工程、桥梁工程、排水工程、海绵工程、照明工程、绿化工程、管线工程及其他附属工程。</w:t>
            </w:r>
          </w:p>
          <w:p w14:paraId="30DAD650">
            <w:pPr>
              <w:widowControl/>
              <w:kinsoku w:val="0"/>
              <w:autoSpaceDE w:val="0"/>
              <w:autoSpaceDN w:val="0"/>
              <w:spacing w:before="120"/>
              <w:jc w:val="left"/>
              <w:textAlignment w:val="baseline"/>
              <w:outlineLvl w:val="1"/>
              <w:rPr>
                <w:b/>
                <w:color w:val="000000"/>
                <w:kern w:val="0"/>
                <w:szCs w:val="21"/>
              </w:rPr>
            </w:pPr>
            <w:r>
              <w:rPr>
                <w:b/>
                <w:color w:val="000000"/>
                <w:kern w:val="0"/>
                <w:szCs w:val="21"/>
              </w:rPr>
              <w:t>2</w:t>
            </w:r>
            <w:r>
              <w:rPr>
                <w:rFonts w:ascii="宋体" w:hAnsi="宋体"/>
                <w:b/>
                <w:color w:val="000000"/>
                <w:kern w:val="0"/>
                <w:szCs w:val="21"/>
              </w:rPr>
              <w:t>、施工工艺</w:t>
            </w:r>
          </w:p>
          <w:p w14:paraId="565C8AB6">
            <w:pPr>
              <w:widowControl/>
              <w:kinsoku w:val="0"/>
              <w:autoSpaceDE w:val="0"/>
              <w:autoSpaceDN w:val="0"/>
              <w:ind w:firstLine="422" w:firstLineChars="200"/>
              <w:jc w:val="left"/>
              <w:textAlignment w:val="baseline"/>
              <w:rPr>
                <w:b/>
                <w:color w:val="000000"/>
                <w:kern w:val="0"/>
                <w:szCs w:val="21"/>
              </w:rPr>
            </w:pPr>
            <w:r>
              <w:rPr>
                <w:rFonts w:ascii="宋体" w:hAnsi="宋体"/>
                <w:b/>
                <w:color w:val="000000"/>
                <w:kern w:val="0"/>
                <w:szCs w:val="21"/>
              </w:rPr>
              <w:t>（</w:t>
            </w:r>
            <w:r>
              <w:rPr>
                <w:b/>
                <w:color w:val="000000"/>
                <w:kern w:val="0"/>
                <w:szCs w:val="21"/>
              </w:rPr>
              <w:t>1</w:t>
            </w:r>
            <w:r>
              <w:rPr>
                <w:rFonts w:ascii="宋体" w:hAnsi="宋体"/>
                <w:b/>
                <w:color w:val="000000"/>
                <w:kern w:val="0"/>
                <w:szCs w:val="21"/>
              </w:rPr>
              <w:t>）道路工程</w:t>
            </w:r>
          </w:p>
          <w:p w14:paraId="3742452E">
            <w:pPr>
              <w:widowControl/>
              <w:kinsoku w:val="0"/>
              <w:autoSpaceDE w:val="0"/>
              <w:autoSpaceDN w:val="0"/>
              <w:ind w:firstLine="420" w:firstLineChars="200"/>
              <w:jc w:val="left"/>
              <w:textAlignment w:val="baseline"/>
              <w:rPr>
                <w:color w:val="000000"/>
                <w:kern w:val="0"/>
                <w:szCs w:val="21"/>
              </w:rPr>
            </w:pPr>
            <w:r>
              <w:rPr>
                <w:rFonts w:hint="eastAsia"/>
                <w:color w:val="000000"/>
                <w:kern w:val="0"/>
                <w:szCs w:val="21"/>
              </w:rPr>
              <w:t>①</w:t>
            </w:r>
            <w:r>
              <w:rPr>
                <w:rFonts w:ascii="宋体" w:hAnsi="宋体"/>
                <w:color w:val="000000"/>
                <w:kern w:val="0"/>
                <w:szCs w:val="21"/>
              </w:rPr>
              <w:t>清基工程</w:t>
            </w:r>
          </w:p>
          <w:p w14:paraId="0464C01E">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路基填筑前，须先进行清表处理，一般清表厚度为</w:t>
            </w:r>
            <w:r>
              <w:rPr>
                <w:color w:val="000000"/>
                <w:kern w:val="0"/>
                <w:szCs w:val="21"/>
              </w:rPr>
              <w:t>30cm</w:t>
            </w:r>
            <w:r>
              <w:rPr>
                <w:rFonts w:ascii="宋体" w:hAnsi="宋体"/>
                <w:color w:val="000000"/>
                <w:kern w:val="0"/>
                <w:szCs w:val="21"/>
              </w:rPr>
              <w:t>，但是，原则上要求清除建筑垃圾、腐殖土、耕植土、淤泥质土等不满足地基承载力要求的杂填土，其清理深度和范围可根据现场实际需要进行调整。表土剥离采用机械配合人工方式，施工机械采用推土机。</w:t>
            </w:r>
          </w:p>
          <w:p w14:paraId="282B008A">
            <w:pPr>
              <w:widowControl/>
              <w:kinsoku w:val="0"/>
              <w:autoSpaceDE w:val="0"/>
              <w:autoSpaceDN w:val="0"/>
              <w:ind w:firstLine="420" w:firstLineChars="200"/>
              <w:jc w:val="left"/>
              <w:textAlignment w:val="baseline"/>
              <w:rPr>
                <w:color w:val="000000"/>
                <w:kern w:val="0"/>
                <w:szCs w:val="21"/>
              </w:rPr>
            </w:pPr>
            <w:r>
              <w:rPr>
                <w:rFonts w:hint="eastAsia"/>
                <w:color w:val="000000"/>
                <w:kern w:val="0"/>
                <w:szCs w:val="21"/>
              </w:rPr>
              <w:t>②</w:t>
            </w:r>
            <w:r>
              <w:rPr>
                <w:rFonts w:ascii="宋体" w:hAnsi="宋体"/>
                <w:color w:val="000000"/>
                <w:kern w:val="0"/>
                <w:szCs w:val="21"/>
              </w:rPr>
              <w:t>路基工程</w:t>
            </w:r>
          </w:p>
          <w:p w14:paraId="006B0040">
            <w:pPr>
              <w:widowControl/>
              <w:kinsoku w:val="0"/>
              <w:autoSpaceDE w:val="0"/>
              <w:autoSpaceDN w:val="0"/>
              <w:ind w:firstLine="420" w:firstLineChars="200"/>
              <w:jc w:val="left"/>
              <w:textAlignment w:val="baseline"/>
            </w:pPr>
            <w:r>
              <w:rPr>
                <w:rFonts w:ascii="宋体" w:hAnsi="宋体"/>
                <w:color w:val="000000"/>
                <w:kern w:val="0"/>
                <w:szCs w:val="21"/>
              </w:rPr>
              <w:t>应将地基表层碾压密实，在一般土质路段，压实度</w:t>
            </w:r>
            <w:r>
              <w:rPr>
                <w:color w:val="000000"/>
                <w:kern w:val="0"/>
                <w:szCs w:val="21"/>
              </w:rPr>
              <w:t>(</w:t>
            </w:r>
            <w:r>
              <w:rPr>
                <w:rFonts w:ascii="宋体" w:hAnsi="宋体"/>
                <w:color w:val="000000"/>
                <w:kern w:val="0"/>
                <w:szCs w:val="21"/>
              </w:rPr>
              <w:t>重型</w:t>
            </w:r>
            <w:r>
              <w:rPr>
                <w:color w:val="000000"/>
                <w:kern w:val="0"/>
                <w:szCs w:val="21"/>
              </w:rPr>
              <w:t>)</w:t>
            </w:r>
            <w:r>
              <w:rPr>
                <w:rFonts w:ascii="宋体" w:hAnsi="宋体"/>
                <w:color w:val="000000"/>
                <w:kern w:val="0"/>
                <w:szCs w:val="21"/>
              </w:rPr>
              <w:t>应满足路基设计要求，地基承载力不得低于</w:t>
            </w:r>
            <w:r>
              <w:rPr>
                <w:color w:val="000000"/>
                <w:kern w:val="0"/>
                <w:szCs w:val="21"/>
              </w:rPr>
              <w:t>90kPa</w:t>
            </w:r>
            <w:r>
              <w:rPr>
                <w:rFonts w:ascii="宋体" w:hAnsi="宋体"/>
                <w:color w:val="000000"/>
                <w:kern w:val="0"/>
                <w:szCs w:val="21"/>
              </w:rPr>
              <w:t>，压实度</w:t>
            </w:r>
            <w:r>
              <w:rPr>
                <w:color w:val="000000"/>
                <w:kern w:val="0"/>
                <w:szCs w:val="21"/>
              </w:rPr>
              <w:t>(</w:t>
            </w:r>
            <w:r>
              <w:rPr>
                <w:rFonts w:ascii="宋体" w:hAnsi="宋体"/>
                <w:color w:val="000000"/>
                <w:kern w:val="0"/>
                <w:szCs w:val="21"/>
              </w:rPr>
              <w:t>重型</w:t>
            </w:r>
            <w:r>
              <w:rPr>
                <w:color w:val="000000"/>
                <w:kern w:val="0"/>
                <w:szCs w:val="21"/>
              </w:rPr>
              <w:t>)</w:t>
            </w:r>
            <w:r>
              <w:rPr>
                <w:rFonts w:ascii="宋体" w:hAnsi="宋体"/>
                <w:color w:val="000000"/>
                <w:kern w:val="0"/>
                <w:szCs w:val="21"/>
              </w:rPr>
              <w:t>不应小于</w:t>
            </w:r>
            <w:r>
              <w:rPr>
                <w:rFonts w:hint="eastAsia"/>
                <w:color w:val="000000"/>
                <w:kern w:val="0"/>
                <w:szCs w:val="21"/>
              </w:rPr>
              <w:t>87</w:t>
            </w:r>
            <w:r>
              <w:rPr>
                <w:color w:val="000000"/>
                <w:kern w:val="0"/>
                <w:szCs w:val="21"/>
              </w:rPr>
              <w:t>%</w:t>
            </w:r>
            <w:r>
              <w:rPr>
                <w:rFonts w:ascii="宋体" w:hAnsi="宋体"/>
                <w:color w:val="000000"/>
                <w:kern w:val="0"/>
                <w:szCs w:val="21"/>
              </w:rPr>
              <w:t>，否则应采取级配碎石换填等措施对地基进行处理，换填厚度不应小于</w:t>
            </w:r>
            <w:r>
              <w:rPr>
                <w:color w:val="000000"/>
                <w:kern w:val="0"/>
                <w:szCs w:val="21"/>
              </w:rPr>
              <w:t>0.5m</w:t>
            </w:r>
            <w:r>
              <w:rPr>
                <w:rFonts w:hint="eastAsia"/>
                <w:color w:val="000000"/>
                <w:kern w:val="0"/>
                <w:szCs w:val="21"/>
              </w:rPr>
              <w:t>，</w:t>
            </w:r>
            <w:r>
              <w:rPr>
                <w:color w:val="000000"/>
                <w:kern w:val="0"/>
                <w:szCs w:val="21"/>
              </w:rPr>
              <w:t>当地面横坡缓于1:5时，清表后可直接填筑路堤；当地面横坡陡于1:5时，原地面应开挖台阶，台阶宽度不小于2m</w:t>
            </w:r>
            <w:r>
              <w:rPr>
                <w:rFonts w:ascii="宋体" w:hAnsi="宋体"/>
                <w:color w:val="000000"/>
                <w:kern w:val="0"/>
                <w:szCs w:val="21"/>
              </w:rPr>
              <w:t>。路基填土需优先选用级配较好的砾质、砂质等粗粒土作为填料，含草皮、淤泥、生活垃圾、树根、腐殖质的土严禁作为路基填料。根据杭建</w:t>
            </w:r>
            <w:r>
              <w:t>工〔2025〕118号文件要求，本项目路基填料采用建筑垃圾再生填料，路床范围采用S06等级再生填料。一般路段填高较低，为保证路床顶面回弹模量，机动车道、人行道下路床范围分别采用80cm、30cm的S06级水泥固化再生填料填筑，路床以下采用普通土填筑。对原地面素填土进行翻挖回填后碾压处理，压实度需满足路基压实标准</w:t>
            </w:r>
            <w:r>
              <w:rPr>
                <w:rFonts w:hint="eastAsia"/>
              </w:rPr>
              <w:t>。</w:t>
            </w:r>
          </w:p>
          <w:p w14:paraId="135A9D98">
            <w:pPr>
              <w:widowControl/>
              <w:kinsoku w:val="0"/>
              <w:autoSpaceDE w:val="0"/>
              <w:autoSpaceDN w:val="0"/>
              <w:ind w:firstLine="420" w:firstLineChars="200"/>
              <w:jc w:val="left"/>
              <w:textAlignment w:val="baseline"/>
              <w:rPr>
                <w:rFonts w:hint="eastAsia" w:ascii="宋体" w:hAnsi="宋体"/>
                <w:color w:val="000000"/>
                <w:kern w:val="0"/>
                <w:szCs w:val="21"/>
              </w:rPr>
            </w:pPr>
            <w:r>
              <w:rPr>
                <w:rFonts w:ascii="宋体" w:hAnsi="宋体"/>
                <w:color w:val="000000"/>
                <w:kern w:val="0"/>
                <w:szCs w:val="21"/>
              </w:rPr>
              <w:t>路基填土高度小于路面和路床总厚度时，应将地基表层土进行超挖并分层回填压实。</w:t>
            </w:r>
          </w:p>
          <w:p w14:paraId="60D62DCC">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河塘段排水清淤后，用砂碎石回填至常水位以上</w:t>
            </w:r>
            <w:r>
              <w:rPr>
                <w:color w:val="000000"/>
                <w:kern w:val="0"/>
                <w:szCs w:val="21"/>
              </w:rPr>
              <w:t>50cm</w:t>
            </w:r>
            <w:r>
              <w:rPr>
                <w:rFonts w:ascii="宋体" w:hAnsi="宋体"/>
                <w:color w:val="000000"/>
                <w:kern w:val="0"/>
                <w:szCs w:val="21"/>
              </w:rPr>
              <w:t>，再按路堤要求进行填筑。</w:t>
            </w:r>
          </w:p>
          <w:p w14:paraId="13A7CFD1">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杂填土换填时采用塘渣换填的方式更利于工程质量及工程进度的保障。</w:t>
            </w:r>
          </w:p>
          <w:p w14:paraId="75872D28">
            <w:pPr>
              <w:widowControl/>
              <w:kinsoku w:val="0"/>
              <w:autoSpaceDE w:val="0"/>
              <w:autoSpaceDN w:val="0"/>
              <w:ind w:firstLine="420" w:firstLineChars="200"/>
              <w:jc w:val="left"/>
              <w:textAlignment w:val="baseline"/>
              <w:rPr>
                <w:color w:val="000000"/>
                <w:kern w:val="0"/>
                <w:szCs w:val="21"/>
              </w:rPr>
            </w:pPr>
            <w:r>
              <w:rPr>
                <w:rFonts w:hint="eastAsia"/>
                <w:color w:val="000000"/>
                <w:kern w:val="0"/>
                <w:szCs w:val="21"/>
              </w:rPr>
              <w:t>当低填浅挖路段及土质挖方路段，路床顶面回弹模量无法满足设计要求时，可采用塘渣、石灰土及水泥土等材料换填。参考片区其他道路勘察报告，片区地基存在薄层素填土，厚度约0.4m～1.7m，初步设计阶段暂按平均1.5m计。</w:t>
            </w:r>
          </w:p>
          <w:p w14:paraId="2CB4B0E9">
            <w:pPr>
              <w:widowControl/>
              <w:kinsoku w:val="0"/>
              <w:autoSpaceDE w:val="0"/>
              <w:autoSpaceDN w:val="0"/>
              <w:ind w:firstLine="420" w:firstLineChars="200"/>
              <w:jc w:val="left"/>
              <w:textAlignment w:val="baseline"/>
              <w:rPr>
                <w:color w:val="000000"/>
                <w:kern w:val="0"/>
                <w:szCs w:val="21"/>
              </w:rPr>
            </w:pPr>
            <w:r>
              <w:rPr>
                <w:color w:val="000000"/>
                <w:kern w:val="0"/>
                <w:szCs w:val="21"/>
              </w:rPr>
              <w:t>新旧路基结合处，在旧路路基开挖台阶，逐步过渡到与新路基结合。台阶坡度向内侧倾斜，倾斜坡度为3.0%，台阶高度为1m。在新旧路基结合部位铺设2层双向拉伸塑料土工格栅，防止路基出现不均匀沉降。</w:t>
            </w:r>
          </w:p>
          <w:p w14:paraId="280C1593">
            <w:pPr>
              <w:widowControl/>
              <w:kinsoku w:val="0"/>
              <w:autoSpaceDE w:val="0"/>
              <w:autoSpaceDN w:val="0"/>
              <w:ind w:firstLine="420" w:firstLineChars="200"/>
              <w:jc w:val="left"/>
              <w:textAlignment w:val="baseline"/>
              <w:rPr>
                <w:color w:val="000000"/>
                <w:kern w:val="0"/>
                <w:szCs w:val="21"/>
                <w:highlight w:val="yellow"/>
              </w:rPr>
            </w:pPr>
            <w:r>
              <w:rPr>
                <w:color w:val="000000"/>
                <w:kern w:val="0"/>
                <w:szCs w:val="21"/>
              </w:rPr>
              <w:t>本项目</w:t>
            </w:r>
            <w:r>
              <w:t>K0+333.5～K0+376.5拟建设一座中桥，桥头路基填高约2.5～3.5m。桥梁台背路基范围应采用轻质填料或渗水性良好的级配碎石</w:t>
            </w:r>
            <w:r>
              <w:rPr>
                <w:color w:val="000000"/>
                <w:kern w:val="0"/>
                <w:szCs w:val="21"/>
              </w:rPr>
              <w:t>、砂砾石等材料填筑，桥梁台背采用碎石填筑。路桥过渡段长度取28.1m，搭板底部及自搭板底部按1:1.5放坡采用碎石填筑。</w:t>
            </w:r>
          </w:p>
          <w:p w14:paraId="27DC3D33">
            <w:pPr>
              <w:widowControl/>
              <w:kinsoku w:val="0"/>
              <w:autoSpaceDE w:val="0"/>
              <w:autoSpaceDN w:val="0"/>
              <w:ind w:firstLine="420" w:firstLineChars="200"/>
              <w:jc w:val="left"/>
              <w:textAlignment w:val="baseline"/>
              <w:rPr>
                <w:color w:val="000000"/>
                <w:kern w:val="0"/>
                <w:szCs w:val="21"/>
              </w:rPr>
            </w:pPr>
            <w:r>
              <w:rPr>
                <w:rFonts w:hint="eastAsia"/>
                <w:color w:val="000000"/>
                <w:kern w:val="0"/>
                <w:szCs w:val="21"/>
              </w:rPr>
              <w:t>③</w:t>
            </w:r>
            <w:r>
              <w:rPr>
                <w:rFonts w:ascii="宋体" w:hAnsi="宋体"/>
                <w:color w:val="000000"/>
                <w:kern w:val="0"/>
                <w:szCs w:val="21"/>
              </w:rPr>
              <w:t>路面工程</w:t>
            </w:r>
          </w:p>
          <w:p w14:paraId="15E4692F">
            <w:pPr>
              <w:widowControl/>
              <w:kinsoku w:val="0"/>
              <w:autoSpaceDE w:val="0"/>
              <w:autoSpaceDN w:val="0"/>
              <w:ind w:firstLine="420" w:firstLineChars="200"/>
              <w:jc w:val="left"/>
              <w:textAlignment w:val="baseline"/>
            </w:pPr>
            <w:r>
              <w:rPr>
                <w:rFonts w:hint="eastAsia"/>
              </w:rPr>
              <w:t>路面采用沥青混凝土路面，采用配套路面施工机械设备，专业化施工方案，配置少量人工辅助施工。</w:t>
            </w:r>
            <w:r>
              <w:rPr>
                <w:rFonts w:ascii="宋体" w:hAnsi="宋体"/>
                <w:color w:val="000000"/>
                <w:kern w:val="0"/>
                <w:szCs w:val="21"/>
              </w:rPr>
              <w:t>从经济性、使用要求、受力状态，土基支撑条件和受自然因素影响程度的不同需要，一般均采用多层结构，针对路面结构的不同层次，在强度、稳定性和耐久性方面保证其质量。</w:t>
            </w:r>
            <w:r>
              <w:t>新老路面搭接时，先将旧路表面及边缘清洗干净后开挖台阶，各台阶搭接宽度不小于50cm，面层拼接处铺设宽1m的双向玻纤格栅，基层拼接处铺设宽1m的土工格栅。</w:t>
            </w:r>
          </w:p>
          <w:p w14:paraId="60D459BF">
            <w:pPr>
              <w:widowControl/>
              <w:kinsoku w:val="0"/>
              <w:autoSpaceDE w:val="0"/>
              <w:autoSpaceDN w:val="0"/>
              <w:ind w:firstLine="420" w:firstLineChars="200"/>
              <w:jc w:val="left"/>
              <w:textAlignment w:val="baseline"/>
              <w:rPr>
                <w:color w:val="000000"/>
                <w:kern w:val="0"/>
                <w:szCs w:val="21"/>
              </w:rPr>
            </w:pPr>
            <w:r>
              <w:rPr>
                <w:rFonts w:hint="eastAsia"/>
                <w:color w:val="000000"/>
                <w:kern w:val="0"/>
                <w:szCs w:val="21"/>
              </w:rPr>
              <w:t>④</w:t>
            </w:r>
            <w:r>
              <w:rPr>
                <w:rFonts w:ascii="宋体" w:hAnsi="宋体"/>
                <w:color w:val="000000"/>
                <w:kern w:val="0"/>
                <w:szCs w:val="21"/>
              </w:rPr>
              <w:t>路基防护</w:t>
            </w:r>
          </w:p>
          <w:p w14:paraId="4D83DA97">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拟建道路沿线地块目前还未开发，人行道外侧放坡处理，采用植草护坡，当两侧土地开发后，边坡与开发地块整平接顺。</w:t>
            </w:r>
          </w:p>
          <w:p w14:paraId="5665A367">
            <w:pPr>
              <w:widowControl/>
              <w:kinsoku w:val="0"/>
              <w:autoSpaceDE w:val="0"/>
              <w:autoSpaceDN w:val="0"/>
              <w:ind w:firstLine="422" w:firstLineChars="200"/>
              <w:textAlignment w:val="baseline"/>
              <w:rPr>
                <w:b/>
                <w:color w:val="000000"/>
                <w:kern w:val="0"/>
                <w:szCs w:val="21"/>
              </w:rPr>
            </w:pPr>
            <w:r>
              <w:rPr>
                <w:rFonts w:ascii="宋体" w:hAnsi="宋体"/>
                <w:b/>
                <w:color w:val="000000"/>
                <w:kern w:val="0"/>
                <w:szCs w:val="21"/>
              </w:rPr>
              <w:t>（</w:t>
            </w:r>
            <w:r>
              <w:rPr>
                <w:b/>
                <w:color w:val="000000"/>
                <w:kern w:val="0"/>
                <w:szCs w:val="21"/>
              </w:rPr>
              <w:t>2</w:t>
            </w:r>
            <w:r>
              <w:rPr>
                <w:rFonts w:ascii="宋体" w:hAnsi="宋体"/>
                <w:b/>
                <w:color w:val="000000"/>
                <w:kern w:val="0"/>
                <w:szCs w:val="21"/>
              </w:rPr>
              <w:t>）管道工程</w:t>
            </w:r>
          </w:p>
          <w:p w14:paraId="2C61DECE">
            <w:pPr>
              <w:ind w:firstLine="420" w:firstLineChars="200"/>
            </w:pPr>
            <w:r>
              <w:rPr>
                <w:rFonts w:hint="eastAsia"/>
              </w:rPr>
              <w:t>①排水管道工程</w:t>
            </w:r>
          </w:p>
          <w:p w14:paraId="2E2ADD2A">
            <w:pPr>
              <w:ind w:firstLine="420" w:firstLineChars="200"/>
              <w:rPr>
                <w:rFonts w:hint="eastAsia" w:ascii="宋体" w:hAnsi="宋体"/>
                <w:color w:val="000000"/>
                <w:kern w:val="0"/>
                <w:szCs w:val="21"/>
              </w:rPr>
            </w:pPr>
            <w:r>
              <w:rPr>
                <w:rFonts w:hint="eastAsia"/>
              </w:rPr>
              <w:t>本工程雨水管道（非道路交叉口处）采用III级钢筋混凝土管，道路交叉口雨水管及污水管采用排水工程用球墨铸铁管（聚氨酯内衬），弹性密封T型橡胶圈接口。D300雨水口连接管采用混凝土360°包封处理。III级钢筋混凝土管道采用钢筋混凝土条形基础，除雨水口连接管及交叉口范围内雨水管外的其余雨水管均采用135°包角钢筋混凝土条形基础，污水管及交叉口范围内的雨水管采用砂基础。</w:t>
            </w:r>
          </w:p>
          <w:p w14:paraId="3D736F99">
            <w:pPr>
              <w:widowControl/>
              <w:kinsoku w:val="0"/>
              <w:autoSpaceDE w:val="0"/>
              <w:autoSpaceDN w:val="0"/>
              <w:ind w:firstLine="420" w:firstLineChars="200"/>
              <w:textAlignment w:val="baseline"/>
              <w:rPr>
                <w:rFonts w:hint="eastAsia" w:ascii="宋体" w:hAnsi="宋体"/>
                <w:color w:val="000000"/>
                <w:kern w:val="0"/>
                <w:szCs w:val="21"/>
              </w:rPr>
            </w:pPr>
            <w:r>
              <w:rPr>
                <w:rFonts w:hint="eastAsia" w:ascii="宋体" w:hAnsi="宋体"/>
                <w:color w:val="000000"/>
                <w:kern w:val="0"/>
                <w:szCs w:val="21"/>
              </w:rPr>
              <w:t>管道施工采用开槽埋设，需做好沟槽的排水降水工作，并要求采用有效、可靠的围护措施防止管涌和塌方。严禁超挖、扰动原状土。基槽开挖后，严禁晾槽，应立即进行基础处理及管基工程。管道胸腔及管顶以上500mm范围内采用符合要求的原土或中粗砂回填夯实，严禁回填淤泥质土和垃圾。</w:t>
            </w:r>
          </w:p>
          <w:p w14:paraId="64032E24">
            <w:pPr>
              <w:ind w:firstLine="420" w:firstLineChars="200"/>
            </w:pPr>
            <w:r>
              <w:rPr>
                <w:rFonts w:hint="eastAsia"/>
              </w:rPr>
              <w:t>②检查井及雨水口</w:t>
            </w:r>
          </w:p>
          <w:p w14:paraId="690E137C">
            <w:pPr>
              <w:ind w:firstLine="420" w:firstLineChars="200"/>
            </w:pPr>
            <w:r>
              <w:rPr>
                <w:rFonts w:hint="eastAsia"/>
              </w:rPr>
              <w:t>检查井井座、井盖采用防盗型球墨铸铁可调式防沉降弹性紧锁重型井盖（绿化带、人行道为C250；车行道、机非混行道为D400），具备“五防”功能。检查井应安装防坠落网，承重能力≥100kg。雨水口采用联合式双篦雨水口，交叉口处采用联合沟式三篦雨水口。</w:t>
            </w:r>
          </w:p>
          <w:p w14:paraId="32291BC7">
            <w:pPr>
              <w:ind w:firstLine="420" w:firstLineChars="200"/>
            </w:pPr>
            <w:r>
              <w:rPr>
                <w:rFonts w:hint="eastAsia"/>
              </w:rPr>
              <w:t>③管线综合</w:t>
            </w:r>
          </w:p>
          <w:p w14:paraId="75F25731">
            <w:pPr>
              <w:ind w:firstLine="420" w:firstLineChars="200"/>
            </w:pPr>
            <w:r>
              <w:rPr>
                <w:rFonts w:hint="eastAsia"/>
              </w:rPr>
              <w:t>按照管线尽量布置在人行道、绿化带以及非机动车道的原则进行布置。工程管线从道路红线向道路中心线方向平行布置的次序宜为：电力、通信、给水（配水）、燃气（配气）、热力、燃气（输气）、给水（输水）、再生水、污水、雨水。压力管线让重力自流管线；可弯管线让不易弯曲管线；分支管线让主干管线；小管径管线让大管径管线。</w:t>
            </w:r>
          </w:p>
          <w:p w14:paraId="143A8A60">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工程管道施工采用开槽埋设，建议井点降水，需做好沟槽的排水降水工作，并要求采用有效、可靠的围护措施防止管涌和塌方。严禁超挖、扰动原状土。基槽开挖后，严禁晾槽，应立即进行基础处理及管基工程。钢筋砼管道两侧回填土要求同步回填，严禁单侧堆高，严禁回填淤泥质土和垃圾，管道工程必须在隐蔽工程验收合格后及时回填。</w:t>
            </w:r>
          </w:p>
          <w:p w14:paraId="77813DDF">
            <w:pPr>
              <w:widowControl/>
              <w:kinsoku w:val="0"/>
              <w:autoSpaceDE w:val="0"/>
              <w:autoSpaceDN w:val="0"/>
              <w:ind w:firstLine="422" w:firstLineChars="200"/>
              <w:textAlignment w:val="baseline"/>
              <w:rPr>
                <w:rFonts w:hint="eastAsia" w:ascii="宋体" w:hAnsi="宋体"/>
                <w:b/>
                <w:color w:val="000000"/>
                <w:kern w:val="0"/>
                <w:szCs w:val="21"/>
              </w:rPr>
            </w:pPr>
            <w:r>
              <w:rPr>
                <w:rFonts w:hint="eastAsia" w:ascii="宋体" w:hAnsi="宋体"/>
                <w:b/>
                <w:color w:val="000000"/>
                <w:kern w:val="0"/>
                <w:szCs w:val="21"/>
              </w:rPr>
              <w:t>（3）桥梁工程</w:t>
            </w:r>
          </w:p>
          <w:p w14:paraId="5CE2D7DF">
            <w:pPr>
              <w:ind w:firstLine="420" w:firstLineChars="200"/>
            </w:pPr>
            <w:r>
              <w:rPr>
                <w:rFonts w:hint="eastAsia"/>
              </w:rPr>
              <w:t>本项目K0+354.985处新建中桥一座，跨越河庄横河，桥面宽度27m，桥长55m，跨径布置为11+28+11m，斜交75°。28m中跨上部结构采用钢混组合梁，梁高1.5m；11m边跨上部结构采用C40</w:t>
            </w:r>
            <w:commentRangeStart w:id="46"/>
            <w:commentRangeStart w:id="47"/>
            <w:r>
              <w:rPr>
                <w:rFonts w:hint="eastAsia"/>
              </w:rPr>
              <w:t>钢筋砼现浇板</w:t>
            </w:r>
            <w:commentRangeEnd w:id="46"/>
            <w:r>
              <w:rPr>
                <w:rStyle w:val="38"/>
                <w:rFonts w:hint="eastAsia"/>
              </w:rPr>
              <w:commentReference w:id="46"/>
            </w:r>
            <w:commentRangeEnd w:id="47"/>
            <w:r>
              <w:rPr>
                <w:rStyle w:val="38"/>
                <w:rFonts w:hint="eastAsia"/>
              </w:rPr>
              <w:commentReference w:id="47"/>
            </w:r>
            <w:r>
              <w:rPr>
                <w:rFonts w:hint="eastAsia"/>
              </w:rPr>
              <w:t>，梁高0.85m，</w:t>
            </w:r>
            <w:r>
              <w:t>钢结构为工厂预制采购；两侧边跨现场分两幅现浇</w:t>
            </w:r>
            <w:r>
              <w:rPr>
                <w:rFonts w:hint="eastAsia"/>
              </w:rPr>
              <w:t>。桥墩采用盖梁柱式墩，不设水中墩，桥台采用柱式桥台，基础均采用桩基础。桥墩</w:t>
            </w:r>
            <w:r>
              <w:t>施工采用钢护筒跟进施工工艺，施工期间需在河道两侧设置临时围堰，河道（挡墙+桩基施工）基坑采用双排拉森钢板桩支护+钢管支撑支护；围堰采用双排钢板桩围堰，钢板桩采用12m拉森钢板桩，南北侧围堰顶标高为+5.0和+6.0m，围堰内回填砂；围堰宽3.2m，采用直径50mm钢拉杆对拉，拉杆纵向间距1.6m。施工工序</w:t>
            </w:r>
            <w:r>
              <w:rPr>
                <w:rFonts w:hint="eastAsia"/>
              </w:rPr>
              <w:t>为</w:t>
            </w:r>
            <w:r>
              <w:t>：（1）拆除现状挡墙和现状障碍物，打设钢板桩并回填围堰；（2）基坑开挖至+3.0m并架设钢支撑；（3）基坑开挖至-0.6m，施工河道挡墙，墙身内预留桥梁桩基套筒；（4）挡墙回填并拔出钢板桩；（5）施工桥梁桩基和桥墩结构。</w:t>
            </w:r>
            <w:r>
              <w:rPr>
                <w:rFonts w:hint="eastAsia"/>
              </w:rPr>
              <w:t>桥梁基坑施工时产生的淤泥部分将在现场三级沉淀池处理后回填，部分不具有利用价值的淤泥约248.5m</w:t>
            </w:r>
            <w:r>
              <w:rPr>
                <w:rFonts w:hint="eastAsia"/>
                <w:vertAlign w:val="superscript"/>
              </w:rPr>
              <w:t>3</w:t>
            </w:r>
            <w:r>
              <w:rPr>
                <w:rFonts w:hint="eastAsia"/>
              </w:rPr>
              <w:t>将外运至弃渣场废弃处理。</w:t>
            </w:r>
          </w:p>
          <w:p w14:paraId="66F3C6E2">
            <w:pPr>
              <w:ind w:firstLine="420" w:firstLineChars="200"/>
              <w:rPr>
                <w:rFonts w:hint="eastAsia" w:ascii="宋体" w:hAnsi="宋体"/>
                <w:b/>
                <w:color w:val="000000"/>
                <w:kern w:val="0"/>
                <w:szCs w:val="21"/>
                <w:highlight w:val="yellow"/>
              </w:rPr>
            </w:pPr>
            <w:r>
              <w:rPr>
                <w:rFonts w:hint="eastAsia"/>
              </w:rPr>
              <w:t>桥梁施工满足以下技术要求：设计荷载为城-A级；桥梁结构设计基准期和工作年限均为100年；桥梁结构安全等级为一级。梁底满足设计水位+0.5m要求，桥下亲水步道净空为2.0×2.5m。桥头台背采用碎石填筑，搭板长6m，桥头过渡段总长28.1m。</w:t>
            </w:r>
          </w:p>
          <w:p w14:paraId="24DB4431">
            <w:pPr>
              <w:widowControl/>
              <w:kinsoku w:val="0"/>
              <w:autoSpaceDE w:val="0"/>
              <w:autoSpaceDN w:val="0"/>
              <w:ind w:firstLine="422" w:firstLineChars="200"/>
              <w:textAlignment w:val="baseline"/>
              <w:rPr>
                <w:b/>
                <w:color w:val="000000"/>
                <w:kern w:val="0"/>
                <w:szCs w:val="21"/>
              </w:rPr>
            </w:pPr>
            <w:r>
              <w:rPr>
                <w:rFonts w:ascii="宋体" w:hAnsi="宋体"/>
                <w:b/>
                <w:color w:val="000000"/>
                <w:kern w:val="0"/>
                <w:szCs w:val="21"/>
              </w:rPr>
              <w:t>（</w:t>
            </w:r>
            <w:r>
              <w:rPr>
                <w:rFonts w:hint="eastAsia"/>
                <w:b/>
                <w:color w:val="000000"/>
                <w:kern w:val="0"/>
                <w:szCs w:val="21"/>
              </w:rPr>
              <w:t>4</w:t>
            </w:r>
            <w:r>
              <w:rPr>
                <w:rFonts w:ascii="宋体" w:hAnsi="宋体"/>
                <w:b/>
                <w:color w:val="000000"/>
                <w:kern w:val="0"/>
                <w:szCs w:val="21"/>
              </w:rPr>
              <w:t>）景观工程</w:t>
            </w:r>
          </w:p>
          <w:p w14:paraId="0AD3D1F0">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利用施工前剥离的表土对路基中央绿化带、行道绿化带、临时占地等区域覆土后绿化。一般草皮铺植，乔、灌木挖坑、栽植、浇水、覆土等均采用人工方法施工。</w:t>
            </w:r>
          </w:p>
          <w:p w14:paraId="7B299842">
            <w:pPr>
              <w:widowControl/>
              <w:kinsoku w:val="0"/>
              <w:autoSpaceDE w:val="0"/>
              <w:autoSpaceDN w:val="0"/>
              <w:ind w:firstLine="420" w:firstLineChars="200"/>
              <w:textAlignment w:val="baseline"/>
              <w:rPr>
                <w:rFonts w:hint="eastAsia" w:ascii="宋体" w:hAnsi="宋体"/>
                <w:color w:val="000000"/>
                <w:kern w:val="0"/>
                <w:szCs w:val="21"/>
              </w:rPr>
            </w:pPr>
            <w:r>
              <w:rPr>
                <w:rFonts w:ascii="宋体" w:hAnsi="宋体"/>
                <w:color w:val="000000"/>
                <w:kern w:val="0"/>
                <w:szCs w:val="21"/>
              </w:rPr>
              <w:t>绿化工程施工顺序：测量定点放线</w:t>
            </w:r>
            <w:r>
              <w:rPr>
                <w:color w:val="000000"/>
                <w:kern w:val="0"/>
                <w:szCs w:val="21"/>
              </w:rPr>
              <w:t>→</w:t>
            </w:r>
            <w:r>
              <w:rPr>
                <w:rFonts w:ascii="宋体" w:hAnsi="宋体"/>
                <w:color w:val="000000"/>
                <w:kern w:val="0"/>
                <w:szCs w:val="21"/>
              </w:rPr>
              <w:t>绿化地整理</w:t>
            </w:r>
            <w:r>
              <w:rPr>
                <w:color w:val="000000"/>
                <w:kern w:val="0"/>
                <w:szCs w:val="21"/>
              </w:rPr>
              <w:t>→</w:t>
            </w:r>
            <w:r>
              <w:rPr>
                <w:rFonts w:ascii="宋体" w:hAnsi="宋体"/>
                <w:color w:val="000000"/>
                <w:kern w:val="0"/>
                <w:szCs w:val="21"/>
              </w:rPr>
              <w:t>苗木采购</w:t>
            </w:r>
            <w:r>
              <w:rPr>
                <w:color w:val="000000"/>
                <w:kern w:val="0"/>
                <w:szCs w:val="21"/>
              </w:rPr>
              <w:t>→</w:t>
            </w:r>
            <w:r>
              <w:rPr>
                <w:rFonts w:ascii="宋体" w:hAnsi="宋体"/>
                <w:color w:val="000000"/>
                <w:kern w:val="0"/>
                <w:szCs w:val="21"/>
              </w:rPr>
              <w:t>挖树坑</w:t>
            </w:r>
            <w:r>
              <w:rPr>
                <w:color w:val="000000"/>
                <w:kern w:val="0"/>
                <w:szCs w:val="21"/>
              </w:rPr>
              <w:t>→</w:t>
            </w:r>
            <w:r>
              <w:rPr>
                <w:rFonts w:ascii="宋体" w:hAnsi="宋体"/>
                <w:color w:val="000000"/>
                <w:kern w:val="0"/>
                <w:szCs w:val="21"/>
              </w:rPr>
              <w:t>苗木土球包扎</w:t>
            </w:r>
            <w:r>
              <w:rPr>
                <w:color w:val="000000"/>
                <w:kern w:val="0"/>
                <w:szCs w:val="21"/>
              </w:rPr>
              <w:t>→</w:t>
            </w:r>
            <w:r>
              <w:rPr>
                <w:rFonts w:ascii="宋体" w:hAnsi="宋体"/>
                <w:color w:val="000000"/>
                <w:kern w:val="0"/>
                <w:szCs w:val="21"/>
              </w:rPr>
              <w:t>苗木运输</w:t>
            </w:r>
            <w:r>
              <w:rPr>
                <w:color w:val="000000"/>
                <w:kern w:val="0"/>
                <w:szCs w:val="21"/>
              </w:rPr>
              <w:t>→</w:t>
            </w:r>
            <w:r>
              <w:rPr>
                <w:rFonts w:ascii="宋体" w:hAnsi="宋体"/>
                <w:color w:val="000000"/>
                <w:kern w:val="0"/>
                <w:szCs w:val="21"/>
              </w:rPr>
              <w:t>苗木种植</w:t>
            </w:r>
            <w:r>
              <w:rPr>
                <w:color w:val="000000"/>
                <w:kern w:val="0"/>
                <w:szCs w:val="21"/>
              </w:rPr>
              <w:t>→</w:t>
            </w:r>
            <w:r>
              <w:rPr>
                <w:rFonts w:ascii="宋体" w:hAnsi="宋体"/>
                <w:color w:val="000000"/>
                <w:kern w:val="0"/>
                <w:szCs w:val="21"/>
              </w:rPr>
              <w:t>苗木养护</w:t>
            </w:r>
            <w:r>
              <w:rPr>
                <w:color w:val="000000"/>
                <w:kern w:val="0"/>
                <w:szCs w:val="21"/>
              </w:rPr>
              <w:t>→</w:t>
            </w:r>
            <w:r>
              <w:rPr>
                <w:rFonts w:ascii="宋体" w:hAnsi="宋体"/>
                <w:color w:val="000000"/>
                <w:kern w:val="0"/>
                <w:szCs w:val="21"/>
              </w:rPr>
              <w:t>竣工验收。</w:t>
            </w:r>
          </w:p>
          <w:p w14:paraId="43A10883">
            <w:pPr>
              <w:widowControl/>
              <w:kinsoku w:val="0"/>
              <w:autoSpaceDE w:val="0"/>
              <w:autoSpaceDN w:val="0"/>
              <w:ind w:firstLine="420" w:firstLineChars="200"/>
              <w:textAlignment w:val="baseline"/>
              <w:rPr>
                <w:color w:val="000000"/>
                <w:kern w:val="0"/>
                <w:szCs w:val="21"/>
              </w:rPr>
            </w:pPr>
            <w:r>
              <w:rPr>
                <w:rFonts w:hint="eastAsia"/>
                <w:color w:val="000000"/>
                <w:kern w:val="0"/>
                <w:szCs w:val="21"/>
              </w:rPr>
              <w:t>此外</w:t>
            </w:r>
            <w:r>
              <w:rPr>
                <w:color w:val="000000"/>
                <w:kern w:val="0"/>
                <w:szCs w:val="21"/>
              </w:rPr>
              <w:t>城市家具包括公共座椅、垃圾桶、移动花箱、非机动车停车架等设施。果壳箱应符合垃圾分类要求，设置双桶（其他垃圾、可回收物两类），本项目于路段中平交口处各街角的树带旁设置果壳箱</w:t>
            </w:r>
            <w:r>
              <w:rPr>
                <w:rFonts w:hint="eastAsia"/>
                <w:color w:val="000000"/>
                <w:kern w:val="0"/>
                <w:szCs w:val="21"/>
              </w:rPr>
              <w:t>。</w:t>
            </w:r>
          </w:p>
          <w:p w14:paraId="6B6B4C78">
            <w:pPr>
              <w:widowControl/>
              <w:kinsoku w:val="0"/>
              <w:autoSpaceDE w:val="0"/>
              <w:autoSpaceDN w:val="0"/>
              <w:ind w:firstLine="422" w:firstLineChars="200"/>
              <w:textAlignment w:val="baseline"/>
              <w:rPr>
                <w:b/>
                <w:bCs/>
                <w:color w:val="000000"/>
                <w:kern w:val="0"/>
                <w:szCs w:val="21"/>
              </w:rPr>
            </w:pPr>
            <w:r>
              <w:rPr>
                <w:rFonts w:hint="eastAsia"/>
                <w:b/>
                <w:bCs/>
                <w:color w:val="000000"/>
                <w:kern w:val="0"/>
                <w:szCs w:val="21"/>
              </w:rPr>
              <w:t>（5）海绵城市专项工程</w:t>
            </w:r>
          </w:p>
          <w:p w14:paraId="30B08725">
            <w:pPr>
              <w:widowControl/>
              <w:kinsoku w:val="0"/>
              <w:autoSpaceDE w:val="0"/>
              <w:autoSpaceDN w:val="0"/>
              <w:ind w:firstLine="420" w:firstLineChars="200"/>
              <w:textAlignment w:val="baseline"/>
              <w:rPr>
                <w:color w:val="000000"/>
                <w:kern w:val="0"/>
                <w:szCs w:val="21"/>
              </w:rPr>
            </w:pPr>
            <w:r>
              <w:rPr>
                <w:rFonts w:hint="eastAsia"/>
                <w:color w:val="000000"/>
                <w:kern w:val="0"/>
                <w:szCs w:val="21"/>
              </w:rPr>
              <w:t>本项目按照年径流总量控制率＞</w:t>
            </w:r>
            <w:r>
              <w:rPr>
                <w:color w:val="000000"/>
                <w:kern w:val="0"/>
                <w:szCs w:val="21"/>
              </w:rPr>
              <w:t>35%</w:t>
            </w:r>
            <w:r>
              <w:rPr>
                <w:rFonts w:hint="eastAsia"/>
                <w:color w:val="000000"/>
                <w:kern w:val="0"/>
                <w:szCs w:val="21"/>
              </w:rPr>
              <w:t>、</w:t>
            </w:r>
            <w:r>
              <w:rPr>
                <w:color w:val="000000"/>
                <w:kern w:val="0"/>
                <w:szCs w:val="21"/>
              </w:rPr>
              <w:t>SS</w:t>
            </w:r>
            <w:r>
              <w:rPr>
                <w:rFonts w:hint="eastAsia"/>
                <w:color w:val="000000"/>
                <w:kern w:val="0"/>
                <w:szCs w:val="21"/>
              </w:rPr>
              <w:t>综合去除率＞</w:t>
            </w:r>
            <w:r>
              <w:rPr>
                <w:color w:val="000000"/>
                <w:kern w:val="0"/>
                <w:szCs w:val="21"/>
              </w:rPr>
              <w:t>20%</w:t>
            </w:r>
            <w:r>
              <w:rPr>
                <w:rFonts w:hint="eastAsia"/>
                <w:color w:val="000000"/>
                <w:kern w:val="0"/>
                <w:szCs w:val="21"/>
              </w:rPr>
              <w:t>、综合雨量径流系数≤</w:t>
            </w:r>
            <w:r>
              <w:rPr>
                <w:color w:val="000000"/>
                <w:kern w:val="0"/>
                <w:szCs w:val="21"/>
              </w:rPr>
              <w:t>0.70</w:t>
            </w:r>
            <w:r>
              <w:rPr>
                <w:rFonts w:hint="eastAsia"/>
                <w:color w:val="000000"/>
                <w:kern w:val="0"/>
                <w:szCs w:val="21"/>
              </w:rPr>
              <w:t>进行管控。人行道采用透水材料，透水砖渗透系数要求大于</w:t>
            </w:r>
            <w:r>
              <w:rPr>
                <w:color w:val="000000"/>
                <w:kern w:val="0"/>
                <w:szCs w:val="21"/>
              </w:rPr>
              <w:t>1.0×10⁻⁴m/s</w:t>
            </w:r>
            <w:r>
              <w:rPr>
                <w:rFonts w:hint="eastAsia"/>
                <w:color w:val="000000"/>
                <w:kern w:val="0"/>
                <w:szCs w:val="21"/>
              </w:rPr>
              <w:t>，有效孔隙率应不小于</w:t>
            </w:r>
            <w:r>
              <w:rPr>
                <w:color w:val="000000"/>
                <w:kern w:val="0"/>
                <w:szCs w:val="21"/>
              </w:rPr>
              <w:t>8%</w:t>
            </w:r>
            <w:r>
              <w:rPr>
                <w:rFonts w:hint="eastAsia"/>
                <w:color w:val="000000"/>
                <w:kern w:val="0"/>
                <w:szCs w:val="21"/>
              </w:rPr>
              <w:t>；透水混凝土孔隙率不小于</w:t>
            </w:r>
            <w:r>
              <w:rPr>
                <w:color w:val="000000"/>
                <w:kern w:val="0"/>
                <w:szCs w:val="21"/>
              </w:rPr>
              <w:t>10%</w:t>
            </w:r>
            <w:r>
              <w:rPr>
                <w:rFonts w:hint="eastAsia"/>
                <w:color w:val="000000"/>
                <w:kern w:val="0"/>
                <w:szCs w:val="21"/>
              </w:rPr>
              <w:t>。透水铺装污染物去除率</w:t>
            </w:r>
            <w:r>
              <w:rPr>
                <w:color w:val="000000"/>
                <w:kern w:val="0"/>
                <w:szCs w:val="21"/>
              </w:rPr>
              <w:t>80%</w:t>
            </w:r>
            <w:r>
              <w:rPr>
                <w:rFonts w:hint="eastAsia"/>
                <w:color w:val="000000"/>
                <w:kern w:val="0"/>
                <w:szCs w:val="21"/>
              </w:rPr>
              <w:t>～</w:t>
            </w:r>
            <w:r>
              <w:rPr>
                <w:color w:val="000000"/>
                <w:kern w:val="0"/>
                <w:szCs w:val="21"/>
              </w:rPr>
              <w:t>90%</w:t>
            </w:r>
            <w:r>
              <w:rPr>
                <w:rFonts w:hint="eastAsia"/>
                <w:color w:val="000000"/>
                <w:kern w:val="0"/>
                <w:szCs w:val="21"/>
              </w:rPr>
              <w:t>。</w:t>
            </w:r>
          </w:p>
          <w:p w14:paraId="15491F7E">
            <w:pPr>
              <w:widowControl/>
              <w:kinsoku w:val="0"/>
              <w:autoSpaceDE w:val="0"/>
              <w:autoSpaceDN w:val="0"/>
              <w:ind w:firstLine="422" w:firstLineChars="200"/>
              <w:textAlignment w:val="baseline"/>
              <w:rPr>
                <w:b/>
                <w:bCs/>
                <w:color w:val="000000"/>
                <w:kern w:val="0"/>
                <w:szCs w:val="21"/>
              </w:rPr>
            </w:pPr>
            <w:r>
              <w:rPr>
                <w:rFonts w:hint="eastAsia"/>
                <w:b/>
                <w:bCs/>
                <w:color w:val="000000"/>
                <w:kern w:val="0"/>
                <w:szCs w:val="21"/>
              </w:rPr>
              <w:t>（6）其他配套工程</w:t>
            </w:r>
          </w:p>
          <w:p w14:paraId="7C86E4C7">
            <w:pPr>
              <w:widowControl/>
              <w:kinsoku w:val="0"/>
              <w:autoSpaceDE w:val="0"/>
              <w:autoSpaceDN w:val="0"/>
              <w:ind w:firstLine="420" w:firstLineChars="200"/>
              <w:textAlignment w:val="baseline"/>
              <w:rPr>
                <w:color w:val="000000"/>
                <w:kern w:val="0"/>
                <w:szCs w:val="21"/>
              </w:rPr>
            </w:pPr>
            <w:r>
              <w:rPr>
                <w:rFonts w:hint="eastAsia"/>
                <w:color w:val="000000"/>
                <w:kern w:val="0"/>
                <w:szCs w:val="21"/>
              </w:rPr>
              <w:t>包括交通工程、照明</w:t>
            </w:r>
            <w:commentRangeStart w:id="48"/>
            <w:commentRangeStart w:id="49"/>
            <w:r>
              <w:rPr>
                <w:rFonts w:hint="eastAsia"/>
                <w:color w:val="000000"/>
                <w:kern w:val="0"/>
                <w:szCs w:val="21"/>
              </w:rPr>
              <w:t>工程</w:t>
            </w:r>
            <w:commentRangeEnd w:id="48"/>
            <w:r>
              <w:rPr>
                <w:rStyle w:val="38"/>
                <w:rFonts w:hint="eastAsia"/>
                <w:color w:val="000000"/>
                <w:kern w:val="0"/>
                <w:szCs w:val="21"/>
              </w:rPr>
              <w:commentReference w:id="48"/>
            </w:r>
            <w:commentRangeEnd w:id="49"/>
            <w:r>
              <w:rPr>
                <w:rStyle w:val="38"/>
                <w:rFonts w:hint="eastAsia"/>
                <w:color w:val="000000"/>
                <w:kern w:val="0"/>
                <w:szCs w:val="21"/>
              </w:rPr>
              <w:commentReference w:id="49"/>
            </w:r>
            <w:r>
              <w:rPr>
                <w:rFonts w:hint="eastAsia"/>
                <w:color w:val="000000"/>
                <w:kern w:val="0"/>
                <w:szCs w:val="21"/>
              </w:rPr>
              <w:t>等。</w:t>
            </w:r>
          </w:p>
          <w:p w14:paraId="4AF22082">
            <w:pPr>
              <w:widowControl/>
              <w:kinsoku w:val="0"/>
              <w:autoSpaceDE w:val="0"/>
              <w:autoSpaceDN w:val="0"/>
              <w:ind w:firstLine="420" w:firstLineChars="200"/>
              <w:textAlignment w:val="baseline"/>
              <w:rPr>
                <w:color w:val="000000"/>
                <w:kern w:val="0"/>
                <w:szCs w:val="21"/>
              </w:rPr>
            </w:pPr>
            <w:r>
              <w:rPr>
                <w:color w:val="000000"/>
                <w:kern w:val="0"/>
                <w:szCs w:val="21"/>
              </w:rPr>
              <w:t>交通标志施工工艺流程：现场踏勘与放样定位→基础开挖与混凝土浇筑→标志杆件安装→标志板面安装与调整→验收。</w:t>
            </w:r>
          </w:p>
          <w:p w14:paraId="3F0FDD5A">
            <w:pPr>
              <w:widowControl/>
              <w:kinsoku w:val="0"/>
              <w:autoSpaceDE w:val="0"/>
              <w:autoSpaceDN w:val="0"/>
              <w:ind w:firstLine="420" w:firstLineChars="200"/>
              <w:textAlignment w:val="baseline"/>
              <w:rPr>
                <w:color w:val="000000"/>
                <w:kern w:val="0"/>
                <w:szCs w:val="21"/>
              </w:rPr>
            </w:pPr>
            <w:r>
              <w:rPr>
                <w:color w:val="000000"/>
                <w:kern w:val="0"/>
                <w:szCs w:val="21"/>
              </w:rPr>
              <w:t>交通标线施工工艺流程：路面清洁与干燥→测量放样→标线涂料加热熔融→涂敷与撒布玻璃珠→养护与验收。</w:t>
            </w:r>
          </w:p>
          <w:p w14:paraId="347E860C">
            <w:pPr>
              <w:widowControl/>
              <w:kinsoku w:val="0"/>
              <w:autoSpaceDE w:val="0"/>
              <w:autoSpaceDN w:val="0"/>
              <w:ind w:firstLine="420" w:firstLineChars="200"/>
              <w:textAlignment w:val="baseline"/>
              <w:rPr>
                <w:color w:val="000000"/>
                <w:kern w:val="0"/>
                <w:szCs w:val="21"/>
              </w:rPr>
            </w:pPr>
            <w:r>
              <w:rPr>
                <w:color w:val="000000"/>
                <w:kern w:val="0"/>
                <w:szCs w:val="21"/>
              </w:rPr>
              <w:t>交通信号灯施工工艺流程：基础施工→信号灯杆件安装→灯具安装→线缆敷设与接线→系统调试与验收。</w:t>
            </w:r>
          </w:p>
          <w:p w14:paraId="7A087172">
            <w:pPr>
              <w:widowControl/>
              <w:kinsoku w:val="0"/>
              <w:autoSpaceDE w:val="0"/>
              <w:autoSpaceDN w:val="0"/>
              <w:ind w:firstLine="420" w:firstLineChars="200"/>
              <w:textAlignment w:val="baseline"/>
              <w:rPr>
                <w:color w:val="000000"/>
                <w:kern w:val="0"/>
                <w:szCs w:val="21"/>
              </w:rPr>
            </w:pPr>
            <w:r>
              <w:rPr>
                <w:color w:val="000000"/>
                <w:kern w:val="0"/>
                <w:szCs w:val="21"/>
              </w:rPr>
              <w:t>交通监控系统施工工艺流程：监控综合机箱基础施工→杆件与摄像机安装→线缆敷设→系统联网调试。</w:t>
            </w:r>
          </w:p>
          <w:p w14:paraId="2FCD784D">
            <w:pPr>
              <w:widowControl/>
              <w:kinsoku w:val="0"/>
              <w:autoSpaceDE w:val="0"/>
              <w:autoSpaceDN w:val="0"/>
              <w:ind w:firstLine="420" w:firstLineChars="200"/>
              <w:textAlignment w:val="baseline"/>
              <w:rPr>
                <w:color w:val="000000"/>
                <w:kern w:val="0"/>
                <w:szCs w:val="21"/>
              </w:rPr>
            </w:pPr>
            <w:r>
              <w:rPr>
                <w:color w:val="000000"/>
                <w:kern w:val="0"/>
                <w:szCs w:val="21"/>
              </w:rPr>
              <w:t>照明工程施工工艺流程：灯杆基础施工与预埋→电缆保护管敷设→灯杆吊装与校正→灯具安装与接线→照明系统调试与验收。</w:t>
            </w:r>
          </w:p>
          <w:p w14:paraId="05C32566">
            <w:pPr>
              <w:widowControl/>
              <w:kinsoku w:val="0"/>
              <w:autoSpaceDE w:val="0"/>
              <w:autoSpaceDN w:val="0"/>
              <w:ind w:firstLine="422" w:firstLineChars="200"/>
              <w:textAlignment w:val="baseline"/>
              <w:rPr>
                <w:b/>
                <w:color w:val="000000"/>
                <w:kern w:val="0"/>
                <w:szCs w:val="21"/>
              </w:rPr>
            </w:pPr>
            <w:r>
              <w:rPr>
                <w:b/>
                <w:color w:val="000000"/>
                <w:kern w:val="0"/>
                <w:szCs w:val="21"/>
              </w:rPr>
              <w:t>3</w:t>
            </w:r>
            <w:r>
              <w:rPr>
                <w:rFonts w:ascii="宋体" w:hAnsi="宋体"/>
                <w:b/>
                <w:color w:val="000000"/>
                <w:kern w:val="0"/>
                <w:szCs w:val="21"/>
              </w:rPr>
              <w:t>、施工时序和施工周期</w:t>
            </w:r>
          </w:p>
          <w:p w14:paraId="1CF7A326">
            <w:pPr>
              <w:widowControl/>
              <w:kinsoku w:val="0"/>
              <w:autoSpaceDE w:val="0"/>
              <w:autoSpaceDN w:val="0"/>
              <w:ind w:firstLine="420" w:firstLineChars="200"/>
              <w:textAlignment w:val="baseline"/>
              <w:rPr>
                <w:rFonts w:hint="eastAsia" w:ascii="宋体" w:hAnsi="宋体"/>
                <w:bCs/>
                <w:color w:val="000000"/>
                <w:kern w:val="0"/>
                <w:szCs w:val="21"/>
              </w:rPr>
            </w:pPr>
            <w:r>
              <w:rPr>
                <w:rFonts w:hint="eastAsia" w:ascii="宋体" w:hAnsi="宋体"/>
                <w:bCs/>
                <w:color w:val="000000"/>
                <w:kern w:val="0"/>
                <w:szCs w:val="21"/>
              </w:rPr>
              <w:t>本项目的施工时序如下：</w:t>
            </w:r>
          </w:p>
          <w:p w14:paraId="633ABB00">
            <w:pPr>
              <w:ind w:firstLine="420" w:firstLineChars="200"/>
            </w:pPr>
            <w:r>
              <w:rPr>
                <w:rFonts w:hint="eastAsia"/>
              </w:rPr>
              <w:t>施工准备→路基清基→路基及管线工程、桥梁工程→路面工程→配套工程→绿化工程→竣工验收。</w:t>
            </w:r>
          </w:p>
          <w:p w14:paraId="35221539">
            <w:pPr>
              <w:ind w:firstLine="420" w:firstLineChars="200"/>
              <w:rPr>
                <w:highlight w:val="yellow"/>
              </w:rPr>
            </w:pPr>
            <w:r>
              <w:rPr>
                <w:rFonts w:hint="eastAsia"/>
              </w:rPr>
              <w:t>根据项目用地情况和项目规模，本项目拟定总工期13个月，2026年8月开工建设，至2027年9月完成项目的施工与验收。</w:t>
            </w:r>
          </w:p>
        </w:tc>
      </w:tr>
      <w:tr w14:paraId="04582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 w:type="dxa"/>
            <w:tcBorders>
              <w:top w:val="single" w:color="auto" w:sz="6" w:space="0"/>
              <w:left w:val="single" w:color="auto" w:sz="8" w:space="0"/>
              <w:bottom w:val="single" w:color="auto" w:sz="8" w:space="0"/>
              <w:right w:val="single" w:color="000000" w:sz="4" w:space="0"/>
            </w:tcBorders>
            <w:vAlign w:val="center"/>
          </w:tcPr>
          <w:p w14:paraId="2756A7D3">
            <w:pPr>
              <w:pStyle w:val="27"/>
              <w:spacing w:before="0" w:beforeAutospacing="0" w:after="0" w:afterAutospacing="0" w:line="240" w:lineRule="auto"/>
              <w:jc w:val="center"/>
              <w:rPr>
                <w:rFonts w:ascii="Times New Roman" w:hAnsi="Times New Roman"/>
                <w:sz w:val="21"/>
                <w:szCs w:val="21"/>
              </w:rPr>
            </w:pPr>
            <w:r>
              <w:rPr>
                <w:rFonts w:hint="eastAsia" w:ascii="Times New Roman" w:hAnsi="Times New Roman"/>
                <w:sz w:val="21"/>
                <w:szCs w:val="21"/>
              </w:rPr>
              <w:t>其他</w:t>
            </w:r>
          </w:p>
        </w:tc>
        <w:tc>
          <w:tcPr>
            <w:tcW w:w="8644" w:type="dxa"/>
            <w:tcBorders>
              <w:top w:val="single" w:color="auto" w:sz="4" w:space="0"/>
              <w:left w:val="single" w:color="000000" w:sz="4" w:space="0"/>
              <w:bottom w:val="single" w:color="auto" w:sz="8" w:space="0"/>
              <w:right w:val="single" w:color="auto" w:sz="8" w:space="0"/>
            </w:tcBorders>
            <w:vAlign w:val="center"/>
          </w:tcPr>
          <w:p w14:paraId="427101A0">
            <w:r>
              <w:rPr>
                <w:rFonts w:hint="eastAsia"/>
              </w:rPr>
              <w:t>无</w:t>
            </w:r>
          </w:p>
        </w:tc>
      </w:tr>
    </w:tbl>
    <w:p w14:paraId="448C7A39">
      <w:pPr>
        <w:pStyle w:val="27"/>
        <w:jc w:val="center"/>
        <w:rPr>
          <w:rFonts w:ascii="Times New Roman" w:hAnsi="Times New Roman" w:eastAsia="黑体"/>
          <w:snapToGrid w:val="0"/>
          <w:sz w:val="36"/>
          <w:szCs w:val="36"/>
          <w:highlight w:val="yellow"/>
        </w:rPr>
        <w:sectPr>
          <w:pgSz w:w="11906" w:h="16838"/>
          <w:pgMar w:top="1701" w:right="1531" w:bottom="1701" w:left="1531" w:header="851" w:footer="851" w:gutter="0"/>
          <w:cols w:space="720" w:num="1"/>
          <w:docGrid w:linePitch="312" w:charSpace="0"/>
        </w:sectPr>
      </w:pPr>
    </w:p>
    <w:p w14:paraId="5C39C169">
      <w:pPr>
        <w:pStyle w:val="2"/>
        <w:rPr>
          <w:snapToGrid w:val="0"/>
        </w:rPr>
      </w:pPr>
      <w:bookmarkStart w:id="34" w:name="_Toc238129006"/>
      <w:r>
        <w:rPr>
          <w:rFonts w:hint="eastAsia"/>
          <w:snapToGrid w:val="0"/>
        </w:rPr>
        <w:t>生态环境现状、保护目标及评价标准</w:t>
      </w:r>
      <w:bookmarkEnd w:id="34"/>
    </w:p>
    <w:tbl>
      <w:tblPr>
        <w:tblStyle w:val="30"/>
        <w:tblW w:w="894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6"/>
        <w:gridCol w:w="8533"/>
      </w:tblGrid>
      <w:tr w14:paraId="75CA71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416" w:type="dxa"/>
            <w:vAlign w:val="center"/>
          </w:tcPr>
          <w:p w14:paraId="2EBDB7C8">
            <w:pPr>
              <w:jc w:val="center"/>
              <w:rPr>
                <w:kern w:val="0"/>
                <w:szCs w:val="21"/>
                <w:highlight w:val="yellow"/>
              </w:rPr>
            </w:pPr>
            <w:r>
              <w:rPr>
                <w:rFonts w:hint="eastAsia"/>
                <w:kern w:val="0"/>
                <w:szCs w:val="21"/>
              </w:rPr>
              <w:t>生态环境现状</w:t>
            </w:r>
          </w:p>
        </w:tc>
        <w:tc>
          <w:tcPr>
            <w:tcW w:w="8533" w:type="dxa"/>
            <w:vAlign w:val="center"/>
          </w:tcPr>
          <w:p w14:paraId="3F4036F1">
            <w:pPr>
              <w:pStyle w:val="3"/>
              <w:rPr>
                <w:rFonts w:eastAsia="黑体"/>
                <w:kern w:val="0"/>
              </w:rPr>
            </w:pPr>
            <w:r>
              <w:rPr>
                <w:rFonts w:hint="eastAsia"/>
              </w:rPr>
              <w:t>生态功能区</w:t>
            </w:r>
          </w:p>
          <w:p w14:paraId="1D8899BD">
            <w:pPr>
              <w:pStyle w:val="4"/>
            </w:pPr>
            <w:r>
              <w:rPr>
                <w:rFonts w:hint="eastAsia"/>
              </w:rPr>
              <w:t>主体功能区规划</w:t>
            </w:r>
          </w:p>
          <w:p w14:paraId="41ECAA0C">
            <w:pPr>
              <w:ind w:firstLine="420" w:firstLineChars="200"/>
            </w:pPr>
            <w:r>
              <w:t>根据《杭州市国土空间总体规划（2021—2035年）》及《杭州市钱塘区国土空间总体规划（2021—2035年）》，本项目位于钱塘区，属于城镇发展区。本项目建设符合上位国土空间规划确定的城镇开发边界等空间管控要求，符合钱塘区“一带两城、三轴四组团”的国土空间开发保护格局，项目用地已纳入在编的国土空间规划建设用地范围，不涉及占用永久基本农田和生态保护红线</w:t>
            </w:r>
            <w:r>
              <w:rPr>
                <w:rFonts w:hint="eastAsia"/>
              </w:rPr>
              <w:t>。</w:t>
            </w:r>
          </w:p>
          <w:p w14:paraId="2F447251">
            <w:pPr>
              <w:pStyle w:val="4"/>
            </w:pPr>
            <w:r>
              <w:rPr>
                <w:rFonts w:hint="eastAsia"/>
              </w:rPr>
              <w:t>生态功能区</w:t>
            </w:r>
          </w:p>
          <w:p w14:paraId="6FE24CBD">
            <w:pPr>
              <w:ind w:firstLine="420" w:firstLineChars="200"/>
            </w:pPr>
            <w:r>
              <w:rPr>
                <w:rFonts w:hint="eastAsia"/>
              </w:rPr>
              <w:t>本项目为城市道路工程项目，建设地点位于杭州市钱塘区河庄街道，对照《杭州市钱塘区国土空间分区规划(2021-2035年)》三条控制线图》，本项目不在</w:t>
            </w:r>
            <w:commentRangeStart w:id="50"/>
            <w:commentRangeStart w:id="51"/>
            <w:r>
              <w:rPr>
                <w:rFonts w:hint="eastAsia"/>
              </w:rPr>
              <w:t>生态保护红线</w:t>
            </w:r>
            <w:commentRangeEnd w:id="50"/>
            <w:r>
              <w:rPr>
                <w:rStyle w:val="38"/>
                <w:rFonts w:hint="eastAsia"/>
              </w:rPr>
              <w:commentReference w:id="50"/>
            </w:r>
            <w:commentRangeEnd w:id="51"/>
            <w:r>
              <w:rPr>
                <w:rStyle w:val="38"/>
                <w:rFonts w:hint="eastAsia"/>
              </w:rPr>
              <w:commentReference w:id="51"/>
            </w:r>
            <w:r>
              <w:rPr>
                <w:rFonts w:hint="eastAsia"/>
              </w:rPr>
              <w:t>范围内，不占用永久基本农田。</w:t>
            </w:r>
          </w:p>
          <w:p w14:paraId="57A6DB28">
            <w:pPr>
              <w:pStyle w:val="4"/>
            </w:pPr>
            <w:r>
              <w:rPr>
                <w:rFonts w:hint="eastAsia"/>
              </w:rPr>
              <w:t>生态环境现状</w:t>
            </w:r>
          </w:p>
          <w:p w14:paraId="7CB0D7A7">
            <w:pPr>
              <w:ind w:firstLine="420" w:firstLineChars="200"/>
            </w:pPr>
            <w:r>
              <w:rPr>
                <w:rFonts w:hint="eastAsia"/>
              </w:rPr>
              <w:t>根据现场调查，工程沿线用地现状主要为耕地、交通运输用地等，工程区现有绿化植被主要为城镇、乡村住宅及道路绿化植被，一般以常见的绿化树种为主，主要以樟科、蔷薇科、木樨科、无患子科等植物为主，主要优势种有香樟、栾、石楠等；主要草本为飞蓬、狗尾草、</w:t>
            </w:r>
            <w:r>
              <w:t>稗</w:t>
            </w:r>
            <w:r>
              <w:rPr>
                <w:rFonts w:hint="eastAsia"/>
              </w:rPr>
              <w:t>等。</w:t>
            </w:r>
          </w:p>
          <w:p w14:paraId="274E2219">
            <w:pPr>
              <w:ind w:firstLine="420" w:firstLineChars="200"/>
            </w:pPr>
            <w:r>
              <w:rPr>
                <w:rFonts w:hint="eastAsia"/>
              </w:rPr>
              <w:t>由于人类活动密集，大型野生动物已基本绝迹。常见的陆生野生动物主要为适应农田和农村居民点环境的小型动物。</w:t>
            </w:r>
          </w:p>
          <w:tbl>
            <w:tblPr>
              <w:tblStyle w:val="31"/>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063"/>
              <w:gridCol w:w="4090"/>
            </w:tblGrid>
            <w:tr w14:paraId="6A68E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7B7ED971">
                  <w:pPr>
                    <w:spacing w:line="240" w:lineRule="auto"/>
                    <w:jc w:val="center"/>
                    <w:rPr>
                      <w:sz w:val="18"/>
                      <w:szCs w:val="18"/>
                    </w:rPr>
                  </w:pPr>
                  <w:r>
                    <w:rPr>
                      <w:sz w:val="18"/>
                      <w:szCs w:val="18"/>
                    </w:rPr>
                    <w:drawing>
                      <wp:inline distT="0" distB="0" distL="0" distR="0">
                        <wp:extent cx="2472690" cy="1854200"/>
                        <wp:effectExtent l="0" t="0" r="3810" b="0"/>
                        <wp:docPr id="55" name="图片 55" descr="树林旁的草地上有椅子&#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树林旁的草地上有椅子&#10;&#10;中度可信度描述已自动生成"/>
                                <pic:cNvPicPr>
                                  <a:picLocks noChangeAspect="1"/>
                                </pic:cNvPicPr>
                              </pic:nvPicPr>
                              <pic:blipFill>
                                <a:blip r:embed="rId24" cstate="hqprint"/>
                                <a:stretch>
                                  <a:fillRect/>
                                </a:stretch>
                              </pic:blipFill>
                              <pic:spPr>
                                <a:xfrm>
                                  <a:off x="0" y="0"/>
                                  <a:ext cx="2487338" cy="1865574"/>
                                </a:xfrm>
                                <a:prstGeom prst="rect">
                                  <a:avLst/>
                                </a:prstGeom>
                              </pic:spPr>
                            </pic:pic>
                          </a:graphicData>
                        </a:graphic>
                      </wp:inline>
                    </w:drawing>
                  </w:r>
                </w:p>
              </w:tc>
              <w:tc>
                <w:tcPr>
                  <w:tcW w:w="4090" w:type="dxa"/>
                </w:tcPr>
                <w:p w14:paraId="4C68C560">
                  <w:pPr>
                    <w:spacing w:line="240" w:lineRule="auto"/>
                    <w:jc w:val="center"/>
                    <w:rPr>
                      <w:sz w:val="18"/>
                      <w:szCs w:val="18"/>
                    </w:rPr>
                  </w:pPr>
                  <w:r>
                    <w:rPr>
                      <w:sz w:val="18"/>
                      <w:szCs w:val="18"/>
                    </w:rPr>
                    <w:drawing>
                      <wp:inline distT="0" distB="0" distL="0" distR="0">
                        <wp:extent cx="2518410" cy="1889125"/>
                        <wp:effectExtent l="0" t="0" r="0" b="0"/>
                        <wp:docPr id="53" name="图片 53" descr="草地上的风景&#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草地上的风景&#10;&#10;描述已自动生成"/>
                                <pic:cNvPicPr>
                                  <a:picLocks noChangeAspect="1"/>
                                </pic:cNvPicPr>
                              </pic:nvPicPr>
                              <pic:blipFill>
                                <a:blip r:embed="rId25" cstate="hqprint"/>
                                <a:stretch>
                                  <a:fillRect/>
                                </a:stretch>
                              </pic:blipFill>
                              <pic:spPr>
                                <a:xfrm>
                                  <a:off x="0" y="0"/>
                                  <a:ext cx="2530829" cy="1898192"/>
                                </a:xfrm>
                                <a:prstGeom prst="rect">
                                  <a:avLst/>
                                </a:prstGeom>
                              </pic:spPr>
                            </pic:pic>
                          </a:graphicData>
                        </a:graphic>
                      </wp:inline>
                    </w:drawing>
                  </w:r>
                </w:p>
              </w:tc>
            </w:tr>
            <w:tr w14:paraId="5377ED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063" w:type="dxa"/>
                </w:tcPr>
                <w:p w14:paraId="549F9502">
                  <w:pPr>
                    <w:spacing w:line="240" w:lineRule="auto"/>
                    <w:jc w:val="center"/>
                    <w:rPr>
                      <w:sz w:val="18"/>
                      <w:szCs w:val="18"/>
                    </w:rPr>
                  </w:pPr>
                  <w:r>
                    <w:rPr>
                      <w:rFonts w:hint="eastAsia"/>
                      <w:sz w:val="18"/>
                      <w:szCs w:val="18"/>
                    </w:rPr>
                    <w:t>项目南段东侧 空地</w:t>
                  </w:r>
                </w:p>
              </w:tc>
              <w:tc>
                <w:tcPr>
                  <w:tcW w:w="4090" w:type="dxa"/>
                </w:tcPr>
                <w:p w14:paraId="09245FB2">
                  <w:pPr>
                    <w:spacing w:line="240" w:lineRule="auto"/>
                    <w:jc w:val="center"/>
                    <w:rPr>
                      <w:sz w:val="18"/>
                      <w:szCs w:val="18"/>
                    </w:rPr>
                  </w:pPr>
                  <w:r>
                    <w:rPr>
                      <w:rFonts w:hint="eastAsia"/>
                      <w:sz w:val="18"/>
                      <w:szCs w:val="18"/>
                    </w:rPr>
                    <w:t>项目南段南侧 农田</w:t>
                  </w:r>
                </w:p>
              </w:tc>
            </w:tr>
            <w:tr w14:paraId="58ACF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3AE6FB84">
                  <w:pPr>
                    <w:spacing w:line="240" w:lineRule="auto"/>
                    <w:jc w:val="center"/>
                    <w:rPr>
                      <w:sz w:val="18"/>
                      <w:szCs w:val="18"/>
                    </w:rPr>
                  </w:pPr>
                  <w:r>
                    <w:rPr>
                      <w:sz w:val="18"/>
                      <w:szCs w:val="18"/>
                    </w:rPr>
                    <w:drawing>
                      <wp:inline distT="0" distB="0" distL="0" distR="0">
                        <wp:extent cx="2432050" cy="1824355"/>
                        <wp:effectExtent l="0" t="0" r="6350" b="4445"/>
                        <wp:docPr id="35" name="图片 35" descr="地上的草&#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地上的草&#10;&#10;描述已自动生成"/>
                                <pic:cNvPicPr>
                                  <a:picLocks noChangeAspect="1"/>
                                </pic:cNvPicPr>
                              </pic:nvPicPr>
                              <pic:blipFill>
                                <a:blip r:embed="rId26" cstate="hqprint"/>
                                <a:stretch>
                                  <a:fillRect/>
                                </a:stretch>
                              </pic:blipFill>
                              <pic:spPr>
                                <a:xfrm>
                                  <a:off x="0" y="0"/>
                                  <a:ext cx="2450607" cy="1838024"/>
                                </a:xfrm>
                                <a:prstGeom prst="rect">
                                  <a:avLst/>
                                </a:prstGeom>
                              </pic:spPr>
                            </pic:pic>
                          </a:graphicData>
                        </a:graphic>
                      </wp:inline>
                    </w:drawing>
                  </w:r>
                </w:p>
              </w:tc>
              <w:tc>
                <w:tcPr>
                  <w:tcW w:w="4090" w:type="dxa"/>
                </w:tcPr>
                <w:p w14:paraId="4A4BCAB9">
                  <w:pPr>
                    <w:spacing w:line="240" w:lineRule="auto"/>
                    <w:jc w:val="center"/>
                    <w:rPr>
                      <w:sz w:val="18"/>
                      <w:szCs w:val="18"/>
                    </w:rPr>
                  </w:pPr>
                  <w:r>
                    <w:rPr>
                      <w:sz w:val="18"/>
                      <w:szCs w:val="18"/>
                    </w:rPr>
                    <w:drawing>
                      <wp:inline distT="0" distB="0" distL="0" distR="0">
                        <wp:extent cx="2414905" cy="1811020"/>
                        <wp:effectExtent l="0" t="0" r="4445" b="0"/>
                        <wp:docPr id="54" name="图片 54" descr="草地旁的路上&#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草地旁的路上&#10;&#10;描述已自动生成"/>
                                <pic:cNvPicPr>
                                  <a:picLocks noChangeAspect="1"/>
                                </pic:cNvPicPr>
                              </pic:nvPicPr>
                              <pic:blipFill>
                                <a:blip r:embed="rId27" cstate="hqprint"/>
                                <a:stretch>
                                  <a:fillRect/>
                                </a:stretch>
                              </pic:blipFill>
                              <pic:spPr>
                                <a:xfrm>
                                  <a:off x="0" y="0"/>
                                  <a:ext cx="2442514" cy="1831954"/>
                                </a:xfrm>
                                <a:prstGeom prst="rect">
                                  <a:avLst/>
                                </a:prstGeom>
                              </pic:spPr>
                            </pic:pic>
                          </a:graphicData>
                        </a:graphic>
                      </wp:inline>
                    </w:drawing>
                  </w:r>
                </w:p>
              </w:tc>
            </w:tr>
            <w:tr w14:paraId="37374C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7EAEDA1D">
                  <w:pPr>
                    <w:spacing w:line="240" w:lineRule="auto"/>
                    <w:jc w:val="center"/>
                    <w:rPr>
                      <w:sz w:val="18"/>
                      <w:szCs w:val="18"/>
                    </w:rPr>
                  </w:pPr>
                  <w:r>
                    <w:rPr>
                      <w:rFonts w:hint="eastAsia"/>
                      <w:sz w:val="18"/>
                      <w:szCs w:val="18"/>
                    </w:rPr>
                    <w:t>项目南段西侧 农田、农村道路</w:t>
                  </w:r>
                </w:p>
              </w:tc>
              <w:tc>
                <w:tcPr>
                  <w:tcW w:w="4090" w:type="dxa"/>
                </w:tcPr>
                <w:p w14:paraId="14F28725">
                  <w:pPr>
                    <w:spacing w:line="240" w:lineRule="auto"/>
                    <w:jc w:val="center"/>
                    <w:rPr>
                      <w:sz w:val="18"/>
                      <w:szCs w:val="18"/>
                    </w:rPr>
                  </w:pPr>
                  <w:r>
                    <w:rPr>
                      <w:rFonts w:hint="eastAsia"/>
                      <w:sz w:val="18"/>
                      <w:szCs w:val="18"/>
                    </w:rPr>
                    <w:t>项目南段北侧 农田、农村道路</w:t>
                  </w:r>
                </w:p>
              </w:tc>
            </w:tr>
            <w:tr w14:paraId="036D8C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5F830963">
                  <w:pPr>
                    <w:spacing w:line="240" w:lineRule="auto"/>
                    <w:jc w:val="center"/>
                    <w:rPr>
                      <w:sz w:val="18"/>
                      <w:szCs w:val="18"/>
                    </w:rPr>
                  </w:pPr>
                  <w:r>
                    <w:rPr>
                      <w:sz w:val="18"/>
                      <w:szCs w:val="18"/>
                    </w:rPr>
                    <w:drawing>
                      <wp:inline distT="0" distB="0" distL="0" distR="0">
                        <wp:extent cx="2475230" cy="1856740"/>
                        <wp:effectExtent l="0" t="0" r="127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28" cstate="hqprint"/>
                                <a:stretch>
                                  <a:fillRect/>
                                </a:stretch>
                              </pic:blipFill>
                              <pic:spPr>
                                <a:xfrm>
                                  <a:off x="0" y="0"/>
                                  <a:ext cx="2482017" cy="1861583"/>
                                </a:xfrm>
                                <a:prstGeom prst="rect">
                                  <a:avLst/>
                                </a:prstGeom>
                              </pic:spPr>
                            </pic:pic>
                          </a:graphicData>
                        </a:graphic>
                      </wp:inline>
                    </w:drawing>
                  </w:r>
                </w:p>
              </w:tc>
              <w:tc>
                <w:tcPr>
                  <w:tcW w:w="4090" w:type="dxa"/>
                </w:tcPr>
                <w:p w14:paraId="410BF973">
                  <w:pPr>
                    <w:spacing w:line="240" w:lineRule="auto"/>
                    <w:rPr>
                      <w:sz w:val="18"/>
                      <w:szCs w:val="18"/>
                    </w:rPr>
                  </w:pPr>
                  <w:r>
                    <w:rPr>
                      <w:sz w:val="18"/>
                      <w:szCs w:val="18"/>
                    </w:rPr>
                    <w:drawing>
                      <wp:inline distT="0" distB="0" distL="0" distR="0">
                        <wp:extent cx="2506980" cy="1880235"/>
                        <wp:effectExtent l="0" t="0" r="7620" b="5715"/>
                        <wp:docPr id="61" name="图片 61" descr="草地旁的道路上&#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草地旁的道路上&#10;&#10;描述已自动生成"/>
                                <pic:cNvPicPr>
                                  <a:picLocks noChangeAspect="1"/>
                                </pic:cNvPicPr>
                              </pic:nvPicPr>
                              <pic:blipFill>
                                <a:blip r:embed="rId29" cstate="hqprint"/>
                                <a:stretch>
                                  <a:fillRect/>
                                </a:stretch>
                              </pic:blipFill>
                              <pic:spPr>
                                <a:xfrm>
                                  <a:off x="0" y="0"/>
                                  <a:ext cx="2511818" cy="1883935"/>
                                </a:xfrm>
                                <a:prstGeom prst="rect">
                                  <a:avLst/>
                                </a:prstGeom>
                              </pic:spPr>
                            </pic:pic>
                          </a:graphicData>
                        </a:graphic>
                      </wp:inline>
                    </w:drawing>
                  </w:r>
                </w:p>
              </w:tc>
            </w:tr>
            <w:tr w14:paraId="764A35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1CB37DD7">
                  <w:pPr>
                    <w:spacing w:line="240" w:lineRule="auto"/>
                    <w:jc w:val="center"/>
                    <w:rPr>
                      <w:sz w:val="18"/>
                      <w:szCs w:val="18"/>
                    </w:rPr>
                  </w:pPr>
                  <w:r>
                    <w:rPr>
                      <w:rFonts w:hint="eastAsia"/>
                      <w:sz w:val="18"/>
                      <w:szCs w:val="18"/>
                    </w:rPr>
                    <w:t>项目中段东侧 农田</w:t>
                  </w:r>
                </w:p>
              </w:tc>
              <w:tc>
                <w:tcPr>
                  <w:tcW w:w="4090" w:type="dxa"/>
                </w:tcPr>
                <w:p w14:paraId="2CEF6032">
                  <w:pPr>
                    <w:spacing w:line="240" w:lineRule="auto"/>
                    <w:jc w:val="center"/>
                    <w:rPr>
                      <w:sz w:val="18"/>
                      <w:szCs w:val="18"/>
                    </w:rPr>
                  </w:pPr>
                  <w:r>
                    <w:rPr>
                      <w:rFonts w:hint="eastAsia"/>
                      <w:sz w:val="18"/>
                      <w:szCs w:val="18"/>
                    </w:rPr>
                    <w:t>项目中段南侧 农田</w:t>
                  </w:r>
                </w:p>
              </w:tc>
            </w:tr>
            <w:tr w14:paraId="7342B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17FD13EB">
                  <w:pPr>
                    <w:spacing w:line="240" w:lineRule="auto"/>
                    <w:jc w:val="center"/>
                    <w:rPr>
                      <w:sz w:val="18"/>
                      <w:szCs w:val="18"/>
                    </w:rPr>
                  </w:pPr>
                  <w:r>
                    <w:rPr>
                      <w:sz w:val="18"/>
                      <w:szCs w:val="18"/>
                    </w:rPr>
                    <w:drawing>
                      <wp:inline distT="0" distB="0" distL="0" distR="0">
                        <wp:extent cx="2495550" cy="1871345"/>
                        <wp:effectExtent l="0" t="0" r="0" b="0"/>
                        <wp:docPr id="62" name="图片 62" descr="地上的草&#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地上的草&#10;&#10;描述已自动生成"/>
                                <pic:cNvPicPr>
                                  <a:picLocks noChangeAspect="1"/>
                                </pic:cNvPicPr>
                              </pic:nvPicPr>
                              <pic:blipFill>
                                <a:blip r:embed="rId30" cstate="hqprint"/>
                                <a:stretch>
                                  <a:fillRect/>
                                </a:stretch>
                              </pic:blipFill>
                              <pic:spPr>
                                <a:xfrm>
                                  <a:off x="0" y="0"/>
                                  <a:ext cx="2510091" cy="1882639"/>
                                </a:xfrm>
                                <a:prstGeom prst="rect">
                                  <a:avLst/>
                                </a:prstGeom>
                              </pic:spPr>
                            </pic:pic>
                          </a:graphicData>
                        </a:graphic>
                      </wp:inline>
                    </w:drawing>
                  </w:r>
                </w:p>
              </w:tc>
              <w:tc>
                <w:tcPr>
                  <w:tcW w:w="4090" w:type="dxa"/>
                </w:tcPr>
                <w:p w14:paraId="62F1D9F0">
                  <w:pPr>
                    <w:spacing w:line="240" w:lineRule="auto"/>
                    <w:jc w:val="center"/>
                    <w:rPr>
                      <w:sz w:val="18"/>
                      <w:szCs w:val="18"/>
                    </w:rPr>
                  </w:pPr>
                  <w:r>
                    <w:rPr>
                      <w:sz w:val="18"/>
                      <w:szCs w:val="18"/>
                    </w:rPr>
                    <w:drawing>
                      <wp:inline distT="0" distB="0" distL="0" distR="0">
                        <wp:extent cx="2432050" cy="1822450"/>
                        <wp:effectExtent l="0" t="0" r="6350" b="6350"/>
                        <wp:docPr id="1044725319" name="图片 104472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25319" name="图片 1044725319"/>
                                <pic:cNvPicPr>
                                  <a:picLocks noChangeAspect="1" noChangeArrowheads="1"/>
                                </pic:cNvPicPr>
                              </pic:nvPicPr>
                              <pic:blipFill>
                                <a:blip r:embed="rId31" cstate="hqprint"/>
                                <a:srcRect/>
                                <a:stretch>
                                  <a:fillRect/>
                                </a:stretch>
                              </pic:blipFill>
                              <pic:spPr>
                                <a:xfrm>
                                  <a:off x="0" y="0"/>
                                  <a:ext cx="2440234" cy="1828379"/>
                                </a:xfrm>
                                <a:prstGeom prst="rect">
                                  <a:avLst/>
                                </a:prstGeom>
                                <a:noFill/>
                                <a:ln>
                                  <a:noFill/>
                                </a:ln>
                              </pic:spPr>
                            </pic:pic>
                          </a:graphicData>
                        </a:graphic>
                      </wp:inline>
                    </w:drawing>
                  </w:r>
                </w:p>
              </w:tc>
            </w:tr>
            <w:tr w14:paraId="7EACA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063" w:type="dxa"/>
                </w:tcPr>
                <w:p w14:paraId="613B3171">
                  <w:pPr>
                    <w:spacing w:line="240" w:lineRule="auto"/>
                    <w:jc w:val="center"/>
                    <w:rPr>
                      <w:sz w:val="18"/>
                      <w:szCs w:val="18"/>
                    </w:rPr>
                  </w:pPr>
                  <w:r>
                    <w:rPr>
                      <w:rFonts w:hint="eastAsia"/>
                      <w:sz w:val="18"/>
                      <w:szCs w:val="18"/>
                    </w:rPr>
                    <w:t>项目中段西侧 农田</w:t>
                  </w:r>
                </w:p>
              </w:tc>
              <w:tc>
                <w:tcPr>
                  <w:tcW w:w="4090" w:type="dxa"/>
                </w:tcPr>
                <w:p w14:paraId="36E4B2D0">
                  <w:pPr>
                    <w:spacing w:line="240" w:lineRule="auto"/>
                    <w:jc w:val="center"/>
                    <w:rPr>
                      <w:sz w:val="18"/>
                      <w:szCs w:val="18"/>
                    </w:rPr>
                  </w:pPr>
                  <w:r>
                    <w:rPr>
                      <w:rFonts w:hint="eastAsia"/>
                      <w:sz w:val="18"/>
                      <w:szCs w:val="18"/>
                    </w:rPr>
                    <w:t>项目中段北侧 农田</w:t>
                  </w:r>
                </w:p>
              </w:tc>
            </w:tr>
            <w:tr w14:paraId="764906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413F3AB0">
                  <w:pPr>
                    <w:spacing w:line="240" w:lineRule="auto"/>
                    <w:jc w:val="center"/>
                    <w:rPr>
                      <w:sz w:val="18"/>
                      <w:szCs w:val="18"/>
                    </w:rPr>
                  </w:pPr>
                  <w:r>
                    <w:rPr>
                      <w:sz w:val="18"/>
                      <w:szCs w:val="18"/>
                    </w:rPr>
                    <w:drawing>
                      <wp:inline distT="0" distB="0" distL="0" distR="0">
                        <wp:extent cx="2484120" cy="1863090"/>
                        <wp:effectExtent l="0" t="0" r="0" b="3810"/>
                        <wp:docPr id="1044725315" name="图片 1044725315" descr="建筑与房屋的城市风景&#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25315" name="图片 1044725315" descr="建筑与房屋的城市风景&#10;&#10;描述已自动生成"/>
                                <pic:cNvPicPr>
                                  <a:picLocks noChangeAspect="1"/>
                                </pic:cNvPicPr>
                              </pic:nvPicPr>
                              <pic:blipFill>
                                <a:blip r:embed="rId32" cstate="hqprint"/>
                                <a:stretch>
                                  <a:fillRect/>
                                </a:stretch>
                              </pic:blipFill>
                              <pic:spPr>
                                <a:xfrm>
                                  <a:off x="0" y="0"/>
                                  <a:ext cx="2489482" cy="1867181"/>
                                </a:xfrm>
                                <a:prstGeom prst="rect">
                                  <a:avLst/>
                                </a:prstGeom>
                              </pic:spPr>
                            </pic:pic>
                          </a:graphicData>
                        </a:graphic>
                      </wp:inline>
                    </w:drawing>
                  </w:r>
                </w:p>
              </w:tc>
              <w:tc>
                <w:tcPr>
                  <w:tcW w:w="4090" w:type="dxa"/>
                </w:tcPr>
                <w:p w14:paraId="31BB3766">
                  <w:pPr>
                    <w:spacing w:line="240" w:lineRule="auto"/>
                    <w:jc w:val="center"/>
                    <w:rPr>
                      <w:sz w:val="18"/>
                      <w:szCs w:val="18"/>
                    </w:rPr>
                  </w:pPr>
                  <w:r>
                    <w:rPr>
                      <w:sz w:val="18"/>
                      <w:szCs w:val="18"/>
                    </w:rPr>
                    <w:drawing>
                      <wp:inline distT="0" distB="0" distL="0" distR="0">
                        <wp:extent cx="2483485" cy="1863090"/>
                        <wp:effectExtent l="0" t="0" r="0" b="3810"/>
                        <wp:docPr id="1044725317" name="图片 104472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25317" name="图片 1044725317"/>
                                <pic:cNvPicPr>
                                  <a:picLocks noChangeAspect="1"/>
                                </pic:cNvPicPr>
                              </pic:nvPicPr>
                              <pic:blipFill>
                                <a:blip r:embed="rId33" cstate="hqprint"/>
                                <a:stretch>
                                  <a:fillRect/>
                                </a:stretch>
                              </pic:blipFill>
                              <pic:spPr>
                                <a:xfrm>
                                  <a:off x="0" y="0"/>
                                  <a:ext cx="2494866" cy="1871219"/>
                                </a:xfrm>
                                <a:prstGeom prst="rect">
                                  <a:avLst/>
                                </a:prstGeom>
                              </pic:spPr>
                            </pic:pic>
                          </a:graphicData>
                        </a:graphic>
                      </wp:inline>
                    </w:drawing>
                  </w:r>
                </w:p>
              </w:tc>
            </w:tr>
            <w:tr w14:paraId="0F384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6A7D74DB">
                  <w:pPr>
                    <w:spacing w:line="240" w:lineRule="auto"/>
                    <w:jc w:val="center"/>
                    <w:rPr>
                      <w:sz w:val="18"/>
                      <w:szCs w:val="18"/>
                    </w:rPr>
                  </w:pPr>
                  <w:r>
                    <w:rPr>
                      <w:rFonts w:hint="eastAsia"/>
                      <w:sz w:val="18"/>
                      <w:szCs w:val="18"/>
                    </w:rPr>
                    <w:t>道路北段东侧 明镜控股总部大楼建筑工地</w:t>
                  </w:r>
                </w:p>
              </w:tc>
              <w:tc>
                <w:tcPr>
                  <w:tcW w:w="4090" w:type="dxa"/>
                </w:tcPr>
                <w:p w14:paraId="69F8F768">
                  <w:pPr>
                    <w:spacing w:line="240" w:lineRule="auto"/>
                    <w:jc w:val="center"/>
                    <w:rPr>
                      <w:sz w:val="18"/>
                      <w:szCs w:val="18"/>
                    </w:rPr>
                  </w:pPr>
                  <w:r>
                    <w:rPr>
                      <w:rFonts w:hint="eastAsia"/>
                      <w:sz w:val="18"/>
                      <w:szCs w:val="18"/>
                    </w:rPr>
                    <w:t>道路北段南侧 现有道路</w:t>
                  </w:r>
                </w:p>
              </w:tc>
            </w:tr>
            <w:tr w14:paraId="4328EA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7D489392">
                  <w:pPr>
                    <w:spacing w:line="240" w:lineRule="auto"/>
                    <w:rPr>
                      <w:sz w:val="18"/>
                      <w:szCs w:val="18"/>
                    </w:rPr>
                  </w:pPr>
                  <w:r>
                    <w:rPr>
                      <w:sz w:val="18"/>
                      <w:szCs w:val="18"/>
                    </w:rPr>
                    <w:drawing>
                      <wp:inline distT="0" distB="0" distL="0" distR="0">
                        <wp:extent cx="2501265" cy="1875790"/>
                        <wp:effectExtent l="0" t="0" r="0" b="0"/>
                        <wp:docPr id="1044725318" name="图片 1044725318" descr="草地上的建筑&#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25318" name="图片 1044725318" descr="草地上的建筑&#10;&#10;描述已自动生成"/>
                                <pic:cNvPicPr>
                                  <a:picLocks noChangeAspect="1"/>
                                </pic:cNvPicPr>
                              </pic:nvPicPr>
                              <pic:blipFill>
                                <a:blip r:embed="rId34" cstate="hqprint"/>
                                <a:stretch>
                                  <a:fillRect/>
                                </a:stretch>
                              </pic:blipFill>
                              <pic:spPr>
                                <a:xfrm>
                                  <a:off x="0" y="0"/>
                                  <a:ext cx="2506905" cy="1880249"/>
                                </a:xfrm>
                                <a:prstGeom prst="rect">
                                  <a:avLst/>
                                </a:prstGeom>
                              </pic:spPr>
                            </pic:pic>
                          </a:graphicData>
                        </a:graphic>
                      </wp:inline>
                    </w:drawing>
                  </w:r>
                </w:p>
              </w:tc>
              <w:tc>
                <w:tcPr>
                  <w:tcW w:w="4090" w:type="dxa"/>
                </w:tcPr>
                <w:p w14:paraId="645244DE">
                  <w:pPr>
                    <w:spacing w:line="240" w:lineRule="auto"/>
                    <w:rPr>
                      <w:sz w:val="18"/>
                      <w:szCs w:val="18"/>
                    </w:rPr>
                  </w:pPr>
                  <w:r>
                    <w:rPr>
                      <w:sz w:val="18"/>
                      <w:szCs w:val="18"/>
                    </w:rPr>
                    <w:drawing>
                      <wp:inline distT="0" distB="0" distL="0" distR="0">
                        <wp:extent cx="2461260" cy="1845945"/>
                        <wp:effectExtent l="0" t="0" r="0" b="1905"/>
                        <wp:docPr id="1044725316" name="图片 1044725316" descr="路上有许多树&#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25316" name="图片 1044725316" descr="路上有许多树&#10;&#10;描述已自动生成"/>
                                <pic:cNvPicPr>
                                  <a:picLocks noChangeAspect="1"/>
                                </pic:cNvPicPr>
                              </pic:nvPicPr>
                              <pic:blipFill>
                                <a:blip r:embed="rId35" cstate="hqprint"/>
                                <a:stretch>
                                  <a:fillRect/>
                                </a:stretch>
                              </pic:blipFill>
                              <pic:spPr>
                                <a:xfrm>
                                  <a:off x="0" y="0"/>
                                  <a:ext cx="2470941" cy="1853275"/>
                                </a:xfrm>
                                <a:prstGeom prst="rect">
                                  <a:avLst/>
                                </a:prstGeom>
                              </pic:spPr>
                            </pic:pic>
                          </a:graphicData>
                        </a:graphic>
                      </wp:inline>
                    </w:drawing>
                  </w:r>
                </w:p>
              </w:tc>
            </w:tr>
            <w:tr w14:paraId="75A500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063" w:type="dxa"/>
                </w:tcPr>
                <w:p w14:paraId="13AC2E38">
                  <w:pPr>
                    <w:spacing w:line="240" w:lineRule="auto"/>
                    <w:jc w:val="center"/>
                    <w:rPr>
                      <w:sz w:val="18"/>
                      <w:szCs w:val="18"/>
                    </w:rPr>
                  </w:pPr>
                  <w:r>
                    <w:rPr>
                      <w:rFonts w:hint="eastAsia"/>
                      <w:sz w:val="18"/>
                      <w:szCs w:val="18"/>
                    </w:rPr>
                    <w:t>道路北段西侧 农田</w:t>
                  </w:r>
                </w:p>
              </w:tc>
              <w:tc>
                <w:tcPr>
                  <w:tcW w:w="4090" w:type="dxa"/>
                </w:tcPr>
                <w:p w14:paraId="4F75CF78">
                  <w:pPr>
                    <w:spacing w:line="240" w:lineRule="auto"/>
                    <w:jc w:val="center"/>
                    <w:rPr>
                      <w:sz w:val="18"/>
                      <w:szCs w:val="18"/>
                    </w:rPr>
                  </w:pPr>
                  <w:r>
                    <w:rPr>
                      <w:rFonts w:hint="eastAsia"/>
                      <w:sz w:val="18"/>
                      <w:szCs w:val="18"/>
                    </w:rPr>
                    <w:t>道路北段北侧 现有道路</w:t>
                  </w:r>
                </w:p>
              </w:tc>
            </w:tr>
          </w:tbl>
          <w:p w14:paraId="56024A5A">
            <w:pPr>
              <w:pStyle w:val="3"/>
            </w:pPr>
            <w:r>
              <w:t>区域的</w:t>
            </w:r>
            <w:r>
              <w:rPr>
                <w:rFonts w:hint="eastAsia"/>
              </w:rPr>
              <w:t>生态</w:t>
            </w:r>
            <w:r>
              <w:t>环境质量现状</w:t>
            </w:r>
          </w:p>
          <w:p w14:paraId="30EB353D">
            <w:pPr>
              <w:pStyle w:val="4"/>
            </w:pPr>
            <w:r>
              <w:rPr>
                <w:rFonts w:hint="eastAsia"/>
              </w:rPr>
              <w:t>地表水环境质量现状</w:t>
            </w:r>
          </w:p>
          <w:p w14:paraId="4A663722">
            <w:pPr>
              <w:ind w:firstLine="420" w:firstLineChars="200"/>
              <w:rPr>
                <w:rFonts w:hint="eastAsia" w:ascii="宋体" w:hAnsi="宋体"/>
              </w:rPr>
            </w:pPr>
            <w:r>
              <w:rPr>
                <w:rFonts w:hint="eastAsia" w:ascii="宋体" w:hAnsi="宋体"/>
              </w:rPr>
              <w:t>项目附近水体主要为项目需要横跨的河庄横河及位于工程东侧的小泗埠直河，并与该区域类河网水系联通汇入钱塘江，</w:t>
            </w:r>
            <w:r>
              <w:t>根据《浙江省水功能区水环境功能区划分方案》（2015），上述河道属于内排河，水功能区参照钱塘337执行，该水功能区属萧绍河网萧山工业、农业用水区，水质现状为劣Ⅴ类，目标水质为IV类。</w:t>
            </w:r>
          </w:p>
          <w:p w14:paraId="4E5DE240">
            <w:pPr>
              <w:ind w:firstLine="420" w:firstLineChars="200"/>
            </w:pPr>
            <w:r>
              <w:rPr>
                <w:rFonts w:hint="eastAsia" w:ascii="宋体" w:hAnsi="宋体"/>
              </w:rPr>
              <w:t>为了解本项目涉及区域地表水环境水质现状，本评价引用</w:t>
            </w:r>
            <w:bookmarkStart w:id="35" w:name="OLE_LINK2"/>
            <w:r>
              <w:rPr>
                <w:rFonts w:hint="eastAsia" w:ascii="宋体" w:hAnsi="宋体"/>
              </w:rPr>
              <w:t>杭州钱塘新区总体发展规划（</w:t>
            </w:r>
            <w:r>
              <w:rPr>
                <w:rFonts w:hint="eastAsia"/>
              </w:rPr>
              <w:t>2023-2035</w:t>
            </w:r>
            <w:r>
              <w:rPr>
                <w:rFonts w:hint="eastAsia" w:ascii="宋体" w:hAnsi="宋体"/>
              </w:rPr>
              <w:t>）</w:t>
            </w:r>
            <w:bookmarkEnd w:id="35"/>
            <w:r>
              <w:rPr>
                <w:rFonts w:hint="eastAsia" w:ascii="宋体" w:hAnsi="宋体"/>
              </w:rPr>
              <w:t>环境影响评价中委托浙江鸿博环境检测有限公司对钱塘新区江东片区</w:t>
            </w:r>
            <w:r>
              <w:rPr>
                <w:rFonts w:hint="eastAsia"/>
              </w:rPr>
              <w:t>2024</w:t>
            </w:r>
            <w:r>
              <w:rPr>
                <w:rFonts w:hint="eastAsia" w:ascii="宋体" w:hAnsi="宋体"/>
              </w:rPr>
              <w:t>年地表水实测数据进行评价，所监测的河道与本工程涉及的河庄横河和小泗埠直河直接相连，属于下游河道，具体数据见下</w:t>
            </w:r>
            <w:r>
              <w:rPr>
                <w:rFonts w:hint="eastAsia" w:ascii="宋体" w:hAnsi="宋体"/>
              </w:rPr>
              <w:fldChar w:fldCharType="begin"/>
            </w:r>
            <w:r>
              <w:rPr>
                <w:rFonts w:hint="eastAsia" w:ascii="宋体" w:hAnsi="宋体"/>
              </w:rPr>
              <w:instrText xml:space="preserve"> REF _Ref235543508 \h </w:instrText>
            </w:r>
            <w:r>
              <w:rPr>
                <w:rFonts w:hint="eastAsia" w:ascii="宋体" w:hAnsi="宋体"/>
              </w:rPr>
              <w:fldChar w:fldCharType="separate"/>
            </w:r>
            <w:r>
              <w:rPr>
                <w:rFonts w:hint="eastAsia"/>
              </w:rPr>
              <w:t xml:space="preserve">表 </w:t>
            </w:r>
            <w:r>
              <w:t>3</w:t>
            </w:r>
            <w:r>
              <w:noBreakHyphen/>
            </w:r>
            <w:r>
              <w:t>1</w:t>
            </w:r>
            <w:r>
              <w:rPr>
                <w:rFonts w:hint="eastAsia" w:ascii="宋体" w:hAnsi="宋体"/>
              </w:rPr>
              <w:fldChar w:fldCharType="end"/>
            </w:r>
            <w:r>
              <w:rPr>
                <w:rFonts w:hint="eastAsia" w:ascii="宋体" w:hAnsi="宋体"/>
              </w:rPr>
              <w:t>。</w:t>
            </w:r>
          </w:p>
          <w:p w14:paraId="3082AC95">
            <w:pPr>
              <w:pStyle w:val="9"/>
              <w:keepNext/>
              <w:spacing w:before="120"/>
            </w:pPr>
            <w:bookmarkStart w:id="36" w:name="_Ref235543508"/>
            <w:r>
              <w:rPr>
                <w:rFonts w:hint="eastAsia"/>
              </w:rPr>
              <w:t xml:space="preserve">表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表 \* ARABIC \s 1</w:instrText>
            </w:r>
            <w:r>
              <w:instrText xml:space="preserve"> </w:instrText>
            </w:r>
            <w:r>
              <w:fldChar w:fldCharType="separate"/>
            </w:r>
            <w:r>
              <w:t>1</w:t>
            </w:r>
            <w:r>
              <w:fldChar w:fldCharType="end"/>
            </w:r>
            <w:bookmarkEnd w:id="36"/>
            <w:r>
              <w:t>水质现状监测结果</w:t>
            </w:r>
            <w:r>
              <w:rPr>
                <w:rFonts w:hint="eastAsia"/>
              </w:rPr>
              <w:t>（</w:t>
            </w:r>
            <w:r>
              <w:t>单位:mg/L pH除外</w:t>
            </w:r>
            <w:r>
              <w:rPr>
                <w:rFonts w:hint="eastAsia"/>
              </w:rPr>
              <w:t>）</w:t>
            </w:r>
          </w:p>
          <w:tbl>
            <w:tblPr>
              <w:tblStyle w:val="30"/>
              <w:tblW w:w="5000" w:type="pct"/>
              <w:jc w:val="center"/>
              <w:tblLayout w:type="fixed"/>
              <w:tblCellMar>
                <w:top w:w="0" w:type="dxa"/>
                <w:left w:w="0" w:type="dxa"/>
                <w:bottom w:w="0" w:type="dxa"/>
                <w:right w:w="0" w:type="dxa"/>
              </w:tblCellMar>
            </w:tblPr>
            <w:tblGrid>
              <w:gridCol w:w="1069"/>
              <w:gridCol w:w="1503"/>
              <w:gridCol w:w="1341"/>
              <w:gridCol w:w="843"/>
              <w:gridCol w:w="845"/>
              <w:gridCol w:w="1124"/>
              <w:gridCol w:w="764"/>
              <w:gridCol w:w="828"/>
            </w:tblGrid>
            <w:tr w14:paraId="272E6E9C">
              <w:tblPrEx>
                <w:tblCellMar>
                  <w:top w:w="0" w:type="dxa"/>
                  <w:left w:w="0" w:type="dxa"/>
                  <w:bottom w:w="0" w:type="dxa"/>
                  <w:right w:w="0" w:type="dxa"/>
                </w:tblCellMar>
              </w:tblPrEx>
              <w:trPr>
                <w:trHeight w:val="340" w:hRule="atLeast"/>
                <w:jc w:val="center"/>
              </w:trPr>
              <w:tc>
                <w:tcPr>
                  <w:tcW w:w="642" w:type="pct"/>
                  <w:tcBorders>
                    <w:top w:val="single" w:color="auto" w:sz="12" w:space="0"/>
                    <w:left w:val="single" w:color="auto" w:sz="12" w:space="0"/>
                    <w:bottom w:val="single" w:color="000000" w:sz="4" w:space="0"/>
                    <w:right w:val="single" w:color="000000" w:sz="4" w:space="0"/>
                  </w:tcBorders>
                  <w:tcMar>
                    <w:top w:w="0" w:type="dxa"/>
                    <w:left w:w="108" w:type="dxa"/>
                    <w:bottom w:w="0" w:type="dxa"/>
                    <w:right w:w="108" w:type="dxa"/>
                  </w:tcMar>
                  <w:vAlign w:val="center"/>
                </w:tcPr>
                <w:p w14:paraId="3E17914F">
                  <w:pPr>
                    <w:spacing w:line="240" w:lineRule="auto"/>
                    <w:jc w:val="center"/>
                    <w:rPr>
                      <w:rFonts w:cs="宋体"/>
                      <w:b/>
                      <w:bCs/>
                      <w:sz w:val="18"/>
                      <w:szCs w:val="18"/>
                    </w:rPr>
                  </w:pPr>
                  <w:r>
                    <w:rPr>
                      <w:rFonts w:ascii="宋体" w:hAnsi="宋体" w:cs="宋体"/>
                      <w:b/>
                      <w:bCs/>
                      <w:sz w:val="18"/>
                      <w:szCs w:val="18"/>
                    </w:rPr>
                    <w:t>监测断面</w:t>
                  </w:r>
                </w:p>
              </w:tc>
              <w:tc>
                <w:tcPr>
                  <w:tcW w:w="904" w:type="pct"/>
                  <w:tcBorders>
                    <w:top w:val="single" w:color="auto" w:sz="12" w:space="0"/>
                    <w:left w:val="nil"/>
                    <w:bottom w:val="single" w:color="000000" w:sz="4" w:space="0"/>
                    <w:right w:val="single" w:color="000000" w:sz="4" w:space="0"/>
                  </w:tcBorders>
                  <w:tcMar>
                    <w:top w:w="0" w:type="dxa"/>
                    <w:left w:w="108" w:type="dxa"/>
                    <w:bottom w:w="0" w:type="dxa"/>
                    <w:right w:w="108" w:type="dxa"/>
                  </w:tcMar>
                  <w:vAlign w:val="center"/>
                </w:tcPr>
                <w:p w14:paraId="292E67F5">
                  <w:pPr>
                    <w:spacing w:line="240" w:lineRule="auto"/>
                    <w:jc w:val="center"/>
                    <w:rPr>
                      <w:rFonts w:cs="宋体"/>
                      <w:b/>
                      <w:bCs/>
                      <w:sz w:val="18"/>
                      <w:szCs w:val="18"/>
                    </w:rPr>
                  </w:pPr>
                  <w:r>
                    <w:rPr>
                      <w:rFonts w:hint="eastAsia" w:ascii="宋体" w:hAnsi="宋体"/>
                      <w:b/>
                      <w:bCs/>
                      <w:sz w:val="18"/>
                      <w:szCs w:val="18"/>
                    </w:rPr>
                    <w:t>距离本项目方位距离</w:t>
                  </w:r>
                </w:p>
              </w:tc>
              <w:tc>
                <w:tcPr>
                  <w:tcW w:w="806" w:type="pct"/>
                  <w:tcBorders>
                    <w:top w:val="single" w:color="auto" w:sz="12" w:space="0"/>
                    <w:left w:val="nil"/>
                    <w:bottom w:val="single" w:color="000000" w:sz="4" w:space="0"/>
                    <w:right w:val="single" w:color="000000" w:sz="4" w:space="0"/>
                  </w:tcBorders>
                  <w:tcMar>
                    <w:top w:w="0" w:type="dxa"/>
                    <w:left w:w="108" w:type="dxa"/>
                    <w:bottom w:w="0" w:type="dxa"/>
                    <w:right w:w="108" w:type="dxa"/>
                  </w:tcMar>
                  <w:vAlign w:val="center"/>
                </w:tcPr>
                <w:p w14:paraId="7456EDD4">
                  <w:pPr>
                    <w:spacing w:line="240" w:lineRule="auto"/>
                    <w:jc w:val="center"/>
                    <w:rPr>
                      <w:rFonts w:cs="宋体"/>
                      <w:b/>
                      <w:bCs/>
                      <w:sz w:val="18"/>
                      <w:szCs w:val="18"/>
                    </w:rPr>
                  </w:pPr>
                  <w:r>
                    <w:rPr>
                      <w:rFonts w:ascii="宋体" w:hAnsi="宋体" w:cs="宋体"/>
                      <w:b/>
                      <w:bCs/>
                      <w:sz w:val="18"/>
                      <w:szCs w:val="18"/>
                    </w:rPr>
                    <w:t>项目</w:t>
                  </w:r>
                </w:p>
              </w:tc>
              <w:tc>
                <w:tcPr>
                  <w:tcW w:w="507" w:type="pct"/>
                  <w:tcBorders>
                    <w:top w:val="single" w:color="auto" w:sz="12" w:space="0"/>
                    <w:left w:val="nil"/>
                    <w:bottom w:val="single" w:color="000000" w:sz="4" w:space="0"/>
                    <w:right w:val="single" w:color="000000" w:sz="4" w:space="0"/>
                  </w:tcBorders>
                  <w:tcMar>
                    <w:top w:w="0" w:type="dxa"/>
                    <w:left w:w="108" w:type="dxa"/>
                    <w:bottom w:w="0" w:type="dxa"/>
                    <w:right w:w="108" w:type="dxa"/>
                  </w:tcMar>
                  <w:vAlign w:val="center"/>
                </w:tcPr>
                <w:p w14:paraId="45EED753">
                  <w:pPr>
                    <w:spacing w:line="240" w:lineRule="auto"/>
                    <w:jc w:val="center"/>
                    <w:rPr>
                      <w:rFonts w:cs="宋体"/>
                      <w:b/>
                      <w:bCs/>
                      <w:sz w:val="18"/>
                      <w:szCs w:val="18"/>
                    </w:rPr>
                  </w:pPr>
                  <w:r>
                    <w:rPr>
                      <w:rFonts w:cs="宋体"/>
                      <w:b/>
                      <w:bCs/>
                      <w:sz w:val="18"/>
                      <w:szCs w:val="18"/>
                    </w:rPr>
                    <w:t>pH</w:t>
                  </w:r>
                </w:p>
              </w:tc>
              <w:tc>
                <w:tcPr>
                  <w:tcW w:w="508" w:type="pct"/>
                  <w:tcBorders>
                    <w:top w:val="single" w:color="auto" w:sz="12" w:space="0"/>
                    <w:left w:val="nil"/>
                    <w:bottom w:val="single" w:color="000000" w:sz="4" w:space="0"/>
                    <w:right w:val="single" w:color="000000" w:sz="4" w:space="0"/>
                  </w:tcBorders>
                  <w:tcMar>
                    <w:top w:w="0" w:type="dxa"/>
                    <w:left w:w="108" w:type="dxa"/>
                    <w:bottom w:w="0" w:type="dxa"/>
                    <w:right w:w="108" w:type="dxa"/>
                  </w:tcMar>
                  <w:vAlign w:val="center"/>
                </w:tcPr>
                <w:p w14:paraId="76C767FC">
                  <w:pPr>
                    <w:spacing w:line="240" w:lineRule="auto"/>
                    <w:jc w:val="center"/>
                    <w:rPr>
                      <w:rFonts w:cs="宋体"/>
                      <w:b/>
                      <w:bCs/>
                      <w:sz w:val="18"/>
                      <w:szCs w:val="18"/>
                    </w:rPr>
                  </w:pPr>
                  <w:r>
                    <w:rPr>
                      <w:rFonts w:ascii="宋体" w:hAnsi="宋体" w:cs="宋体"/>
                      <w:b/>
                      <w:bCs/>
                      <w:sz w:val="18"/>
                      <w:szCs w:val="18"/>
                    </w:rPr>
                    <w:t>溶解氧</w:t>
                  </w:r>
                </w:p>
              </w:tc>
              <w:tc>
                <w:tcPr>
                  <w:tcW w:w="676" w:type="pct"/>
                  <w:tcBorders>
                    <w:top w:val="single" w:color="auto" w:sz="12" w:space="0"/>
                    <w:left w:val="nil"/>
                    <w:bottom w:val="single" w:color="000000" w:sz="4" w:space="0"/>
                    <w:right w:val="single" w:color="000000" w:sz="4" w:space="0"/>
                  </w:tcBorders>
                  <w:tcMar>
                    <w:top w:w="0" w:type="dxa"/>
                    <w:left w:w="108" w:type="dxa"/>
                    <w:bottom w:w="0" w:type="dxa"/>
                    <w:right w:w="108" w:type="dxa"/>
                  </w:tcMar>
                  <w:vAlign w:val="center"/>
                </w:tcPr>
                <w:p w14:paraId="5AED30C5">
                  <w:pPr>
                    <w:spacing w:line="240" w:lineRule="auto"/>
                    <w:jc w:val="center"/>
                    <w:rPr>
                      <w:rFonts w:cs="宋体"/>
                      <w:b/>
                      <w:bCs/>
                      <w:sz w:val="18"/>
                      <w:szCs w:val="18"/>
                    </w:rPr>
                  </w:pPr>
                  <w:r>
                    <w:rPr>
                      <w:rFonts w:hint="eastAsia" w:ascii="宋体" w:hAnsi="宋体"/>
                      <w:b/>
                      <w:bCs/>
                      <w:sz w:val="18"/>
                      <w:szCs w:val="18"/>
                    </w:rPr>
                    <w:t>化学需氧量</w:t>
                  </w:r>
                </w:p>
              </w:tc>
              <w:tc>
                <w:tcPr>
                  <w:tcW w:w="459" w:type="pct"/>
                  <w:tcBorders>
                    <w:top w:val="single" w:color="auto" w:sz="12" w:space="0"/>
                    <w:left w:val="nil"/>
                    <w:bottom w:val="single" w:color="000000" w:sz="4" w:space="0"/>
                    <w:right w:val="single" w:color="000000" w:sz="4" w:space="0"/>
                  </w:tcBorders>
                  <w:tcMar>
                    <w:top w:w="0" w:type="dxa"/>
                    <w:left w:w="108" w:type="dxa"/>
                    <w:bottom w:w="0" w:type="dxa"/>
                    <w:right w:w="108" w:type="dxa"/>
                  </w:tcMar>
                  <w:vAlign w:val="center"/>
                </w:tcPr>
                <w:p w14:paraId="5874EA14">
                  <w:pPr>
                    <w:spacing w:line="240" w:lineRule="auto"/>
                    <w:jc w:val="center"/>
                    <w:rPr>
                      <w:rFonts w:cs="宋体"/>
                      <w:b/>
                      <w:bCs/>
                      <w:sz w:val="18"/>
                      <w:szCs w:val="18"/>
                    </w:rPr>
                  </w:pPr>
                  <w:r>
                    <w:rPr>
                      <w:rFonts w:ascii="宋体" w:hAnsi="宋体" w:cs="宋体"/>
                      <w:b/>
                      <w:bCs/>
                      <w:sz w:val="18"/>
                      <w:szCs w:val="18"/>
                    </w:rPr>
                    <w:t>氨氮</w:t>
                  </w:r>
                </w:p>
              </w:tc>
              <w:tc>
                <w:tcPr>
                  <w:tcW w:w="498" w:type="pct"/>
                  <w:tcBorders>
                    <w:top w:val="single" w:color="auto" w:sz="12" w:space="0"/>
                    <w:left w:val="nil"/>
                    <w:bottom w:val="single" w:color="000000" w:sz="4" w:space="0"/>
                    <w:right w:val="single" w:color="auto" w:sz="12" w:space="0"/>
                  </w:tcBorders>
                  <w:tcMar>
                    <w:top w:w="0" w:type="dxa"/>
                    <w:left w:w="108" w:type="dxa"/>
                    <w:bottom w:w="0" w:type="dxa"/>
                    <w:right w:w="108" w:type="dxa"/>
                  </w:tcMar>
                  <w:vAlign w:val="center"/>
                </w:tcPr>
                <w:p w14:paraId="1844EC6A">
                  <w:pPr>
                    <w:spacing w:line="240" w:lineRule="auto"/>
                    <w:jc w:val="center"/>
                    <w:rPr>
                      <w:rFonts w:cs="宋体"/>
                      <w:b/>
                      <w:bCs/>
                      <w:sz w:val="18"/>
                      <w:szCs w:val="18"/>
                    </w:rPr>
                  </w:pPr>
                  <w:r>
                    <w:rPr>
                      <w:rFonts w:ascii="宋体" w:hAnsi="宋体" w:cs="宋体"/>
                      <w:b/>
                      <w:bCs/>
                      <w:sz w:val="18"/>
                      <w:szCs w:val="18"/>
                    </w:rPr>
                    <w:t>总</w:t>
                  </w:r>
                  <w:r>
                    <w:rPr>
                      <w:rFonts w:hint="eastAsia" w:ascii="宋体" w:hAnsi="宋体"/>
                      <w:b/>
                      <w:bCs/>
                      <w:sz w:val="18"/>
                      <w:szCs w:val="18"/>
                    </w:rPr>
                    <w:t>磷</w:t>
                  </w:r>
                </w:p>
              </w:tc>
            </w:tr>
            <w:tr w14:paraId="6A1AE969">
              <w:tblPrEx>
                <w:tblCellMar>
                  <w:top w:w="0" w:type="dxa"/>
                  <w:left w:w="0" w:type="dxa"/>
                  <w:bottom w:w="0" w:type="dxa"/>
                  <w:right w:w="0" w:type="dxa"/>
                </w:tblCellMar>
              </w:tblPrEx>
              <w:trPr>
                <w:trHeight w:val="340" w:hRule="atLeast"/>
                <w:jc w:val="center"/>
              </w:trPr>
              <w:tc>
                <w:tcPr>
                  <w:tcW w:w="642" w:type="pct"/>
                  <w:vMerge w:val="restart"/>
                  <w:tcBorders>
                    <w:top w:val="nil"/>
                    <w:left w:val="single" w:color="auto" w:sz="12" w:space="0"/>
                    <w:bottom w:val="single" w:color="000000" w:sz="4" w:space="0"/>
                    <w:right w:val="single" w:color="000000" w:sz="4" w:space="0"/>
                  </w:tcBorders>
                  <w:tcMar>
                    <w:top w:w="0" w:type="dxa"/>
                    <w:left w:w="108" w:type="dxa"/>
                    <w:bottom w:w="0" w:type="dxa"/>
                    <w:right w:w="108" w:type="dxa"/>
                  </w:tcMar>
                  <w:vAlign w:val="center"/>
                </w:tcPr>
                <w:p w14:paraId="3B5610D1">
                  <w:pPr>
                    <w:spacing w:line="240" w:lineRule="auto"/>
                    <w:jc w:val="center"/>
                    <w:rPr>
                      <w:rFonts w:cs="宋体"/>
                      <w:sz w:val="18"/>
                      <w:szCs w:val="18"/>
                    </w:rPr>
                  </w:pPr>
                  <w:r>
                    <w:rPr>
                      <w:rFonts w:hint="eastAsia" w:ascii="宋体" w:hAnsi="宋体" w:cs="宋体"/>
                      <w:sz w:val="18"/>
                      <w:szCs w:val="18"/>
                    </w:rPr>
                    <w:t>三工段横湾与四工段直河交叉口</w:t>
                  </w:r>
                </w:p>
              </w:tc>
              <w:tc>
                <w:tcPr>
                  <w:tcW w:w="904" w:type="pct"/>
                  <w:vMerge w:val="restart"/>
                  <w:tcBorders>
                    <w:top w:val="nil"/>
                    <w:left w:val="nil"/>
                    <w:bottom w:val="nil"/>
                    <w:right w:val="single" w:color="000000" w:sz="4" w:space="0"/>
                  </w:tcBorders>
                  <w:tcMar>
                    <w:top w:w="0" w:type="dxa"/>
                    <w:left w:w="108" w:type="dxa"/>
                    <w:bottom w:w="0" w:type="dxa"/>
                    <w:right w:w="108" w:type="dxa"/>
                  </w:tcMar>
                  <w:vAlign w:val="center"/>
                </w:tcPr>
                <w:p w14:paraId="6FCFF9F7">
                  <w:pPr>
                    <w:spacing w:line="240" w:lineRule="auto"/>
                    <w:jc w:val="center"/>
                    <w:rPr>
                      <w:rFonts w:cs="宋体"/>
                      <w:sz w:val="18"/>
                      <w:szCs w:val="18"/>
                    </w:rPr>
                  </w:pPr>
                  <w:r>
                    <w:rPr>
                      <w:rFonts w:hint="eastAsia" w:ascii="宋体" w:hAnsi="宋体"/>
                      <w:sz w:val="18"/>
                      <w:szCs w:val="18"/>
                    </w:rPr>
                    <w:t>西北</w:t>
                  </w:r>
                  <w:r>
                    <w:rPr>
                      <w:rFonts w:hint="eastAsia"/>
                      <w:sz w:val="18"/>
                      <w:szCs w:val="18"/>
                    </w:rPr>
                    <w:t>3.8 km</w:t>
                  </w:r>
                </w:p>
              </w:tc>
              <w:tc>
                <w:tcPr>
                  <w:tcW w:w="80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18B562FB">
                  <w:pPr>
                    <w:spacing w:line="240" w:lineRule="auto"/>
                    <w:jc w:val="center"/>
                    <w:rPr>
                      <w:rFonts w:cs="宋体"/>
                      <w:sz w:val="18"/>
                      <w:szCs w:val="18"/>
                    </w:rPr>
                  </w:pPr>
                  <w:r>
                    <w:rPr>
                      <w:rFonts w:hint="eastAsia"/>
                      <w:sz w:val="18"/>
                      <w:szCs w:val="18"/>
                    </w:rPr>
                    <w:t>2024.11.28</w:t>
                  </w:r>
                </w:p>
              </w:tc>
              <w:tc>
                <w:tcPr>
                  <w:tcW w:w="507"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01A3008B">
                  <w:pPr>
                    <w:spacing w:line="240" w:lineRule="auto"/>
                    <w:jc w:val="center"/>
                    <w:rPr>
                      <w:rFonts w:cs="宋体"/>
                      <w:sz w:val="18"/>
                      <w:szCs w:val="18"/>
                    </w:rPr>
                  </w:pPr>
                  <w:r>
                    <w:rPr>
                      <w:rFonts w:hint="eastAsia" w:cs="宋体"/>
                      <w:sz w:val="18"/>
                      <w:szCs w:val="18"/>
                    </w:rPr>
                    <w:t>8.5</w:t>
                  </w:r>
                </w:p>
              </w:tc>
              <w:tc>
                <w:tcPr>
                  <w:tcW w:w="508"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6558814D">
                  <w:pPr>
                    <w:spacing w:line="240" w:lineRule="auto"/>
                    <w:jc w:val="center"/>
                    <w:rPr>
                      <w:rFonts w:cs="宋体"/>
                      <w:sz w:val="18"/>
                      <w:szCs w:val="18"/>
                    </w:rPr>
                  </w:pPr>
                  <w:r>
                    <w:rPr>
                      <w:rFonts w:hint="eastAsia" w:cs="宋体"/>
                      <w:sz w:val="18"/>
                      <w:szCs w:val="18"/>
                    </w:rPr>
                    <w:t>5.6</w:t>
                  </w:r>
                </w:p>
              </w:tc>
              <w:tc>
                <w:tcPr>
                  <w:tcW w:w="67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0F6558A5">
                  <w:pPr>
                    <w:spacing w:line="240" w:lineRule="auto"/>
                    <w:jc w:val="center"/>
                    <w:rPr>
                      <w:rFonts w:cs="宋体"/>
                      <w:sz w:val="18"/>
                      <w:szCs w:val="18"/>
                    </w:rPr>
                  </w:pPr>
                  <w:r>
                    <w:rPr>
                      <w:rFonts w:hint="eastAsia" w:cs="宋体"/>
                      <w:sz w:val="18"/>
                      <w:szCs w:val="18"/>
                    </w:rPr>
                    <w:t>38</w:t>
                  </w:r>
                </w:p>
              </w:tc>
              <w:tc>
                <w:tcPr>
                  <w:tcW w:w="459"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3E065F93">
                  <w:pPr>
                    <w:spacing w:line="240" w:lineRule="auto"/>
                    <w:jc w:val="center"/>
                    <w:rPr>
                      <w:rFonts w:cs="宋体"/>
                      <w:sz w:val="18"/>
                      <w:szCs w:val="18"/>
                    </w:rPr>
                  </w:pPr>
                  <w:r>
                    <w:rPr>
                      <w:rFonts w:hint="eastAsia" w:cs="宋体"/>
                      <w:sz w:val="18"/>
                      <w:szCs w:val="18"/>
                    </w:rPr>
                    <w:t>1.66</w:t>
                  </w:r>
                </w:p>
              </w:tc>
              <w:tc>
                <w:tcPr>
                  <w:tcW w:w="498" w:type="pct"/>
                  <w:tcBorders>
                    <w:top w:val="single" w:color="000000" w:sz="4" w:space="0"/>
                    <w:left w:val="nil"/>
                    <w:bottom w:val="single" w:color="000000" w:sz="4" w:space="0"/>
                    <w:right w:val="single" w:color="auto" w:sz="12" w:space="0"/>
                  </w:tcBorders>
                  <w:tcMar>
                    <w:top w:w="0" w:type="dxa"/>
                    <w:left w:w="108" w:type="dxa"/>
                    <w:bottom w:w="0" w:type="dxa"/>
                    <w:right w:w="108" w:type="dxa"/>
                  </w:tcMar>
                  <w:vAlign w:val="center"/>
                </w:tcPr>
                <w:p w14:paraId="158D55A2">
                  <w:pPr>
                    <w:spacing w:line="240" w:lineRule="auto"/>
                    <w:jc w:val="center"/>
                    <w:rPr>
                      <w:rFonts w:cs="宋体"/>
                      <w:sz w:val="18"/>
                      <w:szCs w:val="18"/>
                    </w:rPr>
                  </w:pPr>
                  <w:r>
                    <w:rPr>
                      <w:rFonts w:hint="eastAsia" w:cs="宋体"/>
                      <w:sz w:val="18"/>
                      <w:szCs w:val="18"/>
                    </w:rPr>
                    <w:t>0.23</w:t>
                  </w:r>
                </w:p>
              </w:tc>
            </w:tr>
            <w:tr w14:paraId="647B7611">
              <w:tblPrEx>
                <w:tblCellMar>
                  <w:top w:w="0" w:type="dxa"/>
                  <w:left w:w="0" w:type="dxa"/>
                  <w:bottom w:w="0" w:type="dxa"/>
                  <w:right w:w="0" w:type="dxa"/>
                </w:tblCellMar>
              </w:tblPrEx>
              <w:trPr>
                <w:trHeight w:val="340" w:hRule="atLeast"/>
                <w:jc w:val="center"/>
              </w:trPr>
              <w:tc>
                <w:tcPr>
                  <w:tcW w:w="642" w:type="pct"/>
                  <w:vMerge w:val="continue"/>
                  <w:tcBorders>
                    <w:top w:val="nil"/>
                    <w:left w:val="single" w:color="auto" w:sz="12" w:space="0"/>
                    <w:bottom w:val="single" w:color="000000" w:sz="4" w:space="0"/>
                    <w:right w:val="single" w:color="000000" w:sz="4" w:space="0"/>
                  </w:tcBorders>
                  <w:vAlign w:val="center"/>
                </w:tcPr>
                <w:p w14:paraId="25795EE0">
                  <w:pPr>
                    <w:adjustRightInd/>
                    <w:snapToGrid/>
                    <w:spacing w:line="240" w:lineRule="auto"/>
                    <w:rPr>
                      <w:rFonts w:cs="宋体"/>
                      <w:color w:val="000000"/>
                      <w:sz w:val="18"/>
                      <w:szCs w:val="18"/>
                      <w:highlight w:val="yellow"/>
                    </w:rPr>
                  </w:pPr>
                </w:p>
              </w:tc>
              <w:tc>
                <w:tcPr>
                  <w:tcW w:w="904" w:type="pct"/>
                  <w:vMerge w:val="continue"/>
                  <w:tcBorders>
                    <w:top w:val="nil"/>
                    <w:left w:val="nil"/>
                    <w:bottom w:val="nil"/>
                    <w:right w:val="single" w:color="000000" w:sz="4" w:space="0"/>
                  </w:tcBorders>
                  <w:vAlign w:val="center"/>
                </w:tcPr>
                <w:p w14:paraId="3C398946">
                  <w:pPr>
                    <w:adjustRightInd/>
                    <w:snapToGrid/>
                    <w:spacing w:line="240" w:lineRule="auto"/>
                    <w:rPr>
                      <w:rFonts w:cs="宋体"/>
                      <w:color w:val="000000"/>
                      <w:sz w:val="18"/>
                      <w:szCs w:val="18"/>
                      <w:highlight w:val="yellow"/>
                    </w:rPr>
                  </w:pPr>
                </w:p>
              </w:tc>
              <w:tc>
                <w:tcPr>
                  <w:tcW w:w="80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06540A5D">
                  <w:pPr>
                    <w:spacing w:line="240" w:lineRule="auto"/>
                    <w:jc w:val="center"/>
                    <w:rPr>
                      <w:rFonts w:cs="宋体"/>
                      <w:sz w:val="18"/>
                      <w:szCs w:val="18"/>
                    </w:rPr>
                  </w:pPr>
                  <w:r>
                    <w:rPr>
                      <w:rFonts w:hint="eastAsia"/>
                      <w:sz w:val="18"/>
                      <w:szCs w:val="18"/>
                    </w:rPr>
                    <w:t>2024.11.29</w:t>
                  </w:r>
                </w:p>
              </w:tc>
              <w:tc>
                <w:tcPr>
                  <w:tcW w:w="507"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611E53A5">
                  <w:pPr>
                    <w:spacing w:line="240" w:lineRule="auto"/>
                    <w:jc w:val="center"/>
                    <w:rPr>
                      <w:rFonts w:cs="宋体"/>
                      <w:sz w:val="18"/>
                      <w:szCs w:val="18"/>
                    </w:rPr>
                  </w:pPr>
                  <w:r>
                    <w:rPr>
                      <w:rFonts w:hint="eastAsia" w:cs="宋体"/>
                      <w:sz w:val="18"/>
                      <w:szCs w:val="18"/>
                    </w:rPr>
                    <w:t>8.5</w:t>
                  </w:r>
                </w:p>
              </w:tc>
              <w:tc>
                <w:tcPr>
                  <w:tcW w:w="508"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637BD42E">
                  <w:pPr>
                    <w:spacing w:line="240" w:lineRule="auto"/>
                    <w:jc w:val="center"/>
                    <w:rPr>
                      <w:rFonts w:cs="宋体"/>
                      <w:sz w:val="18"/>
                      <w:szCs w:val="18"/>
                    </w:rPr>
                  </w:pPr>
                  <w:r>
                    <w:rPr>
                      <w:rFonts w:hint="eastAsia" w:cs="宋体"/>
                      <w:sz w:val="18"/>
                      <w:szCs w:val="18"/>
                    </w:rPr>
                    <w:t>5.2</w:t>
                  </w:r>
                </w:p>
              </w:tc>
              <w:tc>
                <w:tcPr>
                  <w:tcW w:w="67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2087D07D">
                  <w:pPr>
                    <w:spacing w:line="240" w:lineRule="auto"/>
                    <w:jc w:val="center"/>
                    <w:rPr>
                      <w:rFonts w:cs="宋体"/>
                      <w:sz w:val="18"/>
                      <w:szCs w:val="18"/>
                    </w:rPr>
                  </w:pPr>
                  <w:r>
                    <w:rPr>
                      <w:rFonts w:hint="eastAsia" w:cs="宋体"/>
                      <w:sz w:val="18"/>
                      <w:szCs w:val="18"/>
                    </w:rPr>
                    <w:t>39</w:t>
                  </w:r>
                </w:p>
              </w:tc>
              <w:tc>
                <w:tcPr>
                  <w:tcW w:w="459"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155614D8">
                  <w:pPr>
                    <w:spacing w:line="240" w:lineRule="auto"/>
                    <w:jc w:val="center"/>
                    <w:rPr>
                      <w:rFonts w:cs="宋体"/>
                      <w:sz w:val="18"/>
                      <w:szCs w:val="18"/>
                    </w:rPr>
                  </w:pPr>
                  <w:r>
                    <w:rPr>
                      <w:rFonts w:hint="eastAsia" w:cs="宋体"/>
                      <w:sz w:val="18"/>
                      <w:szCs w:val="18"/>
                    </w:rPr>
                    <w:t>2.18</w:t>
                  </w:r>
                </w:p>
              </w:tc>
              <w:tc>
                <w:tcPr>
                  <w:tcW w:w="498" w:type="pct"/>
                  <w:tcBorders>
                    <w:top w:val="single" w:color="000000" w:sz="4" w:space="0"/>
                    <w:left w:val="nil"/>
                    <w:bottom w:val="single" w:color="000000" w:sz="4" w:space="0"/>
                    <w:right w:val="single" w:color="auto" w:sz="12" w:space="0"/>
                  </w:tcBorders>
                  <w:tcMar>
                    <w:top w:w="0" w:type="dxa"/>
                    <w:left w:w="108" w:type="dxa"/>
                    <w:bottom w:w="0" w:type="dxa"/>
                    <w:right w:w="108" w:type="dxa"/>
                  </w:tcMar>
                  <w:vAlign w:val="center"/>
                </w:tcPr>
                <w:p w14:paraId="226A563F">
                  <w:pPr>
                    <w:spacing w:line="240" w:lineRule="auto"/>
                    <w:jc w:val="center"/>
                    <w:rPr>
                      <w:rFonts w:cs="宋体"/>
                      <w:sz w:val="18"/>
                      <w:szCs w:val="18"/>
                    </w:rPr>
                  </w:pPr>
                  <w:r>
                    <w:rPr>
                      <w:rFonts w:hint="eastAsia" w:cs="宋体"/>
                      <w:sz w:val="18"/>
                      <w:szCs w:val="18"/>
                    </w:rPr>
                    <w:t>0.25</w:t>
                  </w:r>
                </w:p>
              </w:tc>
            </w:tr>
            <w:tr w14:paraId="0C52A51F">
              <w:tblPrEx>
                <w:tblCellMar>
                  <w:top w:w="0" w:type="dxa"/>
                  <w:left w:w="0" w:type="dxa"/>
                  <w:bottom w:w="0" w:type="dxa"/>
                  <w:right w:w="0" w:type="dxa"/>
                </w:tblCellMar>
              </w:tblPrEx>
              <w:trPr>
                <w:trHeight w:val="340" w:hRule="atLeast"/>
                <w:jc w:val="center"/>
              </w:trPr>
              <w:tc>
                <w:tcPr>
                  <w:tcW w:w="642" w:type="pct"/>
                  <w:vMerge w:val="continue"/>
                  <w:tcBorders>
                    <w:top w:val="nil"/>
                    <w:left w:val="single" w:color="auto" w:sz="12" w:space="0"/>
                    <w:bottom w:val="single" w:color="000000" w:sz="4" w:space="0"/>
                    <w:right w:val="single" w:color="000000" w:sz="4" w:space="0"/>
                  </w:tcBorders>
                  <w:vAlign w:val="center"/>
                </w:tcPr>
                <w:p w14:paraId="6F6D5971">
                  <w:pPr>
                    <w:adjustRightInd/>
                    <w:snapToGrid/>
                    <w:spacing w:line="240" w:lineRule="auto"/>
                    <w:rPr>
                      <w:rFonts w:cs="宋体"/>
                      <w:color w:val="000000"/>
                      <w:sz w:val="18"/>
                      <w:szCs w:val="18"/>
                      <w:highlight w:val="yellow"/>
                    </w:rPr>
                  </w:pPr>
                </w:p>
              </w:tc>
              <w:tc>
                <w:tcPr>
                  <w:tcW w:w="904" w:type="pct"/>
                  <w:vMerge w:val="continue"/>
                  <w:tcBorders>
                    <w:top w:val="nil"/>
                    <w:left w:val="nil"/>
                    <w:bottom w:val="nil"/>
                    <w:right w:val="single" w:color="000000" w:sz="4" w:space="0"/>
                  </w:tcBorders>
                  <w:vAlign w:val="center"/>
                </w:tcPr>
                <w:p w14:paraId="510D3A23">
                  <w:pPr>
                    <w:adjustRightInd/>
                    <w:snapToGrid/>
                    <w:spacing w:line="240" w:lineRule="auto"/>
                    <w:rPr>
                      <w:rFonts w:cs="宋体"/>
                      <w:color w:val="000000"/>
                      <w:sz w:val="18"/>
                      <w:szCs w:val="18"/>
                      <w:highlight w:val="yellow"/>
                    </w:rPr>
                  </w:pPr>
                </w:p>
              </w:tc>
              <w:tc>
                <w:tcPr>
                  <w:tcW w:w="80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037C34C0">
                  <w:pPr>
                    <w:spacing w:line="240" w:lineRule="auto"/>
                    <w:jc w:val="center"/>
                    <w:rPr>
                      <w:rFonts w:cs="宋体"/>
                      <w:sz w:val="18"/>
                      <w:szCs w:val="18"/>
                    </w:rPr>
                  </w:pPr>
                  <w:r>
                    <w:rPr>
                      <w:sz w:val="18"/>
                      <w:szCs w:val="18"/>
                    </w:rPr>
                    <w:t>Ⅰ</w:t>
                  </w:r>
                  <w:r>
                    <w:rPr>
                      <w:rFonts w:ascii="宋体" w:hAnsi="宋体" w:cs="宋体"/>
                      <w:sz w:val="18"/>
                      <w:szCs w:val="18"/>
                    </w:rPr>
                    <w:t>类标准</w:t>
                  </w:r>
                </w:p>
              </w:tc>
              <w:tc>
                <w:tcPr>
                  <w:tcW w:w="507" w:type="pct"/>
                  <w:vMerge w:val="restart"/>
                  <w:tcBorders>
                    <w:top w:val="nil"/>
                    <w:left w:val="nil"/>
                    <w:bottom w:val="nil"/>
                    <w:right w:val="single" w:color="000000" w:sz="4" w:space="0"/>
                  </w:tcBorders>
                  <w:tcMar>
                    <w:top w:w="0" w:type="dxa"/>
                    <w:left w:w="108" w:type="dxa"/>
                    <w:bottom w:w="0" w:type="dxa"/>
                    <w:right w:w="108" w:type="dxa"/>
                  </w:tcMar>
                  <w:vAlign w:val="center"/>
                </w:tcPr>
                <w:p w14:paraId="4F0049AB">
                  <w:pPr>
                    <w:spacing w:line="240" w:lineRule="auto"/>
                    <w:jc w:val="center"/>
                    <w:rPr>
                      <w:rFonts w:cs="宋体"/>
                      <w:sz w:val="18"/>
                      <w:szCs w:val="18"/>
                    </w:rPr>
                  </w:pPr>
                  <w:r>
                    <w:rPr>
                      <w:rFonts w:cs="宋体"/>
                      <w:sz w:val="18"/>
                      <w:szCs w:val="18"/>
                    </w:rPr>
                    <w:t>6~9</w:t>
                  </w:r>
                </w:p>
              </w:tc>
              <w:tc>
                <w:tcPr>
                  <w:tcW w:w="508"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59170D7F">
                  <w:pPr>
                    <w:spacing w:line="240" w:lineRule="auto"/>
                    <w:jc w:val="center"/>
                    <w:rPr>
                      <w:rFonts w:cs="宋体"/>
                      <w:sz w:val="18"/>
                      <w:szCs w:val="18"/>
                    </w:rPr>
                  </w:pPr>
                  <w:r>
                    <w:rPr>
                      <w:sz w:val="18"/>
                      <w:szCs w:val="18"/>
                    </w:rPr>
                    <w:t>≥7.5</w:t>
                  </w:r>
                </w:p>
              </w:tc>
              <w:tc>
                <w:tcPr>
                  <w:tcW w:w="67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646D9BF3">
                  <w:pPr>
                    <w:spacing w:line="240" w:lineRule="auto"/>
                    <w:jc w:val="center"/>
                    <w:rPr>
                      <w:rFonts w:cs="宋体"/>
                      <w:sz w:val="18"/>
                      <w:szCs w:val="18"/>
                    </w:rPr>
                  </w:pPr>
                  <w:r>
                    <w:rPr>
                      <w:sz w:val="18"/>
                      <w:szCs w:val="18"/>
                    </w:rPr>
                    <w:t>≤</w:t>
                  </w:r>
                  <w:r>
                    <w:rPr>
                      <w:rFonts w:hint="eastAsia"/>
                      <w:sz w:val="18"/>
                      <w:szCs w:val="18"/>
                    </w:rPr>
                    <w:t>15</w:t>
                  </w:r>
                </w:p>
              </w:tc>
              <w:tc>
                <w:tcPr>
                  <w:tcW w:w="459"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5C0498CF">
                  <w:pPr>
                    <w:spacing w:line="240" w:lineRule="auto"/>
                    <w:jc w:val="center"/>
                    <w:rPr>
                      <w:rFonts w:cs="宋体"/>
                      <w:sz w:val="18"/>
                      <w:szCs w:val="18"/>
                    </w:rPr>
                  </w:pPr>
                  <w:r>
                    <w:rPr>
                      <w:sz w:val="18"/>
                      <w:szCs w:val="18"/>
                    </w:rPr>
                    <w:t>≤0.15</w:t>
                  </w:r>
                </w:p>
              </w:tc>
              <w:tc>
                <w:tcPr>
                  <w:tcW w:w="498" w:type="pct"/>
                  <w:tcBorders>
                    <w:top w:val="single" w:color="000000" w:sz="4" w:space="0"/>
                    <w:left w:val="nil"/>
                    <w:bottom w:val="single" w:color="000000" w:sz="4" w:space="0"/>
                    <w:right w:val="single" w:color="auto" w:sz="12" w:space="0"/>
                  </w:tcBorders>
                  <w:tcMar>
                    <w:top w:w="0" w:type="dxa"/>
                    <w:left w:w="108" w:type="dxa"/>
                    <w:bottom w:w="0" w:type="dxa"/>
                    <w:right w:w="108" w:type="dxa"/>
                  </w:tcMar>
                  <w:vAlign w:val="center"/>
                </w:tcPr>
                <w:p w14:paraId="37672DBE">
                  <w:pPr>
                    <w:spacing w:line="240" w:lineRule="auto"/>
                    <w:jc w:val="center"/>
                    <w:rPr>
                      <w:rFonts w:cs="宋体"/>
                      <w:sz w:val="18"/>
                      <w:szCs w:val="18"/>
                    </w:rPr>
                  </w:pPr>
                  <w:r>
                    <w:rPr>
                      <w:sz w:val="18"/>
                      <w:szCs w:val="18"/>
                    </w:rPr>
                    <w:t>≤0.02</w:t>
                  </w:r>
                </w:p>
              </w:tc>
            </w:tr>
            <w:tr w14:paraId="18C6FEB1">
              <w:tblPrEx>
                <w:tblCellMar>
                  <w:top w:w="0" w:type="dxa"/>
                  <w:left w:w="0" w:type="dxa"/>
                  <w:bottom w:w="0" w:type="dxa"/>
                  <w:right w:w="0" w:type="dxa"/>
                </w:tblCellMar>
              </w:tblPrEx>
              <w:trPr>
                <w:trHeight w:val="340" w:hRule="atLeast"/>
                <w:jc w:val="center"/>
              </w:trPr>
              <w:tc>
                <w:tcPr>
                  <w:tcW w:w="642" w:type="pct"/>
                  <w:vMerge w:val="continue"/>
                  <w:tcBorders>
                    <w:top w:val="nil"/>
                    <w:left w:val="single" w:color="auto" w:sz="12" w:space="0"/>
                    <w:bottom w:val="single" w:color="000000" w:sz="4" w:space="0"/>
                    <w:right w:val="single" w:color="000000" w:sz="4" w:space="0"/>
                  </w:tcBorders>
                  <w:vAlign w:val="center"/>
                </w:tcPr>
                <w:p w14:paraId="59955A98">
                  <w:pPr>
                    <w:adjustRightInd/>
                    <w:snapToGrid/>
                    <w:spacing w:line="240" w:lineRule="auto"/>
                    <w:rPr>
                      <w:rFonts w:cs="宋体"/>
                      <w:color w:val="000000"/>
                      <w:sz w:val="18"/>
                      <w:szCs w:val="18"/>
                      <w:highlight w:val="yellow"/>
                    </w:rPr>
                  </w:pPr>
                </w:p>
              </w:tc>
              <w:tc>
                <w:tcPr>
                  <w:tcW w:w="904" w:type="pct"/>
                  <w:vMerge w:val="continue"/>
                  <w:tcBorders>
                    <w:top w:val="nil"/>
                    <w:left w:val="nil"/>
                    <w:bottom w:val="nil"/>
                    <w:right w:val="single" w:color="000000" w:sz="4" w:space="0"/>
                  </w:tcBorders>
                  <w:vAlign w:val="center"/>
                </w:tcPr>
                <w:p w14:paraId="51C16C3C">
                  <w:pPr>
                    <w:adjustRightInd/>
                    <w:snapToGrid/>
                    <w:spacing w:line="240" w:lineRule="auto"/>
                    <w:rPr>
                      <w:rFonts w:cs="宋体"/>
                      <w:color w:val="000000"/>
                      <w:sz w:val="18"/>
                      <w:szCs w:val="18"/>
                      <w:highlight w:val="yellow"/>
                    </w:rPr>
                  </w:pPr>
                </w:p>
              </w:tc>
              <w:tc>
                <w:tcPr>
                  <w:tcW w:w="80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04620CAC">
                  <w:pPr>
                    <w:spacing w:line="240" w:lineRule="auto"/>
                    <w:jc w:val="center"/>
                    <w:rPr>
                      <w:rFonts w:cs="宋体"/>
                      <w:sz w:val="18"/>
                      <w:szCs w:val="18"/>
                    </w:rPr>
                  </w:pPr>
                  <w:r>
                    <w:rPr>
                      <w:sz w:val="18"/>
                      <w:szCs w:val="18"/>
                    </w:rPr>
                    <w:t>Ⅱ</w:t>
                  </w:r>
                  <w:r>
                    <w:rPr>
                      <w:rFonts w:ascii="宋体" w:hAnsi="宋体" w:cs="宋体"/>
                      <w:sz w:val="18"/>
                      <w:szCs w:val="18"/>
                    </w:rPr>
                    <w:t>类标准</w:t>
                  </w:r>
                </w:p>
              </w:tc>
              <w:tc>
                <w:tcPr>
                  <w:tcW w:w="507" w:type="pct"/>
                  <w:vMerge w:val="continue"/>
                  <w:tcBorders>
                    <w:top w:val="nil"/>
                    <w:left w:val="nil"/>
                    <w:bottom w:val="nil"/>
                    <w:right w:val="single" w:color="000000" w:sz="4" w:space="0"/>
                  </w:tcBorders>
                  <w:vAlign w:val="center"/>
                </w:tcPr>
                <w:p w14:paraId="408CD1EA">
                  <w:pPr>
                    <w:adjustRightInd/>
                    <w:snapToGrid/>
                    <w:spacing w:line="240" w:lineRule="auto"/>
                    <w:rPr>
                      <w:rFonts w:cs="宋体"/>
                      <w:color w:val="000000"/>
                      <w:sz w:val="18"/>
                      <w:szCs w:val="18"/>
                    </w:rPr>
                  </w:pPr>
                </w:p>
              </w:tc>
              <w:tc>
                <w:tcPr>
                  <w:tcW w:w="508"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755DD705">
                  <w:pPr>
                    <w:spacing w:line="240" w:lineRule="auto"/>
                    <w:jc w:val="center"/>
                    <w:rPr>
                      <w:rFonts w:cs="宋体"/>
                      <w:sz w:val="18"/>
                      <w:szCs w:val="18"/>
                    </w:rPr>
                  </w:pPr>
                  <w:r>
                    <w:rPr>
                      <w:sz w:val="18"/>
                      <w:szCs w:val="18"/>
                    </w:rPr>
                    <w:t>≥6</w:t>
                  </w:r>
                </w:p>
              </w:tc>
              <w:tc>
                <w:tcPr>
                  <w:tcW w:w="67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2C0ED2EE">
                  <w:pPr>
                    <w:spacing w:line="240" w:lineRule="auto"/>
                    <w:jc w:val="center"/>
                    <w:rPr>
                      <w:rFonts w:cs="宋体"/>
                      <w:sz w:val="18"/>
                      <w:szCs w:val="18"/>
                    </w:rPr>
                  </w:pPr>
                  <w:r>
                    <w:rPr>
                      <w:sz w:val="18"/>
                      <w:szCs w:val="18"/>
                    </w:rPr>
                    <w:t>≤</w:t>
                  </w:r>
                  <w:r>
                    <w:rPr>
                      <w:rFonts w:hint="eastAsia"/>
                      <w:sz w:val="18"/>
                      <w:szCs w:val="18"/>
                    </w:rPr>
                    <w:t>15</w:t>
                  </w:r>
                </w:p>
              </w:tc>
              <w:tc>
                <w:tcPr>
                  <w:tcW w:w="459"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4FBEAE88">
                  <w:pPr>
                    <w:spacing w:line="240" w:lineRule="auto"/>
                    <w:jc w:val="center"/>
                    <w:rPr>
                      <w:rFonts w:cs="宋体"/>
                      <w:sz w:val="18"/>
                      <w:szCs w:val="18"/>
                    </w:rPr>
                  </w:pPr>
                  <w:r>
                    <w:rPr>
                      <w:sz w:val="18"/>
                      <w:szCs w:val="18"/>
                    </w:rPr>
                    <w:t>≤0.5</w:t>
                  </w:r>
                </w:p>
              </w:tc>
              <w:tc>
                <w:tcPr>
                  <w:tcW w:w="498" w:type="pct"/>
                  <w:tcBorders>
                    <w:top w:val="single" w:color="000000" w:sz="4" w:space="0"/>
                    <w:left w:val="nil"/>
                    <w:bottom w:val="single" w:color="000000" w:sz="4" w:space="0"/>
                    <w:right w:val="single" w:color="auto" w:sz="12" w:space="0"/>
                  </w:tcBorders>
                  <w:tcMar>
                    <w:top w:w="0" w:type="dxa"/>
                    <w:left w:w="108" w:type="dxa"/>
                    <w:bottom w:w="0" w:type="dxa"/>
                    <w:right w:w="108" w:type="dxa"/>
                  </w:tcMar>
                  <w:vAlign w:val="center"/>
                </w:tcPr>
                <w:p w14:paraId="613A687A">
                  <w:pPr>
                    <w:spacing w:line="240" w:lineRule="auto"/>
                    <w:jc w:val="center"/>
                    <w:rPr>
                      <w:rFonts w:cs="宋体"/>
                      <w:sz w:val="18"/>
                      <w:szCs w:val="18"/>
                    </w:rPr>
                  </w:pPr>
                  <w:r>
                    <w:rPr>
                      <w:sz w:val="18"/>
                      <w:szCs w:val="18"/>
                    </w:rPr>
                    <w:t>≤0.1</w:t>
                  </w:r>
                </w:p>
              </w:tc>
            </w:tr>
            <w:tr w14:paraId="015146DA">
              <w:tblPrEx>
                <w:tblCellMar>
                  <w:top w:w="0" w:type="dxa"/>
                  <w:left w:w="0" w:type="dxa"/>
                  <w:bottom w:w="0" w:type="dxa"/>
                  <w:right w:w="0" w:type="dxa"/>
                </w:tblCellMar>
              </w:tblPrEx>
              <w:trPr>
                <w:trHeight w:val="340" w:hRule="atLeast"/>
                <w:jc w:val="center"/>
              </w:trPr>
              <w:tc>
                <w:tcPr>
                  <w:tcW w:w="642" w:type="pct"/>
                  <w:vMerge w:val="continue"/>
                  <w:tcBorders>
                    <w:top w:val="nil"/>
                    <w:left w:val="single" w:color="auto" w:sz="12" w:space="0"/>
                    <w:bottom w:val="single" w:color="000000" w:sz="4" w:space="0"/>
                    <w:right w:val="single" w:color="000000" w:sz="4" w:space="0"/>
                  </w:tcBorders>
                  <w:vAlign w:val="center"/>
                </w:tcPr>
                <w:p w14:paraId="25259522">
                  <w:pPr>
                    <w:adjustRightInd/>
                    <w:snapToGrid/>
                    <w:spacing w:line="240" w:lineRule="auto"/>
                    <w:rPr>
                      <w:rFonts w:cs="宋体"/>
                      <w:color w:val="000000"/>
                      <w:sz w:val="18"/>
                      <w:szCs w:val="18"/>
                      <w:highlight w:val="yellow"/>
                    </w:rPr>
                  </w:pPr>
                </w:p>
              </w:tc>
              <w:tc>
                <w:tcPr>
                  <w:tcW w:w="904" w:type="pct"/>
                  <w:vMerge w:val="continue"/>
                  <w:tcBorders>
                    <w:top w:val="nil"/>
                    <w:left w:val="nil"/>
                    <w:bottom w:val="nil"/>
                    <w:right w:val="single" w:color="000000" w:sz="4" w:space="0"/>
                  </w:tcBorders>
                  <w:vAlign w:val="center"/>
                </w:tcPr>
                <w:p w14:paraId="2DD7021C">
                  <w:pPr>
                    <w:adjustRightInd/>
                    <w:snapToGrid/>
                    <w:spacing w:line="240" w:lineRule="auto"/>
                    <w:rPr>
                      <w:rFonts w:cs="宋体"/>
                      <w:color w:val="000000"/>
                      <w:sz w:val="18"/>
                      <w:szCs w:val="18"/>
                      <w:highlight w:val="yellow"/>
                    </w:rPr>
                  </w:pPr>
                </w:p>
              </w:tc>
              <w:tc>
                <w:tcPr>
                  <w:tcW w:w="80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2C78ADF6">
                  <w:pPr>
                    <w:spacing w:line="240" w:lineRule="auto"/>
                    <w:jc w:val="center"/>
                    <w:rPr>
                      <w:rFonts w:cs="宋体"/>
                      <w:sz w:val="18"/>
                      <w:szCs w:val="18"/>
                    </w:rPr>
                  </w:pPr>
                  <w:r>
                    <w:rPr>
                      <w:sz w:val="18"/>
                      <w:szCs w:val="18"/>
                    </w:rPr>
                    <w:t>Ⅲ</w:t>
                  </w:r>
                  <w:r>
                    <w:rPr>
                      <w:rFonts w:ascii="宋体" w:hAnsi="宋体" w:cs="宋体"/>
                      <w:sz w:val="18"/>
                      <w:szCs w:val="18"/>
                    </w:rPr>
                    <w:t>类标准</w:t>
                  </w:r>
                </w:p>
              </w:tc>
              <w:tc>
                <w:tcPr>
                  <w:tcW w:w="507" w:type="pct"/>
                  <w:vMerge w:val="continue"/>
                  <w:tcBorders>
                    <w:top w:val="nil"/>
                    <w:left w:val="nil"/>
                    <w:bottom w:val="nil"/>
                    <w:right w:val="single" w:color="000000" w:sz="4" w:space="0"/>
                  </w:tcBorders>
                  <w:vAlign w:val="center"/>
                </w:tcPr>
                <w:p w14:paraId="2CB67C47">
                  <w:pPr>
                    <w:adjustRightInd/>
                    <w:snapToGrid/>
                    <w:spacing w:line="240" w:lineRule="auto"/>
                    <w:rPr>
                      <w:rFonts w:cs="宋体"/>
                      <w:color w:val="000000"/>
                      <w:sz w:val="18"/>
                      <w:szCs w:val="18"/>
                    </w:rPr>
                  </w:pPr>
                </w:p>
              </w:tc>
              <w:tc>
                <w:tcPr>
                  <w:tcW w:w="508"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6FCA7553">
                  <w:pPr>
                    <w:spacing w:line="240" w:lineRule="auto"/>
                    <w:jc w:val="center"/>
                    <w:rPr>
                      <w:rFonts w:cs="宋体"/>
                      <w:sz w:val="18"/>
                      <w:szCs w:val="18"/>
                    </w:rPr>
                  </w:pPr>
                  <w:r>
                    <w:rPr>
                      <w:sz w:val="18"/>
                      <w:szCs w:val="18"/>
                    </w:rPr>
                    <w:t>≥5</w:t>
                  </w:r>
                </w:p>
              </w:tc>
              <w:tc>
                <w:tcPr>
                  <w:tcW w:w="67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4503E092">
                  <w:pPr>
                    <w:spacing w:line="240" w:lineRule="auto"/>
                    <w:jc w:val="center"/>
                    <w:rPr>
                      <w:rFonts w:cs="宋体"/>
                      <w:sz w:val="18"/>
                      <w:szCs w:val="18"/>
                    </w:rPr>
                  </w:pPr>
                  <w:r>
                    <w:rPr>
                      <w:sz w:val="18"/>
                      <w:szCs w:val="18"/>
                    </w:rPr>
                    <w:t>≤</w:t>
                  </w:r>
                  <w:r>
                    <w:rPr>
                      <w:rFonts w:hint="eastAsia"/>
                      <w:sz w:val="18"/>
                      <w:szCs w:val="18"/>
                    </w:rPr>
                    <w:t>20</w:t>
                  </w:r>
                </w:p>
              </w:tc>
              <w:tc>
                <w:tcPr>
                  <w:tcW w:w="459"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40CB1EC6">
                  <w:pPr>
                    <w:spacing w:line="240" w:lineRule="auto"/>
                    <w:jc w:val="center"/>
                    <w:rPr>
                      <w:rFonts w:cs="宋体"/>
                      <w:sz w:val="18"/>
                      <w:szCs w:val="18"/>
                    </w:rPr>
                  </w:pPr>
                  <w:r>
                    <w:rPr>
                      <w:sz w:val="18"/>
                      <w:szCs w:val="18"/>
                    </w:rPr>
                    <w:t>≤1.0</w:t>
                  </w:r>
                </w:p>
              </w:tc>
              <w:tc>
                <w:tcPr>
                  <w:tcW w:w="498" w:type="pct"/>
                  <w:tcBorders>
                    <w:top w:val="single" w:color="000000" w:sz="4" w:space="0"/>
                    <w:left w:val="nil"/>
                    <w:bottom w:val="single" w:color="000000" w:sz="4" w:space="0"/>
                    <w:right w:val="single" w:color="auto" w:sz="12" w:space="0"/>
                  </w:tcBorders>
                  <w:tcMar>
                    <w:top w:w="0" w:type="dxa"/>
                    <w:left w:w="108" w:type="dxa"/>
                    <w:bottom w:w="0" w:type="dxa"/>
                    <w:right w:w="108" w:type="dxa"/>
                  </w:tcMar>
                  <w:vAlign w:val="center"/>
                </w:tcPr>
                <w:p w14:paraId="4B6874AF">
                  <w:pPr>
                    <w:spacing w:line="240" w:lineRule="auto"/>
                    <w:jc w:val="center"/>
                    <w:rPr>
                      <w:rFonts w:cs="宋体"/>
                      <w:sz w:val="18"/>
                      <w:szCs w:val="18"/>
                    </w:rPr>
                  </w:pPr>
                  <w:r>
                    <w:rPr>
                      <w:sz w:val="18"/>
                      <w:szCs w:val="18"/>
                    </w:rPr>
                    <w:t>≤0.2</w:t>
                  </w:r>
                </w:p>
              </w:tc>
            </w:tr>
            <w:tr w14:paraId="62BE3687">
              <w:tblPrEx>
                <w:tblCellMar>
                  <w:top w:w="0" w:type="dxa"/>
                  <w:left w:w="0" w:type="dxa"/>
                  <w:bottom w:w="0" w:type="dxa"/>
                  <w:right w:w="0" w:type="dxa"/>
                </w:tblCellMar>
              </w:tblPrEx>
              <w:trPr>
                <w:trHeight w:val="340" w:hRule="atLeast"/>
                <w:jc w:val="center"/>
              </w:trPr>
              <w:tc>
                <w:tcPr>
                  <w:tcW w:w="642" w:type="pct"/>
                  <w:vMerge w:val="continue"/>
                  <w:tcBorders>
                    <w:top w:val="nil"/>
                    <w:left w:val="single" w:color="auto" w:sz="12" w:space="0"/>
                    <w:bottom w:val="single" w:color="000000" w:sz="4" w:space="0"/>
                    <w:right w:val="single" w:color="000000" w:sz="4" w:space="0"/>
                  </w:tcBorders>
                  <w:vAlign w:val="center"/>
                </w:tcPr>
                <w:p w14:paraId="2617D48A">
                  <w:pPr>
                    <w:adjustRightInd/>
                    <w:snapToGrid/>
                    <w:spacing w:line="240" w:lineRule="auto"/>
                    <w:rPr>
                      <w:rFonts w:cs="宋体"/>
                      <w:color w:val="000000"/>
                      <w:sz w:val="18"/>
                      <w:szCs w:val="18"/>
                      <w:highlight w:val="yellow"/>
                    </w:rPr>
                  </w:pPr>
                </w:p>
              </w:tc>
              <w:tc>
                <w:tcPr>
                  <w:tcW w:w="904" w:type="pct"/>
                  <w:vMerge w:val="continue"/>
                  <w:tcBorders>
                    <w:top w:val="nil"/>
                    <w:left w:val="nil"/>
                    <w:bottom w:val="nil"/>
                    <w:right w:val="single" w:color="000000" w:sz="4" w:space="0"/>
                  </w:tcBorders>
                  <w:vAlign w:val="center"/>
                </w:tcPr>
                <w:p w14:paraId="7B418693">
                  <w:pPr>
                    <w:adjustRightInd/>
                    <w:snapToGrid/>
                    <w:spacing w:line="240" w:lineRule="auto"/>
                    <w:rPr>
                      <w:rFonts w:cs="宋体"/>
                      <w:color w:val="000000"/>
                      <w:sz w:val="18"/>
                      <w:szCs w:val="18"/>
                      <w:highlight w:val="yellow"/>
                    </w:rPr>
                  </w:pPr>
                </w:p>
              </w:tc>
              <w:tc>
                <w:tcPr>
                  <w:tcW w:w="80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1BD4B5F2">
                  <w:pPr>
                    <w:spacing w:line="240" w:lineRule="auto"/>
                    <w:jc w:val="center"/>
                    <w:rPr>
                      <w:rFonts w:cs="宋体"/>
                      <w:sz w:val="18"/>
                      <w:szCs w:val="18"/>
                    </w:rPr>
                  </w:pPr>
                  <w:r>
                    <w:rPr>
                      <w:sz w:val="18"/>
                      <w:szCs w:val="18"/>
                    </w:rPr>
                    <w:t>Ⅳ</w:t>
                  </w:r>
                  <w:r>
                    <w:rPr>
                      <w:rFonts w:ascii="宋体" w:hAnsi="宋体" w:cs="宋体"/>
                      <w:sz w:val="18"/>
                      <w:szCs w:val="18"/>
                    </w:rPr>
                    <w:t>类标准</w:t>
                  </w:r>
                </w:p>
              </w:tc>
              <w:tc>
                <w:tcPr>
                  <w:tcW w:w="507" w:type="pct"/>
                  <w:vMerge w:val="continue"/>
                  <w:tcBorders>
                    <w:top w:val="nil"/>
                    <w:left w:val="nil"/>
                    <w:bottom w:val="nil"/>
                    <w:right w:val="single" w:color="000000" w:sz="4" w:space="0"/>
                  </w:tcBorders>
                  <w:vAlign w:val="center"/>
                </w:tcPr>
                <w:p w14:paraId="4A54BC70">
                  <w:pPr>
                    <w:adjustRightInd/>
                    <w:snapToGrid/>
                    <w:spacing w:line="240" w:lineRule="auto"/>
                    <w:rPr>
                      <w:rFonts w:cs="宋体"/>
                      <w:color w:val="000000"/>
                      <w:sz w:val="18"/>
                      <w:szCs w:val="18"/>
                    </w:rPr>
                  </w:pPr>
                </w:p>
              </w:tc>
              <w:tc>
                <w:tcPr>
                  <w:tcW w:w="508"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2FCDDF05">
                  <w:pPr>
                    <w:spacing w:line="240" w:lineRule="auto"/>
                    <w:jc w:val="center"/>
                    <w:rPr>
                      <w:rFonts w:cs="宋体"/>
                      <w:sz w:val="18"/>
                      <w:szCs w:val="18"/>
                    </w:rPr>
                  </w:pPr>
                  <w:r>
                    <w:rPr>
                      <w:sz w:val="18"/>
                      <w:szCs w:val="18"/>
                    </w:rPr>
                    <w:t>≥3</w:t>
                  </w:r>
                </w:p>
              </w:tc>
              <w:tc>
                <w:tcPr>
                  <w:tcW w:w="67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07F17D7D">
                  <w:pPr>
                    <w:spacing w:line="240" w:lineRule="auto"/>
                    <w:jc w:val="center"/>
                    <w:rPr>
                      <w:rFonts w:cs="宋体"/>
                      <w:sz w:val="18"/>
                      <w:szCs w:val="18"/>
                    </w:rPr>
                  </w:pPr>
                  <w:r>
                    <w:rPr>
                      <w:sz w:val="18"/>
                      <w:szCs w:val="18"/>
                    </w:rPr>
                    <w:t>≤</w:t>
                  </w:r>
                  <w:r>
                    <w:rPr>
                      <w:rFonts w:hint="eastAsia"/>
                      <w:sz w:val="18"/>
                      <w:szCs w:val="18"/>
                    </w:rPr>
                    <w:t>30</w:t>
                  </w:r>
                </w:p>
              </w:tc>
              <w:tc>
                <w:tcPr>
                  <w:tcW w:w="459"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5667E080">
                  <w:pPr>
                    <w:spacing w:line="240" w:lineRule="auto"/>
                    <w:jc w:val="center"/>
                    <w:rPr>
                      <w:rFonts w:cs="宋体"/>
                      <w:sz w:val="18"/>
                      <w:szCs w:val="18"/>
                    </w:rPr>
                  </w:pPr>
                  <w:r>
                    <w:rPr>
                      <w:sz w:val="18"/>
                      <w:szCs w:val="18"/>
                    </w:rPr>
                    <w:t>≤1.5</w:t>
                  </w:r>
                </w:p>
              </w:tc>
              <w:tc>
                <w:tcPr>
                  <w:tcW w:w="498" w:type="pct"/>
                  <w:tcBorders>
                    <w:top w:val="single" w:color="000000" w:sz="4" w:space="0"/>
                    <w:left w:val="nil"/>
                    <w:bottom w:val="single" w:color="000000" w:sz="4" w:space="0"/>
                    <w:right w:val="single" w:color="auto" w:sz="12" w:space="0"/>
                  </w:tcBorders>
                  <w:tcMar>
                    <w:top w:w="0" w:type="dxa"/>
                    <w:left w:w="108" w:type="dxa"/>
                    <w:bottom w:w="0" w:type="dxa"/>
                    <w:right w:w="108" w:type="dxa"/>
                  </w:tcMar>
                  <w:vAlign w:val="center"/>
                </w:tcPr>
                <w:p w14:paraId="6A1C8243">
                  <w:pPr>
                    <w:spacing w:line="240" w:lineRule="auto"/>
                    <w:jc w:val="center"/>
                    <w:rPr>
                      <w:rFonts w:cs="宋体"/>
                      <w:sz w:val="18"/>
                      <w:szCs w:val="18"/>
                    </w:rPr>
                  </w:pPr>
                  <w:r>
                    <w:rPr>
                      <w:sz w:val="18"/>
                      <w:szCs w:val="18"/>
                    </w:rPr>
                    <w:t>≤0.3</w:t>
                  </w:r>
                </w:p>
              </w:tc>
            </w:tr>
            <w:tr w14:paraId="6F9EF21B">
              <w:tblPrEx>
                <w:tblCellMar>
                  <w:top w:w="0" w:type="dxa"/>
                  <w:left w:w="0" w:type="dxa"/>
                  <w:bottom w:w="0" w:type="dxa"/>
                  <w:right w:w="0" w:type="dxa"/>
                </w:tblCellMar>
              </w:tblPrEx>
              <w:trPr>
                <w:trHeight w:val="340" w:hRule="atLeast"/>
                <w:jc w:val="center"/>
              </w:trPr>
              <w:tc>
                <w:tcPr>
                  <w:tcW w:w="642" w:type="pct"/>
                  <w:vMerge w:val="continue"/>
                  <w:tcBorders>
                    <w:top w:val="nil"/>
                    <w:left w:val="single" w:color="auto" w:sz="12" w:space="0"/>
                    <w:bottom w:val="single" w:color="000000" w:sz="4" w:space="0"/>
                    <w:right w:val="single" w:color="000000" w:sz="4" w:space="0"/>
                  </w:tcBorders>
                  <w:vAlign w:val="center"/>
                </w:tcPr>
                <w:p w14:paraId="363ED25A">
                  <w:pPr>
                    <w:adjustRightInd/>
                    <w:snapToGrid/>
                    <w:spacing w:line="240" w:lineRule="auto"/>
                    <w:rPr>
                      <w:rFonts w:cs="宋体"/>
                      <w:color w:val="000000"/>
                      <w:sz w:val="18"/>
                      <w:szCs w:val="18"/>
                      <w:highlight w:val="yellow"/>
                    </w:rPr>
                  </w:pPr>
                </w:p>
              </w:tc>
              <w:tc>
                <w:tcPr>
                  <w:tcW w:w="904" w:type="pct"/>
                  <w:vMerge w:val="continue"/>
                  <w:tcBorders>
                    <w:top w:val="nil"/>
                    <w:left w:val="nil"/>
                    <w:bottom w:val="nil"/>
                    <w:right w:val="single" w:color="000000" w:sz="4" w:space="0"/>
                  </w:tcBorders>
                  <w:vAlign w:val="center"/>
                </w:tcPr>
                <w:p w14:paraId="2318A375">
                  <w:pPr>
                    <w:adjustRightInd/>
                    <w:snapToGrid/>
                    <w:spacing w:line="240" w:lineRule="auto"/>
                    <w:rPr>
                      <w:rFonts w:cs="宋体"/>
                      <w:color w:val="000000"/>
                      <w:sz w:val="18"/>
                      <w:szCs w:val="18"/>
                      <w:highlight w:val="yellow"/>
                    </w:rPr>
                  </w:pPr>
                </w:p>
              </w:tc>
              <w:tc>
                <w:tcPr>
                  <w:tcW w:w="80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03439467">
                  <w:pPr>
                    <w:spacing w:line="240" w:lineRule="auto"/>
                    <w:jc w:val="center"/>
                    <w:rPr>
                      <w:rFonts w:cs="宋体"/>
                      <w:sz w:val="18"/>
                      <w:szCs w:val="18"/>
                    </w:rPr>
                  </w:pPr>
                  <w:r>
                    <w:rPr>
                      <w:sz w:val="18"/>
                      <w:szCs w:val="18"/>
                    </w:rPr>
                    <w:t>Ⅴ</w:t>
                  </w:r>
                  <w:r>
                    <w:rPr>
                      <w:rFonts w:ascii="宋体" w:hAnsi="宋体" w:cs="宋体"/>
                      <w:sz w:val="18"/>
                      <w:szCs w:val="18"/>
                    </w:rPr>
                    <w:t>类标准</w:t>
                  </w:r>
                </w:p>
              </w:tc>
              <w:tc>
                <w:tcPr>
                  <w:tcW w:w="507" w:type="pct"/>
                  <w:vMerge w:val="continue"/>
                  <w:tcBorders>
                    <w:top w:val="nil"/>
                    <w:left w:val="nil"/>
                    <w:bottom w:val="nil"/>
                    <w:right w:val="single" w:color="000000" w:sz="4" w:space="0"/>
                  </w:tcBorders>
                  <w:vAlign w:val="center"/>
                </w:tcPr>
                <w:p w14:paraId="52A0DF2D">
                  <w:pPr>
                    <w:adjustRightInd/>
                    <w:snapToGrid/>
                    <w:spacing w:line="240" w:lineRule="auto"/>
                    <w:rPr>
                      <w:rFonts w:cs="宋体"/>
                      <w:color w:val="000000"/>
                      <w:sz w:val="18"/>
                      <w:szCs w:val="18"/>
                    </w:rPr>
                  </w:pPr>
                </w:p>
              </w:tc>
              <w:tc>
                <w:tcPr>
                  <w:tcW w:w="508"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009E9E31">
                  <w:pPr>
                    <w:spacing w:line="240" w:lineRule="auto"/>
                    <w:jc w:val="center"/>
                    <w:rPr>
                      <w:rFonts w:cs="宋体"/>
                      <w:sz w:val="18"/>
                      <w:szCs w:val="18"/>
                    </w:rPr>
                  </w:pPr>
                  <w:r>
                    <w:rPr>
                      <w:sz w:val="18"/>
                      <w:szCs w:val="18"/>
                    </w:rPr>
                    <w:t>≥</w:t>
                  </w:r>
                  <w:r>
                    <w:rPr>
                      <w:rFonts w:hint="eastAsia"/>
                      <w:sz w:val="18"/>
                      <w:szCs w:val="18"/>
                    </w:rPr>
                    <w:t>2</w:t>
                  </w:r>
                </w:p>
              </w:tc>
              <w:tc>
                <w:tcPr>
                  <w:tcW w:w="67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602763F0">
                  <w:pPr>
                    <w:spacing w:line="240" w:lineRule="auto"/>
                    <w:jc w:val="center"/>
                    <w:rPr>
                      <w:rFonts w:cs="宋体"/>
                      <w:sz w:val="18"/>
                      <w:szCs w:val="18"/>
                    </w:rPr>
                  </w:pPr>
                  <w:r>
                    <w:rPr>
                      <w:sz w:val="18"/>
                      <w:szCs w:val="18"/>
                    </w:rPr>
                    <w:t>≤</w:t>
                  </w:r>
                  <w:r>
                    <w:rPr>
                      <w:rFonts w:hint="eastAsia"/>
                      <w:sz w:val="18"/>
                      <w:szCs w:val="18"/>
                    </w:rPr>
                    <w:t>40</w:t>
                  </w:r>
                </w:p>
              </w:tc>
              <w:tc>
                <w:tcPr>
                  <w:tcW w:w="459"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6231D97C">
                  <w:pPr>
                    <w:spacing w:line="240" w:lineRule="auto"/>
                    <w:jc w:val="center"/>
                    <w:rPr>
                      <w:rFonts w:cs="宋体"/>
                      <w:sz w:val="18"/>
                      <w:szCs w:val="18"/>
                    </w:rPr>
                  </w:pPr>
                  <w:r>
                    <w:rPr>
                      <w:sz w:val="18"/>
                      <w:szCs w:val="18"/>
                    </w:rPr>
                    <w:t>≤</w:t>
                  </w:r>
                  <w:r>
                    <w:rPr>
                      <w:rFonts w:hint="eastAsia"/>
                      <w:sz w:val="18"/>
                      <w:szCs w:val="18"/>
                    </w:rPr>
                    <w:t>2.0</w:t>
                  </w:r>
                </w:p>
              </w:tc>
              <w:tc>
                <w:tcPr>
                  <w:tcW w:w="498" w:type="pct"/>
                  <w:tcBorders>
                    <w:top w:val="single" w:color="000000" w:sz="4" w:space="0"/>
                    <w:left w:val="nil"/>
                    <w:bottom w:val="single" w:color="000000" w:sz="4" w:space="0"/>
                    <w:right w:val="single" w:color="auto" w:sz="12" w:space="0"/>
                  </w:tcBorders>
                  <w:tcMar>
                    <w:top w:w="0" w:type="dxa"/>
                    <w:left w:w="108" w:type="dxa"/>
                    <w:bottom w:w="0" w:type="dxa"/>
                    <w:right w:w="108" w:type="dxa"/>
                  </w:tcMar>
                  <w:vAlign w:val="center"/>
                </w:tcPr>
                <w:p w14:paraId="2D71538C">
                  <w:pPr>
                    <w:spacing w:line="240" w:lineRule="auto"/>
                    <w:jc w:val="center"/>
                    <w:rPr>
                      <w:rFonts w:cs="宋体"/>
                      <w:sz w:val="18"/>
                      <w:szCs w:val="18"/>
                    </w:rPr>
                  </w:pPr>
                  <w:r>
                    <w:rPr>
                      <w:sz w:val="18"/>
                      <w:szCs w:val="18"/>
                    </w:rPr>
                    <w:t>≤0.</w:t>
                  </w:r>
                  <w:r>
                    <w:rPr>
                      <w:rFonts w:hint="eastAsia"/>
                      <w:sz w:val="18"/>
                      <w:szCs w:val="18"/>
                    </w:rPr>
                    <w:t>4</w:t>
                  </w:r>
                </w:p>
              </w:tc>
            </w:tr>
            <w:tr w14:paraId="45C8FD41">
              <w:tblPrEx>
                <w:tblCellMar>
                  <w:top w:w="0" w:type="dxa"/>
                  <w:left w:w="0" w:type="dxa"/>
                  <w:bottom w:w="0" w:type="dxa"/>
                  <w:right w:w="0" w:type="dxa"/>
                </w:tblCellMar>
              </w:tblPrEx>
              <w:trPr>
                <w:trHeight w:val="340" w:hRule="atLeast"/>
                <w:jc w:val="center"/>
              </w:trPr>
              <w:tc>
                <w:tcPr>
                  <w:tcW w:w="642" w:type="pct"/>
                  <w:vMerge w:val="continue"/>
                  <w:tcBorders>
                    <w:top w:val="nil"/>
                    <w:left w:val="single" w:color="auto" w:sz="12" w:space="0"/>
                    <w:bottom w:val="single" w:color="000000" w:sz="4" w:space="0"/>
                    <w:right w:val="single" w:color="000000" w:sz="4" w:space="0"/>
                  </w:tcBorders>
                  <w:vAlign w:val="center"/>
                </w:tcPr>
                <w:p w14:paraId="3FBAE441">
                  <w:pPr>
                    <w:adjustRightInd/>
                    <w:snapToGrid/>
                    <w:spacing w:line="240" w:lineRule="auto"/>
                    <w:rPr>
                      <w:rFonts w:cs="宋体"/>
                      <w:color w:val="000000"/>
                      <w:sz w:val="18"/>
                      <w:szCs w:val="18"/>
                      <w:highlight w:val="yellow"/>
                    </w:rPr>
                  </w:pPr>
                </w:p>
              </w:tc>
              <w:tc>
                <w:tcPr>
                  <w:tcW w:w="904" w:type="pct"/>
                  <w:vMerge w:val="continue"/>
                  <w:tcBorders>
                    <w:top w:val="nil"/>
                    <w:left w:val="nil"/>
                    <w:bottom w:val="nil"/>
                    <w:right w:val="single" w:color="000000" w:sz="4" w:space="0"/>
                  </w:tcBorders>
                  <w:vAlign w:val="center"/>
                </w:tcPr>
                <w:p w14:paraId="7FD3618F">
                  <w:pPr>
                    <w:adjustRightInd/>
                    <w:snapToGrid/>
                    <w:spacing w:line="240" w:lineRule="auto"/>
                    <w:rPr>
                      <w:rFonts w:cs="宋体"/>
                      <w:color w:val="000000"/>
                      <w:sz w:val="18"/>
                      <w:szCs w:val="18"/>
                      <w:highlight w:val="yellow"/>
                    </w:rPr>
                  </w:pPr>
                </w:p>
              </w:tc>
              <w:tc>
                <w:tcPr>
                  <w:tcW w:w="80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6B52A3E2">
                  <w:pPr>
                    <w:spacing w:line="240" w:lineRule="auto"/>
                    <w:jc w:val="center"/>
                    <w:rPr>
                      <w:rFonts w:cs="宋体"/>
                      <w:sz w:val="18"/>
                      <w:szCs w:val="18"/>
                    </w:rPr>
                  </w:pPr>
                  <w:r>
                    <w:rPr>
                      <w:rFonts w:ascii="宋体" w:hAnsi="宋体" w:cs="宋体"/>
                      <w:sz w:val="18"/>
                      <w:szCs w:val="18"/>
                    </w:rPr>
                    <w:t>单因子水评价</w:t>
                  </w:r>
                </w:p>
              </w:tc>
              <w:tc>
                <w:tcPr>
                  <w:tcW w:w="507"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5C65F588">
                  <w:pPr>
                    <w:spacing w:line="240" w:lineRule="auto"/>
                    <w:jc w:val="center"/>
                    <w:rPr>
                      <w:rFonts w:cs="Arial"/>
                      <w:sz w:val="18"/>
                      <w:szCs w:val="18"/>
                    </w:rPr>
                  </w:pPr>
                  <w:r>
                    <w:rPr>
                      <w:rFonts w:hint="eastAsia"/>
                      <w:sz w:val="18"/>
                      <w:szCs w:val="18"/>
                    </w:rPr>
                    <w:t>/</w:t>
                  </w:r>
                </w:p>
              </w:tc>
              <w:tc>
                <w:tcPr>
                  <w:tcW w:w="508"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4E8959EB">
                  <w:pPr>
                    <w:spacing w:line="240" w:lineRule="auto"/>
                    <w:jc w:val="center"/>
                    <w:rPr>
                      <w:rFonts w:cs="宋体"/>
                      <w:sz w:val="18"/>
                      <w:szCs w:val="18"/>
                    </w:rPr>
                  </w:pPr>
                  <w:r>
                    <w:rPr>
                      <w:sz w:val="18"/>
                      <w:szCs w:val="18"/>
                    </w:rPr>
                    <w:t>Ⅲ</w:t>
                  </w:r>
                  <w:r>
                    <w:rPr>
                      <w:rFonts w:ascii="宋体" w:hAnsi="宋体" w:cs="宋体"/>
                      <w:sz w:val="18"/>
                      <w:szCs w:val="18"/>
                    </w:rPr>
                    <w:t>类</w:t>
                  </w:r>
                </w:p>
              </w:tc>
              <w:tc>
                <w:tcPr>
                  <w:tcW w:w="676"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064B5B59">
                  <w:pPr>
                    <w:spacing w:line="240" w:lineRule="auto"/>
                    <w:jc w:val="center"/>
                    <w:rPr>
                      <w:rFonts w:cs="宋体"/>
                      <w:sz w:val="18"/>
                      <w:szCs w:val="18"/>
                    </w:rPr>
                  </w:pPr>
                  <w:r>
                    <w:rPr>
                      <w:sz w:val="18"/>
                      <w:szCs w:val="18"/>
                    </w:rPr>
                    <w:t>Ⅴ</w:t>
                  </w:r>
                  <w:r>
                    <w:rPr>
                      <w:rFonts w:ascii="宋体" w:hAnsi="宋体" w:cs="宋体"/>
                      <w:sz w:val="18"/>
                      <w:szCs w:val="18"/>
                    </w:rPr>
                    <w:t>类</w:t>
                  </w:r>
                </w:p>
              </w:tc>
              <w:tc>
                <w:tcPr>
                  <w:tcW w:w="459" w:type="pct"/>
                  <w:tcBorders>
                    <w:top w:val="single" w:color="000000" w:sz="4" w:space="0"/>
                    <w:left w:val="nil"/>
                    <w:bottom w:val="single" w:color="000000" w:sz="4" w:space="0"/>
                    <w:right w:val="single" w:color="000000" w:sz="4" w:space="0"/>
                  </w:tcBorders>
                  <w:tcMar>
                    <w:top w:w="0" w:type="dxa"/>
                    <w:left w:w="108" w:type="dxa"/>
                    <w:bottom w:w="0" w:type="dxa"/>
                    <w:right w:w="108" w:type="dxa"/>
                  </w:tcMar>
                  <w:vAlign w:val="center"/>
                </w:tcPr>
                <w:p w14:paraId="13FC2A0B">
                  <w:pPr>
                    <w:spacing w:line="240" w:lineRule="auto"/>
                    <w:jc w:val="center"/>
                    <w:rPr>
                      <w:rFonts w:cs="宋体"/>
                      <w:sz w:val="18"/>
                      <w:szCs w:val="18"/>
                    </w:rPr>
                  </w:pPr>
                  <w:r>
                    <w:rPr>
                      <w:rFonts w:hint="eastAsia"/>
                      <w:sz w:val="18"/>
                      <w:szCs w:val="18"/>
                    </w:rPr>
                    <w:t>劣</w:t>
                  </w:r>
                  <w:r>
                    <w:rPr>
                      <w:sz w:val="18"/>
                      <w:szCs w:val="18"/>
                    </w:rPr>
                    <w:t>Ⅴ</w:t>
                  </w:r>
                  <w:r>
                    <w:rPr>
                      <w:rFonts w:ascii="宋体" w:hAnsi="宋体" w:cs="宋体"/>
                      <w:sz w:val="18"/>
                      <w:szCs w:val="18"/>
                    </w:rPr>
                    <w:t>类</w:t>
                  </w:r>
                </w:p>
              </w:tc>
              <w:tc>
                <w:tcPr>
                  <w:tcW w:w="498" w:type="pct"/>
                  <w:tcBorders>
                    <w:top w:val="single" w:color="000000" w:sz="4" w:space="0"/>
                    <w:left w:val="nil"/>
                    <w:bottom w:val="single" w:color="000000" w:sz="4" w:space="0"/>
                    <w:right w:val="single" w:color="auto" w:sz="12" w:space="0"/>
                  </w:tcBorders>
                  <w:tcMar>
                    <w:top w:w="0" w:type="dxa"/>
                    <w:left w:w="108" w:type="dxa"/>
                    <w:bottom w:w="0" w:type="dxa"/>
                    <w:right w:w="108" w:type="dxa"/>
                  </w:tcMar>
                  <w:vAlign w:val="center"/>
                </w:tcPr>
                <w:p w14:paraId="4BE5B120">
                  <w:pPr>
                    <w:spacing w:line="240" w:lineRule="auto"/>
                    <w:jc w:val="center"/>
                    <w:rPr>
                      <w:rFonts w:cs="宋体"/>
                      <w:sz w:val="18"/>
                      <w:szCs w:val="18"/>
                    </w:rPr>
                  </w:pPr>
                  <w:r>
                    <w:rPr>
                      <w:sz w:val="18"/>
                      <w:szCs w:val="18"/>
                    </w:rPr>
                    <w:t>Ⅳ</w:t>
                  </w:r>
                  <w:r>
                    <w:rPr>
                      <w:rFonts w:ascii="宋体" w:hAnsi="宋体" w:cs="宋体"/>
                      <w:sz w:val="18"/>
                      <w:szCs w:val="18"/>
                    </w:rPr>
                    <w:t>类</w:t>
                  </w:r>
                </w:p>
              </w:tc>
            </w:tr>
            <w:tr w14:paraId="47DB73C6">
              <w:tblPrEx>
                <w:tblCellMar>
                  <w:top w:w="0" w:type="dxa"/>
                  <w:left w:w="0" w:type="dxa"/>
                  <w:bottom w:w="0" w:type="dxa"/>
                  <w:right w:w="0" w:type="dxa"/>
                </w:tblCellMar>
              </w:tblPrEx>
              <w:trPr>
                <w:trHeight w:val="340" w:hRule="atLeast"/>
                <w:jc w:val="center"/>
              </w:trPr>
              <w:tc>
                <w:tcPr>
                  <w:tcW w:w="642" w:type="pct"/>
                  <w:vMerge w:val="continue"/>
                  <w:tcBorders>
                    <w:top w:val="nil"/>
                    <w:left w:val="single" w:color="auto" w:sz="12" w:space="0"/>
                    <w:bottom w:val="single" w:color="auto" w:sz="12" w:space="0"/>
                    <w:right w:val="single" w:color="000000" w:sz="4" w:space="0"/>
                  </w:tcBorders>
                  <w:vAlign w:val="center"/>
                </w:tcPr>
                <w:p w14:paraId="4AA87E47">
                  <w:pPr>
                    <w:adjustRightInd/>
                    <w:snapToGrid/>
                    <w:spacing w:line="240" w:lineRule="auto"/>
                    <w:rPr>
                      <w:rFonts w:cs="宋体"/>
                      <w:color w:val="000000"/>
                      <w:sz w:val="18"/>
                      <w:szCs w:val="18"/>
                      <w:highlight w:val="yellow"/>
                    </w:rPr>
                  </w:pPr>
                </w:p>
              </w:tc>
              <w:tc>
                <w:tcPr>
                  <w:tcW w:w="904" w:type="pct"/>
                  <w:vMerge w:val="continue"/>
                  <w:tcBorders>
                    <w:top w:val="nil"/>
                    <w:left w:val="nil"/>
                    <w:bottom w:val="single" w:color="auto" w:sz="12" w:space="0"/>
                    <w:right w:val="single" w:color="000000" w:sz="4" w:space="0"/>
                  </w:tcBorders>
                  <w:vAlign w:val="center"/>
                </w:tcPr>
                <w:p w14:paraId="3D015790">
                  <w:pPr>
                    <w:adjustRightInd/>
                    <w:snapToGrid/>
                    <w:spacing w:line="240" w:lineRule="auto"/>
                    <w:rPr>
                      <w:rFonts w:cs="宋体"/>
                      <w:color w:val="000000"/>
                      <w:sz w:val="18"/>
                      <w:szCs w:val="18"/>
                      <w:highlight w:val="yellow"/>
                    </w:rPr>
                  </w:pPr>
                </w:p>
              </w:tc>
              <w:tc>
                <w:tcPr>
                  <w:tcW w:w="806" w:type="pct"/>
                  <w:tcBorders>
                    <w:top w:val="single" w:color="000000" w:sz="4" w:space="0"/>
                    <w:left w:val="nil"/>
                    <w:bottom w:val="single" w:color="auto" w:sz="12" w:space="0"/>
                    <w:right w:val="single" w:color="000000" w:sz="4" w:space="0"/>
                  </w:tcBorders>
                  <w:tcMar>
                    <w:top w:w="0" w:type="dxa"/>
                    <w:left w:w="108" w:type="dxa"/>
                    <w:bottom w:w="0" w:type="dxa"/>
                    <w:right w:w="108" w:type="dxa"/>
                  </w:tcMar>
                  <w:vAlign w:val="center"/>
                </w:tcPr>
                <w:p w14:paraId="77890D1F">
                  <w:pPr>
                    <w:spacing w:line="240" w:lineRule="auto"/>
                    <w:jc w:val="center"/>
                    <w:rPr>
                      <w:rFonts w:cs="宋体"/>
                      <w:sz w:val="18"/>
                      <w:szCs w:val="18"/>
                    </w:rPr>
                  </w:pPr>
                  <w:r>
                    <w:rPr>
                      <w:rFonts w:ascii="宋体" w:hAnsi="宋体" w:cs="宋体"/>
                      <w:sz w:val="18"/>
                      <w:szCs w:val="18"/>
                    </w:rPr>
                    <w:t>综合评定</w:t>
                  </w:r>
                </w:p>
              </w:tc>
              <w:tc>
                <w:tcPr>
                  <w:tcW w:w="2648" w:type="pct"/>
                  <w:gridSpan w:val="5"/>
                  <w:tcBorders>
                    <w:top w:val="single" w:color="000000" w:sz="4" w:space="0"/>
                    <w:left w:val="nil"/>
                    <w:bottom w:val="single" w:color="auto" w:sz="12" w:space="0"/>
                    <w:right w:val="single" w:color="auto" w:sz="12" w:space="0"/>
                  </w:tcBorders>
                  <w:tcMar>
                    <w:top w:w="0" w:type="dxa"/>
                    <w:left w:w="108" w:type="dxa"/>
                    <w:bottom w:w="0" w:type="dxa"/>
                    <w:right w:w="108" w:type="dxa"/>
                  </w:tcMar>
                  <w:vAlign w:val="center"/>
                </w:tcPr>
                <w:p w14:paraId="5FC947FC">
                  <w:pPr>
                    <w:spacing w:line="240" w:lineRule="auto"/>
                    <w:jc w:val="center"/>
                    <w:rPr>
                      <w:rFonts w:cs="宋体"/>
                      <w:sz w:val="18"/>
                      <w:szCs w:val="18"/>
                    </w:rPr>
                  </w:pPr>
                  <w:r>
                    <w:rPr>
                      <w:rFonts w:hint="eastAsia"/>
                      <w:sz w:val="18"/>
                      <w:szCs w:val="18"/>
                    </w:rPr>
                    <w:t>劣</w:t>
                  </w:r>
                  <w:r>
                    <w:rPr>
                      <w:sz w:val="18"/>
                      <w:szCs w:val="18"/>
                    </w:rPr>
                    <w:t>Ⅴ</w:t>
                  </w:r>
                  <w:r>
                    <w:rPr>
                      <w:rFonts w:ascii="宋体" w:hAnsi="宋体" w:cs="宋体"/>
                      <w:sz w:val="18"/>
                      <w:szCs w:val="18"/>
                    </w:rPr>
                    <w:t>类</w:t>
                  </w:r>
                </w:p>
              </w:tc>
            </w:tr>
          </w:tbl>
          <w:p w14:paraId="48F55BFB">
            <w:pPr>
              <w:ind w:firstLine="420" w:firstLineChars="200"/>
              <w:rPr>
                <w:rFonts w:hint="eastAsia" w:ascii="宋体" w:hAnsi="宋体"/>
              </w:rPr>
            </w:pPr>
            <w:r>
              <w:rPr>
                <w:rFonts w:hint="eastAsia" w:ascii="宋体" w:hAnsi="宋体"/>
              </w:rPr>
              <w:t>由上表监测结果可知，</w:t>
            </w:r>
            <w:r>
              <w:rPr>
                <w:rFonts w:ascii="宋体" w:hAnsi="宋体"/>
              </w:rPr>
              <w:t>三工段横湾与四工段直河交叉口</w:t>
            </w:r>
            <w:r>
              <w:rPr>
                <w:rFonts w:hint="eastAsia" w:ascii="宋体" w:hAnsi="宋体"/>
              </w:rPr>
              <w:t>各项监测指标（</w:t>
            </w:r>
            <w:r>
              <w:rPr>
                <w:rFonts w:hint="eastAsia"/>
              </w:rPr>
              <w:t>pH</w:t>
            </w:r>
            <w:r>
              <w:rPr>
                <w:rFonts w:hint="eastAsia" w:ascii="宋体" w:hAnsi="宋体"/>
              </w:rPr>
              <w:t>值、溶解氧、化学需氧量、氨氮、总氮）达到《地表水环境质量标准》</w:t>
            </w:r>
            <w:r>
              <w:rPr>
                <w:rFonts w:hint="eastAsia"/>
              </w:rPr>
              <w:t>(GB3838-2002)劣</w:t>
            </w:r>
            <w:r>
              <w:t>Ⅴ</w:t>
            </w:r>
            <w:r>
              <w:rPr>
                <w:rFonts w:hint="eastAsia" w:ascii="宋体" w:hAnsi="宋体"/>
              </w:rPr>
              <w:t>类标准限值。</w:t>
            </w:r>
          </w:p>
          <w:p w14:paraId="07D678FD">
            <w:pPr>
              <w:keepNext/>
              <w:jc w:val="center"/>
            </w:pPr>
            <w:r>
              <mc:AlternateContent>
                <mc:Choice Requires="wps">
                  <w:drawing>
                    <wp:anchor distT="0" distB="0" distL="114300" distR="114300" simplePos="0" relativeHeight="251666432" behindDoc="0" locked="0" layoutInCell="1" allowOverlap="1">
                      <wp:simplePos x="0" y="0"/>
                      <wp:positionH relativeFrom="column">
                        <wp:posOffset>1504315</wp:posOffset>
                      </wp:positionH>
                      <wp:positionV relativeFrom="paragraph">
                        <wp:posOffset>169545</wp:posOffset>
                      </wp:positionV>
                      <wp:extent cx="499745" cy="4072255"/>
                      <wp:effectExtent l="19050" t="19050" r="14605" b="23495"/>
                      <wp:wrapNone/>
                      <wp:docPr id="1182060004" name="矩形 3"/>
                      <wp:cNvGraphicFramePr/>
                      <a:graphic xmlns:a="http://schemas.openxmlformats.org/drawingml/2006/main">
                        <a:graphicData uri="http://schemas.microsoft.com/office/word/2010/wordprocessingShape">
                          <wps:wsp>
                            <wps:cNvSpPr/>
                            <wps:spPr>
                              <a:xfrm>
                                <a:off x="0" y="0"/>
                                <a:ext cx="499745" cy="4072255"/>
                              </a:xfrm>
                              <a:prstGeom prst="rect">
                                <a:avLst/>
                              </a:prstGeom>
                              <a:noFill/>
                              <a:ln w="28575" cap="flat" cmpd="sng" algn="ctr">
                                <a:solidFill>
                                  <a:srgbClr val="00B0F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 o:spid="_x0000_s1026" o:spt="1" style="position:absolute;left:0pt;margin-left:118.45pt;margin-top:13.35pt;height:320.65pt;width:39.35pt;z-index:251666432;v-text-anchor:middle;mso-width-relative:page;mso-height-relative:page;" filled="f" stroked="t" coordsize="21600,21600" o:gfxdata="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k3Y4&#10;i9oAAAAKAQAADwAAAAAAAAABACAAAAAiAAAAZHJzL2Rvd25yZXYueG1sUEsBAhQAFAAAAAgAh07i&#10;QDgzt+KSAgAAKQUAAA4AAAAAAAAAAQAgAAAAKQEAAGRycy9lMm9Eb2MueG1sUEsFBgAAAAAGAAYA&#10;WQEAAC0GAAAAAA==&#10;">
                      <v:fill on="f" focussize="0,0"/>
                      <v:stroke weight="2.25pt" color="#00B0F0" joinstyle="round"/>
                      <v:imagedata o:title=""/>
                      <o:lock v:ext="edit" aspectratio="f"/>
                    </v:rect>
                  </w:pict>
                </mc:Fallback>
              </mc:AlternateContent>
            </w:r>
            <w:r>
              <w:drawing>
                <wp:inline distT="0" distB="0" distL="0" distR="0">
                  <wp:extent cx="5164455" cy="4338320"/>
                  <wp:effectExtent l="0" t="0" r="0" b="5080"/>
                  <wp:docPr id="5128592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59291" name="图片 1"/>
                          <pic:cNvPicPr>
                            <a:picLocks noChangeAspect="1"/>
                          </pic:cNvPicPr>
                        </pic:nvPicPr>
                        <pic:blipFill>
                          <a:blip r:embed="rId36"/>
                          <a:stretch>
                            <a:fillRect/>
                          </a:stretch>
                        </pic:blipFill>
                        <pic:spPr>
                          <a:xfrm>
                            <a:off x="0" y="0"/>
                            <a:ext cx="5176121" cy="4348058"/>
                          </a:xfrm>
                          <a:prstGeom prst="rect">
                            <a:avLst/>
                          </a:prstGeom>
                        </pic:spPr>
                      </pic:pic>
                    </a:graphicData>
                  </a:graphic>
                </wp:inline>
              </w:drawing>
            </w:r>
          </w:p>
          <w:p w14:paraId="49EC3C5B">
            <w:pPr>
              <w:pStyle w:val="9"/>
              <w:spacing w:before="120"/>
            </w:pPr>
            <w:r>
              <w:t xml:space="preserve">图 </w:t>
            </w:r>
            <w:r>
              <w:fldChar w:fldCharType="begin"/>
            </w:r>
            <w:r>
              <w:instrText xml:space="preserve"> STYLEREF 1 \s </w:instrText>
            </w:r>
            <w:r>
              <w:fldChar w:fldCharType="separate"/>
            </w:r>
            <w:r>
              <w:t>3</w:t>
            </w:r>
            <w:r>
              <w:fldChar w:fldCharType="end"/>
            </w:r>
            <w:r>
              <w:noBreakHyphen/>
            </w:r>
            <w:r>
              <w:fldChar w:fldCharType="begin"/>
            </w:r>
            <w:r>
              <w:instrText xml:space="preserve"> SEQ 图 \* ARABIC \s 1 </w:instrText>
            </w:r>
            <w:r>
              <w:fldChar w:fldCharType="separate"/>
            </w:r>
            <w:r>
              <w:t>1</w:t>
            </w:r>
            <w:r>
              <w:fldChar w:fldCharType="end"/>
            </w:r>
            <w:r>
              <w:t>青西二路与河道平面位置关系</w:t>
            </w:r>
          </w:p>
          <w:p w14:paraId="06D43C9D">
            <w:pPr>
              <w:pStyle w:val="4"/>
            </w:pPr>
            <w:r>
              <w:t>环境空气质量现状</w:t>
            </w:r>
          </w:p>
          <w:p w14:paraId="17260670">
            <w:pPr>
              <w:ind w:firstLine="420" w:firstLineChars="200"/>
            </w:pPr>
            <w:r>
              <w:rPr>
                <w:rFonts w:ascii="宋体" w:hAnsi="宋体"/>
              </w:rPr>
              <w:t>根据《环境影响评价技术导则</w:t>
            </w:r>
            <w:r>
              <w:rPr>
                <w:rFonts w:hint="eastAsia" w:ascii="宋体" w:hAnsi="宋体"/>
              </w:rPr>
              <w:t xml:space="preserve"> </w:t>
            </w:r>
            <w:r>
              <w:rPr>
                <w:rFonts w:ascii="宋体" w:hAnsi="宋体"/>
              </w:rPr>
              <w:t>大气环境》（</w:t>
            </w:r>
            <w:r>
              <w:t>HJ2.2-2018</w:t>
            </w:r>
            <w:r>
              <w:rPr>
                <w:rFonts w:ascii="宋体" w:hAnsi="宋体"/>
              </w:rPr>
              <w:t>），基本污染物环境空气质量现状数据采用评价范围内国家或地方环境空气质量监测网中评价基准年连续</w:t>
            </w:r>
            <w:r>
              <w:t>1</w:t>
            </w:r>
            <w:r>
              <w:rPr>
                <w:rFonts w:ascii="宋体" w:hAnsi="宋体"/>
              </w:rPr>
              <w:t>年的监测数据，或采用生态环境主管部门公开发布的环境空气质量现状数据。</w:t>
            </w:r>
            <w:r>
              <w:rPr>
                <w:rFonts w:hint="eastAsia" w:ascii="宋体" w:hAnsi="宋体"/>
              </w:rPr>
              <w:t>本区域的环境空气功能区为二类区，执行《环境空气质量标准》（</w:t>
            </w:r>
            <w:r>
              <w:t>GB 3095—2026</w:t>
            </w:r>
            <w:r>
              <w:rPr>
                <w:rFonts w:hint="eastAsia" w:ascii="宋体" w:hAnsi="宋体"/>
              </w:rPr>
              <w:t>）中的二级浓度限值和过渡阶段二级浓度限制。</w:t>
            </w:r>
            <w:r>
              <w:rPr>
                <w:rFonts w:ascii="宋体" w:hAnsi="宋体"/>
              </w:rPr>
              <w:t>本报告引用《杭州市生态环</w:t>
            </w:r>
            <w:commentRangeStart w:id="52"/>
            <w:commentRangeStart w:id="53"/>
            <w:r>
              <w:rPr>
                <w:rFonts w:ascii="宋体" w:hAnsi="宋体"/>
              </w:rPr>
              <w:t>境状况公报</w:t>
            </w:r>
            <w:r>
              <w:rPr>
                <w:rFonts w:hint="eastAsia"/>
              </w:rPr>
              <w:t>（</w:t>
            </w:r>
            <w:r>
              <w:t>2024</w:t>
            </w:r>
            <w:r>
              <w:rPr>
                <w:rFonts w:ascii="宋体" w:hAnsi="宋体"/>
              </w:rPr>
              <w:t>年</w:t>
            </w:r>
            <w:r>
              <w:rPr>
                <w:rFonts w:hint="eastAsia"/>
              </w:rPr>
              <w:t>）</w:t>
            </w:r>
            <w:r>
              <w:rPr>
                <w:rFonts w:ascii="宋体" w:hAnsi="宋体"/>
              </w:rPr>
              <w:t>》</w:t>
            </w:r>
            <w:commentRangeEnd w:id="52"/>
            <w:r>
              <w:rPr>
                <w:rStyle w:val="38"/>
                <w:rFonts w:ascii="宋体" w:hAnsi="宋体"/>
              </w:rPr>
              <w:commentReference w:id="52"/>
            </w:r>
            <w:commentRangeEnd w:id="53"/>
            <w:r>
              <w:rPr>
                <w:rStyle w:val="38"/>
                <w:rFonts w:ascii="宋体" w:hAnsi="宋体"/>
              </w:rPr>
              <w:commentReference w:id="53"/>
            </w:r>
            <w:r>
              <w:rPr>
                <w:rFonts w:ascii="宋体" w:hAnsi="宋体"/>
              </w:rPr>
              <w:t>中的数据来评价基本污染 物环境空气质量现状，具体见下表。</w:t>
            </w:r>
          </w:p>
          <w:p w14:paraId="5335493C">
            <w:pPr>
              <w:pStyle w:val="9"/>
              <w:spacing w:before="120"/>
            </w:pPr>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2</w:t>
            </w:r>
            <w:r>
              <w:fldChar w:fldCharType="end"/>
            </w:r>
            <w:r>
              <w:t xml:space="preserve"> 2024年杭州市空气质量现状指标情况表</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219"/>
              <w:gridCol w:w="1435"/>
              <w:gridCol w:w="1066"/>
              <w:gridCol w:w="1397"/>
              <w:gridCol w:w="701"/>
              <w:gridCol w:w="817"/>
            </w:tblGrid>
            <w:tr w14:paraId="4DD42C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Merge w:val="restart"/>
                  <w:vAlign w:val="center"/>
                </w:tcPr>
                <w:p w14:paraId="11F4F6D7">
                  <w:pPr>
                    <w:spacing w:line="240" w:lineRule="auto"/>
                    <w:contextualSpacing/>
                    <w:jc w:val="center"/>
                    <w:rPr>
                      <w:b/>
                      <w:sz w:val="18"/>
                      <w:szCs w:val="18"/>
                    </w:rPr>
                  </w:pPr>
                  <w:r>
                    <w:rPr>
                      <w:rFonts w:ascii="宋体" w:hAnsi="宋体"/>
                      <w:b/>
                      <w:sz w:val="18"/>
                      <w:szCs w:val="18"/>
                    </w:rPr>
                    <w:t>序号</w:t>
                  </w:r>
                </w:p>
              </w:tc>
              <w:tc>
                <w:tcPr>
                  <w:tcW w:w="1339" w:type="pct"/>
                  <w:vMerge w:val="restart"/>
                  <w:vAlign w:val="center"/>
                </w:tcPr>
                <w:p w14:paraId="7DAE63F4">
                  <w:pPr>
                    <w:spacing w:line="240" w:lineRule="auto"/>
                    <w:contextualSpacing/>
                    <w:jc w:val="center"/>
                    <w:rPr>
                      <w:b/>
                      <w:sz w:val="18"/>
                      <w:szCs w:val="18"/>
                    </w:rPr>
                  </w:pPr>
                  <w:r>
                    <w:rPr>
                      <w:rFonts w:ascii="宋体" w:hAnsi="宋体"/>
                      <w:b/>
                      <w:sz w:val="18"/>
                      <w:szCs w:val="18"/>
                    </w:rPr>
                    <w:t>污染物项目</w:t>
                  </w:r>
                </w:p>
              </w:tc>
              <w:tc>
                <w:tcPr>
                  <w:tcW w:w="866" w:type="pct"/>
                  <w:vMerge w:val="restart"/>
                  <w:vAlign w:val="center"/>
                </w:tcPr>
                <w:p w14:paraId="263D7D48">
                  <w:pPr>
                    <w:spacing w:line="240" w:lineRule="auto"/>
                    <w:contextualSpacing/>
                    <w:jc w:val="center"/>
                    <w:rPr>
                      <w:b/>
                      <w:sz w:val="18"/>
                      <w:szCs w:val="18"/>
                    </w:rPr>
                  </w:pPr>
                  <w:r>
                    <w:rPr>
                      <w:rFonts w:ascii="宋体" w:hAnsi="宋体"/>
                      <w:b/>
                      <w:sz w:val="18"/>
                      <w:szCs w:val="18"/>
                    </w:rPr>
                    <w:t>平均时间</w:t>
                  </w:r>
                </w:p>
              </w:tc>
              <w:tc>
                <w:tcPr>
                  <w:tcW w:w="643" w:type="pct"/>
                  <w:vMerge w:val="restart"/>
                  <w:vAlign w:val="center"/>
                </w:tcPr>
                <w:p w14:paraId="1FFBED87">
                  <w:pPr>
                    <w:spacing w:line="240" w:lineRule="auto"/>
                    <w:contextualSpacing/>
                    <w:jc w:val="center"/>
                    <w:rPr>
                      <w:b/>
                      <w:sz w:val="18"/>
                      <w:szCs w:val="18"/>
                    </w:rPr>
                  </w:pPr>
                  <w:r>
                    <w:rPr>
                      <w:rFonts w:hint="eastAsia" w:ascii="宋体" w:hAnsi="宋体"/>
                      <w:b/>
                      <w:sz w:val="18"/>
                      <w:szCs w:val="18"/>
                    </w:rPr>
                    <w:t>现状浓度</w:t>
                  </w:r>
                </w:p>
              </w:tc>
              <w:tc>
                <w:tcPr>
                  <w:tcW w:w="843" w:type="pct"/>
                  <w:vAlign w:val="center"/>
                </w:tcPr>
                <w:p w14:paraId="1ED41AA1">
                  <w:pPr>
                    <w:spacing w:line="240" w:lineRule="auto"/>
                    <w:contextualSpacing/>
                    <w:jc w:val="center"/>
                    <w:rPr>
                      <w:b/>
                      <w:sz w:val="18"/>
                      <w:szCs w:val="18"/>
                    </w:rPr>
                  </w:pPr>
                  <w:r>
                    <w:rPr>
                      <w:rFonts w:hint="eastAsia" w:ascii="宋体" w:hAnsi="宋体"/>
                      <w:b/>
                      <w:sz w:val="18"/>
                      <w:szCs w:val="18"/>
                    </w:rPr>
                    <w:t>过渡阶段浓度限值</w:t>
                  </w:r>
                </w:p>
              </w:tc>
              <w:tc>
                <w:tcPr>
                  <w:tcW w:w="423" w:type="pct"/>
                  <w:vMerge w:val="restart"/>
                  <w:vAlign w:val="center"/>
                </w:tcPr>
                <w:p w14:paraId="4A0E4A03">
                  <w:pPr>
                    <w:spacing w:line="240" w:lineRule="auto"/>
                    <w:contextualSpacing/>
                    <w:jc w:val="center"/>
                    <w:rPr>
                      <w:b/>
                      <w:sz w:val="18"/>
                      <w:szCs w:val="18"/>
                    </w:rPr>
                  </w:pPr>
                  <w:r>
                    <w:rPr>
                      <w:rFonts w:ascii="宋体" w:hAnsi="宋体"/>
                      <w:b/>
                      <w:sz w:val="18"/>
                      <w:szCs w:val="18"/>
                    </w:rPr>
                    <w:t>单位</w:t>
                  </w:r>
                </w:p>
              </w:tc>
              <w:tc>
                <w:tcPr>
                  <w:tcW w:w="493" w:type="pct"/>
                  <w:vMerge w:val="restart"/>
                  <w:vAlign w:val="center"/>
                </w:tcPr>
                <w:p w14:paraId="213A1F6C">
                  <w:pPr>
                    <w:spacing w:line="240" w:lineRule="auto"/>
                    <w:contextualSpacing/>
                    <w:jc w:val="center"/>
                    <w:rPr>
                      <w:b/>
                      <w:sz w:val="18"/>
                      <w:szCs w:val="18"/>
                    </w:rPr>
                  </w:pPr>
                  <w:r>
                    <w:rPr>
                      <w:rFonts w:hint="eastAsia" w:ascii="宋体" w:hAnsi="宋体"/>
                      <w:b/>
                      <w:sz w:val="18"/>
                      <w:szCs w:val="18"/>
                    </w:rPr>
                    <w:t>达标情况</w:t>
                  </w:r>
                </w:p>
              </w:tc>
            </w:tr>
            <w:tr w14:paraId="2CB088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Merge w:val="continue"/>
                  <w:vAlign w:val="center"/>
                </w:tcPr>
                <w:p w14:paraId="5FCB7C5F">
                  <w:pPr>
                    <w:adjustRightInd/>
                    <w:snapToGrid/>
                    <w:spacing w:line="240" w:lineRule="auto"/>
                    <w:rPr>
                      <w:b/>
                      <w:color w:val="000000"/>
                      <w:sz w:val="18"/>
                      <w:szCs w:val="18"/>
                    </w:rPr>
                  </w:pPr>
                </w:p>
              </w:tc>
              <w:tc>
                <w:tcPr>
                  <w:tcW w:w="1339" w:type="pct"/>
                  <w:vMerge w:val="continue"/>
                  <w:vAlign w:val="center"/>
                </w:tcPr>
                <w:p w14:paraId="1C6F3C47">
                  <w:pPr>
                    <w:adjustRightInd/>
                    <w:snapToGrid/>
                    <w:spacing w:line="240" w:lineRule="auto"/>
                    <w:rPr>
                      <w:b/>
                      <w:color w:val="000000"/>
                      <w:sz w:val="18"/>
                      <w:szCs w:val="18"/>
                    </w:rPr>
                  </w:pPr>
                </w:p>
              </w:tc>
              <w:tc>
                <w:tcPr>
                  <w:tcW w:w="866" w:type="pct"/>
                  <w:vMerge w:val="continue"/>
                  <w:vAlign w:val="center"/>
                </w:tcPr>
                <w:p w14:paraId="72683B9E">
                  <w:pPr>
                    <w:adjustRightInd/>
                    <w:snapToGrid/>
                    <w:spacing w:line="240" w:lineRule="auto"/>
                    <w:rPr>
                      <w:b/>
                      <w:color w:val="000000"/>
                      <w:sz w:val="18"/>
                      <w:szCs w:val="18"/>
                    </w:rPr>
                  </w:pPr>
                </w:p>
              </w:tc>
              <w:tc>
                <w:tcPr>
                  <w:tcW w:w="643" w:type="pct"/>
                  <w:vMerge w:val="continue"/>
                  <w:vAlign w:val="center"/>
                </w:tcPr>
                <w:p w14:paraId="23C415B6">
                  <w:pPr>
                    <w:adjustRightInd/>
                    <w:snapToGrid/>
                    <w:spacing w:line="240" w:lineRule="auto"/>
                    <w:rPr>
                      <w:b/>
                      <w:color w:val="000000"/>
                      <w:sz w:val="18"/>
                      <w:szCs w:val="18"/>
                    </w:rPr>
                  </w:pPr>
                </w:p>
              </w:tc>
              <w:tc>
                <w:tcPr>
                  <w:tcW w:w="843" w:type="pct"/>
                  <w:vAlign w:val="center"/>
                </w:tcPr>
                <w:p w14:paraId="34819D97">
                  <w:pPr>
                    <w:spacing w:line="240" w:lineRule="auto"/>
                    <w:contextualSpacing/>
                    <w:jc w:val="center"/>
                    <w:rPr>
                      <w:b/>
                      <w:bCs/>
                      <w:sz w:val="18"/>
                      <w:szCs w:val="18"/>
                    </w:rPr>
                  </w:pPr>
                  <w:r>
                    <w:rPr>
                      <w:rFonts w:hint="eastAsia" w:ascii="宋体" w:hAnsi="宋体"/>
                      <w:b/>
                      <w:bCs/>
                      <w:sz w:val="18"/>
                      <w:szCs w:val="18"/>
                    </w:rPr>
                    <w:t>二级</w:t>
                  </w:r>
                </w:p>
              </w:tc>
              <w:tc>
                <w:tcPr>
                  <w:tcW w:w="423" w:type="pct"/>
                  <w:vMerge w:val="continue"/>
                  <w:vAlign w:val="center"/>
                </w:tcPr>
                <w:p w14:paraId="6B8785B7">
                  <w:pPr>
                    <w:spacing w:line="240" w:lineRule="auto"/>
                    <w:contextualSpacing/>
                    <w:jc w:val="center"/>
                    <w:rPr>
                      <w:sz w:val="18"/>
                      <w:szCs w:val="18"/>
                    </w:rPr>
                  </w:pPr>
                </w:p>
              </w:tc>
              <w:tc>
                <w:tcPr>
                  <w:tcW w:w="493" w:type="pct"/>
                  <w:vMerge w:val="continue"/>
                  <w:vAlign w:val="center"/>
                </w:tcPr>
                <w:p w14:paraId="4921B1D8">
                  <w:pPr>
                    <w:spacing w:line="240" w:lineRule="auto"/>
                    <w:contextualSpacing/>
                    <w:jc w:val="center"/>
                    <w:rPr>
                      <w:sz w:val="18"/>
                      <w:szCs w:val="18"/>
                    </w:rPr>
                  </w:pPr>
                </w:p>
              </w:tc>
            </w:tr>
            <w:tr w14:paraId="43B18D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Align w:val="center"/>
                </w:tcPr>
                <w:p w14:paraId="0B7B336D">
                  <w:pPr>
                    <w:spacing w:line="240" w:lineRule="auto"/>
                    <w:contextualSpacing/>
                    <w:jc w:val="center"/>
                    <w:rPr>
                      <w:sz w:val="18"/>
                      <w:szCs w:val="18"/>
                    </w:rPr>
                  </w:pPr>
                  <w:r>
                    <w:rPr>
                      <w:sz w:val="18"/>
                      <w:szCs w:val="18"/>
                    </w:rPr>
                    <w:t>1</w:t>
                  </w:r>
                </w:p>
              </w:tc>
              <w:tc>
                <w:tcPr>
                  <w:tcW w:w="1339" w:type="pct"/>
                  <w:vAlign w:val="center"/>
                </w:tcPr>
                <w:p w14:paraId="107091E0">
                  <w:pPr>
                    <w:spacing w:line="240" w:lineRule="auto"/>
                    <w:contextualSpacing/>
                    <w:jc w:val="center"/>
                    <w:rPr>
                      <w:sz w:val="18"/>
                      <w:szCs w:val="18"/>
                    </w:rPr>
                  </w:pPr>
                  <w:r>
                    <w:rPr>
                      <w:rFonts w:ascii="宋体" w:hAnsi="宋体"/>
                      <w:sz w:val="18"/>
                      <w:szCs w:val="18"/>
                    </w:rPr>
                    <w:t>二氧化硫（</w:t>
                  </w:r>
                  <w:r>
                    <w:rPr>
                      <w:sz w:val="18"/>
                      <w:szCs w:val="18"/>
                    </w:rPr>
                    <w:t>SO</w:t>
                  </w:r>
                  <w:r>
                    <w:rPr>
                      <w:sz w:val="18"/>
                      <w:szCs w:val="18"/>
                      <w:vertAlign w:val="subscript"/>
                    </w:rPr>
                    <w:t>2</w:t>
                  </w:r>
                  <w:r>
                    <w:rPr>
                      <w:rFonts w:ascii="宋体" w:hAnsi="宋体"/>
                      <w:sz w:val="18"/>
                      <w:szCs w:val="18"/>
                    </w:rPr>
                    <w:t>）</w:t>
                  </w:r>
                </w:p>
              </w:tc>
              <w:tc>
                <w:tcPr>
                  <w:tcW w:w="866" w:type="pct"/>
                  <w:vAlign w:val="center"/>
                </w:tcPr>
                <w:p w14:paraId="4998F778">
                  <w:pPr>
                    <w:spacing w:line="240" w:lineRule="auto"/>
                    <w:contextualSpacing/>
                    <w:jc w:val="center"/>
                    <w:rPr>
                      <w:sz w:val="18"/>
                      <w:szCs w:val="18"/>
                    </w:rPr>
                  </w:pPr>
                  <w:r>
                    <w:rPr>
                      <w:rFonts w:ascii="宋体" w:hAnsi="宋体"/>
                      <w:sz w:val="18"/>
                      <w:szCs w:val="18"/>
                    </w:rPr>
                    <w:t>年平均</w:t>
                  </w:r>
                </w:p>
              </w:tc>
              <w:tc>
                <w:tcPr>
                  <w:tcW w:w="643" w:type="pct"/>
                  <w:vAlign w:val="center"/>
                </w:tcPr>
                <w:p w14:paraId="0C5AA02C">
                  <w:pPr>
                    <w:spacing w:line="240" w:lineRule="auto"/>
                    <w:contextualSpacing/>
                    <w:jc w:val="center"/>
                    <w:rPr>
                      <w:sz w:val="18"/>
                      <w:szCs w:val="18"/>
                    </w:rPr>
                  </w:pPr>
                  <w:r>
                    <w:rPr>
                      <w:rFonts w:hint="eastAsia"/>
                      <w:sz w:val="18"/>
                      <w:szCs w:val="18"/>
                    </w:rPr>
                    <w:t>6</w:t>
                  </w:r>
                </w:p>
              </w:tc>
              <w:tc>
                <w:tcPr>
                  <w:tcW w:w="843" w:type="pct"/>
                  <w:vAlign w:val="center"/>
                </w:tcPr>
                <w:p w14:paraId="0BBF68D7">
                  <w:pPr>
                    <w:spacing w:line="240" w:lineRule="auto"/>
                    <w:contextualSpacing/>
                    <w:jc w:val="center"/>
                    <w:rPr>
                      <w:sz w:val="18"/>
                      <w:szCs w:val="18"/>
                    </w:rPr>
                  </w:pPr>
                  <w:r>
                    <w:rPr>
                      <w:rFonts w:hint="eastAsia"/>
                      <w:sz w:val="18"/>
                      <w:szCs w:val="18"/>
                    </w:rPr>
                    <w:t>60</w:t>
                  </w:r>
                </w:p>
              </w:tc>
              <w:tc>
                <w:tcPr>
                  <w:tcW w:w="423" w:type="pct"/>
                  <w:vMerge w:val="restart"/>
                  <w:vAlign w:val="center"/>
                </w:tcPr>
                <w:p w14:paraId="4925C411">
                  <w:pPr>
                    <w:adjustRightInd/>
                    <w:snapToGrid/>
                    <w:spacing w:line="240" w:lineRule="auto"/>
                    <w:rPr>
                      <w:color w:val="000000"/>
                      <w:sz w:val="18"/>
                      <w:szCs w:val="18"/>
                    </w:rPr>
                  </w:pPr>
                  <w:r>
                    <w:rPr>
                      <w:sz w:val="18"/>
                      <w:szCs w:val="18"/>
                    </w:rPr>
                    <w:t>µg/m</w:t>
                  </w:r>
                  <w:r>
                    <w:rPr>
                      <w:sz w:val="18"/>
                      <w:szCs w:val="18"/>
                      <w:vertAlign w:val="superscript"/>
                    </w:rPr>
                    <w:t>3</w:t>
                  </w:r>
                </w:p>
              </w:tc>
              <w:tc>
                <w:tcPr>
                  <w:tcW w:w="493" w:type="pct"/>
                  <w:vAlign w:val="center"/>
                </w:tcPr>
                <w:p w14:paraId="48DF9059">
                  <w:pPr>
                    <w:spacing w:line="240" w:lineRule="auto"/>
                    <w:contextualSpacing/>
                    <w:jc w:val="center"/>
                    <w:rPr>
                      <w:sz w:val="18"/>
                      <w:szCs w:val="18"/>
                    </w:rPr>
                  </w:pPr>
                  <w:r>
                    <w:rPr>
                      <w:rFonts w:hint="eastAsia" w:ascii="宋体" w:hAnsi="宋体"/>
                      <w:sz w:val="18"/>
                      <w:szCs w:val="18"/>
                    </w:rPr>
                    <w:t>达标</w:t>
                  </w:r>
                </w:p>
              </w:tc>
            </w:tr>
            <w:tr w14:paraId="7A28DF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Align w:val="center"/>
                </w:tcPr>
                <w:p w14:paraId="0D9A121F">
                  <w:pPr>
                    <w:spacing w:line="240" w:lineRule="auto"/>
                    <w:contextualSpacing/>
                    <w:jc w:val="center"/>
                    <w:rPr>
                      <w:sz w:val="18"/>
                      <w:szCs w:val="18"/>
                    </w:rPr>
                  </w:pPr>
                  <w:r>
                    <w:rPr>
                      <w:sz w:val="18"/>
                      <w:szCs w:val="18"/>
                    </w:rPr>
                    <w:t>2</w:t>
                  </w:r>
                </w:p>
              </w:tc>
              <w:tc>
                <w:tcPr>
                  <w:tcW w:w="1339" w:type="pct"/>
                  <w:vAlign w:val="center"/>
                </w:tcPr>
                <w:p w14:paraId="6AB5F385">
                  <w:pPr>
                    <w:spacing w:line="240" w:lineRule="auto"/>
                    <w:contextualSpacing/>
                    <w:jc w:val="center"/>
                    <w:rPr>
                      <w:sz w:val="18"/>
                      <w:szCs w:val="18"/>
                    </w:rPr>
                  </w:pPr>
                  <w:r>
                    <w:rPr>
                      <w:rFonts w:ascii="宋体" w:hAnsi="宋体"/>
                      <w:sz w:val="18"/>
                      <w:szCs w:val="18"/>
                    </w:rPr>
                    <w:t>二氧化氮（</w:t>
                  </w:r>
                  <w:r>
                    <w:rPr>
                      <w:sz w:val="18"/>
                      <w:szCs w:val="18"/>
                    </w:rPr>
                    <w:t>NO</w:t>
                  </w:r>
                  <w:r>
                    <w:rPr>
                      <w:sz w:val="18"/>
                      <w:szCs w:val="18"/>
                      <w:vertAlign w:val="subscript"/>
                    </w:rPr>
                    <w:t>2</w:t>
                  </w:r>
                  <w:r>
                    <w:rPr>
                      <w:rFonts w:ascii="宋体" w:hAnsi="宋体"/>
                      <w:sz w:val="18"/>
                      <w:szCs w:val="18"/>
                    </w:rPr>
                    <w:t>）</w:t>
                  </w:r>
                </w:p>
              </w:tc>
              <w:tc>
                <w:tcPr>
                  <w:tcW w:w="866" w:type="pct"/>
                  <w:vAlign w:val="center"/>
                </w:tcPr>
                <w:p w14:paraId="614C215C">
                  <w:pPr>
                    <w:spacing w:line="240" w:lineRule="auto"/>
                    <w:contextualSpacing/>
                    <w:jc w:val="center"/>
                    <w:rPr>
                      <w:sz w:val="18"/>
                      <w:szCs w:val="18"/>
                    </w:rPr>
                  </w:pPr>
                  <w:r>
                    <w:rPr>
                      <w:rFonts w:ascii="宋体" w:hAnsi="宋体"/>
                      <w:sz w:val="18"/>
                      <w:szCs w:val="18"/>
                    </w:rPr>
                    <w:t>年平均</w:t>
                  </w:r>
                </w:p>
              </w:tc>
              <w:tc>
                <w:tcPr>
                  <w:tcW w:w="643" w:type="pct"/>
                  <w:vAlign w:val="center"/>
                </w:tcPr>
                <w:p w14:paraId="40A8C3C7">
                  <w:pPr>
                    <w:spacing w:line="240" w:lineRule="auto"/>
                    <w:contextualSpacing/>
                    <w:jc w:val="center"/>
                    <w:rPr>
                      <w:sz w:val="18"/>
                      <w:szCs w:val="18"/>
                    </w:rPr>
                  </w:pPr>
                  <w:r>
                    <w:rPr>
                      <w:rFonts w:hint="eastAsia"/>
                      <w:sz w:val="18"/>
                      <w:szCs w:val="18"/>
                    </w:rPr>
                    <w:t>28</w:t>
                  </w:r>
                </w:p>
              </w:tc>
              <w:tc>
                <w:tcPr>
                  <w:tcW w:w="843" w:type="pct"/>
                  <w:vAlign w:val="center"/>
                </w:tcPr>
                <w:p w14:paraId="256B7EB7">
                  <w:pPr>
                    <w:spacing w:line="240" w:lineRule="auto"/>
                    <w:contextualSpacing/>
                    <w:jc w:val="center"/>
                    <w:rPr>
                      <w:sz w:val="18"/>
                      <w:szCs w:val="18"/>
                    </w:rPr>
                  </w:pPr>
                  <w:r>
                    <w:rPr>
                      <w:rFonts w:hint="eastAsia"/>
                      <w:sz w:val="18"/>
                      <w:szCs w:val="18"/>
                    </w:rPr>
                    <w:t>40</w:t>
                  </w:r>
                </w:p>
              </w:tc>
              <w:tc>
                <w:tcPr>
                  <w:tcW w:w="423" w:type="pct"/>
                  <w:vMerge w:val="continue"/>
                  <w:vAlign w:val="center"/>
                </w:tcPr>
                <w:p w14:paraId="27E8E8A8">
                  <w:pPr>
                    <w:adjustRightInd/>
                    <w:snapToGrid/>
                    <w:spacing w:line="240" w:lineRule="auto"/>
                    <w:rPr>
                      <w:color w:val="000000"/>
                      <w:sz w:val="18"/>
                      <w:szCs w:val="18"/>
                    </w:rPr>
                  </w:pPr>
                </w:p>
              </w:tc>
              <w:tc>
                <w:tcPr>
                  <w:tcW w:w="493" w:type="pct"/>
                  <w:vAlign w:val="center"/>
                </w:tcPr>
                <w:p w14:paraId="2D323506">
                  <w:pPr>
                    <w:spacing w:line="240" w:lineRule="auto"/>
                    <w:contextualSpacing/>
                    <w:jc w:val="center"/>
                    <w:rPr>
                      <w:sz w:val="18"/>
                      <w:szCs w:val="18"/>
                    </w:rPr>
                  </w:pPr>
                  <w:r>
                    <w:rPr>
                      <w:rFonts w:hint="eastAsia" w:ascii="宋体" w:hAnsi="宋体"/>
                      <w:sz w:val="18"/>
                      <w:szCs w:val="18"/>
                    </w:rPr>
                    <w:t>达标</w:t>
                  </w:r>
                </w:p>
              </w:tc>
            </w:tr>
            <w:tr w14:paraId="7D21AF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Align w:val="center"/>
                </w:tcPr>
                <w:p w14:paraId="0D0B68B0">
                  <w:pPr>
                    <w:spacing w:line="240" w:lineRule="auto"/>
                    <w:contextualSpacing/>
                    <w:jc w:val="center"/>
                    <w:rPr>
                      <w:sz w:val="18"/>
                      <w:szCs w:val="18"/>
                    </w:rPr>
                  </w:pPr>
                  <w:r>
                    <w:rPr>
                      <w:sz w:val="18"/>
                      <w:szCs w:val="18"/>
                    </w:rPr>
                    <w:t>3</w:t>
                  </w:r>
                </w:p>
              </w:tc>
              <w:tc>
                <w:tcPr>
                  <w:tcW w:w="1339" w:type="pct"/>
                  <w:vAlign w:val="center"/>
                </w:tcPr>
                <w:p w14:paraId="09BBE801">
                  <w:pPr>
                    <w:spacing w:line="240" w:lineRule="auto"/>
                    <w:contextualSpacing/>
                    <w:jc w:val="center"/>
                    <w:rPr>
                      <w:sz w:val="18"/>
                      <w:szCs w:val="18"/>
                    </w:rPr>
                  </w:pPr>
                  <w:r>
                    <w:rPr>
                      <w:rFonts w:ascii="宋体" w:hAnsi="宋体"/>
                      <w:sz w:val="18"/>
                      <w:szCs w:val="18"/>
                    </w:rPr>
                    <w:t>一氧化碳（</w:t>
                  </w:r>
                  <w:r>
                    <w:rPr>
                      <w:sz w:val="18"/>
                      <w:szCs w:val="18"/>
                    </w:rPr>
                    <w:t>CO</w:t>
                  </w:r>
                  <w:r>
                    <w:rPr>
                      <w:rFonts w:ascii="宋体" w:hAnsi="宋体"/>
                      <w:sz w:val="18"/>
                      <w:szCs w:val="18"/>
                    </w:rPr>
                    <w:t>）</w:t>
                  </w:r>
                </w:p>
              </w:tc>
              <w:tc>
                <w:tcPr>
                  <w:tcW w:w="866" w:type="pct"/>
                  <w:vAlign w:val="center"/>
                </w:tcPr>
                <w:p w14:paraId="08C02D75">
                  <w:pPr>
                    <w:spacing w:line="240" w:lineRule="auto"/>
                    <w:contextualSpacing/>
                    <w:jc w:val="center"/>
                    <w:rPr>
                      <w:sz w:val="18"/>
                      <w:szCs w:val="18"/>
                    </w:rPr>
                  </w:pPr>
                  <w:r>
                    <w:rPr>
                      <w:sz w:val="18"/>
                      <w:szCs w:val="18"/>
                    </w:rPr>
                    <w:t>24</w:t>
                  </w:r>
                  <w:r>
                    <w:rPr>
                      <w:rFonts w:ascii="宋体" w:hAnsi="宋体"/>
                      <w:sz w:val="18"/>
                      <w:szCs w:val="18"/>
                    </w:rPr>
                    <w:t>小时平均</w:t>
                  </w:r>
                </w:p>
              </w:tc>
              <w:tc>
                <w:tcPr>
                  <w:tcW w:w="643" w:type="pct"/>
                  <w:vAlign w:val="center"/>
                </w:tcPr>
                <w:p w14:paraId="4F9C92BB">
                  <w:pPr>
                    <w:spacing w:line="240" w:lineRule="auto"/>
                    <w:contextualSpacing/>
                    <w:jc w:val="center"/>
                    <w:rPr>
                      <w:sz w:val="18"/>
                      <w:szCs w:val="18"/>
                    </w:rPr>
                  </w:pPr>
                  <w:r>
                    <w:rPr>
                      <w:rFonts w:hint="eastAsia"/>
                      <w:sz w:val="18"/>
                      <w:szCs w:val="18"/>
                    </w:rPr>
                    <w:t>0.9</w:t>
                  </w:r>
                </w:p>
              </w:tc>
              <w:tc>
                <w:tcPr>
                  <w:tcW w:w="843" w:type="pct"/>
                  <w:vAlign w:val="center"/>
                </w:tcPr>
                <w:p w14:paraId="44B5F6BC">
                  <w:pPr>
                    <w:spacing w:line="240" w:lineRule="auto"/>
                    <w:contextualSpacing/>
                    <w:jc w:val="center"/>
                    <w:rPr>
                      <w:sz w:val="18"/>
                      <w:szCs w:val="18"/>
                    </w:rPr>
                  </w:pPr>
                  <w:r>
                    <w:rPr>
                      <w:rFonts w:hint="eastAsia"/>
                      <w:sz w:val="18"/>
                      <w:szCs w:val="18"/>
                    </w:rPr>
                    <w:t>4</w:t>
                  </w:r>
                </w:p>
              </w:tc>
              <w:tc>
                <w:tcPr>
                  <w:tcW w:w="423" w:type="pct"/>
                  <w:vAlign w:val="center"/>
                </w:tcPr>
                <w:p w14:paraId="13C76C3B">
                  <w:pPr>
                    <w:spacing w:line="240" w:lineRule="auto"/>
                    <w:contextualSpacing/>
                    <w:jc w:val="center"/>
                    <w:rPr>
                      <w:sz w:val="18"/>
                      <w:szCs w:val="18"/>
                    </w:rPr>
                  </w:pPr>
                  <w:r>
                    <w:rPr>
                      <w:sz w:val="18"/>
                      <w:szCs w:val="18"/>
                    </w:rPr>
                    <w:t>mg/m</w:t>
                  </w:r>
                  <w:r>
                    <w:rPr>
                      <w:sz w:val="18"/>
                      <w:szCs w:val="18"/>
                      <w:vertAlign w:val="superscript"/>
                    </w:rPr>
                    <w:t>3</w:t>
                  </w:r>
                </w:p>
              </w:tc>
              <w:tc>
                <w:tcPr>
                  <w:tcW w:w="493" w:type="pct"/>
                  <w:vAlign w:val="center"/>
                </w:tcPr>
                <w:p w14:paraId="648FD66B">
                  <w:pPr>
                    <w:spacing w:line="240" w:lineRule="auto"/>
                    <w:contextualSpacing/>
                    <w:jc w:val="center"/>
                    <w:rPr>
                      <w:sz w:val="18"/>
                      <w:szCs w:val="18"/>
                    </w:rPr>
                  </w:pPr>
                  <w:r>
                    <w:rPr>
                      <w:rFonts w:hint="eastAsia" w:ascii="宋体" w:hAnsi="宋体"/>
                      <w:sz w:val="18"/>
                      <w:szCs w:val="18"/>
                    </w:rPr>
                    <w:t>达标</w:t>
                  </w:r>
                </w:p>
              </w:tc>
            </w:tr>
            <w:tr w14:paraId="40EA23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Align w:val="center"/>
                </w:tcPr>
                <w:p w14:paraId="10585E30">
                  <w:pPr>
                    <w:spacing w:line="240" w:lineRule="auto"/>
                    <w:contextualSpacing/>
                    <w:jc w:val="center"/>
                    <w:rPr>
                      <w:sz w:val="18"/>
                      <w:szCs w:val="18"/>
                    </w:rPr>
                  </w:pPr>
                  <w:r>
                    <w:rPr>
                      <w:sz w:val="18"/>
                      <w:szCs w:val="18"/>
                    </w:rPr>
                    <w:t>4</w:t>
                  </w:r>
                </w:p>
              </w:tc>
              <w:tc>
                <w:tcPr>
                  <w:tcW w:w="1339" w:type="pct"/>
                  <w:vAlign w:val="center"/>
                </w:tcPr>
                <w:p w14:paraId="29220020">
                  <w:pPr>
                    <w:spacing w:line="240" w:lineRule="auto"/>
                    <w:contextualSpacing/>
                    <w:jc w:val="center"/>
                    <w:rPr>
                      <w:sz w:val="18"/>
                      <w:szCs w:val="18"/>
                    </w:rPr>
                  </w:pPr>
                  <w:r>
                    <w:rPr>
                      <w:rFonts w:ascii="宋体" w:hAnsi="宋体"/>
                      <w:sz w:val="18"/>
                      <w:szCs w:val="18"/>
                    </w:rPr>
                    <w:t>臭氧（</w:t>
                  </w:r>
                  <w:r>
                    <w:rPr>
                      <w:sz w:val="18"/>
                      <w:szCs w:val="18"/>
                    </w:rPr>
                    <w:t>O</w:t>
                  </w:r>
                  <w:r>
                    <w:rPr>
                      <w:sz w:val="18"/>
                      <w:szCs w:val="18"/>
                      <w:vertAlign w:val="subscript"/>
                    </w:rPr>
                    <w:t>3</w:t>
                  </w:r>
                  <w:r>
                    <w:rPr>
                      <w:rFonts w:ascii="宋体" w:hAnsi="宋体"/>
                      <w:sz w:val="18"/>
                      <w:szCs w:val="18"/>
                    </w:rPr>
                    <w:t>）</w:t>
                  </w:r>
                </w:p>
              </w:tc>
              <w:tc>
                <w:tcPr>
                  <w:tcW w:w="866" w:type="pct"/>
                  <w:vAlign w:val="center"/>
                </w:tcPr>
                <w:p w14:paraId="186B974E">
                  <w:pPr>
                    <w:spacing w:line="240" w:lineRule="auto"/>
                    <w:contextualSpacing/>
                    <w:jc w:val="center"/>
                    <w:rPr>
                      <w:sz w:val="18"/>
                      <w:szCs w:val="18"/>
                    </w:rPr>
                  </w:pPr>
                  <w:r>
                    <w:rPr>
                      <w:rFonts w:ascii="宋体" w:hAnsi="宋体"/>
                      <w:sz w:val="18"/>
                      <w:szCs w:val="18"/>
                    </w:rPr>
                    <w:t>日最大</w:t>
                  </w:r>
                  <w:r>
                    <w:rPr>
                      <w:sz w:val="18"/>
                      <w:szCs w:val="18"/>
                    </w:rPr>
                    <w:t>8</w:t>
                  </w:r>
                  <w:r>
                    <w:rPr>
                      <w:rFonts w:ascii="宋体" w:hAnsi="宋体"/>
                      <w:sz w:val="18"/>
                      <w:szCs w:val="18"/>
                    </w:rPr>
                    <w:t>小时平均</w:t>
                  </w:r>
                </w:p>
              </w:tc>
              <w:tc>
                <w:tcPr>
                  <w:tcW w:w="643" w:type="pct"/>
                  <w:vAlign w:val="center"/>
                </w:tcPr>
                <w:p w14:paraId="72985058">
                  <w:pPr>
                    <w:spacing w:line="240" w:lineRule="auto"/>
                    <w:contextualSpacing/>
                    <w:jc w:val="center"/>
                    <w:rPr>
                      <w:sz w:val="18"/>
                      <w:szCs w:val="18"/>
                    </w:rPr>
                  </w:pPr>
                  <w:r>
                    <w:rPr>
                      <w:rFonts w:hint="eastAsia"/>
                      <w:sz w:val="18"/>
                      <w:szCs w:val="18"/>
                    </w:rPr>
                    <w:t>164</w:t>
                  </w:r>
                </w:p>
              </w:tc>
              <w:tc>
                <w:tcPr>
                  <w:tcW w:w="843" w:type="pct"/>
                  <w:vAlign w:val="center"/>
                </w:tcPr>
                <w:p w14:paraId="584F24F9">
                  <w:pPr>
                    <w:spacing w:line="240" w:lineRule="auto"/>
                    <w:contextualSpacing/>
                    <w:jc w:val="center"/>
                    <w:rPr>
                      <w:sz w:val="18"/>
                      <w:szCs w:val="18"/>
                    </w:rPr>
                  </w:pPr>
                  <w:r>
                    <w:rPr>
                      <w:rFonts w:hint="eastAsia"/>
                      <w:sz w:val="18"/>
                      <w:szCs w:val="18"/>
                    </w:rPr>
                    <w:t>160</w:t>
                  </w:r>
                </w:p>
              </w:tc>
              <w:tc>
                <w:tcPr>
                  <w:tcW w:w="423" w:type="pct"/>
                  <w:vMerge w:val="restart"/>
                  <w:vAlign w:val="center"/>
                </w:tcPr>
                <w:p w14:paraId="6F4A3899">
                  <w:pPr>
                    <w:spacing w:line="240" w:lineRule="auto"/>
                    <w:contextualSpacing/>
                    <w:jc w:val="center"/>
                    <w:rPr>
                      <w:sz w:val="18"/>
                      <w:szCs w:val="18"/>
                    </w:rPr>
                  </w:pPr>
                  <w:r>
                    <w:rPr>
                      <w:sz w:val="18"/>
                      <w:szCs w:val="18"/>
                    </w:rPr>
                    <w:t>µg/m</w:t>
                  </w:r>
                  <w:r>
                    <w:rPr>
                      <w:sz w:val="18"/>
                      <w:szCs w:val="18"/>
                      <w:vertAlign w:val="superscript"/>
                    </w:rPr>
                    <w:t>3</w:t>
                  </w:r>
                </w:p>
              </w:tc>
              <w:tc>
                <w:tcPr>
                  <w:tcW w:w="493" w:type="pct"/>
                  <w:vAlign w:val="center"/>
                </w:tcPr>
                <w:p w14:paraId="0D6A451D">
                  <w:pPr>
                    <w:spacing w:line="240" w:lineRule="auto"/>
                    <w:contextualSpacing/>
                    <w:jc w:val="center"/>
                    <w:rPr>
                      <w:sz w:val="18"/>
                      <w:szCs w:val="18"/>
                    </w:rPr>
                  </w:pPr>
                  <w:r>
                    <w:rPr>
                      <w:rFonts w:hint="eastAsia" w:ascii="宋体" w:hAnsi="宋体"/>
                      <w:sz w:val="18"/>
                      <w:szCs w:val="18"/>
                    </w:rPr>
                    <w:t>不达标</w:t>
                  </w:r>
                </w:p>
              </w:tc>
            </w:tr>
            <w:tr w14:paraId="22405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Align w:val="center"/>
                </w:tcPr>
                <w:p w14:paraId="714DC36A">
                  <w:pPr>
                    <w:spacing w:line="240" w:lineRule="auto"/>
                    <w:contextualSpacing/>
                    <w:jc w:val="center"/>
                    <w:rPr>
                      <w:sz w:val="18"/>
                      <w:szCs w:val="18"/>
                    </w:rPr>
                  </w:pPr>
                  <w:r>
                    <w:rPr>
                      <w:sz w:val="18"/>
                      <w:szCs w:val="18"/>
                    </w:rPr>
                    <w:t>5</w:t>
                  </w:r>
                </w:p>
              </w:tc>
              <w:tc>
                <w:tcPr>
                  <w:tcW w:w="1339" w:type="pct"/>
                  <w:vAlign w:val="center"/>
                </w:tcPr>
                <w:p w14:paraId="4F4EA27B">
                  <w:pPr>
                    <w:spacing w:line="240" w:lineRule="auto"/>
                    <w:contextualSpacing/>
                    <w:jc w:val="center"/>
                    <w:rPr>
                      <w:sz w:val="18"/>
                      <w:szCs w:val="18"/>
                    </w:rPr>
                  </w:pPr>
                  <w:r>
                    <w:rPr>
                      <w:rFonts w:ascii="宋体" w:hAnsi="宋体"/>
                      <w:sz w:val="18"/>
                      <w:szCs w:val="18"/>
                    </w:rPr>
                    <w:t>颗粒物（</w:t>
                  </w:r>
                  <w:r>
                    <w:rPr>
                      <w:sz w:val="18"/>
                      <w:szCs w:val="18"/>
                    </w:rPr>
                    <w:t>PM</w:t>
                  </w:r>
                  <w:r>
                    <w:rPr>
                      <w:sz w:val="18"/>
                      <w:szCs w:val="18"/>
                      <w:vertAlign w:val="subscript"/>
                    </w:rPr>
                    <w:t>10</w:t>
                  </w:r>
                  <w:r>
                    <w:rPr>
                      <w:rFonts w:ascii="宋体" w:hAnsi="宋体"/>
                      <w:sz w:val="18"/>
                      <w:szCs w:val="18"/>
                    </w:rPr>
                    <w:t>）</w:t>
                  </w:r>
                </w:p>
              </w:tc>
              <w:tc>
                <w:tcPr>
                  <w:tcW w:w="866" w:type="pct"/>
                  <w:vAlign w:val="center"/>
                </w:tcPr>
                <w:p w14:paraId="16BC34F5">
                  <w:pPr>
                    <w:spacing w:line="240" w:lineRule="auto"/>
                    <w:contextualSpacing/>
                    <w:jc w:val="center"/>
                    <w:rPr>
                      <w:sz w:val="18"/>
                      <w:szCs w:val="18"/>
                    </w:rPr>
                  </w:pPr>
                  <w:r>
                    <w:rPr>
                      <w:rFonts w:ascii="宋体" w:hAnsi="宋体"/>
                      <w:sz w:val="18"/>
                      <w:szCs w:val="18"/>
                    </w:rPr>
                    <w:t>年平均</w:t>
                  </w:r>
                </w:p>
              </w:tc>
              <w:tc>
                <w:tcPr>
                  <w:tcW w:w="643" w:type="pct"/>
                  <w:vAlign w:val="center"/>
                </w:tcPr>
                <w:p w14:paraId="4D486089">
                  <w:pPr>
                    <w:spacing w:line="240" w:lineRule="auto"/>
                    <w:contextualSpacing/>
                    <w:jc w:val="center"/>
                    <w:rPr>
                      <w:sz w:val="18"/>
                      <w:szCs w:val="18"/>
                    </w:rPr>
                  </w:pPr>
                  <w:r>
                    <w:rPr>
                      <w:rFonts w:hint="eastAsia"/>
                      <w:sz w:val="18"/>
                      <w:szCs w:val="18"/>
                    </w:rPr>
                    <w:t>47</w:t>
                  </w:r>
                </w:p>
              </w:tc>
              <w:tc>
                <w:tcPr>
                  <w:tcW w:w="843" w:type="pct"/>
                  <w:vAlign w:val="center"/>
                </w:tcPr>
                <w:p w14:paraId="6CAC572F">
                  <w:pPr>
                    <w:spacing w:line="240" w:lineRule="auto"/>
                    <w:contextualSpacing/>
                    <w:jc w:val="center"/>
                    <w:rPr>
                      <w:sz w:val="18"/>
                      <w:szCs w:val="18"/>
                    </w:rPr>
                  </w:pPr>
                  <w:r>
                    <w:rPr>
                      <w:rFonts w:hint="eastAsia"/>
                      <w:sz w:val="18"/>
                      <w:szCs w:val="18"/>
                    </w:rPr>
                    <w:t>60</w:t>
                  </w:r>
                </w:p>
              </w:tc>
              <w:tc>
                <w:tcPr>
                  <w:tcW w:w="423" w:type="pct"/>
                  <w:vMerge w:val="continue"/>
                  <w:vAlign w:val="center"/>
                </w:tcPr>
                <w:p w14:paraId="2A99AA19">
                  <w:pPr>
                    <w:adjustRightInd/>
                    <w:snapToGrid/>
                    <w:spacing w:line="240" w:lineRule="auto"/>
                    <w:rPr>
                      <w:color w:val="000000"/>
                      <w:sz w:val="18"/>
                      <w:szCs w:val="18"/>
                    </w:rPr>
                  </w:pPr>
                </w:p>
              </w:tc>
              <w:tc>
                <w:tcPr>
                  <w:tcW w:w="493" w:type="pct"/>
                  <w:vAlign w:val="center"/>
                </w:tcPr>
                <w:p w14:paraId="641F5D04">
                  <w:pPr>
                    <w:spacing w:line="240" w:lineRule="auto"/>
                    <w:contextualSpacing/>
                    <w:jc w:val="center"/>
                    <w:rPr>
                      <w:sz w:val="18"/>
                      <w:szCs w:val="18"/>
                    </w:rPr>
                  </w:pPr>
                  <w:r>
                    <w:rPr>
                      <w:rFonts w:hint="eastAsia" w:ascii="宋体" w:hAnsi="宋体"/>
                      <w:sz w:val="18"/>
                      <w:szCs w:val="18"/>
                    </w:rPr>
                    <w:t>达标</w:t>
                  </w:r>
                </w:p>
              </w:tc>
            </w:tr>
            <w:tr w14:paraId="409837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3" w:type="pct"/>
                  <w:vAlign w:val="center"/>
                </w:tcPr>
                <w:p w14:paraId="1A5AC11D">
                  <w:pPr>
                    <w:spacing w:line="240" w:lineRule="auto"/>
                    <w:contextualSpacing/>
                    <w:jc w:val="center"/>
                    <w:rPr>
                      <w:sz w:val="18"/>
                      <w:szCs w:val="18"/>
                    </w:rPr>
                  </w:pPr>
                  <w:r>
                    <w:rPr>
                      <w:sz w:val="18"/>
                      <w:szCs w:val="18"/>
                    </w:rPr>
                    <w:t>6</w:t>
                  </w:r>
                </w:p>
              </w:tc>
              <w:tc>
                <w:tcPr>
                  <w:tcW w:w="1339" w:type="pct"/>
                  <w:vAlign w:val="center"/>
                </w:tcPr>
                <w:p w14:paraId="26AF27E4">
                  <w:pPr>
                    <w:spacing w:line="240" w:lineRule="auto"/>
                    <w:contextualSpacing/>
                    <w:jc w:val="center"/>
                    <w:rPr>
                      <w:sz w:val="18"/>
                      <w:szCs w:val="18"/>
                    </w:rPr>
                  </w:pPr>
                  <w:r>
                    <w:rPr>
                      <w:rFonts w:ascii="宋体" w:hAnsi="宋体"/>
                      <w:sz w:val="18"/>
                      <w:szCs w:val="18"/>
                    </w:rPr>
                    <w:t>颗粒物（</w:t>
                  </w:r>
                  <w:r>
                    <w:rPr>
                      <w:sz w:val="18"/>
                      <w:szCs w:val="18"/>
                    </w:rPr>
                    <w:t>PM</w:t>
                  </w:r>
                  <w:r>
                    <w:rPr>
                      <w:sz w:val="18"/>
                      <w:szCs w:val="18"/>
                      <w:vertAlign w:val="subscript"/>
                    </w:rPr>
                    <w:t>2.5</w:t>
                  </w:r>
                  <w:r>
                    <w:rPr>
                      <w:rFonts w:ascii="宋体" w:hAnsi="宋体"/>
                      <w:sz w:val="18"/>
                      <w:szCs w:val="18"/>
                    </w:rPr>
                    <w:t>）</w:t>
                  </w:r>
                </w:p>
              </w:tc>
              <w:tc>
                <w:tcPr>
                  <w:tcW w:w="866" w:type="pct"/>
                  <w:vAlign w:val="center"/>
                </w:tcPr>
                <w:p w14:paraId="289A0BB4">
                  <w:pPr>
                    <w:spacing w:line="240" w:lineRule="auto"/>
                    <w:contextualSpacing/>
                    <w:jc w:val="center"/>
                    <w:rPr>
                      <w:sz w:val="18"/>
                      <w:szCs w:val="18"/>
                    </w:rPr>
                  </w:pPr>
                  <w:r>
                    <w:rPr>
                      <w:rFonts w:ascii="宋体" w:hAnsi="宋体"/>
                      <w:sz w:val="18"/>
                      <w:szCs w:val="18"/>
                    </w:rPr>
                    <w:t>年平均</w:t>
                  </w:r>
                </w:p>
              </w:tc>
              <w:tc>
                <w:tcPr>
                  <w:tcW w:w="643" w:type="pct"/>
                  <w:vAlign w:val="center"/>
                </w:tcPr>
                <w:p w14:paraId="38BFC2DF">
                  <w:pPr>
                    <w:spacing w:line="240" w:lineRule="auto"/>
                    <w:contextualSpacing/>
                    <w:jc w:val="center"/>
                    <w:rPr>
                      <w:sz w:val="18"/>
                      <w:szCs w:val="18"/>
                    </w:rPr>
                  </w:pPr>
                  <w:r>
                    <w:rPr>
                      <w:rFonts w:hint="eastAsia"/>
                      <w:sz w:val="18"/>
                      <w:szCs w:val="18"/>
                    </w:rPr>
                    <w:t>30</w:t>
                  </w:r>
                </w:p>
              </w:tc>
              <w:tc>
                <w:tcPr>
                  <w:tcW w:w="843" w:type="pct"/>
                  <w:vAlign w:val="center"/>
                </w:tcPr>
                <w:p w14:paraId="2FA3AD9E">
                  <w:pPr>
                    <w:spacing w:line="240" w:lineRule="auto"/>
                    <w:contextualSpacing/>
                    <w:jc w:val="center"/>
                    <w:rPr>
                      <w:sz w:val="18"/>
                      <w:szCs w:val="18"/>
                    </w:rPr>
                  </w:pPr>
                  <w:r>
                    <w:rPr>
                      <w:rFonts w:hint="eastAsia"/>
                      <w:sz w:val="18"/>
                      <w:szCs w:val="18"/>
                    </w:rPr>
                    <w:t>30</w:t>
                  </w:r>
                </w:p>
              </w:tc>
              <w:tc>
                <w:tcPr>
                  <w:tcW w:w="423" w:type="pct"/>
                  <w:vMerge w:val="continue"/>
                  <w:vAlign w:val="center"/>
                </w:tcPr>
                <w:p w14:paraId="3548609D">
                  <w:pPr>
                    <w:adjustRightInd/>
                    <w:snapToGrid/>
                    <w:spacing w:line="240" w:lineRule="auto"/>
                    <w:rPr>
                      <w:color w:val="000000"/>
                      <w:sz w:val="18"/>
                      <w:szCs w:val="18"/>
                    </w:rPr>
                  </w:pPr>
                </w:p>
              </w:tc>
              <w:tc>
                <w:tcPr>
                  <w:tcW w:w="493" w:type="pct"/>
                  <w:vAlign w:val="center"/>
                </w:tcPr>
                <w:p w14:paraId="34AF3530">
                  <w:pPr>
                    <w:spacing w:line="240" w:lineRule="auto"/>
                    <w:contextualSpacing/>
                    <w:jc w:val="center"/>
                    <w:rPr>
                      <w:sz w:val="18"/>
                      <w:szCs w:val="18"/>
                    </w:rPr>
                  </w:pPr>
                  <w:r>
                    <w:rPr>
                      <w:rFonts w:hint="eastAsia" w:ascii="宋体" w:hAnsi="宋体"/>
                      <w:sz w:val="18"/>
                      <w:szCs w:val="18"/>
                    </w:rPr>
                    <w:t>达标</w:t>
                  </w:r>
                </w:p>
              </w:tc>
            </w:tr>
          </w:tbl>
          <w:p w14:paraId="3E67A058">
            <w:pPr>
              <w:ind w:firstLine="420" w:firstLineChars="200"/>
              <w:rPr>
                <w:color w:val="000000"/>
                <w:szCs w:val="21"/>
              </w:rPr>
            </w:pPr>
            <w:r>
              <w:rPr>
                <w:rFonts w:ascii="宋体" w:hAnsi="宋体"/>
              </w:rPr>
              <w:t>综上所述，项目所在区域大气环境质量</w:t>
            </w:r>
            <w:r>
              <w:rPr>
                <w:rFonts w:hint="eastAsia" w:ascii="宋体" w:hAnsi="宋体"/>
              </w:rPr>
              <w:t>臭氧存在超标，因此该区域</w:t>
            </w:r>
            <w:r>
              <w:rPr>
                <w:rFonts w:ascii="宋体" w:hAnsi="宋体"/>
              </w:rPr>
              <w:t>为不达标区</w:t>
            </w:r>
            <w:r>
              <w:rPr>
                <w:rFonts w:hint="eastAsia"/>
                <w:color w:val="000000"/>
                <w:szCs w:val="21"/>
              </w:rPr>
              <w:t>。</w:t>
            </w:r>
          </w:p>
          <w:p w14:paraId="287F2803">
            <w:pPr>
              <w:pStyle w:val="4"/>
            </w:pPr>
            <w:r>
              <w:t>声环境质量现状</w:t>
            </w:r>
          </w:p>
          <w:p w14:paraId="312EBEFA">
            <w:pPr>
              <w:ind w:firstLine="420" w:firstLineChars="200"/>
            </w:pPr>
            <w:r>
              <w:rPr>
                <w:rFonts w:hint="eastAsia"/>
              </w:rPr>
              <w:t>根据《杭州市钱塘区声环境功能区划分方案》，项目主要所在区域位于</w:t>
            </w:r>
            <w:r>
              <w:t>2</w:t>
            </w:r>
            <w:r>
              <w:rPr>
                <w:rFonts w:hint="eastAsia"/>
              </w:rPr>
              <w:t>类声环境功能区，执行《声环境质量标准》</w:t>
            </w:r>
            <w:r>
              <w:t>（GB3096-2008）</w:t>
            </w:r>
            <w:r>
              <w:rPr>
                <w:rFonts w:hint="eastAsia"/>
              </w:rPr>
              <w:t>2类标准限值，此外，</w:t>
            </w:r>
            <w:commentRangeStart w:id="54"/>
            <w:r>
              <w:rPr>
                <w:rFonts w:hint="eastAsia"/>
              </w:rPr>
              <w:t>项目北侧工程始于江东大道，南侧止于河景路，</w:t>
            </w:r>
            <w:r>
              <w:t>沿线与向民路、向河路、向景路、向湖路等规划道路平面交叉</w:t>
            </w:r>
            <w:r>
              <w:rPr>
                <w:rFonts w:hint="eastAsia"/>
              </w:rPr>
              <w:t>。江东大道和河景路均为城市主干道，属于4a类功能区，按照钱塘区声环境功能区划分方案中表7-4</w:t>
            </w:r>
            <w:r>
              <w:t>中</w:t>
            </w:r>
            <w:r>
              <w:rPr>
                <w:rFonts w:hint="eastAsia"/>
              </w:rPr>
              <w:t>4a类功能区距离的划定，当相邻为2</w:t>
            </w:r>
            <w:r>
              <w:t>类区时，</w:t>
            </w:r>
            <w:commentRangeEnd w:id="54"/>
            <w:r>
              <w:rPr>
                <w:rStyle w:val="38"/>
                <w:rFonts w:hint="eastAsia"/>
              </w:rPr>
              <w:commentReference w:id="54"/>
            </w:r>
            <w:r>
              <w:rPr>
                <w:rFonts w:hint="eastAsia"/>
              </w:rPr>
              <w:t>划分距离为35m，所以工程南侧与北侧距离江东大道与河景路边界线35m的距离范围内均以4a类进行判定。</w:t>
            </w:r>
          </w:p>
          <w:p w14:paraId="69614606">
            <w:pPr>
              <w:ind w:firstLine="420" w:firstLineChars="200"/>
            </w:pPr>
            <w:r>
              <w:rPr>
                <w:rFonts w:hint="eastAsia"/>
              </w:rPr>
              <w:t>经过现场勘探，工程周边200m范围内不存在现状</w:t>
            </w:r>
            <w:commentRangeStart w:id="55"/>
            <w:commentRangeStart w:id="56"/>
            <w:r>
              <w:rPr>
                <w:rFonts w:hint="eastAsia"/>
              </w:rPr>
              <w:t>声环</w:t>
            </w:r>
            <w:commentRangeEnd w:id="55"/>
            <w:r>
              <w:rPr>
                <w:rStyle w:val="38"/>
                <w:rFonts w:hint="eastAsia"/>
              </w:rPr>
              <w:commentReference w:id="55"/>
            </w:r>
            <w:commentRangeEnd w:id="56"/>
            <w:r>
              <w:rPr>
                <w:rStyle w:val="38"/>
                <w:rFonts w:hint="eastAsia"/>
              </w:rPr>
              <w:commentReference w:id="56"/>
            </w:r>
            <w:r>
              <w:rPr>
                <w:rFonts w:hint="eastAsia"/>
              </w:rPr>
              <w:t>境保护目标，根据《环境影响评价技术导则 声环境》（HJ2.4-2021）：“评价范围内没有明显的声源时可选择有代表性的区域布设测点”本项目声环境质量现状仅针对工程区范围内的噪声背景值进行监测，工程施工区域周边大多为农田或待开发空地，其中在道路工程北侧由于靠近明镜控股总部大楼施工工地，存在巨大的施工噪声干扰，所以暂不对北侧进行噪声监测，仅在工程中段和南侧设置2个有效噪声监测点位，本项目声环境质量现状委托</w:t>
            </w:r>
            <w:bookmarkStart w:id="37" w:name="OLE_LINK11"/>
            <w:r>
              <w:rPr>
                <w:rFonts w:hint="eastAsia"/>
              </w:rPr>
              <w:t>浙江楚迪检测技术</w:t>
            </w:r>
            <w:bookmarkEnd w:id="37"/>
            <w:r>
              <w:rPr>
                <w:rFonts w:hint="eastAsia"/>
              </w:rPr>
              <w:t>有限公司进行监测，于2026年6月26日进行，后又在8月13日进行交通流量与现状噪声补充监测，2个噪声监测点位设置具有一定代表性，能满足导则要求。每个测点监测1天，每天昼间和夜间各测一次，每次监测20min</w:t>
            </w:r>
            <w:r>
              <w:t>。</w:t>
            </w:r>
            <w:r>
              <w:rPr>
                <w:rFonts w:hint="eastAsia"/>
              </w:rPr>
              <w:t>检测方法依据及仪器见</w:t>
            </w:r>
            <w:r>
              <w:fldChar w:fldCharType="begin"/>
            </w:r>
            <w:r>
              <w:instrText xml:space="preserve"> </w:instrText>
            </w:r>
            <w:r>
              <w:rPr>
                <w:rFonts w:hint="eastAsia"/>
              </w:rPr>
              <w:instrText xml:space="preserve">REF _Ref233995945 \h</w:instrText>
            </w:r>
            <w:r>
              <w:instrText xml:space="preserve"> </w:instrText>
            </w:r>
            <w:r>
              <w:fldChar w:fldCharType="separate"/>
            </w:r>
            <w:r>
              <w:t>表 3</w:t>
            </w:r>
            <w:r>
              <w:noBreakHyphen/>
            </w:r>
            <w:r>
              <w:t>3</w:t>
            </w:r>
            <w:r>
              <w:fldChar w:fldCharType="end"/>
            </w:r>
            <w:r>
              <w:rPr>
                <w:rFonts w:hint="eastAsia"/>
              </w:rPr>
              <w:t>，监</w:t>
            </w:r>
            <w:r>
              <w:t>测</w:t>
            </w:r>
            <w:r>
              <w:rPr>
                <w:rFonts w:hint="eastAsia"/>
              </w:rPr>
              <w:t>点监测数据见</w:t>
            </w:r>
            <w:r>
              <w:fldChar w:fldCharType="begin"/>
            </w:r>
            <w:r>
              <w:instrText xml:space="preserve"> </w:instrText>
            </w:r>
            <w:r>
              <w:rPr>
                <w:rFonts w:hint="eastAsia"/>
              </w:rPr>
              <w:instrText xml:space="preserve">REF _Ref233995989 \h</w:instrText>
            </w:r>
            <w:r>
              <w:instrText xml:space="preserve"> </w:instrText>
            </w:r>
            <w:r>
              <w:fldChar w:fldCharType="separate"/>
            </w:r>
            <w:r>
              <w:t>表 3</w:t>
            </w:r>
            <w:r>
              <w:noBreakHyphen/>
            </w:r>
            <w:r>
              <w:t>4</w:t>
            </w:r>
            <w:r>
              <w:fldChar w:fldCharType="end"/>
            </w:r>
            <w:r>
              <w:rPr>
                <w:rFonts w:hint="eastAsia"/>
              </w:rPr>
              <w:t>，河景路的车流量情况见</w:t>
            </w:r>
            <w:r>
              <w:fldChar w:fldCharType="begin"/>
            </w:r>
            <w:r>
              <w:instrText xml:space="preserve"> </w:instrText>
            </w:r>
            <w:r>
              <w:rPr>
                <w:rFonts w:hint="eastAsia"/>
              </w:rPr>
              <w:instrText xml:space="preserve">REF _Ref238127327 \h</w:instrText>
            </w:r>
            <w:r>
              <w:instrText xml:space="preserve"> </w:instrText>
            </w:r>
            <w:r>
              <w:fldChar w:fldCharType="separate"/>
            </w:r>
            <w:r>
              <w:rPr>
                <w:rFonts w:hint="eastAsia"/>
              </w:rPr>
              <w:t xml:space="preserve">表 </w:t>
            </w:r>
            <w:r>
              <w:t>3</w:t>
            </w:r>
            <w:r>
              <w:noBreakHyphen/>
            </w:r>
            <w:r>
              <w:t>5</w:t>
            </w:r>
            <w:r>
              <w:fldChar w:fldCharType="end"/>
            </w:r>
            <w:r>
              <w:t>。</w:t>
            </w:r>
          </w:p>
          <w:p w14:paraId="3D41214F">
            <w:pPr>
              <w:pStyle w:val="9"/>
              <w:spacing w:before="120"/>
            </w:pPr>
            <w:bookmarkStart w:id="38" w:name="_Ref233995945"/>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3</w:t>
            </w:r>
            <w:r>
              <w:fldChar w:fldCharType="end"/>
            </w:r>
            <w:bookmarkEnd w:id="38"/>
            <w:r>
              <w:t>检测方法依据及仪器</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72"/>
              <w:gridCol w:w="2072"/>
              <w:gridCol w:w="1996"/>
              <w:gridCol w:w="2147"/>
            </w:tblGrid>
            <w:tr w14:paraId="028F0C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03" w:type="dxa"/>
                  <w:vAlign w:val="center"/>
                </w:tcPr>
                <w:p w14:paraId="444388D7">
                  <w:pPr>
                    <w:spacing w:line="240" w:lineRule="auto"/>
                    <w:jc w:val="center"/>
                    <w:rPr>
                      <w:b/>
                      <w:bCs/>
                    </w:rPr>
                  </w:pPr>
                  <w:r>
                    <w:rPr>
                      <w:rFonts w:ascii="宋体" w:hAnsi="宋体"/>
                      <w:b/>
                      <w:sz w:val="18"/>
                      <w:szCs w:val="18"/>
                    </w:rPr>
                    <w:t>检测项目</w:t>
                  </w:r>
                </w:p>
              </w:tc>
              <w:tc>
                <w:tcPr>
                  <w:tcW w:w="2103" w:type="dxa"/>
                  <w:vAlign w:val="center"/>
                </w:tcPr>
                <w:p w14:paraId="6DE567E2">
                  <w:pPr>
                    <w:spacing w:line="240" w:lineRule="auto"/>
                    <w:jc w:val="center"/>
                    <w:rPr>
                      <w:b/>
                      <w:bCs/>
                    </w:rPr>
                  </w:pPr>
                  <w:r>
                    <w:rPr>
                      <w:rFonts w:ascii="宋体" w:hAnsi="宋体"/>
                      <w:b/>
                      <w:sz w:val="18"/>
                      <w:szCs w:val="18"/>
                    </w:rPr>
                    <w:t>检测方法依据</w:t>
                  </w:r>
                </w:p>
              </w:tc>
              <w:tc>
                <w:tcPr>
                  <w:tcW w:w="2026" w:type="dxa"/>
                  <w:vAlign w:val="center"/>
                </w:tcPr>
                <w:p w14:paraId="14CF49C2">
                  <w:pPr>
                    <w:spacing w:line="240" w:lineRule="auto"/>
                    <w:jc w:val="center"/>
                    <w:rPr>
                      <w:b/>
                      <w:bCs/>
                    </w:rPr>
                  </w:pPr>
                  <w:r>
                    <w:rPr>
                      <w:rFonts w:ascii="宋体" w:hAnsi="宋体"/>
                      <w:b/>
                      <w:sz w:val="18"/>
                      <w:szCs w:val="18"/>
                    </w:rPr>
                    <w:t>检出限</w:t>
                  </w:r>
                </w:p>
              </w:tc>
              <w:tc>
                <w:tcPr>
                  <w:tcW w:w="2180" w:type="dxa"/>
                  <w:vAlign w:val="center"/>
                </w:tcPr>
                <w:p w14:paraId="6F4D464E">
                  <w:pPr>
                    <w:spacing w:line="240" w:lineRule="auto"/>
                    <w:jc w:val="center"/>
                    <w:rPr>
                      <w:b/>
                      <w:bCs/>
                    </w:rPr>
                  </w:pPr>
                  <w:r>
                    <w:rPr>
                      <w:rFonts w:ascii="宋体" w:hAnsi="宋体"/>
                      <w:b/>
                      <w:sz w:val="18"/>
                      <w:szCs w:val="18"/>
                    </w:rPr>
                    <w:t>仪器型号及编号</w:t>
                  </w:r>
                </w:p>
              </w:tc>
            </w:tr>
            <w:tr w14:paraId="523F84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03" w:type="dxa"/>
                  <w:vAlign w:val="center"/>
                </w:tcPr>
                <w:p w14:paraId="44D8E53B">
                  <w:pPr>
                    <w:spacing w:line="240" w:lineRule="auto"/>
                    <w:jc w:val="center"/>
                    <w:rPr>
                      <w:b/>
                      <w:bCs/>
                    </w:rPr>
                  </w:pPr>
                  <w:r>
                    <w:rPr>
                      <w:rFonts w:hint="eastAsia" w:ascii="宋体" w:hAnsi="宋体"/>
                      <w:sz w:val="18"/>
                      <w:szCs w:val="18"/>
                    </w:rPr>
                    <w:t>功能区噪声</w:t>
                  </w:r>
                </w:p>
              </w:tc>
              <w:tc>
                <w:tcPr>
                  <w:tcW w:w="2103" w:type="dxa"/>
                  <w:vAlign w:val="center"/>
                </w:tcPr>
                <w:p w14:paraId="65839C5B">
                  <w:pPr>
                    <w:spacing w:line="240" w:lineRule="auto"/>
                    <w:jc w:val="center"/>
                    <w:rPr>
                      <w:rFonts w:hint="eastAsia" w:ascii="宋体" w:hAnsi="宋体"/>
                      <w:sz w:val="18"/>
                      <w:szCs w:val="18"/>
                    </w:rPr>
                  </w:pPr>
                  <w:r>
                    <w:rPr>
                      <w:rFonts w:hint="eastAsia" w:ascii="宋体" w:hAnsi="宋体"/>
                      <w:sz w:val="18"/>
                      <w:szCs w:val="18"/>
                    </w:rPr>
                    <w:t>声环境质量标准</w:t>
                  </w:r>
                </w:p>
                <w:p w14:paraId="4FDEE5CC">
                  <w:pPr>
                    <w:spacing w:line="240" w:lineRule="auto"/>
                    <w:jc w:val="center"/>
                    <w:rPr>
                      <w:b/>
                      <w:bCs/>
                    </w:rPr>
                  </w:pPr>
                  <w:r>
                    <w:rPr>
                      <w:rFonts w:hint="eastAsia"/>
                      <w:sz w:val="18"/>
                      <w:szCs w:val="18"/>
                    </w:rPr>
                    <w:t>GB 3096-2008</w:t>
                  </w:r>
                </w:p>
              </w:tc>
              <w:tc>
                <w:tcPr>
                  <w:tcW w:w="2026" w:type="dxa"/>
                  <w:vAlign w:val="center"/>
                </w:tcPr>
                <w:p w14:paraId="35229A07">
                  <w:pPr>
                    <w:spacing w:line="240" w:lineRule="auto"/>
                    <w:jc w:val="center"/>
                    <w:rPr>
                      <w:b/>
                      <w:bCs/>
                    </w:rPr>
                  </w:pPr>
                  <w:r>
                    <w:t>/</w:t>
                  </w:r>
                </w:p>
              </w:tc>
              <w:tc>
                <w:tcPr>
                  <w:tcW w:w="2180" w:type="dxa"/>
                  <w:vAlign w:val="center"/>
                </w:tcPr>
                <w:p w14:paraId="4C1B66B1">
                  <w:pPr>
                    <w:spacing w:line="240" w:lineRule="auto"/>
                    <w:jc w:val="center"/>
                    <w:rPr>
                      <w:sz w:val="18"/>
                      <w:szCs w:val="18"/>
                    </w:rPr>
                  </w:pPr>
                  <w:r>
                    <w:rPr>
                      <w:sz w:val="18"/>
                      <w:szCs w:val="18"/>
                    </w:rPr>
                    <w:t>AWA6228+型多功能声级计(23-188)</w:t>
                  </w:r>
                </w:p>
              </w:tc>
            </w:tr>
          </w:tbl>
          <w:p w14:paraId="6A6C165C">
            <w:pPr>
              <w:pStyle w:val="9"/>
              <w:spacing w:before="120"/>
            </w:pPr>
            <w:bookmarkStart w:id="39" w:name="_Ref233995989"/>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4</w:t>
            </w:r>
            <w:r>
              <w:fldChar w:fldCharType="end"/>
            </w:r>
            <w:bookmarkEnd w:id="39"/>
            <w:r>
              <w:t>声环境质量现状监测结果</w:t>
            </w:r>
          </w:p>
          <w:tbl>
            <w:tblPr>
              <w:tblStyle w:val="20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1036"/>
              <w:gridCol w:w="1303"/>
              <w:gridCol w:w="769"/>
              <w:gridCol w:w="1036"/>
              <w:gridCol w:w="1036"/>
              <w:gridCol w:w="1036"/>
              <w:gridCol w:w="1036"/>
            </w:tblGrid>
            <w:tr w14:paraId="7CB586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35" w:type="dxa"/>
                  <w:vAlign w:val="center"/>
                </w:tcPr>
                <w:p w14:paraId="342A431D">
                  <w:pPr>
                    <w:spacing w:line="240" w:lineRule="auto"/>
                    <w:jc w:val="center"/>
                    <w:rPr>
                      <w:rFonts w:eastAsia="Times New Roman"/>
                      <w:b/>
                      <w:bCs/>
                      <w:sz w:val="18"/>
                      <w:szCs w:val="18"/>
                    </w:rPr>
                  </w:pPr>
                  <w:r>
                    <w:rPr>
                      <w:rFonts w:eastAsia="Times New Roman"/>
                      <w:b/>
                      <w:bCs/>
                      <w:sz w:val="18"/>
                      <w:szCs w:val="18"/>
                    </w:rPr>
                    <w:t>测点编号</w:t>
                  </w:r>
                </w:p>
              </w:tc>
              <w:tc>
                <w:tcPr>
                  <w:tcW w:w="1036" w:type="dxa"/>
                  <w:vAlign w:val="center"/>
                </w:tcPr>
                <w:p w14:paraId="545D7C69">
                  <w:pPr>
                    <w:spacing w:line="240" w:lineRule="auto"/>
                    <w:jc w:val="center"/>
                    <w:rPr>
                      <w:rFonts w:eastAsia="Times New Roman"/>
                      <w:b/>
                      <w:bCs/>
                      <w:sz w:val="18"/>
                      <w:szCs w:val="18"/>
                    </w:rPr>
                  </w:pPr>
                  <w:r>
                    <w:rPr>
                      <w:rFonts w:eastAsia="Times New Roman"/>
                      <w:b/>
                      <w:bCs/>
                      <w:sz w:val="18"/>
                      <w:szCs w:val="18"/>
                    </w:rPr>
                    <w:t>测点位置</w:t>
                  </w:r>
                </w:p>
              </w:tc>
              <w:tc>
                <w:tcPr>
                  <w:tcW w:w="1303" w:type="dxa"/>
                  <w:vAlign w:val="center"/>
                </w:tcPr>
                <w:p w14:paraId="217AAFEC">
                  <w:pPr>
                    <w:spacing w:line="240" w:lineRule="auto"/>
                    <w:jc w:val="center"/>
                    <w:rPr>
                      <w:rFonts w:eastAsia="Times New Roman"/>
                      <w:b/>
                      <w:bCs/>
                      <w:sz w:val="18"/>
                      <w:szCs w:val="18"/>
                    </w:rPr>
                  </w:pPr>
                  <w:r>
                    <w:rPr>
                      <w:rFonts w:eastAsia="Times New Roman"/>
                      <w:b/>
                      <w:bCs/>
                      <w:sz w:val="18"/>
                      <w:szCs w:val="18"/>
                    </w:rPr>
                    <w:t>检测时间</w:t>
                  </w:r>
                </w:p>
              </w:tc>
              <w:tc>
                <w:tcPr>
                  <w:tcW w:w="769" w:type="dxa"/>
                  <w:vAlign w:val="center"/>
                </w:tcPr>
                <w:p w14:paraId="52AEBC68">
                  <w:pPr>
                    <w:spacing w:line="240" w:lineRule="auto"/>
                    <w:jc w:val="center"/>
                    <w:rPr>
                      <w:rFonts w:eastAsia="Times New Roman"/>
                      <w:b/>
                      <w:bCs/>
                      <w:sz w:val="18"/>
                      <w:szCs w:val="18"/>
                    </w:rPr>
                  </w:pPr>
                  <w:r>
                    <w:rPr>
                      <w:rFonts w:hint="eastAsia" w:ascii="宋体" w:hAnsi="宋体" w:eastAsia="Times New Roman" w:cs="宋体"/>
                      <w:b/>
                      <w:bCs/>
                      <w:sz w:val="18"/>
                      <w:szCs w:val="18"/>
                    </w:rPr>
                    <w:t>时间段</w:t>
                  </w:r>
                </w:p>
              </w:tc>
              <w:tc>
                <w:tcPr>
                  <w:tcW w:w="1036" w:type="dxa"/>
                  <w:vAlign w:val="center"/>
                </w:tcPr>
                <w:p w14:paraId="7ABBBA29">
                  <w:pPr>
                    <w:spacing w:line="240" w:lineRule="auto"/>
                    <w:jc w:val="center"/>
                    <w:rPr>
                      <w:rFonts w:eastAsia="Times New Roman"/>
                      <w:b/>
                      <w:bCs/>
                      <w:sz w:val="18"/>
                      <w:szCs w:val="18"/>
                    </w:rPr>
                  </w:pPr>
                  <w:r>
                    <w:rPr>
                      <w:rFonts w:eastAsia="Times New Roman"/>
                      <w:b/>
                      <w:bCs/>
                      <w:sz w:val="18"/>
                      <w:szCs w:val="18"/>
                    </w:rPr>
                    <w:t>等效声级L</w:t>
                  </w:r>
                  <w:r>
                    <w:rPr>
                      <w:rFonts w:eastAsia="Times New Roman"/>
                      <w:b/>
                      <w:bCs/>
                      <w:sz w:val="18"/>
                      <w:szCs w:val="18"/>
                      <w:vertAlign w:val="subscript"/>
                    </w:rPr>
                    <w:t xml:space="preserve">eq </w:t>
                  </w:r>
                  <w:r>
                    <w:rPr>
                      <w:rFonts w:eastAsia="Times New Roman"/>
                      <w:b/>
                      <w:bCs/>
                      <w:sz w:val="18"/>
                      <w:szCs w:val="18"/>
                    </w:rPr>
                    <w:t>dB（A）</w:t>
                  </w:r>
                </w:p>
              </w:tc>
              <w:tc>
                <w:tcPr>
                  <w:tcW w:w="1036" w:type="dxa"/>
                  <w:vAlign w:val="center"/>
                </w:tcPr>
                <w:p w14:paraId="0EE1B766">
                  <w:pPr>
                    <w:spacing w:line="240" w:lineRule="auto"/>
                    <w:jc w:val="center"/>
                    <w:rPr>
                      <w:rFonts w:eastAsia="Times New Roman"/>
                      <w:b/>
                      <w:bCs/>
                      <w:sz w:val="18"/>
                      <w:szCs w:val="18"/>
                    </w:rPr>
                  </w:pPr>
                  <w:r>
                    <w:rPr>
                      <w:rFonts w:eastAsia="Times New Roman"/>
                      <w:b/>
                      <w:bCs/>
                      <w:sz w:val="18"/>
                      <w:szCs w:val="18"/>
                    </w:rPr>
                    <w:t>最大声级L</w:t>
                  </w:r>
                  <w:r>
                    <w:rPr>
                      <w:rFonts w:eastAsia="Times New Roman"/>
                      <w:b/>
                      <w:bCs/>
                      <w:sz w:val="18"/>
                      <w:szCs w:val="18"/>
                      <w:vertAlign w:val="subscript"/>
                    </w:rPr>
                    <w:t xml:space="preserve">max </w:t>
                  </w:r>
                  <w:r>
                    <w:rPr>
                      <w:rFonts w:eastAsia="Times New Roman"/>
                      <w:b/>
                      <w:bCs/>
                      <w:sz w:val="18"/>
                      <w:szCs w:val="18"/>
                    </w:rPr>
                    <w:t>dB（A）</w:t>
                  </w:r>
                </w:p>
              </w:tc>
              <w:tc>
                <w:tcPr>
                  <w:tcW w:w="1036" w:type="dxa"/>
                  <w:vAlign w:val="center"/>
                </w:tcPr>
                <w:p w14:paraId="04458B51">
                  <w:pPr>
                    <w:spacing w:line="240" w:lineRule="auto"/>
                    <w:jc w:val="center"/>
                    <w:rPr>
                      <w:rFonts w:eastAsia="Times New Roman"/>
                      <w:b/>
                      <w:bCs/>
                      <w:sz w:val="18"/>
                      <w:szCs w:val="18"/>
                    </w:rPr>
                  </w:pPr>
                  <w:r>
                    <w:rPr>
                      <w:rFonts w:hint="eastAsia" w:eastAsia="Times New Roman"/>
                      <w:b/>
                      <w:bCs/>
                      <w:sz w:val="18"/>
                      <w:szCs w:val="18"/>
                    </w:rPr>
                    <w:t>标准值</w:t>
                  </w:r>
                </w:p>
                <w:p w14:paraId="7AFE4BEF">
                  <w:pPr>
                    <w:spacing w:line="240" w:lineRule="auto"/>
                    <w:jc w:val="center"/>
                    <w:rPr>
                      <w:rFonts w:eastAsia="Times New Roman"/>
                      <w:b/>
                      <w:bCs/>
                      <w:sz w:val="18"/>
                      <w:szCs w:val="18"/>
                    </w:rPr>
                  </w:pPr>
                  <w:r>
                    <w:rPr>
                      <w:rFonts w:eastAsia="Times New Roman"/>
                      <w:b/>
                      <w:bCs/>
                      <w:sz w:val="18"/>
                      <w:szCs w:val="18"/>
                    </w:rPr>
                    <w:t>dB（A）</w:t>
                  </w:r>
                </w:p>
              </w:tc>
              <w:tc>
                <w:tcPr>
                  <w:tcW w:w="1036" w:type="dxa"/>
                  <w:vAlign w:val="center"/>
                </w:tcPr>
                <w:p w14:paraId="08B401CB">
                  <w:pPr>
                    <w:spacing w:line="240" w:lineRule="auto"/>
                    <w:jc w:val="center"/>
                    <w:rPr>
                      <w:rFonts w:eastAsia="Times New Roman"/>
                      <w:b/>
                      <w:bCs/>
                      <w:sz w:val="18"/>
                      <w:szCs w:val="18"/>
                    </w:rPr>
                  </w:pPr>
                  <w:r>
                    <w:rPr>
                      <w:rFonts w:hint="eastAsia" w:ascii="宋体" w:hAnsi="宋体" w:eastAsia="Times New Roman" w:cs="宋体"/>
                      <w:b/>
                      <w:bCs/>
                      <w:sz w:val="18"/>
                      <w:szCs w:val="18"/>
                    </w:rPr>
                    <w:t>达标情况</w:t>
                  </w:r>
                </w:p>
              </w:tc>
            </w:tr>
            <w:tr w14:paraId="1AA2C3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restart"/>
                  <w:vAlign w:val="center"/>
                </w:tcPr>
                <w:p w14:paraId="5B039603">
                  <w:pPr>
                    <w:spacing w:line="240" w:lineRule="auto"/>
                    <w:jc w:val="center"/>
                    <w:rPr>
                      <w:rFonts w:eastAsia="Times New Roman"/>
                      <w:sz w:val="18"/>
                      <w:szCs w:val="18"/>
                    </w:rPr>
                  </w:pPr>
                  <w:r>
                    <w:rPr>
                      <w:rFonts w:eastAsia="Times New Roman"/>
                      <w:sz w:val="18"/>
                      <w:szCs w:val="18"/>
                    </w:rPr>
                    <w:t>N1</w:t>
                  </w:r>
                </w:p>
              </w:tc>
              <w:tc>
                <w:tcPr>
                  <w:tcW w:w="1036" w:type="dxa"/>
                  <w:vMerge w:val="restart"/>
                  <w:vAlign w:val="center"/>
                </w:tcPr>
                <w:p w14:paraId="339EE71A">
                  <w:pPr>
                    <w:spacing w:line="240" w:lineRule="auto"/>
                    <w:jc w:val="center"/>
                    <w:rPr>
                      <w:rFonts w:eastAsia="Times New Roman"/>
                      <w:sz w:val="18"/>
                      <w:szCs w:val="18"/>
                    </w:rPr>
                  </w:pPr>
                  <w:r>
                    <w:rPr>
                      <w:rFonts w:eastAsia="Times New Roman"/>
                      <w:sz w:val="18"/>
                      <w:szCs w:val="18"/>
                    </w:rPr>
                    <w:t>青西二路工程中点</w:t>
                  </w:r>
                </w:p>
              </w:tc>
              <w:tc>
                <w:tcPr>
                  <w:tcW w:w="1303" w:type="dxa"/>
                  <w:vAlign w:val="center"/>
                </w:tcPr>
                <w:p w14:paraId="7214AD81">
                  <w:pPr>
                    <w:spacing w:line="240" w:lineRule="auto"/>
                    <w:jc w:val="center"/>
                    <w:rPr>
                      <w:rFonts w:eastAsia="Times New Roman"/>
                      <w:sz w:val="18"/>
                      <w:szCs w:val="18"/>
                    </w:rPr>
                  </w:pPr>
                  <w:r>
                    <w:rPr>
                      <w:rFonts w:eastAsia="Times New Roman"/>
                      <w:sz w:val="18"/>
                      <w:szCs w:val="18"/>
                    </w:rPr>
                    <w:t>2026.06.26 10:12-10:32</w:t>
                  </w:r>
                </w:p>
              </w:tc>
              <w:tc>
                <w:tcPr>
                  <w:tcW w:w="769" w:type="dxa"/>
                  <w:vAlign w:val="center"/>
                </w:tcPr>
                <w:p w14:paraId="5C91B8B3">
                  <w:pPr>
                    <w:spacing w:line="240" w:lineRule="auto"/>
                    <w:jc w:val="center"/>
                    <w:rPr>
                      <w:rFonts w:eastAsia="Times New Roman"/>
                      <w:sz w:val="18"/>
                      <w:szCs w:val="18"/>
                    </w:rPr>
                  </w:pPr>
                  <w:r>
                    <w:rPr>
                      <w:rFonts w:hint="eastAsia" w:ascii="宋体" w:hAnsi="宋体" w:eastAsia="Times New Roman" w:cs="宋体"/>
                      <w:sz w:val="18"/>
                      <w:szCs w:val="18"/>
                    </w:rPr>
                    <w:t>昼</w:t>
                  </w:r>
                </w:p>
              </w:tc>
              <w:tc>
                <w:tcPr>
                  <w:tcW w:w="1036" w:type="dxa"/>
                  <w:vAlign w:val="center"/>
                </w:tcPr>
                <w:p w14:paraId="1E511EA2">
                  <w:pPr>
                    <w:spacing w:line="240" w:lineRule="auto"/>
                    <w:jc w:val="center"/>
                    <w:rPr>
                      <w:rFonts w:eastAsia="Times New Roman"/>
                      <w:sz w:val="18"/>
                      <w:szCs w:val="18"/>
                    </w:rPr>
                  </w:pPr>
                  <w:r>
                    <w:rPr>
                      <w:rFonts w:eastAsia="Times New Roman"/>
                      <w:sz w:val="18"/>
                      <w:szCs w:val="18"/>
                    </w:rPr>
                    <w:t>52</w:t>
                  </w:r>
                </w:p>
              </w:tc>
              <w:tc>
                <w:tcPr>
                  <w:tcW w:w="1036" w:type="dxa"/>
                  <w:vAlign w:val="center"/>
                </w:tcPr>
                <w:p w14:paraId="2910EE91">
                  <w:pPr>
                    <w:spacing w:line="240" w:lineRule="auto"/>
                    <w:jc w:val="center"/>
                    <w:rPr>
                      <w:rFonts w:eastAsia="Times New Roman"/>
                      <w:sz w:val="18"/>
                      <w:szCs w:val="18"/>
                    </w:rPr>
                  </w:pPr>
                  <w:r>
                    <w:rPr>
                      <w:rFonts w:eastAsia="Times New Roman"/>
                      <w:sz w:val="18"/>
                      <w:szCs w:val="18"/>
                    </w:rPr>
                    <w:t>/</w:t>
                  </w:r>
                </w:p>
              </w:tc>
              <w:tc>
                <w:tcPr>
                  <w:tcW w:w="1036" w:type="dxa"/>
                  <w:vAlign w:val="center"/>
                </w:tcPr>
                <w:p w14:paraId="099CEF9F">
                  <w:pPr>
                    <w:spacing w:line="240" w:lineRule="auto"/>
                    <w:jc w:val="center"/>
                    <w:rPr>
                      <w:rFonts w:eastAsia="Times New Roman"/>
                      <w:sz w:val="18"/>
                      <w:szCs w:val="18"/>
                    </w:rPr>
                  </w:pPr>
                  <w:r>
                    <w:rPr>
                      <w:rFonts w:hint="eastAsia" w:eastAsia="Times New Roman"/>
                      <w:sz w:val="18"/>
                      <w:szCs w:val="18"/>
                    </w:rPr>
                    <w:t>60</w:t>
                  </w:r>
                </w:p>
              </w:tc>
              <w:tc>
                <w:tcPr>
                  <w:tcW w:w="1036" w:type="dxa"/>
                  <w:vAlign w:val="center"/>
                </w:tcPr>
                <w:p w14:paraId="64A14A0D">
                  <w:pPr>
                    <w:spacing w:line="240" w:lineRule="auto"/>
                    <w:jc w:val="center"/>
                    <w:rPr>
                      <w:rFonts w:eastAsia="Times New Roman"/>
                      <w:sz w:val="18"/>
                      <w:szCs w:val="18"/>
                    </w:rPr>
                  </w:pPr>
                  <w:r>
                    <w:rPr>
                      <w:rFonts w:hint="eastAsia" w:ascii="宋体" w:hAnsi="宋体" w:eastAsia="Times New Roman" w:cs="宋体"/>
                      <w:sz w:val="18"/>
                      <w:szCs w:val="18"/>
                    </w:rPr>
                    <w:t>达标</w:t>
                  </w:r>
                </w:p>
              </w:tc>
            </w:tr>
            <w:tr w14:paraId="006615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713D1762">
                  <w:pPr>
                    <w:spacing w:line="240" w:lineRule="auto"/>
                    <w:jc w:val="center"/>
                    <w:rPr>
                      <w:rFonts w:eastAsia="Times New Roman"/>
                      <w:sz w:val="18"/>
                      <w:szCs w:val="18"/>
                    </w:rPr>
                  </w:pPr>
                </w:p>
              </w:tc>
              <w:tc>
                <w:tcPr>
                  <w:tcW w:w="1036" w:type="dxa"/>
                  <w:vMerge w:val="continue"/>
                  <w:vAlign w:val="center"/>
                </w:tcPr>
                <w:p w14:paraId="4FB6FAFE">
                  <w:pPr>
                    <w:spacing w:line="240" w:lineRule="auto"/>
                    <w:jc w:val="center"/>
                    <w:rPr>
                      <w:rFonts w:eastAsia="Times New Roman"/>
                      <w:sz w:val="18"/>
                      <w:szCs w:val="18"/>
                    </w:rPr>
                  </w:pPr>
                </w:p>
              </w:tc>
              <w:tc>
                <w:tcPr>
                  <w:tcW w:w="1303" w:type="dxa"/>
                  <w:vAlign w:val="center"/>
                </w:tcPr>
                <w:p w14:paraId="39C7CDCC">
                  <w:pPr>
                    <w:spacing w:line="240" w:lineRule="auto"/>
                    <w:jc w:val="center"/>
                    <w:rPr>
                      <w:rFonts w:eastAsia="Times New Roman"/>
                      <w:sz w:val="18"/>
                      <w:szCs w:val="18"/>
                    </w:rPr>
                  </w:pPr>
                  <w:r>
                    <w:rPr>
                      <w:rFonts w:eastAsia="Times New Roman"/>
                      <w:sz w:val="18"/>
                      <w:szCs w:val="18"/>
                    </w:rPr>
                    <w:t>2026.06.26 22:39-22:59</w:t>
                  </w:r>
                </w:p>
              </w:tc>
              <w:tc>
                <w:tcPr>
                  <w:tcW w:w="769" w:type="dxa"/>
                  <w:vAlign w:val="center"/>
                </w:tcPr>
                <w:p w14:paraId="6A71C703">
                  <w:pPr>
                    <w:spacing w:line="240" w:lineRule="auto"/>
                    <w:jc w:val="center"/>
                    <w:rPr>
                      <w:rFonts w:eastAsia="Times New Roman"/>
                      <w:sz w:val="18"/>
                      <w:szCs w:val="18"/>
                    </w:rPr>
                  </w:pPr>
                  <w:r>
                    <w:rPr>
                      <w:rFonts w:hint="eastAsia" w:ascii="宋体" w:hAnsi="宋体" w:eastAsia="Times New Roman" w:cs="宋体"/>
                      <w:sz w:val="18"/>
                      <w:szCs w:val="18"/>
                    </w:rPr>
                    <w:t>夜</w:t>
                  </w:r>
                </w:p>
              </w:tc>
              <w:tc>
                <w:tcPr>
                  <w:tcW w:w="1036" w:type="dxa"/>
                  <w:vAlign w:val="center"/>
                </w:tcPr>
                <w:p w14:paraId="412ED7B0">
                  <w:pPr>
                    <w:spacing w:line="240" w:lineRule="auto"/>
                    <w:jc w:val="center"/>
                    <w:rPr>
                      <w:rFonts w:eastAsia="Times New Roman"/>
                      <w:sz w:val="18"/>
                      <w:szCs w:val="18"/>
                    </w:rPr>
                  </w:pPr>
                  <w:r>
                    <w:rPr>
                      <w:rFonts w:eastAsia="Times New Roman"/>
                      <w:sz w:val="18"/>
                      <w:szCs w:val="18"/>
                    </w:rPr>
                    <w:t>43</w:t>
                  </w:r>
                </w:p>
              </w:tc>
              <w:tc>
                <w:tcPr>
                  <w:tcW w:w="1036" w:type="dxa"/>
                  <w:vAlign w:val="center"/>
                </w:tcPr>
                <w:p w14:paraId="3D1546D7">
                  <w:pPr>
                    <w:spacing w:line="240" w:lineRule="auto"/>
                    <w:jc w:val="center"/>
                    <w:rPr>
                      <w:rFonts w:eastAsia="Times New Roman"/>
                      <w:sz w:val="18"/>
                      <w:szCs w:val="18"/>
                    </w:rPr>
                  </w:pPr>
                  <w:r>
                    <w:rPr>
                      <w:rFonts w:eastAsia="Times New Roman"/>
                      <w:sz w:val="18"/>
                      <w:szCs w:val="18"/>
                    </w:rPr>
                    <w:t>55</w:t>
                  </w:r>
                </w:p>
              </w:tc>
              <w:tc>
                <w:tcPr>
                  <w:tcW w:w="1036" w:type="dxa"/>
                  <w:vAlign w:val="center"/>
                </w:tcPr>
                <w:p w14:paraId="744B8004">
                  <w:pPr>
                    <w:spacing w:line="240" w:lineRule="auto"/>
                    <w:jc w:val="center"/>
                    <w:rPr>
                      <w:rFonts w:eastAsia="Times New Roman"/>
                      <w:sz w:val="18"/>
                      <w:szCs w:val="18"/>
                    </w:rPr>
                  </w:pPr>
                  <w:r>
                    <w:rPr>
                      <w:rFonts w:hint="eastAsia" w:eastAsia="Times New Roman"/>
                      <w:sz w:val="18"/>
                      <w:szCs w:val="18"/>
                    </w:rPr>
                    <w:t>50</w:t>
                  </w:r>
                </w:p>
              </w:tc>
              <w:tc>
                <w:tcPr>
                  <w:tcW w:w="1036" w:type="dxa"/>
                  <w:vAlign w:val="center"/>
                </w:tcPr>
                <w:p w14:paraId="0F7B1876">
                  <w:pPr>
                    <w:spacing w:line="240" w:lineRule="auto"/>
                    <w:jc w:val="center"/>
                    <w:rPr>
                      <w:rFonts w:eastAsia="Times New Roman"/>
                      <w:sz w:val="18"/>
                      <w:szCs w:val="18"/>
                    </w:rPr>
                  </w:pPr>
                  <w:r>
                    <w:rPr>
                      <w:rFonts w:hint="eastAsia" w:ascii="宋体" w:hAnsi="宋体" w:eastAsia="Times New Roman" w:cs="宋体"/>
                      <w:sz w:val="18"/>
                      <w:szCs w:val="18"/>
                    </w:rPr>
                    <w:t>达标</w:t>
                  </w:r>
                </w:p>
              </w:tc>
            </w:tr>
            <w:tr w14:paraId="698576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1A76C1CE">
                  <w:pPr>
                    <w:spacing w:line="240" w:lineRule="auto"/>
                    <w:jc w:val="center"/>
                    <w:rPr>
                      <w:rFonts w:eastAsia="Times New Roman"/>
                      <w:sz w:val="18"/>
                      <w:szCs w:val="18"/>
                    </w:rPr>
                  </w:pPr>
                </w:p>
              </w:tc>
              <w:tc>
                <w:tcPr>
                  <w:tcW w:w="1036" w:type="dxa"/>
                  <w:vMerge w:val="continue"/>
                  <w:vAlign w:val="center"/>
                </w:tcPr>
                <w:p w14:paraId="58F5C484">
                  <w:pPr>
                    <w:spacing w:line="240" w:lineRule="auto"/>
                    <w:jc w:val="center"/>
                    <w:rPr>
                      <w:rFonts w:eastAsia="Times New Roman"/>
                      <w:sz w:val="18"/>
                      <w:szCs w:val="18"/>
                    </w:rPr>
                  </w:pPr>
                </w:p>
              </w:tc>
              <w:tc>
                <w:tcPr>
                  <w:tcW w:w="1303" w:type="dxa"/>
                  <w:vAlign w:val="center"/>
                </w:tcPr>
                <w:p w14:paraId="3A630A20">
                  <w:pPr>
                    <w:spacing w:line="240" w:lineRule="auto"/>
                    <w:jc w:val="center"/>
                    <w:rPr>
                      <w:rFonts w:eastAsia="Times New Roman"/>
                      <w:sz w:val="18"/>
                      <w:szCs w:val="18"/>
                    </w:rPr>
                  </w:pPr>
                  <w:r>
                    <w:rPr>
                      <w:rFonts w:eastAsia="Times New Roman"/>
                      <w:sz w:val="18"/>
                      <w:szCs w:val="18"/>
                    </w:rPr>
                    <w:t>2026.08.13</w:t>
                  </w:r>
                </w:p>
                <w:p w14:paraId="6780DD22">
                  <w:pPr>
                    <w:spacing w:line="240" w:lineRule="auto"/>
                    <w:jc w:val="center"/>
                    <w:rPr>
                      <w:rFonts w:eastAsia="Times New Roman"/>
                      <w:sz w:val="18"/>
                      <w:szCs w:val="18"/>
                    </w:rPr>
                  </w:pPr>
                  <w:r>
                    <w:rPr>
                      <w:rFonts w:eastAsia="Times New Roman"/>
                      <w:sz w:val="18"/>
                      <w:szCs w:val="18"/>
                    </w:rPr>
                    <w:t>17:18~17:38</w:t>
                  </w:r>
                </w:p>
              </w:tc>
              <w:tc>
                <w:tcPr>
                  <w:tcW w:w="769" w:type="dxa"/>
                  <w:vAlign w:val="center"/>
                </w:tcPr>
                <w:p w14:paraId="55B051BE">
                  <w:pPr>
                    <w:spacing w:line="240" w:lineRule="auto"/>
                    <w:jc w:val="center"/>
                    <w:rPr>
                      <w:rFonts w:ascii="宋体" w:hAnsi="宋体" w:eastAsia="Times New Roman" w:cs="宋体"/>
                      <w:sz w:val="18"/>
                      <w:szCs w:val="18"/>
                    </w:rPr>
                  </w:pPr>
                  <w:r>
                    <w:rPr>
                      <w:rFonts w:hint="eastAsia" w:ascii="宋体" w:hAnsi="宋体" w:eastAsia="Times New Roman" w:cs="宋体"/>
                      <w:sz w:val="18"/>
                      <w:szCs w:val="18"/>
                    </w:rPr>
                    <w:t>昼</w:t>
                  </w:r>
                </w:p>
              </w:tc>
              <w:tc>
                <w:tcPr>
                  <w:tcW w:w="1036" w:type="dxa"/>
                  <w:vAlign w:val="center"/>
                </w:tcPr>
                <w:p w14:paraId="683CD18B">
                  <w:pPr>
                    <w:spacing w:line="240" w:lineRule="auto"/>
                    <w:jc w:val="center"/>
                    <w:rPr>
                      <w:rFonts w:eastAsiaTheme="minorEastAsia"/>
                      <w:sz w:val="18"/>
                      <w:szCs w:val="18"/>
                    </w:rPr>
                  </w:pPr>
                  <w:r>
                    <w:rPr>
                      <w:rFonts w:hint="eastAsia" w:eastAsiaTheme="minorEastAsia"/>
                      <w:sz w:val="18"/>
                      <w:szCs w:val="18"/>
                    </w:rPr>
                    <w:t>52</w:t>
                  </w:r>
                </w:p>
              </w:tc>
              <w:tc>
                <w:tcPr>
                  <w:tcW w:w="1036" w:type="dxa"/>
                  <w:vAlign w:val="center"/>
                </w:tcPr>
                <w:p w14:paraId="003FB471">
                  <w:pPr>
                    <w:spacing w:line="240" w:lineRule="auto"/>
                    <w:jc w:val="center"/>
                    <w:rPr>
                      <w:rFonts w:eastAsiaTheme="minorEastAsia"/>
                      <w:sz w:val="18"/>
                      <w:szCs w:val="18"/>
                    </w:rPr>
                  </w:pPr>
                  <w:r>
                    <w:rPr>
                      <w:rFonts w:hint="eastAsia" w:eastAsiaTheme="minorEastAsia"/>
                      <w:sz w:val="18"/>
                      <w:szCs w:val="18"/>
                    </w:rPr>
                    <w:t>/</w:t>
                  </w:r>
                </w:p>
              </w:tc>
              <w:tc>
                <w:tcPr>
                  <w:tcW w:w="1036" w:type="dxa"/>
                  <w:vAlign w:val="center"/>
                </w:tcPr>
                <w:p w14:paraId="26F9F897">
                  <w:pPr>
                    <w:spacing w:line="240" w:lineRule="auto"/>
                    <w:jc w:val="center"/>
                    <w:rPr>
                      <w:rFonts w:eastAsiaTheme="minorEastAsia"/>
                      <w:sz w:val="18"/>
                      <w:szCs w:val="18"/>
                    </w:rPr>
                  </w:pPr>
                  <w:r>
                    <w:rPr>
                      <w:rFonts w:hint="eastAsia" w:eastAsiaTheme="minorEastAsia"/>
                      <w:sz w:val="18"/>
                      <w:szCs w:val="18"/>
                    </w:rPr>
                    <w:t>60</w:t>
                  </w:r>
                </w:p>
              </w:tc>
              <w:tc>
                <w:tcPr>
                  <w:tcW w:w="1036" w:type="dxa"/>
                  <w:vAlign w:val="center"/>
                </w:tcPr>
                <w:p w14:paraId="5EC292C5">
                  <w:pPr>
                    <w:spacing w:line="240" w:lineRule="auto"/>
                    <w:jc w:val="center"/>
                    <w:rPr>
                      <w:rFonts w:ascii="宋体" w:hAnsi="宋体" w:eastAsia="Times New Roman" w:cs="宋体"/>
                      <w:sz w:val="18"/>
                      <w:szCs w:val="18"/>
                    </w:rPr>
                  </w:pPr>
                  <w:r>
                    <w:rPr>
                      <w:rFonts w:hint="eastAsia" w:ascii="宋体" w:hAnsi="宋体" w:eastAsia="Times New Roman" w:cs="宋体"/>
                      <w:sz w:val="18"/>
                      <w:szCs w:val="18"/>
                    </w:rPr>
                    <w:t>达标</w:t>
                  </w:r>
                </w:p>
              </w:tc>
            </w:tr>
            <w:tr w14:paraId="048B0C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3B80E64B">
                  <w:pPr>
                    <w:spacing w:line="240" w:lineRule="auto"/>
                    <w:jc w:val="center"/>
                    <w:rPr>
                      <w:rFonts w:eastAsia="Times New Roman"/>
                      <w:sz w:val="18"/>
                      <w:szCs w:val="18"/>
                    </w:rPr>
                  </w:pPr>
                </w:p>
              </w:tc>
              <w:tc>
                <w:tcPr>
                  <w:tcW w:w="1036" w:type="dxa"/>
                  <w:vMerge w:val="continue"/>
                  <w:vAlign w:val="center"/>
                </w:tcPr>
                <w:p w14:paraId="5B0F92E0">
                  <w:pPr>
                    <w:spacing w:line="240" w:lineRule="auto"/>
                    <w:jc w:val="center"/>
                    <w:rPr>
                      <w:rFonts w:eastAsia="Times New Roman"/>
                      <w:sz w:val="18"/>
                      <w:szCs w:val="18"/>
                    </w:rPr>
                  </w:pPr>
                </w:p>
              </w:tc>
              <w:tc>
                <w:tcPr>
                  <w:tcW w:w="1303" w:type="dxa"/>
                  <w:vAlign w:val="center"/>
                </w:tcPr>
                <w:p w14:paraId="74EED346">
                  <w:pPr>
                    <w:spacing w:line="240" w:lineRule="auto"/>
                    <w:jc w:val="center"/>
                    <w:rPr>
                      <w:rFonts w:eastAsia="Times New Roman"/>
                      <w:sz w:val="18"/>
                      <w:szCs w:val="18"/>
                    </w:rPr>
                  </w:pPr>
                  <w:r>
                    <w:rPr>
                      <w:rFonts w:eastAsia="Times New Roman"/>
                      <w:sz w:val="18"/>
                      <w:szCs w:val="18"/>
                    </w:rPr>
                    <w:t>2026.08.13</w:t>
                  </w:r>
                </w:p>
                <w:p w14:paraId="7F828E16">
                  <w:pPr>
                    <w:spacing w:line="240" w:lineRule="auto"/>
                    <w:jc w:val="center"/>
                    <w:rPr>
                      <w:rFonts w:eastAsia="Times New Roman"/>
                      <w:sz w:val="18"/>
                      <w:szCs w:val="18"/>
                    </w:rPr>
                  </w:pPr>
                  <w:r>
                    <w:rPr>
                      <w:rFonts w:eastAsia="Times New Roman"/>
                      <w:sz w:val="18"/>
                      <w:szCs w:val="18"/>
                    </w:rPr>
                    <w:t>22:00~22:20</w:t>
                  </w:r>
                </w:p>
              </w:tc>
              <w:tc>
                <w:tcPr>
                  <w:tcW w:w="769" w:type="dxa"/>
                  <w:vAlign w:val="center"/>
                </w:tcPr>
                <w:p w14:paraId="4E91E5B7">
                  <w:pPr>
                    <w:spacing w:line="240" w:lineRule="auto"/>
                    <w:jc w:val="center"/>
                    <w:rPr>
                      <w:rFonts w:ascii="宋体" w:hAnsi="宋体" w:eastAsia="Times New Roman" w:cs="宋体"/>
                      <w:sz w:val="18"/>
                      <w:szCs w:val="18"/>
                    </w:rPr>
                  </w:pPr>
                  <w:r>
                    <w:rPr>
                      <w:rFonts w:hint="eastAsia" w:ascii="宋体" w:hAnsi="宋体" w:eastAsia="Times New Roman" w:cs="宋体"/>
                      <w:sz w:val="18"/>
                      <w:szCs w:val="18"/>
                    </w:rPr>
                    <w:t>夜</w:t>
                  </w:r>
                </w:p>
              </w:tc>
              <w:tc>
                <w:tcPr>
                  <w:tcW w:w="1036" w:type="dxa"/>
                  <w:vAlign w:val="center"/>
                </w:tcPr>
                <w:p w14:paraId="4E2683E8">
                  <w:pPr>
                    <w:spacing w:line="240" w:lineRule="auto"/>
                    <w:jc w:val="center"/>
                    <w:rPr>
                      <w:rFonts w:eastAsiaTheme="minorEastAsia"/>
                      <w:sz w:val="18"/>
                      <w:szCs w:val="18"/>
                    </w:rPr>
                  </w:pPr>
                  <w:r>
                    <w:rPr>
                      <w:rFonts w:hint="eastAsia" w:eastAsiaTheme="minorEastAsia"/>
                      <w:sz w:val="18"/>
                      <w:szCs w:val="18"/>
                    </w:rPr>
                    <w:t>44</w:t>
                  </w:r>
                </w:p>
              </w:tc>
              <w:tc>
                <w:tcPr>
                  <w:tcW w:w="1036" w:type="dxa"/>
                  <w:vAlign w:val="center"/>
                </w:tcPr>
                <w:p w14:paraId="369F40BC">
                  <w:pPr>
                    <w:spacing w:line="240" w:lineRule="auto"/>
                    <w:jc w:val="center"/>
                    <w:rPr>
                      <w:rFonts w:eastAsiaTheme="minorEastAsia"/>
                      <w:sz w:val="18"/>
                      <w:szCs w:val="18"/>
                    </w:rPr>
                  </w:pPr>
                  <w:r>
                    <w:rPr>
                      <w:rFonts w:hint="eastAsia" w:eastAsiaTheme="minorEastAsia"/>
                      <w:sz w:val="18"/>
                      <w:szCs w:val="18"/>
                    </w:rPr>
                    <w:t>58</w:t>
                  </w:r>
                </w:p>
              </w:tc>
              <w:tc>
                <w:tcPr>
                  <w:tcW w:w="1036" w:type="dxa"/>
                  <w:vAlign w:val="center"/>
                </w:tcPr>
                <w:p w14:paraId="168343E4">
                  <w:pPr>
                    <w:spacing w:line="240" w:lineRule="auto"/>
                    <w:jc w:val="center"/>
                    <w:rPr>
                      <w:rFonts w:eastAsiaTheme="minorEastAsia"/>
                      <w:sz w:val="18"/>
                      <w:szCs w:val="18"/>
                    </w:rPr>
                  </w:pPr>
                  <w:r>
                    <w:rPr>
                      <w:rFonts w:hint="eastAsia" w:eastAsiaTheme="minorEastAsia"/>
                      <w:sz w:val="18"/>
                      <w:szCs w:val="18"/>
                    </w:rPr>
                    <w:t>50</w:t>
                  </w:r>
                </w:p>
              </w:tc>
              <w:tc>
                <w:tcPr>
                  <w:tcW w:w="1036" w:type="dxa"/>
                  <w:vAlign w:val="center"/>
                </w:tcPr>
                <w:p w14:paraId="44D04244">
                  <w:pPr>
                    <w:spacing w:line="240" w:lineRule="auto"/>
                    <w:jc w:val="center"/>
                    <w:rPr>
                      <w:rFonts w:ascii="宋体" w:hAnsi="宋体" w:eastAsia="Times New Roman" w:cs="宋体"/>
                      <w:sz w:val="18"/>
                      <w:szCs w:val="18"/>
                    </w:rPr>
                  </w:pPr>
                  <w:r>
                    <w:rPr>
                      <w:rFonts w:hint="eastAsia" w:ascii="宋体" w:hAnsi="宋体" w:eastAsia="Times New Roman" w:cs="宋体"/>
                      <w:sz w:val="18"/>
                      <w:szCs w:val="18"/>
                    </w:rPr>
                    <w:t>达标</w:t>
                  </w:r>
                </w:p>
              </w:tc>
            </w:tr>
            <w:tr w14:paraId="3BFFE7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restart"/>
                  <w:vAlign w:val="center"/>
                </w:tcPr>
                <w:p w14:paraId="6760FB66">
                  <w:pPr>
                    <w:spacing w:line="240" w:lineRule="auto"/>
                    <w:jc w:val="center"/>
                    <w:rPr>
                      <w:rFonts w:eastAsia="Times New Roman"/>
                      <w:sz w:val="18"/>
                      <w:szCs w:val="18"/>
                    </w:rPr>
                  </w:pPr>
                  <w:r>
                    <w:rPr>
                      <w:rFonts w:eastAsia="Times New Roman"/>
                      <w:sz w:val="18"/>
                      <w:szCs w:val="18"/>
                    </w:rPr>
                    <w:t>N2</w:t>
                  </w:r>
                </w:p>
              </w:tc>
              <w:tc>
                <w:tcPr>
                  <w:tcW w:w="1036" w:type="dxa"/>
                  <w:vMerge w:val="restart"/>
                  <w:vAlign w:val="center"/>
                </w:tcPr>
                <w:p w14:paraId="0E996288">
                  <w:pPr>
                    <w:spacing w:line="240" w:lineRule="auto"/>
                    <w:jc w:val="center"/>
                    <w:rPr>
                      <w:rFonts w:eastAsia="Times New Roman"/>
                      <w:sz w:val="18"/>
                      <w:szCs w:val="18"/>
                    </w:rPr>
                  </w:pPr>
                  <w:r>
                    <w:rPr>
                      <w:rFonts w:eastAsia="Times New Roman"/>
                      <w:sz w:val="18"/>
                      <w:szCs w:val="18"/>
                    </w:rPr>
                    <w:t>青西二路工程河景路交叉口</w:t>
                  </w:r>
                </w:p>
              </w:tc>
              <w:tc>
                <w:tcPr>
                  <w:tcW w:w="1303" w:type="dxa"/>
                  <w:vAlign w:val="center"/>
                </w:tcPr>
                <w:p w14:paraId="2D65C18A">
                  <w:pPr>
                    <w:spacing w:line="240" w:lineRule="auto"/>
                    <w:jc w:val="center"/>
                    <w:rPr>
                      <w:rFonts w:eastAsia="Times New Roman"/>
                      <w:sz w:val="18"/>
                      <w:szCs w:val="18"/>
                    </w:rPr>
                  </w:pPr>
                  <w:r>
                    <w:rPr>
                      <w:rFonts w:eastAsia="Times New Roman"/>
                      <w:sz w:val="18"/>
                      <w:szCs w:val="18"/>
                    </w:rPr>
                    <w:t>2026.06.26 09:23-09:43</w:t>
                  </w:r>
                </w:p>
              </w:tc>
              <w:tc>
                <w:tcPr>
                  <w:tcW w:w="769" w:type="dxa"/>
                  <w:vAlign w:val="center"/>
                </w:tcPr>
                <w:p w14:paraId="785BCB4A">
                  <w:pPr>
                    <w:spacing w:line="240" w:lineRule="auto"/>
                    <w:jc w:val="center"/>
                    <w:rPr>
                      <w:rFonts w:eastAsia="Times New Roman"/>
                      <w:sz w:val="18"/>
                      <w:szCs w:val="18"/>
                    </w:rPr>
                  </w:pPr>
                  <w:r>
                    <w:rPr>
                      <w:rFonts w:hint="eastAsia" w:ascii="宋体" w:hAnsi="宋体" w:eastAsia="Times New Roman" w:cs="宋体"/>
                      <w:sz w:val="18"/>
                      <w:szCs w:val="18"/>
                    </w:rPr>
                    <w:t>昼</w:t>
                  </w:r>
                </w:p>
              </w:tc>
              <w:tc>
                <w:tcPr>
                  <w:tcW w:w="1036" w:type="dxa"/>
                  <w:vAlign w:val="center"/>
                </w:tcPr>
                <w:p w14:paraId="33BEA593">
                  <w:pPr>
                    <w:spacing w:line="240" w:lineRule="auto"/>
                    <w:jc w:val="center"/>
                    <w:rPr>
                      <w:rFonts w:eastAsia="Times New Roman"/>
                      <w:sz w:val="18"/>
                      <w:szCs w:val="18"/>
                    </w:rPr>
                  </w:pPr>
                  <w:r>
                    <w:rPr>
                      <w:rFonts w:eastAsia="Times New Roman"/>
                      <w:sz w:val="18"/>
                      <w:szCs w:val="18"/>
                    </w:rPr>
                    <w:t>54</w:t>
                  </w:r>
                </w:p>
              </w:tc>
              <w:tc>
                <w:tcPr>
                  <w:tcW w:w="1036" w:type="dxa"/>
                  <w:vAlign w:val="center"/>
                </w:tcPr>
                <w:p w14:paraId="33E2B518">
                  <w:pPr>
                    <w:spacing w:line="240" w:lineRule="auto"/>
                    <w:jc w:val="center"/>
                    <w:rPr>
                      <w:rFonts w:eastAsia="Times New Roman"/>
                      <w:sz w:val="18"/>
                      <w:szCs w:val="18"/>
                    </w:rPr>
                  </w:pPr>
                  <w:r>
                    <w:rPr>
                      <w:rFonts w:eastAsia="Times New Roman"/>
                      <w:sz w:val="18"/>
                      <w:szCs w:val="18"/>
                    </w:rPr>
                    <w:t>/</w:t>
                  </w:r>
                </w:p>
              </w:tc>
              <w:tc>
                <w:tcPr>
                  <w:tcW w:w="1036" w:type="dxa"/>
                  <w:vAlign w:val="center"/>
                </w:tcPr>
                <w:p w14:paraId="1B4A3881">
                  <w:pPr>
                    <w:spacing w:line="240" w:lineRule="auto"/>
                    <w:jc w:val="center"/>
                    <w:rPr>
                      <w:rFonts w:eastAsia="Times New Roman"/>
                      <w:sz w:val="18"/>
                      <w:szCs w:val="18"/>
                    </w:rPr>
                  </w:pPr>
                  <w:r>
                    <w:rPr>
                      <w:rFonts w:hint="eastAsia" w:eastAsia="Times New Roman"/>
                      <w:sz w:val="18"/>
                      <w:szCs w:val="18"/>
                    </w:rPr>
                    <w:t>70</w:t>
                  </w:r>
                </w:p>
              </w:tc>
              <w:tc>
                <w:tcPr>
                  <w:tcW w:w="1036" w:type="dxa"/>
                  <w:vAlign w:val="center"/>
                </w:tcPr>
                <w:p w14:paraId="09667E17">
                  <w:pPr>
                    <w:spacing w:line="240" w:lineRule="auto"/>
                    <w:jc w:val="center"/>
                    <w:rPr>
                      <w:rFonts w:eastAsia="Times New Roman"/>
                      <w:sz w:val="18"/>
                      <w:szCs w:val="18"/>
                    </w:rPr>
                  </w:pPr>
                  <w:r>
                    <w:rPr>
                      <w:rFonts w:hint="eastAsia" w:ascii="宋体" w:hAnsi="宋体" w:eastAsia="Times New Roman" w:cs="宋体"/>
                      <w:sz w:val="18"/>
                      <w:szCs w:val="18"/>
                    </w:rPr>
                    <w:t>达标</w:t>
                  </w:r>
                </w:p>
              </w:tc>
            </w:tr>
            <w:tr w14:paraId="6E281F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6371A2C6">
                  <w:pPr>
                    <w:spacing w:line="240" w:lineRule="auto"/>
                    <w:jc w:val="center"/>
                    <w:rPr>
                      <w:rFonts w:eastAsia="Times New Roman"/>
                      <w:sz w:val="18"/>
                      <w:szCs w:val="18"/>
                    </w:rPr>
                  </w:pPr>
                </w:p>
              </w:tc>
              <w:tc>
                <w:tcPr>
                  <w:tcW w:w="1036" w:type="dxa"/>
                  <w:vMerge w:val="continue"/>
                  <w:vAlign w:val="center"/>
                </w:tcPr>
                <w:p w14:paraId="197E75CD">
                  <w:pPr>
                    <w:spacing w:line="240" w:lineRule="auto"/>
                    <w:jc w:val="center"/>
                    <w:rPr>
                      <w:rFonts w:eastAsia="Times New Roman"/>
                      <w:sz w:val="18"/>
                      <w:szCs w:val="18"/>
                    </w:rPr>
                  </w:pPr>
                </w:p>
              </w:tc>
              <w:tc>
                <w:tcPr>
                  <w:tcW w:w="1303" w:type="dxa"/>
                  <w:vAlign w:val="center"/>
                </w:tcPr>
                <w:p w14:paraId="2379F438">
                  <w:pPr>
                    <w:spacing w:line="240" w:lineRule="auto"/>
                    <w:jc w:val="center"/>
                    <w:rPr>
                      <w:rFonts w:eastAsia="Times New Roman"/>
                      <w:sz w:val="18"/>
                      <w:szCs w:val="18"/>
                    </w:rPr>
                  </w:pPr>
                  <w:r>
                    <w:rPr>
                      <w:rFonts w:eastAsia="Times New Roman"/>
                      <w:sz w:val="18"/>
                      <w:szCs w:val="18"/>
                    </w:rPr>
                    <w:t>2026.06.26 22:00-22:20</w:t>
                  </w:r>
                </w:p>
              </w:tc>
              <w:tc>
                <w:tcPr>
                  <w:tcW w:w="769" w:type="dxa"/>
                  <w:vAlign w:val="center"/>
                </w:tcPr>
                <w:p w14:paraId="3DB657FD">
                  <w:pPr>
                    <w:spacing w:line="240" w:lineRule="auto"/>
                    <w:jc w:val="center"/>
                    <w:rPr>
                      <w:rFonts w:eastAsia="Times New Roman"/>
                      <w:sz w:val="18"/>
                      <w:szCs w:val="18"/>
                    </w:rPr>
                  </w:pPr>
                  <w:r>
                    <w:rPr>
                      <w:rFonts w:hint="eastAsia" w:ascii="宋体" w:hAnsi="宋体" w:eastAsia="Times New Roman" w:cs="宋体"/>
                      <w:sz w:val="18"/>
                      <w:szCs w:val="18"/>
                    </w:rPr>
                    <w:t>夜</w:t>
                  </w:r>
                </w:p>
              </w:tc>
              <w:tc>
                <w:tcPr>
                  <w:tcW w:w="1036" w:type="dxa"/>
                  <w:vAlign w:val="center"/>
                </w:tcPr>
                <w:p w14:paraId="189ACB68">
                  <w:pPr>
                    <w:spacing w:line="240" w:lineRule="auto"/>
                    <w:jc w:val="center"/>
                    <w:rPr>
                      <w:rFonts w:eastAsia="Times New Roman"/>
                      <w:sz w:val="18"/>
                      <w:szCs w:val="18"/>
                    </w:rPr>
                  </w:pPr>
                  <w:commentRangeStart w:id="57"/>
                  <w:commentRangeStart w:id="58"/>
                  <w:r>
                    <w:rPr>
                      <w:rFonts w:eastAsia="Times New Roman"/>
                      <w:sz w:val="18"/>
                      <w:szCs w:val="18"/>
                    </w:rPr>
                    <w:t>51</w:t>
                  </w:r>
                  <w:commentRangeEnd w:id="57"/>
                  <w:r>
                    <w:rPr>
                      <w:rStyle w:val="38"/>
                      <w:rFonts w:eastAsia="Times New Roman"/>
                      <w:sz w:val="18"/>
                      <w:szCs w:val="18"/>
                    </w:rPr>
                    <w:commentReference w:id="57"/>
                  </w:r>
                  <w:commentRangeEnd w:id="58"/>
                  <w:r>
                    <w:rPr>
                      <w:rStyle w:val="38"/>
                      <w:rFonts w:eastAsia="Times New Roman"/>
                      <w:sz w:val="18"/>
                      <w:szCs w:val="18"/>
                    </w:rPr>
                    <w:commentReference w:id="58"/>
                  </w:r>
                </w:p>
              </w:tc>
              <w:tc>
                <w:tcPr>
                  <w:tcW w:w="1036" w:type="dxa"/>
                  <w:vAlign w:val="center"/>
                </w:tcPr>
                <w:p w14:paraId="057A1E11">
                  <w:pPr>
                    <w:spacing w:line="240" w:lineRule="auto"/>
                    <w:jc w:val="center"/>
                    <w:rPr>
                      <w:rFonts w:eastAsia="Times New Roman"/>
                      <w:sz w:val="18"/>
                      <w:szCs w:val="18"/>
                    </w:rPr>
                  </w:pPr>
                  <w:r>
                    <w:rPr>
                      <w:rFonts w:eastAsia="Times New Roman"/>
                      <w:sz w:val="18"/>
                      <w:szCs w:val="18"/>
                    </w:rPr>
                    <w:t>65</w:t>
                  </w:r>
                </w:p>
              </w:tc>
              <w:tc>
                <w:tcPr>
                  <w:tcW w:w="1036" w:type="dxa"/>
                  <w:vAlign w:val="center"/>
                </w:tcPr>
                <w:p w14:paraId="38E01804">
                  <w:pPr>
                    <w:spacing w:line="240" w:lineRule="auto"/>
                    <w:jc w:val="center"/>
                    <w:rPr>
                      <w:rFonts w:eastAsia="Times New Roman"/>
                      <w:sz w:val="18"/>
                      <w:szCs w:val="18"/>
                    </w:rPr>
                  </w:pPr>
                  <w:r>
                    <w:rPr>
                      <w:rFonts w:hint="eastAsia" w:eastAsia="Times New Roman"/>
                      <w:sz w:val="18"/>
                      <w:szCs w:val="18"/>
                    </w:rPr>
                    <w:t>55</w:t>
                  </w:r>
                </w:p>
              </w:tc>
              <w:tc>
                <w:tcPr>
                  <w:tcW w:w="1036" w:type="dxa"/>
                  <w:vAlign w:val="center"/>
                </w:tcPr>
                <w:p w14:paraId="080620E1">
                  <w:pPr>
                    <w:spacing w:line="240" w:lineRule="auto"/>
                    <w:jc w:val="center"/>
                    <w:rPr>
                      <w:rFonts w:eastAsia="Times New Roman"/>
                      <w:sz w:val="18"/>
                      <w:szCs w:val="18"/>
                    </w:rPr>
                  </w:pPr>
                  <w:r>
                    <w:rPr>
                      <w:rFonts w:hint="eastAsia" w:ascii="宋体" w:hAnsi="宋体" w:eastAsia="Times New Roman" w:cs="宋体"/>
                      <w:sz w:val="18"/>
                      <w:szCs w:val="18"/>
                    </w:rPr>
                    <w:t>达标</w:t>
                  </w:r>
                </w:p>
              </w:tc>
            </w:tr>
            <w:tr w14:paraId="151D2D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5204A90D">
                  <w:pPr>
                    <w:spacing w:line="240" w:lineRule="auto"/>
                    <w:jc w:val="center"/>
                    <w:rPr>
                      <w:rFonts w:eastAsia="Times New Roman"/>
                      <w:sz w:val="18"/>
                      <w:szCs w:val="18"/>
                    </w:rPr>
                  </w:pPr>
                </w:p>
              </w:tc>
              <w:tc>
                <w:tcPr>
                  <w:tcW w:w="1036" w:type="dxa"/>
                  <w:vMerge w:val="continue"/>
                  <w:vAlign w:val="center"/>
                </w:tcPr>
                <w:p w14:paraId="17D63C21">
                  <w:pPr>
                    <w:spacing w:line="240" w:lineRule="auto"/>
                    <w:jc w:val="center"/>
                    <w:rPr>
                      <w:rFonts w:eastAsia="Times New Roman"/>
                      <w:sz w:val="18"/>
                      <w:szCs w:val="18"/>
                    </w:rPr>
                  </w:pPr>
                </w:p>
              </w:tc>
              <w:tc>
                <w:tcPr>
                  <w:tcW w:w="1303" w:type="dxa"/>
                  <w:vAlign w:val="center"/>
                </w:tcPr>
                <w:p w14:paraId="170D3B63">
                  <w:pPr>
                    <w:spacing w:line="240" w:lineRule="auto"/>
                    <w:jc w:val="center"/>
                    <w:rPr>
                      <w:rFonts w:eastAsia="Times New Roman"/>
                      <w:sz w:val="18"/>
                      <w:szCs w:val="18"/>
                    </w:rPr>
                  </w:pPr>
                  <w:r>
                    <w:rPr>
                      <w:rFonts w:hint="eastAsia" w:eastAsia="Times New Roman"/>
                      <w:sz w:val="18"/>
                      <w:szCs w:val="18"/>
                    </w:rPr>
                    <w:t>2026.08.13</w:t>
                  </w:r>
                  <w:r>
                    <w:rPr>
                      <w:rFonts w:eastAsia="Times New Roman"/>
                      <w:sz w:val="18"/>
                      <w:szCs w:val="18"/>
                    </w:rPr>
                    <w:t xml:space="preserve"> </w:t>
                  </w:r>
                </w:p>
                <w:p w14:paraId="10CD8C37">
                  <w:pPr>
                    <w:spacing w:line="240" w:lineRule="auto"/>
                    <w:jc w:val="center"/>
                    <w:rPr>
                      <w:rFonts w:eastAsiaTheme="minorEastAsia"/>
                      <w:sz w:val="18"/>
                      <w:szCs w:val="18"/>
                    </w:rPr>
                  </w:pPr>
                  <w:r>
                    <w:rPr>
                      <w:rFonts w:hint="eastAsia" w:eastAsia="Times New Roman"/>
                      <w:sz w:val="18"/>
                      <w:szCs w:val="18"/>
                    </w:rPr>
                    <w:t>17:48~18:08</w:t>
                  </w:r>
                </w:p>
              </w:tc>
              <w:tc>
                <w:tcPr>
                  <w:tcW w:w="769" w:type="dxa"/>
                  <w:vAlign w:val="center"/>
                </w:tcPr>
                <w:p w14:paraId="3888E5BC">
                  <w:pPr>
                    <w:spacing w:line="240" w:lineRule="auto"/>
                    <w:jc w:val="center"/>
                    <w:rPr>
                      <w:rFonts w:ascii="宋体" w:hAnsi="宋体" w:eastAsia="Times New Roman" w:cs="宋体"/>
                      <w:sz w:val="18"/>
                      <w:szCs w:val="18"/>
                    </w:rPr>
                  </w:pPr>
                  <w:r>
                    <w:rPr>
                      <w:rFonts w:hint="eastAsia" w:ascii="宋体" w:hAnsi="宋体" w:eastAsia="Times New Roman" w:cs="宋体"/>
                      <w:sz w:val="18"/>
                      <w:szCs w:val="18"/>
                    </w:rPr>
                    <w:t>昼</w:t>
                  </w:r>
                </w:p>
              </w:tc>
              <w:tc>
                <w:tcPr>
                  <w:tcW w:w="1036" w:type="dxa"/>
                  <w:vAlign w:val="center"/>
                </w:tcPr>
                <w:p w14:paraId="76E22945">
                  <w:pPr>
                    <w:spacing w:line="240" w:lineRule="auto"/>
                    <w:jc w:val="center"/>
                    <w:rPr>
                      <w:rFonts w:eastAsiaTheme="minorEastAsia"/>
                      <w:sz w:val="18"/>
                      <w:szCs w:val="18"/>
                    </w:rPr>
                  </w:pPr>
                  <w:r>
                    <w:rPr>
                      <w:rFonts w:hint="eastAsia" w:eastAsiaTheme="minorEastAsia"/>
                      <w:sz w:val="18"/>
                      <w:szCs w:val="18"/>
                    </w:rPr>
                    <w:t>56</w:t>
                  </w:r>
                </w:p>
              </w:tc>
              <w:tc>
                <w:tcPr>
                  <w:tcW w:w="1036" w:type="dxa"/>
                  <w:vAlign w:val="center"/>
                </w:tcPr>
                <w:p w14:paraId="5D56434F">
                  <w:pPr>
                    <w:spacing w:line="240" w:lineRule="auto"/>
                    <w:jc w:val="center"/>
                    <w:rPr>
                      <w:rFonts w:eastAsia="Times New Roman"/>
                      <w:sz w:val="18"/>
                      <w:szCs w:val="18"/>
                    </w:rPr>
                  </w:pPr>
                  <w:r>
                    <w:rPr>
                      <w:rFonts w:hint="eastAsia" w:ascii="宋体" w:hAnsi="宋体" w:eastAsia="Times New Roman" w:cs="宋体"/>
                      <w:sz w:val="18"/>
                      <w:szCs w:val="18"/>
                    </w:rPr>
                    <w:t>/</w:t>
                  </w:r>
                </w:p>
              </w:tc>
              <w:tc>
                <w:tcPr>
                  <w:tcW w:w="1036" w:type="dxa"/>
                  <w:vAlign w:val="center"/>
                </w:tcPr>
                <w:p w14:paraId="516128A8">
                  <w:pPr>
                    <w:spacing w:line="240" w:lineRule="auto"/>
                    <w:jc w:val="center"/>
                    <w:rPr>
                      <w:rFonts w:eastAsia="Times New Roman"/>
                      <w:sz w:val="18"/>
                      <w:szCs w:val="18"/>
                    </w:rPr>
                  </w:pPr>
                  <w:r>
                    <w:rPr>
                      <w:rFonts w:hint="eastAsia" w:eastAsia="Times New Roman"/>
                      <w:sz w:val="18"/>
                      <w:szCs w:val="18"/>
                    </w:rPr>
                    <w:t>70</w:t>
                  </w:r>
                </w:p>
              </w:tc>
              <w:tc>
                <w:tcPr>
                  <w:tcW w:w="1036" w:type="dxa"/>
                  <w:vAlign w:val="center"/>
                </w:tcPr>
                <w:p w14:paraId="176191A5">
                  <w:pPr>
                    <w:spacing w:line="240" w:lineRule="auto"/>
                    <w:jc w:val="center"/>
                    <w:rPr>
                      <w:rFonts w:ascii="宋体" w:hAnsi="宋体" w:eastAsia="Times New Roman" w:cs="宋体"/>
                      <w:sz w:val="18"/>
                      <w:szCs w:val="18"/>
                    </w:rPr>
                  </w:pPr>
                  <w:r>
                    <w:rPr>
                      <w:rFonts w:hint="eastAsia" w:ascii="宋体" w:hAnsi="宋体" w:eastAsia="Times New Roman" w:cs="宋体"/>
                      <w:sz w:val="18"/>
                      <w:szCs w:val="18"/>
                    </w:rPr>
                    <w:t>达标</w:t>
                  </w:r>
                </w:p>
              </w:tc>
            </w:tr>
            <w:tr w14:paraId="5FA62A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645ED86B">
                  <w:pPr>
                    <w:spacing w:line="240" w:lineRule="auto"/>
                    <w:jc w:val="center"/>
                    <w:rPr>
                      <w:rFonts w:eastAsia="Times New Roman"/>
                      <w:sz w:val="18"/>
                      <w:szCs w:val="18"/>
                    </w:rPr>
                  </w:pPr>
                </w:p>
              </w:tc>
              <w:tc>
                <w:tcPr>
                  <w:tcW w:w="1036" w:type="dxa"/>
                  <w:vMerge w:val="continue"/>
                  <w:vAlign w:val="center"/>
                </w:tcPr>
                <w:p w14:paraId="25A16786">
                  <w:pPr>
                    <w:spacing w:line="240" w:lineRule="auto"/>
                    <w:jc w:val="center"/>
                    <w:rPr>
                      <w:rFonts w:eastAsia="Times New Roman"/>
                      <w:sz w:val="18"/>
                      <w:szCs w:val="18"/>
                    </w:rPr>
                  </w:pPr>
                </w:p>
              </w:tc>
              <w:tc>
                <w:tcPr>
                  <w:tcW w:w="1303" w:type="dxa"/>
                  <w:vAlign w:val="center"/>
                </w:tcPr>
                <w:p w14:paraId="170C219C">
                  <w:pPr>
                    <w:spacing w:line="240" w:lineRule="auto"/>
                    <w:jc w:val="center"/>
                    <w:rPr>
                      <w:rFonts w:eastAsiaTheme="minorEastAsia"/>
                      <w:sz w:val="18"/>
                      <w:szCs w:val="18"/>
                    </w:rPr>
                  </w:pPr>
                  <w:r>
                    <w:rPr>
                      <w:rFonts w:hint="eastAsia" w:eastAsia="Times New Roman"/>
                      <w:sz w:val="18"/>
                      <w:szCs w:val="18"/>
                    </w:rPr>
                    <w:t>2026.08.13</w:t>
                  </w:r>
                </w:p>
                <w:p w14:paraId="3C0D53AD">
                  <w:pPr>
                    <w:spacing w:line="240" w:lineRule="auto"/>
                    <w:jc w:val="center"/>
                    <w:rPr>
                      <w:rFonts w:eastAsia="Times New Roman"/>
                      <w:sz w:val="18"/>
                      <w:szCs w:val="18"/>
                    </w:rPr>
                  </w:pPr>
                  <w:r>
                    <w:rPr>
                      <w:rFonts w:eastAsia="Times New Roman"/>
                      <w:sz w:val="18"/>
                      <w:szCs w:val="18"/>
                    </w:rPr>
                    <w:t>22:31~22:51</w:t>
                  </w:r>
                </w:p>
              </w:tc>
              <w:tc>
                <w:tcPr>
                  <w:tcW w:w="769" w:type="dxa"/>
                  <w:vAlign w:val="center"/>
                </w:tcPr>
                <w:p w14:paraId="664FDF13">
                  <w:pPr>
                    <w:spacing w:line="240" w:lineRule="auto"/>
                    <w:jc w:val="center"/>
                    <w:rPr>
                      <w:rFonts w:ascii="宋体" w:hAnsi="宋体" w:eastAsia="Times New Roman" w:cs="宋体"/>
                      <w:sz w:val="18"/>
                      <w:szCs w:val="18"/>
                    </w:rPr>
                  </w:pPr>
                  <w:r>
                    <w:rPr>
                      <w:rFonts w:hint="eastAsia" w:ascii="宋体" w:hAnsi="宋体" w:eastAsia="Times New Roman" w:cs="宋体"/>
                      <w:sz w:val="18"/>
                      <w:szCs w:val="18"/>
                    </w:rPr>
                    <w:t>夜</w:t>
                  </w:r>
                </w:p>
              </w:tc>
              <w:tc>
                <w:tcPr>
                  <w:tcW w:w="1036" w:type="dxa"/>
                  <w:vAlign w:val="center"/>
                </w:tcPr>
                <w:p w14:paraId="212DC3D5">
                  <w:pPr>
                    <w:spacing w:line="240" w:lineRule="auto"/>
                    <w:jc w:val="center"/>
                    <w:rPr>
                      <w:rFonts w:eastAsiaTheme="minorEastAsia"/>
                      <w:sz w:val="18"/>
                      <w:szCs w:val="18"/>
                    </w:rPr>
                  </w:pPr>
                  <w:r>
                    <w:rPr>
                      <w:rFonts w:hint="eastAsia" w:eastAsiaTheme="minorEastAsia"/>
                      <w:sz w:val="18"/>
                      <w:szCs w:val="18"/>
                    </w:rPr>
                    <w:t>52</w:t>
                  </w:r>
                </w:p>
              </w:tc>
              <w:tc>
                <w:tcPr>
                  <w:tcW w:w="1036" w:type="dxa"/>
                  <w:vAlign w:val="center"/>
                </w:tcPr>
                <w:p w14:paraId="73BE7361">
                  <w:pPr>
                    <w:spacing w:line="240" w:lineRule="auto"/>
                    <w:jc w:val="center"/>
                    <w:rPr>
                      <w:rFonts w:eastAsiaTheme="minorEastAsia"/>
                      <w:sz w:val="18"/>
                      <w:szCs w:val="18"/>
                    </w:rPr>
                  </w:pPr>
                  <w:r>
                    <w:rPr>
                      <w:rFonts w:hint="eastAsia" w:eastAsiaTheme="minorEastAsia"/>
                      <w:sz w:val="18"/>
                      <w:szCs w:val="18"/>
                    </w:rPr>
                    <w:t>62</w:t>
                  </w:r>
                </w:p>
              </w:tc>
              <w:tc>
                <w:tcPr>
                  <w:tcW w:w="1036" w:type="dxa"/>
                  <w:vAlign w:val="center"/>
                </w:tcPr>
                <w:p w14:paraId="6C5D487F">
                  <w:pPr>
                    <w:spacing w:line="240" w:lineRule="auto"/>
                    <w:jc w:val="center"/>
                    <w:rPr>
                      <w:rFonts w:eastAsia="Times New Roman"/>
                      <w:sz w:val="18"/>
                      <w:szCs w:val="18"/>
                    </w:rPr>
                  </w:pPr>
                  <w:r>
                    <w:rPr>
                      <w:rFonts w:hint="eastAsia" w:eastAsia="Times New Roman"/>
                      <w:sz w:val="18"/>
                      <w:szCs w:val="18"/>
                    </w:rPr>
                    <w:t>55</w:t>
                  </w:r>
                </w:p>
              </w:tc>
              <w:tc>
                <w:tcPr>
                  <w:tcW w:w="1036" w:type="dxa"/>
                  <w:vAlign w:val="center"/>
                </w:tcPr>
                <w:p w14:paraId="51B31E81">
                  <w:pPr>
                    <w:spacing w:line="240" w:lineRule="auto"/>
                    <w:jc w:val="center"/>
                    <w:rPr>
                      <w:rFonts w:ascii="宋体" w:hAnsi="宋体" w:eastAsia="Times New Roman" w:cs="宋体"/>
                      <w:sz w:val="18"/>
                      <w:szCs w:val="18"/>
                    </w:rPr>
                  </w:pPr>
                  <w:r>
                    <w:rPr>
                      <w:rFonts w:hint="eastAsia" w:ascii="宋体" w:hAnsi="宋体" w:eastAsia="Times New Roman" w:cs="宋体"/>
                      <w:sz w:val="18"/>
                      <w:szCs w:val="18"/>
                    </w:rPr>
                    <w:t>达标</w:t>
                  </w:r>
                </w:p>
              </w:tc>
            </w:tr>
          </w:tbl>
          <w:p w14:paraId="230D5846">
            <w:pPr>
              <w:pStyle w:val="9"/>
              <w:keepNext/>
              <w:spacing w:before="120"/>
            </w:pPr>
            <w:bookmarkStart w:id="40" w:name="_Ref238127327"/>
            <w:r>
              <w:rPr>
                <w:rFonts w:hint="eastAsia"/>
              </w:rPr>
              <w:t xml:space="preserve">表 </w:t>
            </w:r>
            <w:r>
              <w:fldChar w:fldCharType="begin"/>
            </w:r>
            <w:r>
              <w:instrText xml:space="preserve"> </w:instrText>
            </w:r>
            <w:r>
              <w:rPr>
                <w:rFonts w:hint="eastAsia"/>
              </w:rPr>
              <w:instrText xml:space="preserve">STYLEREF 1 \s</w:instrText>
            </w:r>
            <w:r>
              <w:instrText xml:space="preserve"> </w:instrText>
            </w:r>
            <w:r>
              <w:fldChar w:fldCharType="separate"/>
            </w:r>
            <w:r>
              <w:t>3</w:t>
            </w:r>
            <w:r>
              <w:fldChar w:fldCharType="end"/>
            </w:r>
            <w:r>
              <w:noBreakHyphen/>
            </w:r>
            <w:r>
              <w:fldChar w:fldCharType="begin"/>
            </w:r>
            <w:r>
              <w:instrText xml:space="preserve"> </w:instrText>
            </w:r>
            <w:r>
              <w:rPr>
                <w:rFonts w:hint="eastAsia"/>
              </w:rPr>
              <w:instrText xml:space="preserve">SEQ 表 \* ARABIC \s 1</w:instrText>
            </w:r>
            <w:r>
              <w:instrText xml:space="preserve"> </w:instrText>
            </w:r>
            <w:r>
              <w:fldChar w:fldCharType="separate"/>
            </w:r>
            <w:r>
              <w:t>5</w:t>
            </w:r>
            <w:r>
              <w:fldChar w:fldCharType="end"/>
            </w:r>
            <w:bookmarkEnd w:id="40"/>
            <w:r>
              <w:rPr>
                <w:rFonts w:hint="eastAsia"/>
              </w:rPr>
              <w:t>河景路车流量观测结果</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2299"/>
              <w:gridCol w:w="1657"/>
              <w:gridCol w:w="1658"/>
              <w:gridCol w:w="1658"/>
            </w:tblGrid>
            <w:tr w14:paraId="41068E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Merge w:val="restart"/>
                  <w:vAlign w:val="center"/>
                </w:tcPr>
                <w:p w14:paraId="60D3A75C">
                  <w:pPr>
                    <w:spacing w:line="240" w:lineRule="auto"/>
                    <w:jc w:val="center"/>
                    <w:rPr>
                      <w:b/>
                      <w:bCs/>
                      <w:sz w:val="18"/>
                      <w:szCs w:val="18"/>
                    </w:rPr>
                  </w:pPr>
                  <w:r>
                    <w:rPr>
                      <w:rFonts w:hint="eastAsia"/>
                      <w:b/>
                      <w:bCs/>
                      <w:sz w:val="18"/>
                      <w:szCs w:val="18"/>
                    </w:rPr>
                    <w:t>测点编号</w:t>
                  </w:r>
                </w:p>
              </w:tc>
              <w:tc>
                <w:tcPr>
                  <w:tcW w:w="2299" w:type="dxa"/>
                  <w:vMerge w:val="restart"/>
                  <w:vAlign w:val="center"/>
                </w:tcPr>
                <w:p w14:paraId="32C85528">
                  <w:pPr>
                    <w:spacing w:line="240" w:lineRule="auto"/>
                    <w:jc w:val="center"/>
                    <w:rPr>
                      <w:b/>
                      <w:bCs/>
                      <w:sz w:val="18"/>
                      <w:szCs w:val="18"/>
                    </w:rPr>
                  </w:pPr>
                  <w:r>
                    <w:rPr>
                      <w:rFonts w:hint="eastAsia"/>
                      <w:b/>
                      <w:bCs/>
                      <w:sz w:val="18"/>
                      <w:szCs w:val="18"/>
                    </w:rPr>
                    <w:t>测点位置</w:t>
                  </w:r>
                </w:p>
              </w:tc>
              <w:tc>
                <w:tcPr>
                  <w:tcW w:w="1657" w:type="dxa"/>
                  <w:vMerge w:val="restart"/>
                  <w:vAlign w:val="center"/>
                </w:tcPr>
                <w:p w14:paraId="4A77A61D">
                  <w:pPr>
                    <w:spacing w:line="240" w:lineRule="auto"/>
                    <w:jc w:val="center"/>
                    <w:rPr>
                      <w:b/>
                      <w:bCs/>
                      <w:sz w:val="18"/>
                      <w:szCs w:val="18"/>
                    </w:rPr>
                  </w:pPr>
                  <w:r>
                    <w:rPr>
                      <w:rFonts w:hint="eastAsia"/>
                      <w:b/>
                      <w:bCs/>
                      <w:sz w:val="18"/>
                      <w:szCs w:val="18"/>
                    </w:rPr>
                    <w:t>观测时间</w:t>
                  </w:r>
                </w:p>
              </w:tc>
              <w:tc>
                <w:tcPr>
                  <w:tcW w:w="3316" w:type="dxa"/>
                  <w:gridSpan w:val="2"/>
                  <w:vAlign w:val="center"/>
                </w:tcPr>
                <w:p w14:paraId="25E0ED91">
                  <w:pPr>
                    <w:spacing w:line="240" w:lineRule="auto"/>
                    <w:jc w:val="center"/>
                    <w:rPr>
                      <w:b/>
                      <w:bCs/>
                      <w:sz w:val="18"/>
                      <w:szCs w:val="18"/>
                    </w:rPr>
                  </w:pPr>
                  <w:r>
                    <w:rPr>
                      <w:rFonts w:hint="eastAsia"/>
                      <w:b/>
                      <w:bCs/>
                      <w:sz w:val="18"/>
                      <w:szCs w:val="18"/>
                    </w:rPr>
                    <w:t>车流量（辆/20min）</w:t>
                  </w:r>
                </w:p>
              </w:tc>
            </w:tr>
            <w:tr w14:paraId="525C38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Merge w:val="continue"/>
                  <w:vAlign w:val="center"/>
                </w:tcPr>
                <w:p w14:paraId="04288218">
                  <w:pPr>
                    <w:spacing w:line="240" w:lineRule="auto"/>
                    <w:jc w:val="center"/>
                    <w:rPr>
                      <w:b/>
                      <w:bCs/>
                      <w:sz w:val="18"/>
                      <w:szCs w:val="18"/>
                    </w:rPr>
                  </w:pPr>
                </w:p>
              </w:tc>
              <w:tc>
                <w:tcPr>
                  <w:tcW w:w="2299" w:type="dxa"/>
                  <w:vMerge w:val="continue"/>
                  <w:vAlign w:val="center"/>
                </w:tcPr>
                <w:p w14:paraId="21138872">
                  <w:pPr>
                    <w:spacing w:line="240" w:lineRule="auto"/>
                    <w:jc w:val="center"/>
                    <w:rPr>
                      <w:b/>
                      <w:bCs/>
                      <w:sz w:val="18"/>
                      <w:szCs w:val="18"/>
                    </w:rPr>
                  </w:pPr>
                </w:p>
              </w:tc>
              <w:tc>
                <w:tcPr>
                  <w:tcW w:w="1657" w:type="dxa"/>
                  <w:vMerge w:val="continue"/>
                  <w:vAlign w:val="center"/>
                </w:tcPr>
                <w:p w14:paraId="056639F6">
                  <w:pPr>
                    <w:spacing w:line="240" w:lineRule="auto"/>
                    <w:jc w:val="center"/>
                    <w:rPr>
                      <w:b/>
                      <w:bCs/>
                      <w:sz w:val="18"/>
                      <w:szCs w:val="18"/>
                    </w:rPr>
                  </w:pPr>
                </w:p>
              </w:tc>
              <w:tc>
                <w:tcPr>
                  <w:tcW w:w="1658" w:type="dxa"/>
                  <w:vAlign w:val="center"/>
                </w:tcPr>
                <w:p w14:paraId="3DCA3CDA">
                  <w:pPr>
                    <w:spacing w:line="240" w:lineRule="auto"/>
                    <w:jc w:val="center"/>
                    <w:rPr>
                      <w:b/>
                      <w:bCs/>
                      <w:sz w:val="18"/>
                      <w:szCs w:val="18"/>
                    </w:rPr>
                  </w:pPr>
                  <w:r>
                    <w:rPr>
                      <w:rFonts w:hint="eastAsia"/>
                      <w:b/>
                      <w:bCs/>
                      <w:sz w:val="18"/>
                      <w:szCs w:val="18"/>
                    </w:rPr>
                    <w:t>大型车</w:t>
                  </w:r>
                </w:p>
              </w:tc>
              <w:tc>
                <w:tcPr>
                  <w:tcW w:w="1658" w:type="dxa"/>
                  <w:vAlign w:val="center"/>
                </w:tcPr>
                <w:p w14:paraId="128D50AA">
                  <w:pPr>
                    <w:spacing w:line="240" w:lineRule="auto"/>
                    <w:jc w:val="center"/>
                    <w:rPr>
                      <w:b/>
                      <w:bCs/>
                      <w:sz w:val="18"/>
                      <w:szCs w:val="18"/>
                    </w:rPr>
                  </w:pPr>
                  <w:r>
                    <w:rPr>
                      <w:rFonts w:hint="eastAsia"/>
                      <w:b/>
                      <w:bCs/>
                      <w:sz w:val="18"/>
                      <w:szCs w:val="18"/>
                    </w:rPr>
                    <w:t>中小型车</w:t>
                  </w:r>
                </w:p>
              </w:tc>
            </w:tr>
            <w:tr w14:paraId="4650FA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Merge w:val="restart"/>
                  <w:vAlign w:val="center"/>
                </w:tcPr>
                <w:p w14:paraId="338FA86D">
                  <w:pPr>
                    <w:spacing w:line="240" w:lineRule="auto"/>
                    <w:jc w:val="center"/>
                    <w:rPr>
                      <w:sz w:val="18"/>
                      <w:szCs w:val="18"/>
                    </w:rPr>
                  </w:pPr>
                  <w:r>
                    <w:rPr>
                      <w:rFonts w:hint="eastAsia"/>
                      <w:sz w:val="18"/>
                      <w:szCs w:val="18"/>
                    </w:rPr>
                    <w:t>02</w:t>
                  </w:r>
                </w:p>
              </w:tc>
              <w:tc>
                <w:tcPr>
                  <w:tcW w:w="2299" w:type="dxa"/>
                  <w:vMerge w:val="restart"/>
                  <w:vAlign w:val="center"/>
                </w:tcPr>
                <w:p w14:paraId="293D2B00">
                  <w:pPr>
                    <w:spacing w:line="240" w:lineRule="auto"/>
                    <w:jc w:val="center"/>
                    <w:rPr>
                      <w:sz w:val="18"/>
                      <w:szCs w:val="18"/>
                    </w:rPr>
                  </w:pPr>
                  <w:r>
                    <w:rPr>
                      <w:rFonts w:hint="eastAsia"/>
                      <w:sz w:val="18"/>
                      <w:szCs w:val="18"/>
                    </w:rPr>
                    <w:t>N2青西二路工程河景路交叉口</w:t>
                  </w:r>
                  <w:r>
                    <w:rPr>
                      <w:sz w:val="18"/>
                      <w:szCs w:val="18"/>
                    </w:rPr>
                    <w:t>20m</w:t>
                  </w:r>
                </w:p>
              </w:tc>
              <w:tc>
                <w:tcPr>
                  <w:tcW w:w="1657" w:type="dxa"/>
                  <w:vAlign w:val="center"/>
                </w:tcPr>
                <w:p w14:paraId="0283EDB3">
                  <w:pPr>
                    <w:spacing w:line="240" w:lineRule="auto"/>
                    <w:jc w:val="center"/>
                    <w:rPr>
                      <w:sz w:val="18"/>
                      <w:szCs w:val="18"/>
                    </w:rPr>
                  </w:pPr>
                  <w:r>
                    <w:rPr>
                      <w:sz w:val="18"/>
                      <w:szCs w:val="18"/>
                    </w:rPr>
                    <w:t>2026.08.13</w:t>
                  </w:r>
                </w:p>
                <w:p w14:paraId="2AA76AD4">
                  <w:pPr>
                    <w:spacing w:line="240" w:lineRule="auto"/>
                    <w:jc w:val="center"/>
                    <w:rPr>
                      <w:sz w:val="18"/>
                      <w:szCs w:val="18"/>
                    </w:rPr>
                  </w:pPr>
                  <w:r>
                    <w:rPr>
                      <w:sz w:val="18"/>
                      <w:szCs w:val="18"/>
                    </w:rPr>
                    <w:t>17:48~18:08</w:t>
                  </w:r>
                </w:p>
              </w:tc>
              <w:tc>
                <w:tcPr>
                  <w:tcW w:w="1658" w:type="dxa"/>
                  <w:vAlign w:val="center"/>
                </w:tcPr>
                <w:p w14:paraId="73BA19F5">
                  <w:pPr>
                    <w:spacing w:line="240" w:lineRule="auto"/>
                    <w:jc w:val="center"/>
                    <w:rPr>
                      <w:sz w:val="18"/>
                      <w:szCs w:val="18"/>
                    </w:rPr>
                  </w:pPr>
                  <w:r>
                    <w:rPr>
                      <w:rFonts w:hint="eastAsia"/>
                      <w:sz w:val="18"/>
                      <w:szCs w:val="18"/>
                    </w:rPr>
                    <w:t>20</w:t>
                  </w:r>
                </w:p>
              </w:tc>
              <w:tc>
                <w:tcPr>
                  <w:tcW w:w="1658" w:type="dxa"/>
                  <w:vAlign w:val="center"/>
                </w:tcPr>
                <w:p w14:paraId="4582CF21">
                  <w:pPr>
                    <w:spacing w:line="240" w:lineRule="auto"/>
                    <w:jc w:val="center"/>
                    <w:rPr>
                      <w:sz w:val="18"/>
                      <w:szCs w:val="18"/>
                    </w:rPr>
                  </w:pPr>
                  <w:r>
                    <w:rPr>
                      <w:rFonts w:hint="eastAsia"/>
                      <w:sz w:val="18"/>
                      <w:szCs w:val="18"/>
                    </w:rPr>
                    <w:t>124</w:t>
                  </w:r>
                </w:p>
              </w:tc>
            </w:tr>
            <w:tr w14:paraId="67BC21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Merge w:val="continue"/>
                  <w:vAlign w:val="center"/>
                </w:tcPr>
                <w:p w14:paraId="2B94E4F7">
                  <w:pPr>
                    <w:spacing w:line="240" w:lineRule="auto"/>
                    <w:jc w:val="center"/>
                    <w:rPr>
                      <w:sz w:val="18"/>
                      <w:szCs w:val="18"/>
                    </w:rPr>
                  </w:pPr>
                </w:p>
              </w:tc>
              <w:tc>
                <w:tcPr>
                  <w:tcW w:w="2299" w:type="dxa"/>
                  <w:vMerge w:val="continue"/>
                  <w:vAlign w:val="center"/>
                </w:tcPr>
                <w:p w14:paraId="0A20AC54">
                  <w:pPr>
                    <w:spacing w:line="240" w:lineRule="auto"/>
                    <w:jc w:val="center"/>
                    <w:rPr>
                      <w:sz w:val="18"/>
                      <w:szCs w:val="18"/>
                    </w:rPr>
                  </w:pPr>
                </w:p>
              </w:tc>
              <w:tc>
                <w:tcPr>
                  <w:tcW w:w="1657" w:type="dxa"/>
                  <w:vAlign w:val="center"/>
                </w:tcPr>
                <w:p w14:paraId="0B778C50">
                  <w:pPr>
                    <w:spacing w:line="240" w:lineRule="auto"/>
                    <w:jc w:val="center"/>
                    <w:rPr>
                      <w:sz w:val="18"/>
                      <w:szCs w:val="18"/>
                    </w:rPr>
                  </w:pPr>
                  <w:r>
                    <w:rPr>
                      <w:sz w:val="18"/>
                      <w:szCs w:val="18"/>
                    </w:rPr>
                    <w:t>2026.08.13</w:t>
                  </w:r>
                </w:p>
                <w:p w14:paraId="227FC8C4">
                  <w:pPr>
                    <w:spacing w:line="240" w:lineRule="auto"/>
                    <w:jc w:val="center"/>
                    <w:rPr>
                      <w:sz w:val="18"/>
                      <w:szCs w:val="18"/>
                    </w:rPr>
                  </w:pPr>
                  <w:r>
                    <w:rPr>
                      <w:sz w:val="18"/>
                      <w:szCs w:val="18"/>
                    </w:rPr>
                    <w:t>22:31~22:51</w:t>
                  </w:r>
                </w:p>
              </w:tc>
              <w:tc>
                <w:tcPr>
                  <w:tcW w:w="1658" w:type="dxa"/>
                  <w:vAlign w:val="center"/>
                </w:tcPr>
                <w:p w14:paraId="1B45CE2A">
                  <w:pPr>
                    <w:spacing w:line="240" w:lineRule="auto"/>
                    <w:jc w:val="center"/>
                    <w:rPr>
                      <w:sz w:val="18"/>
                      <w:szCs w:val="18"/>
                    </w:rPr>
                  </w:pPr>
                  <w:r>
                    <w:rPr>
                      <w:rFonts w:hint="eastAsia"/>
                      <w:sz w:val="18"/>
                      <w:szCs w:val="18"/>
                    </w:rPr>
                    <w:t>10</w:t>
                  </w:r>
                </w:p>
              </w:tc>
              <w:tc>
                <w:tcPr>
                  <w:tcW w:w="1658" w:type="dxa"/>
                  <w:vAlign w:val="center"/>
                </w:tcPr>
                <w:p w14:paraId="6002D542">
                  <w:pPr>
                    <w:spacing w:line="240" w:lineRule="auto"/>
                    <w:jc w:val="center"/>
                    <w:rPr>
                      <w:sz w:val="18"/>
                      <w:szCs w:val="18"/>
                    </w:rPr>
                  </w:pPr>
                  <w:r>
                    <w:rPr>
                      <w:rFonts w:hint="eastAsia"/>
                      <w:sz w:val="18"/>
                      <w:szCs w:val="18"/>
                    </w:rPr>
                    <w:t>34</w:t>
                  </w:r>
                </w:p>
              </w:tc>
            </w:tr>
          </w:tbl>
          <w:p w14:paraId="079E9E0E">
            <w:pPr>
              <w:ind w:firstLine="420" w:firstLineChars="200"/>
            </w:pPr>
            <w:r>
              <w:rPr>
                <w:rFonts w:hint="eastAsia"/>
              </w:rPr>
              <w:t>根据监测结果，本次监测的2个监测点位2次监测昼间、夜间声环境质量现状值均满足《声环境质量标准》（GB 3096—2008）相应类别标准限值要求。其中，N1属于2类声功能区执行2类标准；N2执行4a类标准。总体来看，评价范围内声环境现状较为稳定，中部点位能够较好反映环境区域当前的背景噪声，南北两侧靠近主干道的区域噪声则主要受到交通车流的影响，其中以夜间噪声更为明显，但是整体依然可以满足声环境标准限值要求。</w:t>
            </w:r>
          </w:p>
          <w:p w14:paraId="6B22291E">
            <w:pPr>
              <w:pStyle w:val="4"/>
            </w:pPr>
            <w:bookmarkStart w:id="41" w:name="_Ref229729987"/>
            <w:r>
              <w:t>地下水、土壤环境</w:t>
            </w:r>
            <w:bookmarkEnd w:id="41"/>
          </w:p>
          <w:p w14:paraId="18906048">
            <w:pPr>
              <w:ind w:firstLine="420" w:firstLineChars="200"/>
              <w:rPr>
                <w:szCs w:val="20"/>
                <w:highlight w:val="yellow"/>
                <w:lang w:val="zh-CN"/>
              </w:rPr>
            </w:pPr>
            <w:r>
              <w:rPr>
                <w:szCs w:val="20"/>
                <w:lang w:val="zh-CN"/>
              </w:rPr>
              <w:t>本项目</w:t>
            </w:r>
            <w:r>
              <w:rPr>
                <w:rFonts w:hint="eastAsia"/>
                <w:szCs w:val="20"/>
                <w:lang w:val="zh-CN"/>
              </w:rPr>
              <w:t>为城市道路施工工程，</w:t>
            </w:r>
            <w:r>
              <w:rPr>
                <w:szCs w:val="20"/>
                <w:lang w:val="zh-CN"/>
              </w:rPr>
              <w:t>不涉及重金属、持久性难降解有机污染物</w:t>
            </w:r>
            <w:r>
              <w:rPr>
                <w:szCs w:val="20"/>
              </w:rPr>
              <w:t>的排放</w:t>
            </w:r>
            <w:r>
              <w:rPr>
                <w:rFonts w:hint="eastAsia"/>
                <w:szCs w:val="20"/>
              </w:rPr>
              <w:t>，</w:t>
            </w:r>
            <w:r>
              <w:rPr>
                <w:rFonts w:hint="eastAsia"/>
                <w:szCs w:val="20"/>
                <w:lang w:val="zh-CN"/>
              </w:rPr>
              <w:t>无需</w:t>
            </w:r>
            <w:r>
              <w:rPr>
                <w:szCs w:val="20"/>
                <w:lang w:val="zh-CN"/>
              </w:rPr>
              <w:t>开展土壤环境质量现状调查。</w:t>
            </w:r>
            <w:r>
              <w:rPr>
                <w:rFonts w:hint="eastAsia"/>
                <w:szCs w:val="20"/>
                <w:lang w:val="zh-CN"/>
              </w:rPr>
              <w:t>此外根据建设项目对地下水环境影响的程度，参考《建设项目环境影响评价分类管理名录》，本项目属于</w:t>
            </w:r>
            <w:r>
              <w:rPr>
                <w:szCs w:val="20"/>
                <w:lang w:val="zh-CN"/>
              </w:rPr>
              <w:t>Ⅳ</w:t>
            </w:r>
            <w:r>
              <w:rPr>
                <w:rFonts w:hint="eastAsia"/>
                <w:szCs w:val="20"/>
                <w:lang w:val="zh-CN"/>
              </w:rPr>
              <w:t>类，无需开展地下水环境评价与现状监测</w:t>
            </w:r>
            <w:r>
              <w:rPr>
                <w:szCs w:val="20"/>
                <w:lang w:val="zh-CN"/>
              </w:rPr>
              <w:t>。</w:t>
            </w:r>
          </w:p>
        </w:tc>
      </w:tr>
      <w:tr w14:paraId="74B75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06" w:hRule="atLeast"/>
          <w:jc w:val="center"/>
        </w:trPr>
        <w:tc>
          <w:tcPr>
            <w:tcW w:w="416" w:type="dxa"/>
            <w:vAlign w:val="center"/>
          </w:tcPr>
          <w:p w14:paraId="72793EDD">
            <w:pPr>
              <w:jc w:val="center"/>
              <w:rPr>
                <w:kern w:val="0"/>
                <w:szCs w:val="21"/>
              </w:rPr>
            </w:pPr>
            <w:r>
              <w:rPr>
                <w:rFonts w:hint="eastAsia"/>
                <w:kern w:val="0"/>
                <w:szCs w:val="21"/>
              </w:rPr>
              <w:t>与项目有关的原有生态环境污染和生态破坏问题</w:t>
            </w:r>
          </w:p>
        </w:tc>
        <w:tc>
          <w:tcPr>
            <w:tcW w:w="8533" w:type="dxa"/>
            <w:vAlign w:val="center"/>
          </w:tcPr>
          <w:p w14:paraId="306D85EB">
            <w:pPr>
              <w:ind w:firstLine="420" w:firstLineChars="200"/>
            </w:pPr>
            <w:r>
              <w:rPr>
                <w:rFonts w:hint="eastAsia"/>
              </w:rPr>
              <w:t>本项目为新建项目，本次项目所占用地主要为集体农用地，目前已完成农转非征收工作，不涉及永久基本农田，无原有生态环境污染和生态破坏问题。</w:t>
            </w:r>
          </w:p>
        </w:tc>
      </w:tr>
      <w:tr w14:paraId="4A074E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416" w:type="dxa"/>
            <w:vAlign w:val="center"/>
          </w:tcPr>
          <w:p w14:paraId="38681880">
            <w:pPr>
              <w:jc w:val="center"/>
              <w:rPr>
                <w:kern w:val="0"/>
                <w:szCs w:val="21"/>
                <w:highlight w:val="yellow"/>
              </w:rPr>
            </w:pPr>
            <w:r>
              <w:rPr>
                <w:rFonts w:hint="eastAsia"/>
                <w:kern w:val="0"/>
                <w:szCs w:val="21"/>
              </w:rPr>
              <w:t>生态环境</w:t>
            </w:r>
            <w:r>
              <w:rPr>
                <w:kern w:val="0"/>
                <w:szCs w:val="21"/>
              </w:rPr>
              <w:t>保护目标</w:t>
            </w:r>
          </w:p>
        </w:tc>
        <w:tc>
          <w:tcPr>
            <w:tcW w:w="8533" w:type="dxa"/>
            <w:vAlign w:val="center"/>
          </w:tcPr>
          <w:p w14:paraId="0C80B15B">
            <w:pPr>
              <w:ind w:firstLine="420" w:firstLineChars="200"/>
            </w:pPr>
            <w:bookmarkStart w:id="42" w:name="OLE_LINK15"/>
            <w:r>
              <w:rPr>
                <w:rFonts w:hint="eastAsia"/>
              </w:rPr>
              <w:t>根据环境影响报告表编制技术指南 （生态影响类）表 1 专项评价设置原则表，本项目需设置噪声专项，各生态环境保护目标按照《环境影响评价相关技术导则》确定评价范围并识别生态环境保护目标。</w:t>
            </w:r>
          </w:p>
          <w:p w14:paraId="4020B525">
            <w:pPr>
              <w:pStyle w:val="3"/>
            </w:pPr>
            <w:r>
              <w:rPr>
                <w:rFonts w:hint="eastAsia"/>
              </w:rPr>
              <w:t>各环境要素评价范围</w:t>
            </w:r>
          </w:p>
          <w:p w14:paraId="41D2120D">
            <w:pPr>
              <w:pStyle w:val="9"/>
              <w:spacing w:before="120"/>
            </w:pPr>
            <w:bookmarkStart w:id="43" w:name="_Ref233993021"/>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6</w:t>
            </w:r>
            <w:r>
              <w:fldChar w:fldCharType="end"/>
            </w:r>
            <w:bookmarkEnd w:id="43"/>
            <w:r>
              <w:t>各环境要素评价范围</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0" w:type="dxa"/>
                <w:left w:w="108" w:type="dxa"/>
                <w:bottom w:w="0" w:type="dxa"/>
                <w:right w:w="108" w:type="dxa"/>
              </w:tblCellMar>
            </w:tblPr>
            <w:tblGrid>
              <w:gridCol w:w="594"/>
              <w:gridCol w:w="718"/>
              <w:gridCol w:w="6975"/>
            </w:tblGrid>
            <w:tr w14:paraId="19A961D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6" w:type="dxa"/>
                  <w:vAlign w:val="center"/>
                </w:tcPr>
                <w:p w14:paraId="330B4CBF">
                  <w:pPr>
                    <w:spacing w:line="240" w:lineRule="auto"/>
                    <w:jc w:val="center"/>
                    <w:textAlignment w:val="center"/>
                    <w:rPr>
                      <w:b/>
                      <w:bCs/>
                      <w:kern w:val="0"/>
                      <w:sz w:val="18"/>
                      <w:szCs w:val="18"/>
                    </w:rPr>
                  </w:pPr>
                  <w:r>
                    <w:rPr>
                      <w:rStyle w:val="175"/>
                      <w:b/>
                      <w:bCs/>
                      <w:sz w:val="18"/>
                      <w:szCs w:val="18"/>
                    </w:rPr>
                    <w:t>序号</w:t>
                  </w:r>
                </w:p>
              </w:tc>
              <w:tc>
                <w:tcPr>
                  <w:tcW w:w="709" w:type="dxa"/>
                  <w:vAlign w:val="center"/>
                </w:tcPr>
                <w:p w14:paraId="538C14ED">
                  <w:pPr>
                    <w:spacing w:line="240" w:lineRule="auto"/>
                    <w:jc w:val="center"/>
                    <w:textAlignment w:val="center"/>
                    <w:rPr>
                      <w:b/>
                      <w:bCs/>
                      <w:sz w:val="18"/>
                      <w:szCs w:val="18"/>
                    </w:rPr>
                  </w:pPr>
                  <w:r>
                    <w:rPr>
                      <w:rStyle w:val="175"/>
                      <w:b/>
                      <w:bCs/>
                      <w:sz w:val="18"/>
                      <w:szCs w:val="18"/>
                    </w:rPr>
                    <w:t>环境要素</w:t>
                  </w:r>
                </w:p>
              </w:tc>
              <w:tc>
                <w:tcPr>
                  <w:tcW w:w="6883" w:type="dxa"/>
                  <w:vAlign w:val="center"/>
                </w:tcPr>
                <w:p w14:paraId="400BA443">
                  <w:pPr>
                    <w:spacing w:line="240" w:lineRule="auto"/>
                    <w:jc w:val="center"/>
                    <w:textAlignment w:val="center"/>
                    <w:rPr>
                      <w:b/>
                      <w:bCs/>
                      <w:sz w:val="18"/>
                      <w:szCs w:val="18"/>
                    </w:rPr>
                  </w:pPr>
                  <w:r>
                    <w:rPr>
                      <w:rStyle w:val="175"/>
                      <w:b/>
                      <w:bCs/>
                      <w:sz w:val="18"/>
                      <w:szCs w:val="18"/>
                    </w:rPr>
                    <w:t>评价范围</w:t>
                  </w:r>
                </w:p>
              </w:tc>
            </w:tr>
            <w:tr w14:paraId="788F3A4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6" w:type="dxa"/>
                  <w:vAlign w:val="center"/>
                </w:tcPr>
                <w:p w14:paraId="121BB4ED">
                  <w:pPr>
                    <w:spacing w:line="240" w:lineRule="auto"/>
                    <w:jc w:val="center"/>
                    <w:textAlignment w:val="center"/>
                    <w:rPr>
                      <w:color w:val="707070"/>
                      <w:sz w:val="18"/>
                      <w:szCs w:val="18"/>
                    </w:rPr>
                  </w:pPr>
                  <w:r>
                    <w:rPr>
                      <w:sz w:val="18"/>
                      <w:szCs w:val="18"/>
                    </w:rPr>
                    <w:t>1</w:t>
                  </w:r>
                </w:p>
              </w:tc>
              <w:tc>
                <w:tcPr>
                  <w:tcW w:w="709" w:type="dxa"/>
                  <w:vAlign w:val="center"/>
                </w:tcPr>
                <w:p w14:paraId="4BF89B93">
                  <w:pPr>
                    <w:spacing w:line="240" w:lineRule="auto"/>
                    <w:jc w:val="center"/>
                    <w:textAlignment w:val="center"/>
                    <w:rPr>
                      <w:color w:val="000000"/>
                      <w:sz w:val="18"/>
                      <w:szCs w:val="18"/>
                    </w:rPr>
                  </w:pPr>
                  <w:r>
                    <w:rPr>
                      <w:rStyle w:val="175"/>
                      <w:sz w:val="18"/>
                      <w:szCs w:val="18"/>
                    </w:rPr>
                    <w:t>声环境</w:t>
                  </w:r>
                </w:p>
              </w:tc>
              <w:tc>
                <w:tcPr>
                  <w:tcW w:w="6883" w:type="dxa"/>
                  <w:vAlign w:val="center"/>
                </w:tcPr>
                <w:p w14:paraId="1B752814">
                  <w:pPr>
                    <w:spacing w:line="240" w:lineRule="auto"/>
                    <w:rPr>
                      <w:sz w:val="18"/>
                      <w:szCs w:val="18"/>
                    </w:rPr>
                  </w:pPr>
                  <w:r>
                    <w:rPr>
                      <w:rFonts w:hint="eastAsia" w:ascii="宋体" w:hAnsi="宋体"/>
                      <w:sz w:val="18"/>
                      <w:szCs w:val="18"/>
                    </w:rPr>
                    <w:t>根据《环境影响评价技术导则</w:t>
                  </w:r>
                  <w:r>
                    <w:rPr>
                      <w:rFonts w:hint="eastAsia"/>
                      <w:sz w:val="18"/>
                      <w:szCs w:val="18"/>
                    </w:rPr>
                    <w:t xml:space="preserve"> </w:t>
                  </w:r>
                  <w:r>
                    <w:rPr>
                      <w:rFonts w:hint="eastAsia" w:ascii="宋体" w:hAnsi="宋体"/>
                      <w:sz w:val="18"/>
                      <w:szCs w:val="18"/>
                    </w:rPr>
                    <w:t>声环境》</w:t>
                  </w:r>
                  <w:r>
                    <w:rPr>
                      <w:rFonts w:hint="eastAsia"/>
                      <w:sz w:val="18"/>
                      <w:szCs w:val="18"/>
                    </w:rPr>
                    <w:t>(HJ2.4-2021)</w:t>
                  </w:r>
                  <w:r>
                    <w:rPr>
                      <w:rFonts w:hint="eastAsia" w:ascii="宋体" w:hAnsi="宋体"/>
                      <w:sz w:val="18"/>
                      <w:szCs w:val="18"/>
                    </w:rPr>
                    <w:t>，</w:t>
                  </w:r>
                  <w:r>
                    <w:rPr>
                      <w:rStyle w:val="175"/>
                      <w:sz w:val="18"/>
                      <w:szCs w:val="18"/>
                    </w:rPr>
                    <w:t>本项目</w:t>
                  </w:r>
                  <w:r>
                    <w:rPr>
                      <w:rStyle w:val="175"/>
                      <w:rFonts w:hint="eastAsia"/>
                      <w:sz w:val="18"/>
                      <w:szCs w:val="18"/>
                    </w:rPr>
                    <w:t>位于2类声环境功能区，不存在敏感点，所以</w:t>
                  </w:r>
                  <w:r>
                    <w:rPr>
                      <w:rFonts w:hint="eastAsia" w:ascii="宋体" w:hAnsi="宋体"/>
                      <w:sz w:val="18"/>
                      <w:szCs w:val="18"/>
                    </w:rPr>
                    <w:t>声环境影响评价工作等级执行二级评价，评价范围根据导则要求参照一级评价</w:t>
                  </w:r>
                  <w:r>
                    <w:rPr>
                      <w:rStyle w:val="175"/>
                      <w:sz w:val="18"/>
                      <w:szCs w:val="18"/>
                    </w:rPr>
                    <w:t>以线路中心线两侧200m以内为评价范围；根据</w:t>
                  </w:r>
                  <w:r>
                    <w:rPr>
                      <w:rFonts w:hint="eastAsia" w:ascii="宋体" w:hAnsi="宋体"/>
                      <w:sz w:val="18"/>
                      <w:szCs w:val="18"/>
                    </w:rPr>
                    <w:t>建设项目声源计算得到的贡献值到</w:t>
                  </w:r>
                  <w:r>
                    <w:rPr>
                      <w:sz w:val="18"/>
                      <w:szCs w:val="18"/>
                    </w:rPr>
                    <w:t>200m</w:t>
                  </w:r>
                  <w:r>
                    <w:rPr>
                      <w:rFonts w:hint="eastAsia" w:ascii="宋体" w:hAnsi="宋体"/>
                      <w:sz w:val="18"/>
                      <w:szCs w:val="18"/>
                    </w:rPr>
                    <w:t>处，能满足相应功能区标准值</w:t>
                  </w:r>
                  <w:r>
                    <w:rPr>
                      <w:rStyle w:val="175"/>
                      <w:sz w:val="18"/>
                      <w:szCs w:val="18"/>
                    </w:rPr>
                    <w:t>，无需扩大评价范围。</w:t>
                  </w:r>
                </w:p>
              </w:tc>
            </w:tr>
            <w:tr w14:paraId="0CE0A99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6" w:type="dxa"/>
                  <w:vAlign w:val="center"/>
                </w:tcPr>
                <w:p w14:paraId="29BC1D79">
                  <w:pPr>
                    <w:spacing w:line="240" w:lineRule="auto"/>
                    <w:jc w:val="center"/>
                    <w:textAlignment w:val="center"/>
                    <w:rPr>
                      <w:sz w:val="18"/>
                      <w:szCs w:val="18"/>
                    </w:rPr>
                  </w:pPr>
                  <w:r>
                    <w:rPr>
                      <w:sz w:val="18"/>
                      <w:szCs w:val="18"/>
                    </w:rPr>
                    <w:t>2</w:t>
                  </w:r>
                </w:p>
              </w:tc>
              <w:tc>
                <w:tcPr>
                  <w:tcW w:w="709" w:type="dxa"/>
                  <w:vAlign w:val="center"/>
                </w:tcPr>
                <w:p w14:paraId="30C376B6">
                  <w:pPr>
                    <w:spacing w:line="240" w:lineRule="auto"/>
                    <w:jc w:val="center"/>
                    <w:textAlignment w:val="center"/>
                    <w:rPr>
                      <w:sz w:val="18"/>
                      <w:szCs w:val="18"/>
                    </w:rPr>
                  </w:pPr>
                  <w:r>
                    <w:rPr>
                      <w:rStyle w:val="175"/>
                      <w:sz w:val="18"/>
                      <w:szCs w:val="18"/>
                    </w:rPr>
                    <w:t>环境空气</w:t>
                  </w:r>
                </w:p>
              </w:tc>
              <w:tc>
                <w:tcPr>
                  <w:tcW w:w="6883" w:type="dxa"/>
                  <w:vAlign w:val="center"/>
                </w:tcPr>
                <w:p w14:paraId="55ADF018">
                  <w:pPr>
                    <w:spacing w:line="240" w:lineRule="auto"/>
                    <w:rPr>
                      <w:sz w:val="18"/>
                      <w:szCs w:val="18"/>
                    </w:rPr>
                  </w:pPr>
                  <w:r>
                    <w:rPr>
                      <w:rFonts w:hint="eastAsia" w:ascii="宋体" w:hAnsi="宋体"/>
                      <w:sz w:val="18"/>
                      <w:szCs w:val="18"/>
                    </w:rPr>
                    <w:t>根据《环境影响评价技术导则</w:t>
                  </w:r>
                  <w:r>
                    <w:rPr>
                      <w:rFonts w:hint="eastAsia"/>
                      <w:sz w:val="18"/>
                      <w:szCs w:val="18"/>
                    </w:rPr>
                    <w:t xml:space="preserve"> </w:t>
                  </w:r>
                  <w:r>
                    <w:rPr>
                      <w:rFonts w:hint="eastAsia" w:ascii="宋体" w:hAnsi="宋体"/>
                      <w:sz w:val="18"/>
                      <w:szCs w:val="18"/>
                    </w:rPr>
                    <w:t>大气环境》（</w:t>
                  </w:r>
                  <w:r>
                    <w:rPr>
                      <w:rFonts w:hint="eastAsia"/>
                      <w:sz w:val="18"/>
                      <w:szCs w:val="18"/>
                    </w:rPr>
                    <w:t>HJ2.2-2018</w:t>
                  </w:r>
                  <w:r>
                    <w:rPr>
                      <w:rFonts w:hint="eastAsia" w:ascii="宋体" w:hAnsi="宋体"/>
                      <w:sz w:val="18"/>
                      <w:szCs w:val="18"/>
                    </w:rPr>
                    <w:t>）规定，本项目沿线无集中式排放源，无需按照集中式排放源排放的污染物计算评价等级，无需设置评价范围，仅对区域现状环境空气保护目标进行简单识别。</w:t>
                  </w:r>
                </w:p>
              </w:tc>
            </w:tr>
            <w:tr w14:paraId="758FA32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6" w:type="dxa"/>
                  <w:vAlign w:val="center"/>
                </w:tcPr>
                <w:p w14:paraId="21D74D77">
                  <w:pPr>
                    <w:spacing w:line="240" w:lineRule="auto"/>
                    <w:jc w:val="center"/>
                    <w:textAlignment w:val="center"/>
                    <w:rPr>
                      <w:sz w:val="18"/>
                      <w:szCs w:val="18"/>
                    </w:rPr>
                  </w:pPr>
                  <w:r>
                    <w:rPr>
                      <w:sz w:val="18"/>
                      <w:szCs w:val="18"/>
                    </w:rPr>
                    <w:t>3</w:t>
                  </w:r>
                </w:p>
              </w:tc>
              <w:tc>
                <w:tcPr>
                  <w:tcW w:w="709" w:type="dxa"/>
                  <w:vAlign w:val="center"/>
                </w:tcPr>
                <w:p w14:paraId="5BC3A3DF">
                  <w:pPr>
                    <w:spacing w:line="240" w:lineRule="auto"/>
                    <w:jc w:val="center"/>
                    <w:textAlignment w:val="center"/>
                    <w:rPr>
                      <w:sz w:val="18"/>
                      <w:szCs w:val="18"/>
                    </w:rPr>
                  </w:pPr>
                  <w:r>
                    <w:rPr>
                      <w:rStyle w:val="175"/>
                      <w:sz w:val="18"/>
                      <w:szCs w:val="18"/>
                    </w:rPr>
                    <w:t>地表水环境</w:t>
                  </w:r>
                </w:p>
              </w:tc>
              <w:tc>
                <w:tcPr>
                  <w:tcW w:w="6883" w:type="dxa"/>
                  <w:vAlign w:val="center"/>
                </w:tcPr>
                <w:p w14:paraId="7B729373">
                  <w:pPr>
                    <w:spacing w:line="240" w:lineRule="auto"/>
                    <w:rPr>
                      <w:sz w:val="18"/>
                      <w:szCs w:val="18"/>
                    </w:rPr>
                  </w:pPr>
                  <w:r>
                    <w:rPr>
                      <w:rFonts w:hint="eastAsia" w:ascii="宋体" w:hAnsi="宋体"/>
                      <w:sz w:val="18"/>
                      <w:szCs w:val="18"/>
                    </w:rPr>
                    <w:t>根据《环境影响评价技术导则</w:t>
                  </w:r>
                  <w:r>
                    <w:rPr>
                      <w:rFonts w:hint="eastAsia"/>
                      <w:sz w:val="18"/>
                      <w:szCs w:val="18"/>
                    </w:rPr>
                    <w:t xml:space="preserve"> </w:t>
                  </w:r>
                  <w:r>
                    <w:rPr>
                      <w:rFonts w:hint="eastAsia" w:ascii="宋体" w:hAnsi="宋体"/>
                      <w:sz w:val="18"/>
                      <w:szCs w:val="18"/>
                    </w:rPr>
                    <w:t>地表水环境》（</w:t>
                  </w:r>
                  <w:r>
                    <w:rPr>
                      <w:rFonts w:hint="eastAsia"/>
                      <w:sz w:val="18"/>
                      <w:szCs w:val="18"/>
                    </w:rPr>
                    <w:t>HJ2.3-2018</w:t>
                  </w:r>
                  <w:r>
                    <w:rPr>
                      <w:rFonts w:hint="eastAsia" w:ascii="宋体" w:hAnsi="宋体"/>
                      <w:sz w:val="18"/>
                      <w:szCs w:val="18"/>
                    </w:rPr>
                    <w:t>）本项目不涉及水环境保护目标，不设置评价范围，仅对区域现状河道进行简单分析。</w:t>
                  </w:r>
                </w:p>
              </w:tc>
            </w:tr>
            <w:tr w14:paraId="4B59D8C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6" w:type="dxa"/>
                  <w:vAlign w:val="center"/>
                </w:tcPr>
                <w:p w14:paraId="227208AD">
                  <w:pPr>
                    <w:spacing w:line="240" w:lineRule="auto"/>
                    <w:jc w:val="center"/>
                    <w:textAlignment w:val="center"/>
                    <w:rPr>
                      <w:color w:val="505040"/>
                      <w:sz w:val="18"/>
                      <w:szCs w:val="18"/>
                    </w:rPr>
                  </w:pPr>
                  <w:r>
                    <w:rPr>
                      <w:sz w:val="18"/>
                      <w:szCs w:val="18"/>
                    </w:rPr>
                    <w:t>4</w:t>
                  </w:r>
                </w:p>
              </w:tc>
              <w:tc>
                <w:tcPr>
                  <w:tcW w:w="709" w:type="dxa"/>
                  <w:vAlign w:val="center"/>
                </w:tcPr>
                <w:p w14:paraId="0BC386AE">
                  <w:pPr>
                    <w:spacing w:line="240" w:lineRule="auto"/>
                    <w:jc w:val="center"/>
                    <w:textAlignment w:val="center"/>
                    <w:rPr>
                      <w:color w:val="000000"/>
                      <w:sz w:val="18"/>
                      <w:szCs w:val="18"/>
                    </w:rPr>
                  </w:pPr>
                  <w:r>
                    <w:rPr>
                      <w:rStyle w:val="175"/>
                      <w:sz w:val="18"/>
                      <w:szCs w:val="18"/>
                    </w:rPr>
                    <w:t>生态环境</w:t>
                  </w:r>
                </w:p>
              </w:tc>
              <w:tc>
                <w:tcPr>
                  <w:tcW w:w="6883" w:type="dxa"/>
                  <w:vAlign w:val="center"/>
                </w:tcPr>
                <w:p w14:paraId="48DFC372">
                  <w:pPr>
                    <w:spacing w:line="240" w:lineRule="auto"/>
                    <w:rPr>
                      <w:sz w:val="18"/>
                      <w:szCs w:val="18"/>
                    </w:rPr>
                  </w:pPr>
                  <w:r>
                    <w:rPr>
                      <w:rFonts w:hint="eastAsia" w:ascii="宋体" w:hAnsi="宋体"/>
                      <w:sz w:val="18"/>
                      <w:szCs w:val="18"/>
                    </w:rPr>
                    <w:t>根据《环境影响评价技术导则</w:t>
                  </w:r>
                  <w:r>
                    <w:rPr>
                      <w:rFonts w:hint="eastAsia"/>
                      <w:sz w:val="18"/>
                      <w:szCs w:val="18"/>
                    </w:rPr>
                    <w:t xml:space="preserve"> </w:t>
                  </w:r>
                  <w:r>
                    <w:rPr>
                      <w:rFonts w:hint="eastAsia" w:ascii="宋体" w:hAnsi="宋体"/>
                      <w:sz w:val="18"/>
                      <w:szCs w:val="18"/>
                    </w:rPr>
                    <w:t>生态影响》（</w:t>
                  </w:r>
                  <w:r>
                    <w:rPr>
                      <w:rFonts w:hint="eastAsia"/>
                      <w:sz w:val="18"/>
                      <w:szCs w:val="18"/>
                    </w:rPr>
                    <w:t>HJ19-2022</w:t>
                  </w:r>
                  <w:r>
                    <w:rPr>
                      <w:rFonts w:hint="eastAsia" w:ascii="宋体" w:hAnsi="宋体"/>
                      <w:sz w:val="18"/>
                      <w:szCs w:val="18"/>
                    </w:rPr>
                    <w:t>）本项目不涉及生态敏感区，无需设置评价范围。</w:t>
                  </w:r>
                </w:p>
              </w:tc>
            </w:tr>
          </w:tbl>
          <w:p w14:paraId="50DD7D57">
            <w:pPr>
              <w:pStyle w:val="3"/>
            </w:pPr>
            <w:r>
              <w:rPr>
                <w:rFonts w:hint="eastAsia"/>
              </w:rPr>
              <w:t>水环境保护目标</w:t>
            </w:r>
          </w:p>
          <w:p w14:paraId="5C1E5DE7">
            <w:pPr>
              <w:ind w:firstLine="420" w:firstLineChars="200"/>
              <w:rPr>
                <w:kern w:val="0"/>
                <w:szCs w:val="21"/>
              </w:rPr>
            </w:pPr>
            <w:r>
              <w:rPr>
                <w:rFonts w:hint="eastAsia" w:ascii="宋体" w:hAnsi="宋体"/>
              </w:rPr>
              <w:t>本工程施工期废水主要为施工废水和生活污水，施工人员日常生活主要利用施工营地和周边配套设施，</w:t>
            </w:r>
            <w:r>
              <w:rPr>
                <w:rFonts w:ascii="宋体" w:hAnsi="宋体"/>
              </w:rPr>
              <w:t>施工营地设置临时厕所，生活污水和洗涤废水收集后由环卫部门定期抽运</w:t>
            </w:r>
            <w:r>
              <w:rPr>
                <w:rFonts w:hint="eastAsia" w:ascii="宋体" w:hAnsi="宋体"/>
              </w:rPr>
              <w:t>；路基施工和桥梁施工设置有沉淀池，废水经沉淀后上清液循环回用，不外排，回用水标准参照《城市污水再生利用城市杂用水水质》（</w:t>
            </w:r>
            <w:r>
              <w:rPr>
                <w:rFonts w:hint="eastAsia"/>
              </w:rPr>
              <w:t>GB/T18920-2020</w:t>
            </w:r>
            <w:r>
              <w:rPr>
                <w:rFonts w:hint="eastAsia" w:ascii="宋体" w:hAnsi="宋体"/>
              </w:rPr>
              <w:t>）执行；营运期主要是路面径流雨水，水质相对简单，经市政雨水管收集直接进入附近河道。</w:t>
            </w:r>
          </w:p>
          <w:p w14:paraId="140544F5">
            <w:pPr>
              <w:ind w:firstLine="420" w:firstLineChars="200"/>
            </w:pPr>
            <w:r>
              <w:rPr>
                <w:rFonts w:ascii="宋体" w:hAnsi="宋体"/>
              </w:rPr>
              <w:t>项目附近水体主要为</w:t>
            </w:r>
            <w:r>
              <w:rPr>
                <w:rFonts w:hint="eastAsia" w:ascii="宋体" w:hAnsi="宋体"/>
              </w:rPr>
              <w:t>项目需要横跨的河庄横河及位于工程东侧的小泗埠直河，并与该区域类河网水系联通汇入钱塘江，</w:t>
            </w:r>
            <w:r>
              <w:rPr>
                <w:rFonts w:ascii="宋体" w:hAnsi="宋体"/>
              </w:rPr>
              <w:t>根据《浙江省水功能区水环境功能区划分方案》（</w:t>
            </w:r>
            <w:r>
              <w:t>2015</w:t>
            </w:r>
            <w:r>
              <w:rPr>
                <w:rFonts w:ascii="宋体" w:hAnsi="宋体"/>
              </w:rPr>
              <w:t>），上述河道属于内排河</w:t>
            </w:r>
            <w:r>
              <w:rPr>
                <w:rFonts w:hint="eastAsia" w:ascii="宋体" w:hAnsi="宋体"/>
              </w:rPr>
              <w:t>，</w:t>
            </w:r>
            <w:r>
              <w:rPr>
                <w:rFonts w:ascii="宋体" w:hAnsi="宋体"/>
              </w:rPr>
              <w:t>水功能区参照</w:t>
            </w:r>
            <w:r>
              <w:rPr>
                <w:rFonts w:hint="eastAsia" w:ascii="宋体" w:hAnsi="宋体"/>
              </w:rPr>
              <w:t>钱塘</w:t>
            </w:r>
            <w:r>
              <w:rPr>
                <w:rFonts w:hint="eastAsia"/>
              </w:rPr>
              <w:t>337</w:t>
            </w:r>
            <w:r>
              <w:rPr>
                <w:rFonts w:ascii="宋体" w:hAnsi="宋体"/>
              </w:rPr>
              <w:t>执行</w:t>
            </w:r>
            <w:r>
              <w:rPr>
                <w:rFonts w:hint="eastAsia" w:ascii="宋体" w:hAnsi="宋体"/>
              </w:rPr>
              <w:t>，该水功能区属萧绍河网萧山工业、农业用水区，水质现状为</w:t>
            </w:r>
            <w:r>
              <w:rPr>
                <w:rFonts w:hint="eastAsia"/>
              </w:rPr>
              <w:t>劣</w:t>
            </w:r>
            <w:r>
              <w:t>Ⅴ</w:t>
            </w:r>
            <w:r>
              <w:rPr>
                <w:rFonts w:hint="eastAsia"/>
              </w:rPr>
              <w:t>类</w:t>
            </w:r>
            <w:r>
              <w:rPr>
                <w:rFonts w:hint="eastAsia" w:ascii="宋体" w:hAnsi="宋体"/>
              </w:rPr>
              <w:t>，目标水质为</w:t>
            </w:r>
            <w:r>
              <w:t>IV</w:t>
            </w:r>
            <w:r>
              <w:rPr>
                <w:rFonts w:hint="eastAsia" w:ascii="宋体" w:hAnsi="宋体"/>
              </w:rPr>
              <w:t>类。</w:t>
            </w:r>
          </w:p>
          <w:p w14:paraId="29331CE8">
            <w:pPr>
              <w:ind w:firstLine="420" w:firstLineChars="200"/>
            </w:pPr>
            <w:r>
              <w:rPr>
                <w:rFonts w:ascii="宋体" w:hAnsi="宋体"/>
              </w:rPr>
              <w:t>施工期水环境保护目标</w:t>
            </w:r>
            <w:r>
              <w:rPr>
                <w:rFonts w:hint="eastAsia" w:ascii="宋体" w:hAnsi="宋体"/>
              </w:rPr>
              <w:t>主要为施工场地及施工区域周边影响河道，具体详见下表。</w:t>
            </w:r>
          </w:p>
          <w:p w14:paraId="28E8C913">
            <w:pPr>
              <w:pStyle w:val="9"/>
              <w:spacing w:before="120"/>
            </w:pPr>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7</w:t>
            </w:r>
            <w:r>
              <w:fldChar w:fldCharType="end"/>
            </w:r>
            <w:r>
              <w:t>地表水环境保护目标</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
            <w:tblGrid>
              <w:gridCol w:w="1312"/>
              <w:gridCol w:w="1290"/>
              <w:gridCol w:w="2857"/>
              <w:gridCol w:w="1819"/>
              <w:gridCol w:w="1009"/>
            </w:tblGrid>
            <w:tr w14:paraId="49C073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291" w:type="dxa"/>
                  <w:vAlign w:val="center"/>
                </w:tcPr>
                <w:p w14:paraId="05769ABF">
                  <w:pPr>
                    <w:spacing w:before="24" w:line="240" w:lineRule="auto"/>
                    <w:jc w:val="center"/>
                    <w:rPr>
                      <w:b/>
                      <w:bCs/>
                      <w:sz w:val="18"/>
                      <w:szCs w:val="18"/>
                    </w:rPr>
                  </w:pPr>
                  <w:r>
                    <w:rPr>
                      <w:rFonts w:hint="eastAsia" w:ascii="宋体" w:hAnsi="宋体"/>
                      <w:b/>
                      <w:bCs/>
                      <w:sz w:val="18"/>
                      <w:szCs w:val="18"/>
                    </w:rPr>
                    <w:t>环境保护目标</w:t>
                  </w:r>
                </w:p>
              </w:tc>
              <w:tc>
                <w:tcPr>
                  <w:tcW w:w="1270" w:type="dxa"/>
                  <w:vAlign w:val="center"/>
                </w:tcPr>
                <w:p w14:paraId="321B57BF">
                  <w:pPr>
                    <w:spacing w:before="24" w:line="240" w:lineRule="auto"/>
                    <w:jc w:val="center"/>
                    <w:rPr>
                      <w:b/>
                      <w:bCs/>
                      <w:sz w:val="18"/>
                      <w:szCs w:val="18"/>
                    </w:rPr>
                  </w:pPr>
                  <w:r>
                    <w:rPr>
                      <w:rFonts w:hint="eastAsia" w:ascii="宋体" w:hAnsi="宋体"/>
                      <w:b/>
                      <w:bCs/>
                      <w:sz w:val="18"/>
                      <w:szCs w:val="18"/>
                    </w:rPr>
                    <w:t>与施工区最近位置关系</w:t>
                  </w:r>
                </w:p>
              </w:tc>
              <w:tc>
                <w:tcPr>
                  <w:tcW w:w="2813" w:type="dxa"/>
                  <w:vAlign w:val="center"/>
                </w:tcPr>
                <w:p w14:paraId="5E02035E">
                  <w:pPr>
                    <w:spacing w:before="24" w:line="240" w:lineRule="auto"/>
                    <w:jc w:val="center"/>
                    <w:rPr>
                      <w:b/>
                      <w:bCs/>
                      <w:sz w:val="18"/>
                      <w:szCs w:val="18"/>
                    </w:rPr>
                  </w:pPr>
                  <w:r>
                    <w:rPr>
                      <w:rFonts w:ascii="宋体" w:hAnsi="宋体"/>
                      <w:b/>
                      <w:bCs/>
                      <w:sz w:val="18"/>
                      <w:szCs w:val="18"/>
                    </w:rPr>
                    <w:t>水功能区划</w:t>
                  </w:r>
                </w:p>
              </w:tc>
              <w:tc>
                <w:tcPr>
                  <w:tcW w:w="1791" w:type="dxa"/>
                  <w:vAlign w:val="center"/>
                </w:tcPr>
                <w:p w14:paraId="0E4803D8">
                  <w:pPr>
                    <w:spacing w:before="24" w:line="240" w:lineRule="auto"/>
                    <w:jc w:val="center"/>
                    <w:rPr>
                      <w:b/>
                      <w:bCs/>
                      <w:sz w:val="18"/>
                      <w:szCs w:val="18"/>
                    </w:rPr>
                  </w:pPr>
                  <w:r>
                    <w:rPr>
                      <w:rFonts w:ascii="宋体" w:hAnsi="宋体"/>
                      <w:b/>
                      <w:bCs/>
                      <w:sz w:val="18"/>
                      <w:szCs w:val="18"/>
                    </w:rPr>
                    <w:t>水环境功能区</w:t>
                  </w:r>
                </w:p>
              </w:tc>
              <w:tc>
                <w:tcPr>
                  <w:tcW w:w="993" w:type="dxa"/>
                  <w:vAlign w:val="center"/>
                </w:tcPr>
                <w:p w14:paraId="7BC82F03">
                  <w:pPr>
                    <w:spacing w:before="24" w:line="240" w:lineRule="auto"/>
                    <w:jc w:val="center"/>
                    <w:rPr>
                      <w:b/>
                      <w:bCs/>
                      <w:sz w:val="18"/>
                      <w:szCs w:val="18"/>
                    </w:rPr>
                  </w:pPr>
                  <w:r>
                    <w:rPr>
                      <w:rFonts w:hint="eastAsia" w:ascii="宋体" w:hAnsi="宋体"/>
                      <w:b/>
                      <w:bCs/>
                      <w:sz w:val="18"/>
                      <w:szCs w:val="18"/>
                    </w:rPr>
                    <w:t>目标水质</w:t>
                  </w:r>
                </w:p>
              </w:tc>
            </w:tr>
            <w:tr w14:paraId="0FF2D1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291" w:type="dxa"/>
                  <w:vAlign w:val="center"/>
                </w:tcPr>
                <w:p w14:paraId="770CDE19">
                  <w:pPr>
                    <w:spacing w:before="24" w:line="240" w:lineRule="auto"/>
                    <w:jc w:val="center"/>
                    <w:rPr>
                      <w:sz w:val="18"/>
                      <w:szCs w:val="18"/>
                    </w:rPr>
                  </w:pPr>
                  <w:r>
                    <w:rPr>
                      <w:rFonts w:hint="eastAsia" w:ascii="宋体" w:hAnsi="宋体"/>
                      <w:sz w:val="18"/>
                      <w:szCs w:val="18"/>
                    </w:rPr>
                    <w:t>河庄横河</w:t>
                  </w:r>
                </w:p>
              </w:tc>
              <w:tc>
                <w:tcPr>
                  <w:tcW w:w="1270" w:type="dxa"/>
                  <w:vAlign w:val="center"/>
                </w:tcPr>
                <w:p w14:paraId="43B1589F">
                  <w:pPr>
                    <w:spacing w:before="24" w:line="240" w:lineRule="auto"/>
                    <w:jc w:val="center"/>
                    <w:rPr>
                      <w:sz w:val="18"/>
                      <w:szCs w:val="18"/>
                    </w:rPr>
                  </w:pPr>
                  <w:r>
                    <w:rPr>
                      <w:rFonts w:hint="eastAsia"/>
                      <w:sz w:val="18"/>
                      <w:szCs w:val="18"/>
                    </w:rPr>
                    <w:t>工程直接跨越</w:t>
                  </w:r>
                </w:p>
              </w:tc>
              <w:tc>
                <w:tcPr>
                  <w:tcW w:w="2813" w:type="dxa"/>
                  <w:vMerge w:val="restart"/>
                  <w:vAlign w:val="center"/>
                </w:tcPr>
                <w:p w14:paraId="05A1A934">
                  <w:pPr>
                    <w:spacing w:before="24" w:line="240" w:lineRule="auto"/>
                    <w:jc w:val="center"/>
                    <w:rPr>
                      <w:sz w:val="18"/>
                      <w:szCs w:val="18"/>
                    </w:rPr>
                  </w:pPr>
                  <w:r>
                    <w:rPr>
                      <w:rFonts w:hint="eastAsia" w:ascii="宋体" w:hAnsi="宋体"/>
                      <w:sz w:val="18"/>
                      <w:szCs w:val="18"/>
                    </w:rPr>
                    <w:t>萧绍河网萧山工业、农业用水区</w:t>
                  </w:r>
                </w:p>
              </w:tc>
              <w:tc>
                <w:tcPr>
                  <w:tcW w:w="1791" w:type="dxa"/>
                  <w:vMerge w:val="restart"/>
                  <w:vAlign w:val="center"/>
                </w:tcPr>
                <w:p w14:paraId="25E4D069">
                  <w:pPr>
                    <w:spacing w:before="24" w:line="240" w:lineRule="auto"/>
                    <w:jc w:val="center"/>
                    <w:rPr>
                      <w:sz w:val="18"/>
                      <w:szCs w:val="18"/>
                    </w:rPr>
                  </w:pPr>
                  <w:r>
                    <w:rPr>
                      <w:rFonts w:hint="eastAsia" w:ascii="宋体" w:hAnsi="宋体"/>
                      <w:sz w:val="18"/>
                      <w:szCs w:val="18"/>
                    </w:rPr>
                    <w:t>工业、农业用水区</w:t>
                  </w:r>
                </w:p>
              </w:tc>
              <w:tc>
                <w:tcPr>
                  <w:tcW w:w="993" w:type="dxa"/>
                  <w:vMerge w:val="restart"/>
                  <w:vAlign w:val="center"/>
                </w:tcPr>
                <w:p w14:paraId="561C1F8A">
                  <w:pPr>
                    <w:spacing w:before="24" w:line="240" w:lineRule="auto"/>
                    <w:jc w:val="center"/>
                    <w:rPr>
                      <w:sz w:val="18"/>
                      <w:szCs w:val="18"/>
                    </w:rPr>
                  </w:pPr>
                  <w:r>
                    <w:rPr>
                      <w:sz w:val="18"/>
                      <w:szCs w:val="18"/>
                    </w:rPr>
                    <w:t>Ⅳ</w:t>
                  </w:r>
                  <w:r>
                    <w:rPr>
                      <w:rFonts w:hint="eastAsia" w:ascii="宋体" w:hAnsi="宋体"/>
                      <w:sz w:val="18"/>
                      <w:szCs w:val="18"/>
                    </w:rPr>
                    <w:t>类</w:t>
                  </w:r>
                </w:p>
              </w:tc>
            </w:tr>
            <w:tr w14:paraId="434C98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291" w:type="dxa"/>
                  <w:vAlign w:val="center"/>
                </w:tcPr>
                <w:p w14:paraId="7155D922">
                  <w:pPr>
                    <w:spacing w:before="24" w:line="240" w:lineRule="auto"/>
                    <w:jc w:val="center"/>
                    <w:rPr>
                      <w:rFonts w:hint="eastAsia" w:ascii="宋体" w:hAnsi="宋体"/>
                      <w:sz w:val="18"/>
                      <w:szCs w:val="18"/>
                    </w:rPr>
                  </w:pPr>
                  <w:r>
                    <w:rPr>
                      <w:rFonts w:hint="eastAsia" w:ascii="宋体" w:hAnsi="宋体"/>
                      <w:sz w:val="18"/>
                      <w:szCs w:val="18"/>
                    </w:rPr>
                    <w:t>小泗埠直河</w:t>
                  </w:r>
                </w:p>
              </w:tc>
              <w:tc>
                <w:tcPr>
                  <w:tcW w:w="1270" w:type="dxa"/>
                  <w:vAlign w:val="center"/>
                </w:tcPr>
                <w:p w14:paraId="0577E817">
                  <w:pPr>
                    <w:spacing w:before="24" w:line="240" w:lineRule="auto"/>
                    <w:jc w:val="center"/>
                    <w:rPr>
                      <w:sz w:val="18"/>
                      <w:szCs w:val="18"/>
                    </w:rPr>
                  </w:pPr>
                  <w:r>
                    <w:rPr>
                      <w:rFonts w:hint="eastAsia"/>
                      <w:sz w:val="18"/>
                      <w:szCs w:val="18"/>
                    </w:rPr>
                    <w:t>东侧700m</w:t>
                  </w:r>
                </w:p>
              </w:tc>
              <w:tc>
                <w:tcPr>
                  <w:tcW w:w="2813" w:type="dxa"/>
                  <w:vMerge w:val="continue"/>
                  <w:vAlign w:val="center"/>
                </w:tcPr>
                <w:p w14:paraId="640F5BD9">
                  <w:pPr>
                    <w:spacing w:before="24" w:line="240" w:lineRule="auto"/>
                    <w:jc w:val="center"/>
                    <w:rPr>
                      <w:rFonts w:hint="eastAsia" w:ascii="宋体" w:hAnsi="宋体"/>
                      <w:sz w:val="18"/>
                      <w:szCs w:val="18"/>
                    </w:rPr>
                  </w:pPr>
                </w:p>
              </w:tc>
              <w:tc>
                <w:tcPr>
                  <w:tcW w:w="1791" w:type="dxa"/>
                  <w:vMerge w:val="continue"/>
                  <w:vAlign w:val="center"/>
                </w:tcPr>
                <w:p w14:paraId="3C437517">
                  <w:pPr>
                    <w:spacing w:before="24" w:line="240" w:lineRule="auto"/>
                    <w:jc w:val="center"/>
                    <w:rPr>
                      <w:rFonts w:hint="eastAsia" w:ascii="宋体" w:hAnsi="宋体"/>
                      <w:sz w:val="18"/>
                      <w:szCs w:val="18"/>
                    </w:rPr>
                  </w:pPr>
                </w:p>
              </w:tc>
              <w:tc>
                <w:tcPr>
                  <w:tcW w:w="993" w:type="dxa"/>
                  <w:vMerge w:val="continue"/>
                  <w:vAlign w:val="center"/>
                </w:tcPr>
                <w:p w14:paraId="02EFC45B">
                  <w:pPr>
                    <w:spacing w:before="24" w:line="240" w:lineRule="auto"/>
                    <w:jc w:val="center"/>
                    <w:rPr>
                      <w:sz w:val="18"/>
                      <w:szCs w:val="18"/>
                    </w:rPr>
                  </w:pPr>
                </w:p>
              </w:tc>
            </w:tr>
          </w:tbl>
          <w:p w14:paraId="6C73C409">
            <w:pPr>
              <w:pStyle w:val="3"/>
            </w:pPr>
            <w:r>
              <w:rPr>
                <w:rFonts w:hint="eastAsia"/>
              </w:rPr>
              <w:t>环境空气保护目标</w:t>
            </w:r>
          </w:p>
          <w:p w14:paraId="30346CA8">
            <w:pPr>
              <w:ind w:firstLine="420" w:firstLineChars="200"/>
              <w:rPr>
                <w:highlight w:val="yellow"/>
              </w:rPr>
            </w:pPr>
            <w:r>
              <w:rPr>
                <w:rFonts w:hint="eastAsia"/>
              </w:rPr>
              <w:t>根据杭州市环境空气质量功能区划，本项目所在地环境空气为二类功能区。经过卫星遥感影像分析和现场实地勘探，本次工程道路周边200m范围内不存在环境空气保护目标；此外</w:t>
            </w:r>
            <w:r>
              <w:t>对照《杭州大江东产业集聚区规划环评》、《杭州市钱塘区国土空间总体规划（2021-2035）》以及杭州市规划和自然资源局规划一点通网站，本项目周边未来存在潜在居住用地规划保护目标</w:t>
            </w:r>
            <w:r>
              <w:rPr>
                <w:rFonts w:hint="eastAsia"/>
              </w:rPr>
              <w:t>。</w:t>
            </w:r>
          </w:p>
          <w:p w14:paraId="66392559">
            <w:pPr>
              <w:pStyle w:val="3"/>
            </w:pPr>
            <w:r>
              <w:rPr>
                <w:rFonts w:hint="eastAsia"/>
              </w:rPr>
              <w:t>声环境保护目标</w:t>
            </w:r>
          </w:p>
          <w:p w14:paraId="395AA9A4">
            <w:pPr>
              <w:ind w:firstLine="420" w:firstLineChars="200"/>
            </w:pPr>
            <w:r>
              <w:rPr>
                <w:rFonts w:hint="eastAsia"/>
              </w:rPr>
              <w:t>根据环境影响报告表编制技术指南（生态影响类）表 1 专项评价设置原则表，本项目需设置噪声专项，由于本项目</w:t>
            </w:r>
            <w:r>
              <w:t>建设</w:t>
            </w:r>
            <w:r>
              <w:rPr>
                <w:rFonts w:hint="eastAsia"/>
              </w:rPr>
              <w:t>地点的</w:t>
            </w:r>
            <w:r>
              <w:t>声环境功能区为2类区</w:t>
            </w:r>
            <w:r>
              <w:rPr>
                <w:rFonts w:hint="eastAsia"/>
              </w:rPr>
              <w:t>（南北侧临近主干道一定距离内为4a类），且</w:t>
            </w:r>
            <w:r>
              <w:t>工程周边</w:t>
            </w:r>
            <w:r>
              <w:rPr>
                <w:rFonts w:hint="eastAsia"/>
              </w:rPr>
              <w:t>评价范围内</w:t>
            </w:r>
            <w:r>
              <w:t>不存在现状敏感点，根据《环境影响评价技术导则声环境》（HJ2.4-2021），确定本项目声环境影响评价等级为二级。</w:t>
            </w:r>
            <w:r>
              <w:rPr>
                <w:rFonts w:hint="eastAsia"/>
              </w:rPr>
              <w:t>本项目声环境影响评价工作等级执行二级评价</w:t>
            </w:r>
            <w:commentRangeStart w:id="59"/>
            <w:r>
              <w:rPr>
                <w:rFonts w:hint="eastAsia"/>
              </w:rPr>
              <w:t>，评价范围为线路中心线两侧200m，</w:t>
            </w:r>
            <w:commentRangeEnd w:id="59"/>
            <w:r>
              <w:rPr>
                <w:rStyle w:val="38"/>
                <w:rFonts w:hint="eastAsia"/>
              </w:rPr>
              <w:commentReference w:id="59"/>
            </w:r>
            <w:r>
              <w:rPr>
                <w:rFonts w:hint="eastAsia"/>
              </w:rPr>
              <w:t>经过卫星遥感影像分析和现场实地勘探，项目工程沿线两侧的200m范围内不存在声环境现状保护目标，通过比对</w:t>
            </w:r>
            <w:r>
              <w:t>《江海之城单元详细规划》</w:t>
            </w:r>
            <w:r>
              <w:rPr>
                <w:rFonts w:hint="eastAsia"/>
              </w:rPr>
              <w:t>和杭州市自然资源与规划局公开数据，项目道路</w:t>
            </w:r>
            <w:r>
              <w:t>周边未来存在潜在居住用地规划保护目标</w:t>
            </w:r>
            <w:r>
              <w:rPr>
                <w:rFonts w:hint="eastAsia"/>
              </w:rPr>
              <w:t>。</w:t>
            </w:r>
          </w:p>
          <w:bookmarkEnd w:id="42"/>
          <w:p w14:paraId="662AB80A">
            <w:pPr>
              <w:pStyle w:val="4"/>
            </w:pPr>
            <w:r>
              <w:t>地</w:t>
            </w:r>
            <w:r>
              <w:rPr>
                <w:rFonts w:hint="eastAsia"/>
              </w:rPr>
              <w:t>下</w:t>
            </w:r>
            <w:r>
              <w:t>水</w:t>
            </w:r>
          </w:p>
          <w:p w14:paraId="0FE35212">
            <w:pPr>
              <w:ind w:firstLine="480"/>
              <w:rPr>
                <w:szCs w:val="20"/>
              </w:rPr>
            </w:pPr>
            <w:r>
              <w:rPr>
                <w:rFonts w:hint="eastAsia"/>
                <w:szCs w:val="20"/>
              </w:rPr>
              <w:t>工程周边</w:t>
            </w:r>
            <w:r>
              <w:rPr>
                <w:szCs w:val="20"/>
              </w:rPr>
              <w:t>范围内无地下水集中式使用水水源和热水、矿泉水、温泉等特殊地下水资源</w:t>
            </w:r>
            <w:r>
              <w:rPr>
                <w:rFonts w:hint="eastAsia"/>
                <w:szCs w:val="20"/>
              </w:rPr>
              <w:t>分布</w:t>
            </w:r>
            <w:r>
              <w:rPr>
                <w:szCs w:val="20"/>
              </w:rPr>
              <w:t>。</w:t>
            </w:r>
          </w:p>
          <w:p w14:paraId="1ED02860">
            <w:pPr>
              <w:pStyle w:val="4"/>
            </w:pPr>
            <w:r>
              <w:rPr>
                <w:rFonts w:hint="eastAsia"/>
              </w:rPr>
              <w:t>环境风险</w:t>
            </w:r>
          </w:p>
          <w:p w14:paraId="32A9A851">
            <w:pPr>
              <w:ind w:firstLine="480"/>
              <w:rPr>
                <w:szCs w:val="20"/>
              </w:rPr>
            </w:pPr>
            <w:r>
              <w:rPr>
                <w:rFonts w:hint="eastAsia"/>
                <w:szCs w:val="20"/>
              </w:rPr>
              <w:t>依据HJ169-2018《</w:t>
            </w:r>
            <w:bookmarkStart w:id="44" w:name="OLE_LINK27"/>
            <w:r>
              <w:rPr>
                <w:rFonts w:hint="eastAsia"/>
                <w:szCs w:val="20"/>
              </w:rPr>
              <w:t>建设项目环境风险评价技术导则</w:t>
            </w:r>
            <w:bookmarkEnd w:id="44"/>
            <w:r>
              <w:rPr>
                <w:rFonts w:hint="eastAsia"/>
                <w:szCs w:val="20"/>
              </w:rPr>
              <w:t>》，本项目危险物质数量与临界量比值为Q＜1，可判定本项目的环境风险潜势为Ⅰ，环境风险评价的工作等级为简单分析，因此确定本项目环境风险不设评价范围。</w:t>
            </w:r>
          </w:p>
          <w:p w14:paraId="31AB032B">
            <w:pPr>
              <w:pStyle w:val="4"/>
            </w:pPr>
            <w:r>
              <w:rPr>
                <w:rFonts w:hint="eastAsia"/>
              </w:rPr>
              <w:t>生态环境保护目标</w:t>
            </w:r>
          </w:p>
          <w:p w14:paraId="08A55700">
            <w:pPr>
              <w:ind w:firstLine="480"/>
              <w:rPr>
                <w:szCs w:val="20"/>
                <w:highlight w:val="yellow"/>
              </w:rPr>
            </w:pPr>
            <w:r>
              <w:rPr>
                <w:rFonts w:hint="eastAsia"/>
                <w:szCs w:val="20"/>
              </w:rPr>
              <w:t>本项目对照《杭州市钱塘区国土空间分区规划（2021-2035年）》三条控制线图》，本项目不在生态保护红线范围内，不涉及永久基本农田，不涉及生态环境保护目标。</w:t>
            </w:r>
          </w:p>
        </w:tc>
      </w:tr>
      <w:tr w14:paraId="11A442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416" w:type="dxa"/>
            <w:tcMar>
              <w:left w:w="28" w:type="dxa"/>
              <w:right w:w="28" w:type="dxa"/>
            </w:tcMar>
            <w:vAlign w:val="center"/>
          </w:tcPr>
          <w:p w14:paraId="1554B041">
            <w:pPr>
              <w:jc w:val="center"/>
              <w:rPr>
                <w:kern w:val="0"/>
                <w:szCs w:val="21"/>
                <w:highlight w:val="yellow"/>
              </w:rPr>
            </w:pPr>
            <w:bookmarkStart w:id="45" w:name="OLE_LINK16"/>
            <w:r>
              <w:rPr>
                <w:rFonts w:hint="eastAsia"/>
                <w:kern w:val="0"/>
                <w:szCs w:val="21"/>
              </w:rPr>
              <w:t>评价</w:t>
            </w:r>
            <w:r>
              <w:rPr>
                <w:kern w:val="0"/>
                <w:szCs w:val="21"/>
              </w:rPr>
              <w:t>标准</w:t>
            </w:r>
            <w:bookmarkEnd w:id="45"/>
          </w:p>
        </w:tc>
        <w:tc>
          <w:tcPr>
            <w:tcW w:w="8533" w:type="dxa"/>
            <w:vAlign w:val="center"/>
          </w:tcPr>
          <w:p w14:paraId="6CFA68E1">
            <w:pPr>
              <w:pStyle w:val="4"/>
            </w:pPr>
            <w:r>
              <w:rPr>
                <w:rFonts w:hint="eastAsia"/>
              </w:rPr>
              <w:t>生态</w:t>
            </w:r>
            <w:r>
              <w:t>环境质量标准</w:t>
            </w:r>
          </w:p>
          <w:p w14:paraId="5D967393">
            <w:pPr>
              <w:widowControl/>
              <w:kinsoku w:val="0"/>
              <w:autoSpaceDE w:val="0"/>
              <w:autoSpaceDN w:val="0"/>
              <w:ind w:firstLine="422" w:firstLineChars="200"/>
              <w:textAlignment w:val="baseline"/>
              <w:rPr>
                <w:b/>
                <w:color w:val="000000"/>
                <w:kern w:val="0"/>
                <w:szCs w:val="21"/>
              </w:rPr>
            </w:pPr>
            <w:r>
              <w:rPr>
                <w:b/>
                <w:color w:val="000000"/>
                <w:kern w:val="0"/>
                <w:szCs w:val="21"/>
              </w:rPr>
              <w:t>1</w:t>
            </w:r>
            <w:r>
              <w:rPr>
                <w:rFonts w:ascii="宋体" w:hAnsi="宋体"/>
                <w:b/>
                <w:color w:val="000000"/>
                <w:kern w:val="0"/>
                <w:szCs w:val="21"/>
              </w:rPr>
              <w:t>、水环境质量标准</w:t>
            </w:r>
          </w:p>
          <w:p w14:paraId="6FDCC7B5">
            <w:pPr>
              <w:widowControl/>
              <w:kinsoku w:val="0"/>
              <w:autoSpaceDE w:val="0"/>
              <w:autoSpaceDN w:val="0"/>
              <w:ind w:firstLine="420" w:firstLineChars="200"/>
              <w:textAlignment w:val="baseline"/>
              <w:rPr>
                <w:color w:val="000000"/>
                <w:kern w:val="0"/>
                <w:szCs w:val="21"/>
              </w:rPr>
            </w:pPr>
            <w:r>
              <w:rPr>
                <w:rFonts w:ascii="宋体" w:hAnsi="宋体"/>
                <w:bCs/>
                <w:color w:val="000000"/>
                <w:kern w:val="0"/>
                <w:szCs w:val="21"/>
              </w:rPr>
              <w:t>项目拟建场地附近地表水为</w:t>
            </w:r>
            <w:r>
              <w:rPr>
                <w:rFonts w:hint="eastAsia" w:ascii="宋体" w:hAnsi="宋体"/>
                <w:bCs/>
                <w:color w:val="000000"/>
                <w:kern w:val="0"/>
                <w:szCs w:val="21"/>
              </w:rPr>
              <w:t>河庄横河和小泗埠直河</w:t>
            </w:r>
            <w:r>
              <w:rPr>
                <w:rFonts w:ascii="宋体" w:hAnsi="宋体"/>
                <w:bCs/>
                <w:color w:val="000000"/>
                <w:kern w:val="0"/>
                <w:szCs w:val="21"/>
              </w:rPr>
              <w:t>，执行《地表水环境质量标准》（</w:t>
            </w:r>
            <w:r>
              <w:rPr>
                <w:bCs/>
                <w:color w:val="000000"/>
                <w:kern w:val="0"/>
                <w:szCs w:val="21"/>
              </w:rPr>
              <w:t>GB3838-2002</w:t>
            </w:r>
            <w:r>
              <w:rPr>
                <w:rFonts w:ascii="宋体" w:hAnsi="宋体"/>
                <w:bCs/>
                <w:color w:val="000000"/>
                <w:kern w:val="0"/>
                <w:szCs w:val="21"/>
              </w:rPr>
              <w:t>）中的</w:t>
            </w:r>
            <w:r>
              <w:rPr>
                <w:color w:val="000000"/>
                <w:kern w:val="0"/>
                <w:szCs w:val="21"/>
              </w:rPr>
              <w:t>Ⅳ</w:t>
            </w:r>
            <w:r>
              <w:rPr>
                <w:rFonts w:ascii="宋体" w:hAnsi="宋体"/>
                <w:color w:val="000000"/>
                <w:kern w:val="0"/>
                <w:szCs w:val="21"/>
              </w:rPr>
              <w:t>类</w:t>
            </w:r>
            <w:r>
              <w:rPr>
                <w:rFonts w:ascii="宋体" w:hAnsi="宋体"/>
                <w:bCs/>
                <w:color w:val="000000"/>
                <w:kern w:val="0"/>
                <w:szCs w:val="21"/>
              </w:rPr>
              <w:t>标准</w:t>
            </w:r>
            <w:r>
              <w:rPr>
                <w:rFonts w:ascii="宋体" w:hAnsi="宋体"/>
                <w:color w:val="000000"/>
                <w:kern w:val="0"/>
                <w:szCs w:val="21"/>
              </w:rPr>
              <w:t>。</w:t>
            </w:r>
          </w:p>
          <w:p w14:paraId="03E66DE2">
            <w:pPr>
              <w:pStyle w:val="9"/>
              <w:spacing w:before="120"/>
            </w:pPr>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8</w:t>
            </w:r>
            <w:r>
              <w:fldChar w:fldCharType="end"/>
            </w:r>
            <w:r>
              <w:t>《地表水环境质量标准》（GB3838-2002）单位：mg/L</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1" w:type="dxa"/>
                <w:bottom w:w="0" w:type="dxa"/>
                <w:right w:w="11" w:type="dxa"/>
              </w:tblCellMar>
            </w:tblPr>
            <w:tblGrid>
              <w:gridCol w:w="1132"/>
              <w:gridCol w:w="1505"/>
              <w:gridCol w:w="1507"/>
              <w:gridCol w:w="1157"/>
              <w:gridCol w:w="1005"/>
              <w:gridCol w:w="1006"/>
              <w:gridCol w:w="975"/>
            </w:tblGrid>
            <w:tr w14:paraId="72A61C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958" w:type="dxa"/>
                  <w:vAlign w:val="center"/>
                </w:tcPr>
                <w:p w14:paraId="3A1225C8">
                  <w:pPr>
                    <w:widowControl/>
                    <w:kinsoku w:val="0"/>
                    <w:autoSpaceDE w:val="0"/>
                    <w:autoSpaceDN w:val="0"/>
                    <w:spacing w:line="240" w:lineRule="auto"/>
                    <w:jc w:val="center"/>
                    <w:textAlignment w:val="baseline"/>
                    <w:rPr>
                      <w:b/>
                      <w:bCs/>
                      <w:color w:val="000000"/>
                      <w:kern w:val="0"/>
                      <w:sz w:val="18"/>
                      <w:szCs w:val="18"/>
                    </w:rPr>
                  </w:pPr>
                  <w:r>
                    <w:rPr>
                      <w:rFonts w:ascii="宋体" w:hAnsi="宋体"/>
                      <w:b/>
                      <w:bCs/>
                      <w:color w:val="000000"/>
                      <w:kern w:val="0"/>
                      <w:sz w:val="18"/>
                      <w:szCs w:val="18"/>
                    </w:rPr>
                    <w:t>项目</w:t>
                  </w:r>
                </w:p>
              </w:tc>
              <w:tc>
                <w:tcPr>
                  <w:tcW w:w="1273" w:type="dxa"/>
                  <w:vAlign w:val="center"/>
                </w:tcPr>
                <w:p w14:paraId="654049B6">
                  <w:pPr>
                    <w:widowControl/>
                    <w:kinsoku w:val="0"/>
                    <w:autoSpaceDE w:val="0"/>
                    <w:autoSpaceDN w:val="0"/>
                    <w:spacing w:line="240" w:lineRule="auto"/>
                    <w:jc w:val="center"/>
                    <w:textAlignment w:val="baseline"/>
                    <w:rPr>
                      <w:b/>
                      <w:bCs/>
                      <w:color w:val="000000"/>
                      <w:kern w:val="0"/>
                      <w:sz w:val="18"/>
                      <w:szCs w:val="18"/>
                    </w:rPr>
                  </w:pPr>
                  <w:r>
                    <w:rPr>
                      <w:b/>
                      <w:bCs/>
                      <w:color w:val="000000"/>
                      <w:kern w:val="0"/>
                      <w:sz w:val="18"/>
                      <w:szCs w:val="18"/>
                    </w:rPr>
                    <w:t>pH</w:t>
                  </w:r>
                  <w:r>
                    <w:rPr>
                      <w:rFonts w:ascii="宋体" w:hAnsi="宋体"/>
                      <w:b/>
                      <w:bCs/>
                      <w:color w:val="000000"/>
                      <w:kern w:val="0"/>
                      <w:sz w:val="18"/>
                      <w:szCs w:val="18"/>
                    </w:rPr>
                    <w:t>（无量纲）</w:t>
                  </w:r>
                </w:p>
              </w:tc>
              <w:tc>
                <w:tcPr>
                  <w:tcW w:w="1275" w:type="dxa"/>
                  <w:vAlign w:val="center"/>
                </w:tcPr>
                <w:p w14:paraId="6E58C612">
                  <w:pPr>
                    <w:widowControl/>
                    <w:kinsoku w:val="0"/>
                    <w:autoSpaceDE w:val="0"/>
                    <w:autoSpaceDN w:val="0"/>
                    <w:spacing w:line="240" w:lineRule="auto"/>
                    <w:jc w:val="center"/>
                    <w:textAlignment w:val="baseline"/>
                    <w:rPr>
                      <w:b/>
                      <w:bCs/>
                      <w:color w:val="000000"/>
                      <w:kern w:val="0"/>
                      <w:sz w:val="18"/>
                      <w:szCs w:val="18"/>
                    </w:rPr>
                  </w:pPr>
                  <w:r>
                    <w:rPr>
                      <w:rFonts w:ascii="宋体" w:hAnsi="宋体"/>
                      <w:b/>
                      <w:bCs/>
                      <w:color w:val="000000"/>
                      <w:kern w:val="0"/>
                      <w:sz w:val="18"/>
                      <w:szCs w:val="18"/>
                    </w:rPr>
                    <w:t>高锰酸盐指数</w:t>
                  </w:r>
                </w:p>
              </w:tc>
              <w:tc>
                <w:tcPr>
                  <w:tcW w:w="979" w:type="dxa"/>
                  <w:vAlign w:val="center"/>
                </w:tcPr>
                <w:p w14:paraId="5EB3A383">
                  <w:pPr>
                    <w:widowControl/>
                    <w:kinsoku w:val="0"/>
                    <w:autoSpaceDE w:val="0"/>
                    <w:autoSpaceDN w:val="0"/>
                    <w:spacing w:line="240" w:lineRule="auto"/>
                    <w:jc w:val="center"/>
                    <w:textAlignment w:val="baseline"/>
                    <w:rPr>
                      <w:b/>
                      <w:bCs/>
                      <w:color w:val="000000"/>
                      <w:kern w:val="0"/>
                      <w:sz w:val="18"/>
                      <w:szCs w:val="18"/>
                    </w:rPr>
                  </w:pPr>
                  <w:r>
                    <w:rPr>
                      <w:rFonts w:ascii="宋体" w:hAnsi="宋体"/>
                      <w:b/>
                      <w:bCs/>
                      <w:color w:val="000000"/>
                      <w:kern w:val="0"/>
                      <w:sz w:val="18"/>
                      <w:szCs w:val="18"/>
                    </w:rPr>
                    <w:t>溶解氧</w:t>
                  </w:r>
                </w:p>
              </w:tc>
              <w:tc>
                <w:tcPr>
                  <w:tcW w:w="850" w:type="dxa"/>
                  <w:vAlign w:val="center"/>
                </w:tcPr>
                <w:p w14:paraId="2C94C5E9">
                  <w:pPr>
                    <w:widowControl/>
                    <w:kinsoku w:val="0"/>
                    <w:autoSpaceDE w:val="0"/>
                    <w:autoSpaceDN w:val="0"/>
                    <w:spacing w:line="240" w:lineRule="auto"/>
                    <w:jc w:val="center"/>
                    <w:textAlignment w:val="baseline"/>
                    <w:rPr>
                      <w:b/>
                      <w:bCs/>
                      <w:color w:val="000000"/>
                      <w:kern w:val="0"/>
                      <w:sz w:val="18"/>
                      <w:szCs w:val="18"/>
                    </w:rPr>
                  </w:pPr>
                  <w:r>
                    <w:rPr>
                      <w:rFonts w:ascii="宋体" w:hAnsi="宋体"/>
                      <w:b/>
                      <w:bCs/>
                      <w:color w:val="000000"/>
                      <w:kern w:val="0"/>
                      <w:sz w:val="18"/>
                      <w:szCs w:val="18"/>
                    </w:rPr>
                    <w:t>氨氮</w:t>
                  </w:r>
                </w:p>
              </w:tc>
              <w:tc>
                <w:tcPr>
                  <w:tcW w:w="851" w:type="dxa"/>
                  <w:vAlign w:val="center"/>
                </w:tcPr>
                <w:p w14:paraId="62795602">
                  <w:pPr>
                    <w:widowControl/>
                    <w:kinsoku w:val="0"/>
                    <w:autoSpaceDE w:val="0"/>
                    <w:autoSpaceDN w:val="0"/>
                    <w:spacing w:line="240" w:lineRule="auto"/>
                    <w:jc w:val="center"/>
                    <w:textAlignment w:val="baseline"/>
                    <w:rPr>
                      <w:b/>
                      <w:bCs/>
                      <w:color w:val="000000"/>
                      <w:kern w:val="0"/>
                      <w:sz w:val="18"/>
                      <w:szCs w:val="18"/>
                    </w:rPr>
                  </w:pPr>
                  <w:r>
                    <w:rPr>
                      <w:rFonts w:ascii="宋体" w:hAnsi="宋体"/>
                      <w:b/>
                      <w:bCs/>
                      <w:color w:val="000000"/>
                      <w:kern w:val="0"/>
                      <w:sz w:val="18"/>
                      <w:szCs w:val="18"/>
                    </w:rPr>
                    <w:t>总磷</w:t>
                  </w:r>
                </w:p>
              </w:tc>
              <w:tc>
                <w:tcPr>
                  <w:tcW w:w="825" w:type="dxa"/>
                  <w:vAlign w:val="center"/>
                </w:tcPr>
                <w:p w14:paraId="63E566D0">
                  <w:pPr>
                    <w:widowControl/>
                    <w:kinsoku w:val="0"/>
                    <w:autoSpaceDE w:val="0"/>
                    <w:autoSpaceDN w:val="0"/>
                    <w:spacing w:line="240" w:lineRule="auto"/>
                    <w:jc w:val="center"/>
                    <w:textAlignment w:val="baseline"/>
                    <w:rPr>
                      <w:b/>
                      <w:bCs/>
                      <w:color w:val="000000"/>
                      <w:kern w:val="0"/>
                      <w:sz w:val="18"/>
                      <w:szCs w:val="18"/>
                    </w:rPr>
                  </w:pPr>
                  <w:r>
                    <w:rPr>
                      <w:rFonts w:ascii="宋体" w:hAnsi="宋体"/>
                      <w:b/>
                      <w:bCs/>
                      <w:color w:val="000000"/>
                      <w:kern w:val="0"/>
                      <w:sz w:val="18"/>
                      <w:szCs w:val="18"/>
                    </w:rPr>
                    <w:t>石油类</w:t>
                  </w:r>
                </w:p>
              </w:tc>
            </w:tr>
            <w:tr w14:paraId="5FA83D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958" w:type="dxa"/>
                  <w:vAlign w:val="center"/>
                </w:tcPr>
                <w:p w14:paraId="699EF870">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Ⅳ</w:t>
                  </w:r>
                  <w:r>
                    <w:rPr>
                      <w:rFonts w:ascii="宋体" w:hAnsi="宋体"/>
                      <w:color w:val="000000"/>
                      <w:kern w:val="0"/>
                      <w:sz w:val="18"/>
                      <w:szCs w:val="18"/>
                    </w:rPr>
                    <w:t>类标准值</w:t>
                  </w:r>
                </w:p>
              </w:tc>
              <w:tc>
                <w:tcPr>
                  <w:tcW w:w="1273" w:type="dxa"/>
                  <w:vAlign w:val="center"/>
                </w:tcPr>
                <w:p w14:paraId="12ADE098">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6</w:t>
                  </w:r>
                  <w:r>
                    <w:rPr>
                      <w:rFonts w:ascii="宋体" w:hAnsi="宋体"/>
                      <w:color w:val="000000"/>
                      <w:kern w:val="0"/>
                      <w:sz w:val="18"/>
                      <w:szCs w:val="18"/>
                    </w:rPr>
                    <w:t>～</w:t>
                  </w:r>
                  <w:r>
                    <w:rPr>
                      <w:color w:val="000000"/>
                      <w:kern w:val="0"/>
                      <w:sz w:val="18"/>
                      <w:szCs w:val="18"/>
                    </w:rPr>
                    <w:t>9</w:t>
                  </w:r>
                </w:p>
              </w:tc>
              <w:tc>
                <w:tcPr>
                  <w:tcW w:w="1275" w:type="dxa"/>
                  <w:vAlign w:val="center"/>
                </w:tcPr>
                <w:p w14:paraId="338DDD05">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≤10</w:t>
                  </w:r>
                </w:p>
              </w:tc>
              <w:tc>
                <w:tcPr>
                  <w:tcW w:w="979" w:type="dxa"/>
                  <w:vAlign w:val="center"/>
                </w:tcPr>
                <w:p w14:paraId="6464CC53">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≥3</w:t>
                  </w:r>
                </w:p>
              </w:tc>
              <w:tc>
                <w:tcPr>
                  <w:tcW w:w="850" w:type="dxa"/>
                  <w:vAlign w:val="center"/>
                </w:tcPr>
                <w:p w14:paraId="09FF7F3F">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≤1.0</w:t>
                  </w:r>
                </w:p>
              </w:tc>
              <w:tc>
                <w:tcPr>
                  <w:tcW w:w="851" w:type="dxa"/>
                  <w:vAlign w:val="center"/>
                </w:tcPr>
                <w:p w14:paraId="29C1475D">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≤0.3</w:t>
                  </w:r>
                </w:p>
              </w:tc>
              <w:tc>
                <w:tcPr>
                  <w:tcW w:w="825" w:type="dxa"/>
                  <w:vAlign w:val="center"/>
                </w:tcPr>
                <w:p w14:paraId="76DB8C74">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≤0.5</w:t>
                  </w:r>
                </w:p>
              </w:tc>
            </w:tr>
          </w:tbl>
          <w:p w14:paraId="545B487E">
            <w:pPr>
              <w:widowControl/>
              <w:kinsoku w:val="0"/>
              <w:autoSpaceDE w:val="0"/>
              <w:autoSpaceDN w:val="0"/>
              <w:ind w:firstLine="422" w:firstLineChars="200"/>
              <w:textAlignment w:val="baseline"/>
              <w:rPr>
                <w:b/>
                <w:color w:val="000000"/>
                <w:kern w:val="0"/>
                <w:szCs w:val="21"/>
              </w:rPr>
            </w:pPr>
            <w:r>
              <w:rPr>
                <w:b/>
                <w:color w:val="000000"/>
                <w:kern w:val="0"/>
                <w:szCs w:val="21"/>
              </w:rPr>
              <w:t>2</w:t>
            </w:r>
            <w:r>
              <w:rPr>
                <w:rFonts w:ascii="宋体" w:hAnsi="宋体"/>
                <w:b/>
                <w:color w:val="000000"/>
                <w:kern w:val="0"/>
                <w:szCs w:val="21"/>
              </w:rPr>
              <w:t>、环境空气质量标准</w:t>
            </w:r>
          </w:p>
          <w:p w14:paraId="4CF8DC7E">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评价区域环境空气为二类环境功能区，执行《环境空气质量标准》（</w:t>
            </w:r>
            <w:r>
              <w:rPr>
                <w:color w:val="000000"/>
                <w:kern w:val="0"/>
                <w:szCs w:val="21"/>
              </w:rPr>
              <w:t>GB3095-2026</w:t>
            </w:r>
            <w:r>
              <w:rPr>
                <w:rFonts w:ascii="宋体" w:hAnsi="宋体"/>
                <w:color w:val="000000"/>
                <w:kern w:val="0"/>
                <w:szCs w:val="21"/>
              </w:rPr>
              <w:t>）中</w:t>
            </w:r>
            <w:r>
              <w:rPr>
                <w:rFonts w:hint="eastAsia" w:ascii="宋体" w:hAnsi="宋体"/>
                <w:color w:val="000000"/>
                <w:kern w:val="0"/>
                <w:szCs w:val="21"/>
              </w:rPr>
              <w:t>的</w:t>
            </w:r>
            <w:r>
              <w:rPr>
                <w:rFonts w:ascii="宋体" w:hAnsi="宋体"/>
                <w:color w:val="000000"/>
                <w:kern w:val="0"/>
                <w:szCs w:val="21"/>
              </w:rPr>
              <w:t>二级标准</w:t>
            </w:r>
            <w:r>
              <w:rPr>
                <w:rFonts w:hint="eastAsia" w:ascii="宋体" w:hAnsi="宋体"/>
                <w:color w:val="000000"/>
                <w:kern w:val="0"/>
                <w:szCs w:val="21"/>
              </w:rPr>
              <w:t>以及</w:t>
            </w:r>
            <w:commentRangeStart w:id="60"/>
            <w:commentRangeStart w:id="61"/>
            <w:r>
              <w:rPr>
                <w:rFonts w:ascii="宋体" w:hAnsi="宋体"/>
                <w:color w:val="000000"/>
                <w:kern w:val="0"/>
                <w:szCs w:val="21"/>
              </w:rPr>
              <w:t>过渡阶段浓度限值</w:t>
            </w:r>
            <w:commentRangeEnd w:id="60"/>
            <w:r>
              <w:rPr>
                <w:rStyle w:val="38"/>
                <w:rFonts w:ascii="宋体" w:hAnsi="宋体"/>
                <w:color w:val="000000"/>
                <w:kern w:val="0"/>
                <w:szCs w:val="21"/>
              </w:rPr>
              <w:commentReference w:id="60"/>
            </w:r>
            <w:commentRangeEnd w:id="61"/>
            <w:r>
              <w:rPr>
                <w:rStyle w:val="38"/>
                <w:rFonts w:ascii="宋体" w:hAnsi="宋体"/>
                <w:color w:val="000000"/>
                <w:kern w:val="0"/>
                <w:szCs w:val="21"/>
              </w:rPr>
              <w:commentReference w:id="61"/>
            </w:r>
            <w:r>
              <w:rPr>
                <w:rFonts w:ascii="宋体" w:hAnsi="宋体"/>
                <w:color w:val="000000"/>
                <w:kern w:val="0"/>
                <w:szCs w:val="21"/>
              </w:rPr>
              <w:t>二级标准。</w:t>
            </w:r>
          </w:p>
          <w:p w14:paraId="022FBBFF">
            <w:pPr>
              <w:pStyle w:val="9"/>
              <w:spacing w:before="120"/>
            </w:pPr>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9</w:t>
            </w:r>
            <w:r>
              <w:fldChar w:fldCharType="end"/>
            </w:r>
            <w:r>
              <w:t>《环境空气质量标准》（GB3095-2026）</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383"/>
              <w:gridCol w:w="1683"/>
              <w:gridCol w:w="1683"/>
              <w:gridCol w:w="983"/>
              <w:gridCol w:w="748"/>
            </w:tblGrid>
            <w:tr w14:paraId="639C61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12" w:space="0"/>
                    <w:left w:val="single" w:color="auto" w:sz="12" w:space="0"/>
                    <w:bottom w:val="single" w:color="auto" w:sz="4" w:space="0"/>
                    <w:right w:val="single" w:color="auto" w:sz="4" w:space="0"/>
                  </w:tcBorders>
                  <w:vAlign w:val="center"/>
                </w:tcPr>
                <w:p w14:paraId="7C4BE087">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序号</w:t>
                  </w:r>
                </w:p>
              </w:tc>
              <w:tc>
                <w:tcPr>
                  <w:tcW w:w="2410" w:type="dxa"/>
                  <w:vMerge w:val="restart"/>
                  <w:tcBorders>
                    <w:top w:val="single" w:color="auto" w:sz="12" w:space="0"/>
                    <w:left w:val="single" w:color="auto" w:sz="4" w:space="0"/>
                    <w:bottom w:val="single" w:color="auto" w:sz="4" w:space="0"/>
                    <w:right w:val="single" w:color="auto" w:sz="4" w:space="0"/>
                  </w:tcBorders>
                  <w:vAlign w:val="center"/>
                </w:tcPr>
                <w:p w14:paraId="05F19269">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污染物项目</w:t>
                  </w:r>
                </w:p>
              </w:tc>
              <w:tc>
                <w:tcPr>
                  <w:tcW w:w="1701" w:type="dxa"/>
                  <w:vMerge w:val="restart"/>
                  <w:tcBorders>
                    <w:top w:val="single" w:color="auto" w:sz="12" w:space="0"/>
                    <w:left w:val="single" w:color="auto" w:sz="4" w:space="0"/>
                    <w:bottom w:val="single" w:color="auto" w:sz="4" w:space="0"/>
                    <w:right w:val="single" w:color="auto" w:sz="4" w:space="0"/>
                  </w:tcBorders>
                  <w:vAlign w:val="center"/>
                </w:tcPr>
                <w:p w14:paraId="1F8A77D3">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平均时间</w:t>
                  </w:r>
                </w:p>
              </w:tc>
              <w:tc>
                <w:tcPr>
                  <w:tcW w:w="1701" w:type="dxa"/>
                  <w:tcBorders>
                    <w:top w:val="single" w:color="auto" w:sz="12" w:space="0"/>
                    <w:left w:val="single" w:color="auto" w:sz="4" w:space="0"/>
                    <w:bottom w:val="single" w:color="auto" w:sz="4" w:space="0"/>
                    <w:right w:val="single" w:color="auto" w:sz="4" w:space="0"/>
                  </w:tcBorders>
                  <w:vAlign w:val="center"/>
                </w:tcPr>
                <w:p w14:paraId="1E239D8A">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过渡阶段浓度限值</w:t>
                  </w:r>
                </w:p>
              </w:tc>
              <w:tc>
                <w:tcPr>
                  <w:tcW w:w="992" w:type="dxa"/>
                  <w:tcBorders>
                    <w:top w:val="single" w:color="auto" w:sz="12" w:space="0"/>
                    <w:left w:val="single" w:color="auto" w:sz="4" w:space="0"/>
                    <w:bottom w:val="single" w:color="auto" w:sz="4" w:space="0"/>
                    <w:right w:val="single" w:color="auto" w:sz="4" w:space="0"/>
                  </w:tcBorders>
                  <w:vAlign w:val="center"/>
                </w:tcPr>
                <w:p w14:paraId="575F8056">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浓度限值</w:t>
                  </w:r>
                </w:p>
              </w:tc>
              <w:tc>
                <w:tcPr>
                  <w:tcW w:w="754" w:type="dxa"/>
                  <w:tcBorders>
                    <w:top w:val="single" w:color="auto" w:sz="12" w:space="0"/>
                    <w:left w:val="single" w:color="auto" w:sz="4" w:space="0"/>
                    <w:bottom w:val="single" w:color="auto" w:sz="4" w:space="0"/>
                    <w:right w:val="single" w:color="auto" w:sz="12" w:space="0"/>
                  </w:tcBorders>
                  <w:vAlign w:val="center"/>
                </w:tcPr>
                <w:p w14:paraId="05CB4ED8">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单位</w:t>
                  </w:r>
                </w:p>
              </w:tc>
            </w:tr>
            <w:tr w14:paraId="5518F0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8" w:space="0"/>
                    <w:left w:val="single" w:color="auto" w:sz="12" w:space="0"/>
                    <w:bottom w:val="single" w:color="auto" w:sz="4" w:space="0"/>
                    <w:right w:val="single" w:color="auto" w:sz="4" w:space="0"/>
                  </w:tcBorders>
                  <w:vAlign w:val="center"/>
                </w:tcPr>
                <w:p w14:paraId="015B0B74">
                  <w:pPr>
                    <w:widowControl/>
                    <w:adjustRightInd/>
                    <w:snapToGrid/>
                    <w:spacing w:line="240" w:lineRule="auto"/>
                    <w:jc w:val="left"/>
                    <w:rPr>
                      <w:b/>
                      <w:color w:val="000000"/>
                      <w:kern w:val="0"/>
                      <w:sz w:val="18"/>
                      <w:szCs w:val="18"/>
                    </w:rPr>
                  </w:pPr>
                </w:p>
              </w:tc>
              <w:tc>
                <w:tcPr>
                  <w:tcW w:w="2410" w:type="dxa"/>
                  <w:vMerge w:val="continue"/>
                  <w:tcBorders>
                    <w:top w:val="single" w:color="auto" w:sz="8" w:space="0"/>
                    <w:left w:val="single" w:color="auto" w:sz="4" w:space="0"/>
                    <w:bottom w:val="single" w:color="auto" w:sz="4" w:space="0"/>
                    <w:right w:val="single" w:color="auto" w:sz="4" w:space="0"/>
                  </w:tcBorders>
                  <w:vAlign w:val="center"/>
                </w:tcPr>
                <w:p w14:paraId="1CD31512">
                  <w:pPr>
                    <w:widowControl/>
                    <w:adjustRightInd/>
                    <w:snapToGrid/>
                    <w:spacing w:line="240" w:lineRule="auto"/>
                    <w:jc w:val="left"/>
                    <w:rPr>
                      <w:b/>
                      <w:color w:val="000000"/>
                      <w:kern w:val="0"/>
                      <w:sz w:val="18"/>
                      <w:szCs w:val="18"/>
                    </w:rPr>
                  </w:pPr>
                </w:p>
              </w:tc>
              <w:tc>
                <w:tcPr>
                  <w:tcW w:w="1701" w:type="dxa"/>
                  <w:vMerge w:val="continue"/>
                  <w:tcBorders>
                    <w:top w:val="single" w:color="auto" w:sz="8" w:space="0"/>
                    <w:left w:val="single" w:color="auto" w:sz="4" w:space="0"/>
                    <w:bottom w:val="single" w:color="auto" w:sz="4" w:space="0"/>
                    <w:right w:val="single" w:color="auto" w:sz="4" w:space="0"/>
                  </w:tcBorders>
                  <w:vAlign w:val="center"/>
                </w:tcPr>
                <w:p w14:paraId="68DC024B">
                  <w:pPr>
                    <w:widowControl/>
                    <w:adjustRightInd/>
                    <w:snapToGrid/>
                    <w:spacing w:line="240" w:lineRule="auto"/>
                    <w:jc w:val="left"/>
                    <w:rPr>
                      <w:b/>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5B50E9C6">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二级</w:t>
                  </w:r>
                </w:p>
              </w:tc>
              <w:tc>
                <w:tcPr>
                  <w:tcW w:w="992" w:type="dxa"/>
                  <w:tcBorders>
                    <w:top w:val="single" w:color="auto" w:sz="4" w:space="0"/>
                    <w:left w:val="single" w:color="auto" w:sz="4" w:space="0"/>
                    <w:bottom w:val="single" w:color="auto" w:sz="4" w:space="0"/>
                    <w:right w:val="single" w:color="auto" w:sz="4" w:space="0"/>
                  </w:tcBorders>
                  <w:vAlign w:val="center"/>
                </w:tcPr>
                <w:p w14:paraId="4A253017">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二级</w:t>
                  </w:r>
                </w:p>
              </w:tc>
              <w:tc>
                <w:tcPr>
                  <w:tcW w:w="754" w:type="dxa"/>
                  <w:vMerge w:val="restart"/>
                  <w:tcBorders>
                    <w:top w:val="single" w:color="auto" w:sz="4" w:space="0"/>
                    <w:left w:val="single" w:color="auto" w:sz="4" w:space="0"/>
                    <w:bottom w:val="single" w:color="auto" w:sz="4" w:space="0"/>
                    <w:right w:val="single" w:color="auto" w:sz="12" w:space="0"/>
                  </w:tcBorders>
                  <w:vAlign w:val="center"/>
                </w:tcPr>
                <w:p w14:paraId="0FB2B00F">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µg/m</w:t>
                  </w:r>
                  <w:r>
                    <w:rPr>
                      <w:color w:val="000000"/>
                      <w:kern w:val="0"/>
                      <w:sz w:val="18"/>
                      <w:szCs w:val="18"/>
                      <w:vertAlign w:val="superscript"/>
                    </w:rPr>
                    <w:t>3</w:t>
                  </w:r>
                </w:p>
              </w:tc>
            </w:tr>
            <w:tr w14:paraId="2CD8C4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4" w:space="0"/>
                    <w:left w:val="single" w:color="auto" w:sz="12" w:space="0"/>
                    <w:bottom w:val="single" w:color="auto" w:sz="4" w:space="0"/>
                    <w:right w:val="single" w:color="auto" w:sz="4" w:space="0"/>
                  </w:tcBorders>
                  <w:vAlign w:val="center"/>
                </w:tcPr>
                <w:p w14:paraId="38DA37D8">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w:t>
                  </w:r>
                </w:p>
              </w:tc>
              <w:tc>
                <w:tcPr>
                  <w:tcW w:w="2410" w:type="dxa"/>
                  <w:vMerge w:val="restart"/>
                  <w:tcBorders>
                    <w:top w:val="single" w:color="auto" w:sz="4" w:space="0"/>
                    <w:left w:val="single" w:color="auto" w:sz="4" w:space="0"/>
                    <w:bottom w:val="single" w:color="auto" w:sz="4" w:space="0"/>
                    <w:right w:val="single" w:color="auto" w:sz="4" w:space="0"/>
                  </w:tcBorders>
                  <w:vAlign w:val="center"/>
                </w:tcPr>
                <w:p w14:paraId="269D37BB">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二氧化硫（</w:t>
                  </w:r>
                  <w:r>
                    <w:rPr>
                      <w:color w:val="000000"/>
                      <w:kern w:val="0"/>
                      <w:sz w:val="18"/>
                      <w:szCs w:val="18"/>
                    </w:rPr>
                    <w:t>SO</w:t>
                  </w:r>
                  <w:r>
                    <w:rPr>
                      <w:color w:val="000000"/>
                      <w:kern w:val="0"/>
                      <w:sz w:val="18"/>
                      <w:szCs w:val="18"/>
                      <w:vertAlign w:val="subscript"/>
                    </w:rPr>
                    <w:t>2</w:t>
                  </w:r>
                  <w:r>
                    <w:rPr>
                      <w:rFonts w:ascii="宋体" w:hAnsi="宋体"/>
                      <w:color w:val="000000"/>
                      <w:kern w:val="0"/>
                      <w:sz w:val="18"/>
                      <w:szCs w:val="18"/>
                    </w:rPr>
                    <w:t>）</w:t>
                  </w:r>
                </w:p>
              </w:tc>
              <w:tc>
                <w:tcPr>
                  <w:tcW w:w="1701" w:type="dxa"/>
                  <w:tcBorders>
                    <w:top w:val="single" w:color="auto" w:sz="4" w:space="0"/>
                    <w:left w:val="single" w:color="auto" w:sz="4" w:space="0"/>
                    <w:bottom w:val="single" w:color="auto" w:sz="4" w:space="0"/>
                    <w:right w:val="single" w:color="auto" w:sz="4" w:space="0"/>
                  </w:tcBorders>
                  <w:vAlign w:val="center"/>
                </w:tcPr>
                <w:p w14:paraId="786FC7BD">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年平均</w:t>
                  </w:r>
                </w:p>
              </w:tc>
              <w:tc>
                <w:tcPr>
                  <w:tcW w:w="1701" w:type="dxa"/>
                  <w:tcBorders>
                    <w:top w:val="single" w:color="auto" w:sz="4" w:space="0"/>
                    <w:left w:val="single" w:color="auto" w:sz="4" w:space="0"/>
                    <w:bottom w:val="single" w:color="auto" w:sz="4" w:space="0"/>
                    <w:right w:val="single" w:color="auto" w:sz="4" w:space="0"/>
                  </w:tcBorders>
                  <w:vAlign w:val="center"/>
                </w:tcPr>
                <w:p w14:paraId="734E907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60</w:t>
                  </w:r>
                </w:p>
              </w:tc>
              <w:tc>
                <w:tcPr>
                  <w:tcW w:w="992" w:type="dxa"/>
                  <w:tcBorders>
                    <w:top w:val="single" w:color="auto" w:sz="4" w:space="0"/>
                    <w:left w:val="single" w:color="auto" w:sz="4" w:space="0"/>
                    <w:bottom w:val="single" w:color="auto" w:sz="4" w:space="0"/>
                    <w:right w:val="single" w:color="auto" w:sz="4" w:space="0"/>
                  </w:tcBorders>
                  <w:vAlign w:val="center"/>
                </w:tcPr>
                <w:p w14:paraId="2808701C">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66C19E0A">
                  <w:pPr>
                    <w:widowControl/>
                    <w:adjustRightInd/>
                    <w:snapToGrid/>
                    <w:spacing w:line="240" w:lineRule="auto"/>
                    <w:jc w:val="left"/>
                    <w:rPr>
                      <w:color w:val="000000"/>
                      <w:kern w:val="0"/>
                      <w:sz w:val="18"/>
                      <w:szCs w:val="18"/>
                    </w:rPr>
                  </w:pPr>
                </w:p>
              </w:tc>
            </w:tr>
            <w:tr w14:paraId="2D687B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12F6EDF8">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2613EE8E">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65B37E8C">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24</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320AAD3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150</w:t>
                  </w:r>
                </w:p>
              </w:tc>
              <w:tc>
                <w:tcPr>
                  <w:tcW w:w="992" w:type="dxa"/>
                  <w:tcBorders>
                    <w:top w:val="single" w:color="auto" w:sz="4" w:space="0"/>
                    <w:left w:val="single" w:color="auto" w:sz="4" w:space="0"/>
                    <w:bottom w:val="single" w:color="auto" w:sz="4" w:space="0"/>
                    <w:right w:val="single" w:color="auto" w:sz="4" w:space="0"/>
                  </w:tcBorders>
                  <w:vAlign w:val="center"/>
                </w:tcPr>
                <w:p w14:paraId="5EA396C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44DB5569">
                  <w:pPr>
                    <w:widowControl/>
                    <w:adjustRightInd/>
                    <w:snapToGrid/>
                    <w:spacing w:line="240" w:lineRule="auto"/>
                    <w:jc w:val="left"/>
                    <w:rPr>
                      <w:color w:val="000000"/>
                      <w:kern w:val="0"/>
                      <w:sz w:val="18"/>
                      <w:szCs w:val="18"/>
                    </w:rPr>
                  </w:pPr>
                </w:p>
              </w:tc>
            </w:tr>
            <w:tr w14:paraId="03EDF1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1C4A6BFB">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6E1D2E9C">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7091F9E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2B2BF319">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500</w:t>
                  </w:r>
                </w:p>
              </w:tc>
              <w:tc>
                <w:tcPr>
                  <w:tcW w:w="992" w:type="dxa"/>
                  <w:tcBorders>
                    <w:top w:val="single" w:color="auto" w:sz="4" w:space="0"/>
                    <w:left w:val="single" w:color="auto" w:sz="4" w:space="0"/>
                    <w:bottom w:val="single" w:color="auto" w:sz="4" w:space="0"/>
                    <w:right w:val="single" w:color="auto" w:sz="4" w:space="0"/>
                  </w:tcBorders>
                  <w:vAlign w:val="center"/>
                </w:tcPr>
                <w:p w14:paraId="5019CF2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150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092C4F61">
                  <w:pPr>
                    <w:widowControl/>
                    <w:adjustRightInd/>
                    <w:snapToGrid/>
                    <w:spacing w:line="240" w:lineRule="auto"/>
                    <w:jc w:val="left"/>
                    <w:rPr>
                      <w:color w:val="000000"/>
                      <w:kern w:val="0"/>
                      <w:sz w:val="18"/>
                      <w:szCs w:val="18"/>
                    </w:rPr>
                  </w:pPr>
                </w:p>
              </w:tc>
            </w:tr>
            <w:tr w14:paraId="6385E0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4" w:space="0"/>
                    <w:left w:val="single" w:color="auto" w:sz="12" w:space="0"/>
                    <w:bottom w:val="single" w:color="auto" w:sz="4" w:space="0"/>
                    <w:right w:val="single" w:color="auto" w:sz="4" w:space="0"/>
                  </w:tcBorders>
                  <w:vAlign w:val="center"/>
                </w:tcPr>
                <w:p w14:paraId="5A5CCDCA">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w:t>
                  </w:r>
                </w:p>
              </w:tc>
              <w:tc>
                <w:tcPr>
                  <w:tcW w:w="2410" w:type="dxa"/>
                  <w:vMerge w:val="restart"/>
                  <w:tcBorders>
                    <w:top w:val="single" w:color="auto" w:sz="4" w:space="0"/>
                    <w:left w:val="single" w:color="auto" w:sz="4" w:space="0"/>
                    <w:bottom w:val="single" w:color="auto" w:sz="4" w:space="0"/>
                    <w:right w:val="single" w:color="auto" w:sz="4" w:space="0"/>
                  </w:tcBorders>
                  <w:vAlign w:val="center"/>
                </w:tcPr>
                <w:p w14:paraId="354F9FB7">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二氧化氮（</w:t>
                  </w:r>
                  <w:r>
                    <w:rPr>
                      <w:color w:val="000000"/>
                      <w:kern w:val="0"/>
                      <w:sz w:val="18"/>
                      <w:szCs w:val="18"/>
                    </w:rPr>
                    <w:t>NO</w:t>
                  </w:r>
                  <w:r>
                    <w:rPr>
                      <w:color w:val="000000"/>
                      <w:kern w:val="0"/>
                      <w:sz w:val="18"/>
                      <w:szCs w:val="18"/>
                      <w:vertAlign w:val="subscript"/>
                    </w:rPr>
                    <w:t>2</w:t>
                  </w:r>
                  <w:r>
                    <w:rPr>
                      <w:rFonts w:ascii="宋体" w:hAnsi="宋体"/>
                      <w:color w:val="000000"/>
                      <w:kern w:val="0"/>
                      <w:sz w:val="18"/>
                      <w:szCs w:val="18"/>
                    </w:rPr>
                    <w:t>）</w:t>
                  </w:r>
                </w:p>
              </w:tc>
              <w:tc>
                <w:tcPr>
                  <w:tcW w:w="1701" w:type="dxa"/>
                  <w:tcBorders>
                    <w:top w:val="single" w:color="auto" w:sz="4" w:space="0"/>
                    <w:left w:val="single" w:color="auto" w:sz="4" w:space="0"/>
                    <w:bottom w:val="single" w:color="auto" w:sz="4" w:space="0"/>
                    <w:right w:val="single" w:color="auto" w:sz="4" w:space="0"/>
                  </w:tcBorders>
                  <w:vAlign w:val="center"/>
                </w:tcPr>
                <w:p w14:paraId="4AAF0772">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年平均</w:t>
                  </w:r>
                </w:p>
              </w:tc>
              <w:tc>
                <w:tcPr>
                  <w:tcW w:w="1701" w:type="dxa"/>
                  <w:tcBorders>
                    <w:top w:val="single" w:color="auto" w:sz="4" w:space="0"/>
                    <w:left w:val="single" w:color="auto" w:sz="4" w:space="0"/>
                    <w:bottom w:val="single" w:color="auto" w:sz="4" w:space="0"/>
                    <w:right w:val="single" w:color="auto" w:sz="4" w:space="0"/>
                  </w:tcBorders>
                  <w:vAlign w:val="center"/>
                </w:tcPr>
                <w:p w14:paraId="37BD83B2">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40</w:t>
                  </w:r>
                </w:p>
              </w:tc>
              <w:tc>
                <w:tcPr>
                  <w:tcW w:w="992" w:type="dxa"/>
                  <w:tcBorders>
                    <w:top w:val="single" w:color="auto" w:sz="4" w:space="0"/>
                    <w:left w:val="single" w:color="auto" w:sz="4" w:space="0"/>
                    <w:bottom w:val="single" w:color="auto" w:sz="4" w:space="0"/>
                    <w:right w:val="single" w:color="auto" w:sz="4" w:space="0"/>
                  </w:tcBorders>
                  <w:vAlign w:val="center"/>
                </w:tcPr>
                <w:p w14:paraId="7C7210F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30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3F02A522">
                  <w:pPr>
                    <w:widowControl/>
                    <w:adjustRightInd/>
                    <w:snapToGrid/>
                    <w:spacing w:line="240" w:lineRule="auto"/>
                    <w:jc w:val="left"/>
                    <w:rPr>
                      <w:color w:val="000000"/>
                      <w:kern w:val="0"/>
                      <w:sz w:val="18"/>
                      <w:szCs w:val="18"/>
                    </w:rPr>
                  </w:pPr>
                </w:p>
              </w:tc>
            </w:tr>
            <w:tr w14:paraId="269A08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22022521">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47573748">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77F0AC4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24</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670D376A">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80</w:t>
                  </w:r>
                </w:p>
              </w:tc>
              <w:tc>
                <w:tcPr>
                  <w:tcW w:w="992" w:type="dxa"/>
                  <w:tcBorders>
                    <w:top w:val="single" w:color="auto" w:sz="4" w:space="0"/>
                    <w:left w:val="single" w:color="auto" w:sz="4" w:space="0"/>
                    <w:bottom w:val="single" w:color="auto" w:sz="4" w:space="0"/>
                    <w:right w:val="single" w:color="auto" w:sz="4" w:space="0"/>
                  </w:tcBorders>
                  <w:vAlign w:val="center"/>
                </w:tcPr>
                <w:p w14:paraId="0113DCD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720AE257">
                  <w:pPr>
                    <w:widowControl/>
                    <w:adjustRightInd/>
                    <w:snapToGrid/>
                    <w:spacing w:line="240" w:lineRule="auto"/>
                    <w:jc w:val="left"/>
                    <w:rPr>
                      <w:color w:val="000000"/>
                      <w:kern w:val="0"/>
                      <w:sz w:val="18"/>
                      <w:szCs w:val="18"/>
                    </w:rPr>
                  </w:pPr>
                </w:p>
              </w:tc>
            </w:tr>
            <w:tr w14:paraId="3A4C17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7E350955">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53B3FDCF">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3B1CD8D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5CB6DC56">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200</w:t>
                  </w:r>
                </w:p>
              </w:tc>
              <w:tc>
                <w:tcPr>
                  <w:tcW w:w="992" w:type="dxa"/>
                  <w:tcBorders>
                    <w:top w:val="single" w:color="auto" w:sz="4" w:space="0"/>
                    <w:left w:val="single" w:color="auto" w:sz="4" w:space="0"/>
                    <w:bottom w:val="single" w:color="auto" w:sz="4" w:space="0"/>
                    <w:right w:val="single" w:color="auto" w:sz="4" w:space="0"/>
                  </w:tcBorders>
                  <w:vAlign w:val="center"/>
                </w:tcPr>
                <w:p w14:paraId="6E2FA63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200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35092137">
                  <w:pPr>
                    <w:widowControl/>
                    <w:adjustRightInd/>
                    <w:snapToGrid/>
                    <w:spacing w:line="240" w:lineRule="auto"/>
                    <w:jc w:val="left"/>
                    <w:rPr>
                      <w:color w:val="000000"/>
                      <w:kern w:val="0"/>
                      <w:sz w:val="18"/>
                      <w:szCs w:val="18"/>
                    </w:rPr>
                  </w:pPr>
                </w:p>
              </w:tc>
            </w:tr>
            <w:tr w14:paraId="35D4C1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4" w:space="0"/>
                    <w:left w:val="single" w:color="auto" w:sz="12" w:space="0"/>
                    <w:bottom w:val="single" w:color="auto" w:sz="4" w:space="0"/>
                    <w:right w:val="single" w:color="auto" w:sz="4" w:space="0"/>
                  </w:tcBorders>
                  <w:vAlign w:val="center"/>
                </w:tcPr>
                <w:p w14:paraId="142F094F">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3</w:t>
                  </w:r>
                </w:p>
              </w:tc>
              <w:tc>
                <w:tcPr>
                  <w:tcW w:w="2410" w:type="dxa"/>
                  <w:vMerge w:val="restart"/>
                  <w:tcBorders>
                    <w:top w:val="single" w:color="auto" w:sz="4" w:space="0"/>
                    <w:left w:val="single" w:color="auto" w:sz="4" w:space="0"/>
                    <w:bottom w:val="single" w:color="auto" w:sz="4" w:space="0"/>
                    <w:right w:val="single" w:color="auto" w:sz="4" w:space="0"/>
                  </w:tcBorders>
                  <w:vAlign w:val="center"/>
                </w:tcPr>
                <w:p w14:paraId="6B84D3D1">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一氧化碳（</w:t>
                  </w:r>
                  <w:r>
                    <w:rPr>
                      <w:color w:val="000000"/>
                      <w:kern w:val="0"/>
                      <w:sz w:val="18"/>
                      <w:szCs w:val="18"/>
                    </w:rPr>
                    <w:t>CO</w:t>
                  </w:r>
                  <w:r>
                    <w:rPr>
                      <w:rFonts w:ascii="宋体" w:hAnsi="宋体"/>
                      <w:color w:val="000000"/>
                      <w:kern w:val="0"/>
                      <w:sz w:val="18"/>
                      <w:szCs w:val="18"/>
                    </w:rPr>
                    <w:t>）</w:t>
                  </w:r>
                </w:p>
              </w:tc>
              <w:tc>
                <w:tcPr>
                  <w:tcW w:w="1701" w:type="dxa"/>
                  <w:tcBorders>
                    <w:top w:val="single" w:color="auto" w:sz="4" w:space="0"/>
                    <w:left w:val="single" w:color="auto" w:sz="4" w:space="0"/>
                    <w:bottom w:val="single" w:color="auto" w:sz="4" w:space="0"/>
                    <w:right w:val="single" w:color="auto" w:sz="4" w:space="0"/>
                  </w:tcBorders>
                  <w:vAlign w:val="center"/>
                </w:tcPr>
                <w:p w14:paraId="61BEFB0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24</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76B0156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4</w:t>
                  </w:r>
                </w:p>
              </w:tc>
              <w:tc>
                <w:tcPr>
                  <w:tcW w:w="992" w:type="dxa"/>
                  <w:tcBorders>
                    <w:top w:val="single" w:color="auto" w:sz="4" w:space="0"/>
                    <w:left w:val="single" w:color="auto" w:sz="4" w:space="0"/>
                    <w:bottom w:val="single" w:color="auto" w:sz="4" w:space="0"/>
                    <w:right w:val="single" w:color="auto" w:sz="4" w:space="0"/>
                  </w:tcBorders>
                  <w:vAlign w:val="center"/>
                </w:tcPr>
                <w:p w14:paraId="5C32DC0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4</w:t>
                  </w:r>
                </w:p>
              </w:tc>
              <w:tc>
                <w:tcPr>
                  <w:tcW w:w="754" w:type="dxa"/>
                  <w:vMerge w:val="restart"/>
                  <w:tcBorders>
                    <w:top w:val="single" w:color="auto" w:sz="4" w:space="0"/>
                    <w:left w:val="single" w:color="auto" w:sz="4" w:space="0"/>
                    <w:bottom w:val="single" w:color="auto" w:sz="4" w:space="0"/>
                    <w:right w:val="single" w:color="auto" w:sz="12" w:space="0"/>
                  </w:tcBorders>
                  <w:vAlign w:val="center"/>
                </w:tcPr>
                <w:p w14:paraId="2630B677">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mg/m</w:t>
                  </w:r>
                  <w:r>
                    <w:rPr>
                      <w:color w:val="000000"/>
                      <w:kern w:val="0"/>
                      <w:sz w:val="18"/>
                      <w:szCs w:val="18"/>
                      <w:vertAlign w:val="superscript"/>
                    </w:rPr>
                    <w:t>3</w:t>
                  </w:r>
                </w:p>
              </w:tc>
            </w:tr>
            <w:tr w14:paraId="7E4F34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3E143100">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27A890BD">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08C55DEF">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16B140F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10</w:t>
                  </w:r>
                </w:p>
              </w:tc>
              <w:tc>
                <w:tcPr>
                  <w:tcW w:w="992" w:type="dxa"/>
                  <w:tcBorders>
                    <w:top w:val="single" w:color="auto" w:sz="4" w:space="0"/>
                    <w:left w:val="single" w:color="auto" w:sz="4" w:space="0"/>
                    <w:bottom w:val="single" w:color="auto" w:sz="4" w:space="0"/>
                    <w:right w:val="single" w:color="auto" w:sz="4" w:space="0"/>
                  </w:tcBorders>
                  <w:vAlign w:val="center"/>
                </w:tcPr>
                <w:p w14:paraId="291509FC">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272CD760">
                  <w:pPr>
                    <w:widowControl/>
                    <w:adjustRightInd/>
                    <w:snapToGrid/>
                    <w:spacing w:line="240" w:lineRule="auto"/>
                    <w:jc w:val="left"/>
                    <w:rPr>
                      <w:color w:val="000000"/>
                      <w:kern w:val="0"/>
                      <w:sz w:val="18"/>
                      <w:szCs w:val="18"/>
                    </w:rPr>
                  </w:pPr>
                </w:p>
              </w:tc>
            </w:tr>
            <w:tr w14:paraId="73993A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4" w:space="0"/>
                    <w:left w:val="single" w:color="auto" w:sz="12" w:space="0"/>
                    <w:bottom w:val="single" w:color="auto" w:sz="4" w:space="0"/>
                    <w:right w:val="single" w:color="auto" w:sz="4" w:space="0"/>
                  </w:tcBorders>
                  <w:vAlign w:val="center"/>
                </w:tcPr>
                <w:p w14:paraId="3FA395A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4</w:t>
                  </w:r>
                </w:p>
              </w:tc>
              <w:tc>
                <w:tcPr>
                  <w:tcW w:w="2410" w:type="dxa"/>
                  <w:vMerge w:val="restart"/>
                  <w:tcBorders>
                    <w:top w:val="single" w:color="auto" w:sz="4" w:space="0"/>
                    <w:left w:val="single" w:color="auto" w:sz="4" w:space="0"/>
                    <w:bottom w:val="single" w:color="auto" w:sz="4" w:space="0"/>
                    <w:right w:val="single" w:color="auto" w:sz="4" w:space="0"/>
                  </w:tcBorders>
                  <w:vAlign w:val="center"/>
                </w:tcPr>
                <w:p w14:paraId="01B1F1E2">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臭氧（</w:t>
                  </w:r>
                  <w:r>
                    <w:rPr>
                      <w:color w:val="000000"/>
                      <w:kern w:val="0"/>
                      <w:sz w:val="18"/>
                      <w:szCs w:val="18"/>
                    </w:rPr>
                    <w:t>O</w:t>
                  </w:r>
                  <w:r>
                    <w:rPr>
                      <w:color w:val="000000"/>
                      <w:kern w:val="0"/>
                      <w:sz w:val="18"/>
                      <w:szCs w:val="18"/>
                      <w:vertAlign w:val="subscript"/>
                    </w:rPr>
                    <w:t>3</w:t>
                  </w:r>
                  <w:r>
                    <w:rPr>
                      <w:rFonts w:ascii="宋体" w:hAnsi="宋体"/>
                      <w:color w:val="000000"/>
                      <w:kern w:val="0"/>
                      <w:sz w:val="18"/>
                      <w:szCs w:val="18"/>
                    </w:rPr>
                    <w:t>）</w:t>
                  </w:r>
                </w:p>
              </w:tc>
              <w:tc>
                <w:tcPr>
                  <w:tcW w:w="1701" w:type="dxa"/>
                  <w:tcBorders>
                    <w:top w:val="single" w:color="auto" w:sz="4" w:space="0"/>
                    <w:left w:val="single" w:color="auto" w:sz="4" w:space="0"/>
                    <w:bottom w:val="single" w:color="auto" w:sz="4" w:space="0"/>
                    <w:right w:val="single" w:color="auto" w:sz="4" w:space="0"/>
                  </w:tcBorders>
                  <w:vAlign w:val="center"/>
                </w:tcPr>
                <w:p w14:paraId="22990B06">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日最大</w:t>
                  </w:r>
                  <w:r>
                    <w:rPr>
                      <w:color w:val="000000"/>
                      <w:kern w:val="0"/>
                      <w:sz w:val="18"/>
                      <w:szCs w:val="18"/>
                    </w:rPr>
                    <w:t>8</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6448A73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160</w:t>
                  </w:r>
                </w:p>
              </w:tc>
              <w:tc>
                <w:tcPr>
                  <w:tcW w:w="992" w:type="dxa"/>
                  <w:tcBorders>
                    <w:top w:val="single" w:color="auto" w:sz="4" w:space="0"/>
                    <w:left w:val="single" w:color="auto" w:sz="4" w:space="0"/>
                    <w:bottom w:val="single" w:color="auto" w:sz="4" w:space="0"/>
                    <w:right w:val="single" w:color="auto" w:sz="4" w:space="0"/>
                  </w:tcBorders>
                  <w:vAlign w:val="center"/>
                </w:tcPr>
                <w:p w14:paraId="5242F49E">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160</w:t>
                  </w:r>
                </w:p>
              </w:tc>
              <w:tc>
                <w:tcPr>
                  <w:tcW w:w="754" w:type="dxa"/>
                  <w:vMerge w:val="restart"/>
                  <w:tcBorders>
                    <w:top w:val="single" w:color="auto" w:sz="4" w:space="0"/>
                    <w:left w:val="single" w:color="auto" w:sz="4" w:space="0"/>
                    <w:bottom w:val="single" w:color="auto" w:sz="4" w:space="0"/>
                    <w:right w:val="single" w:color="auto" w:sz="12" w:space="0"/>
                  </w:tcBorders>
                  <w:vAlign w:val="center"/>
                </w:tcPr>
                <w:p w14:paraId="6DAF27D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µg/m</w:t>
                  </w:r>
                  <w:r>
                    <w:rPr>
                      <w:color w:val="000000"/>
                      <w:kern w:val="0"/>
                      <w:sz w:val="18"/>
                      <w:szCs w:val="18"/>
                      <w:vertAlign w:val="superscript"/>
                    </w:rPr>
                    <w:t>3</w:t>
                  </w:r>
                </w:p>
              </w:tc>
            </w:tr>
            <w:tr w14:paraId="1C0C0B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586BEBC3">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3F40829D">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28DF94A8">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2456BFC8">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200</w:t>
                  </w:r>
                </w:p>
              </w:tc>
              <w:tc>
                <w:tcPr>
                  <w:tcW w:w="992" w:type="dxa"/>
                  <w:tcBorders>
                    <w:top w:val="single" w:color="auto" w:sz="4" w:space="0"/>
                    <w:left w:val="single" w:color="auto" w:sz="4" w:space="0"/>
                    <w:bottom w:val="single" w:color="auto" w:sz="4" w:space="0"/>
                    <w:right w:val="single" w:color="auto" w:sz="4" w:space="0"/>
                  </w:tcBorders>
                  <w:vAlign w:val="center"/>
                </w:tcPr>
                <w:p w14:paraId="2F0831D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200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686C4125">
                  <w:pPr>
                    <w:widowControl/>
                    <w:adjustRightInd/>
                    <w:snapToGrid/>
                    <w:spacing w:line="240" w:lineRule="auto"/>
                    <w:jc w:val="left"/>
                    <w:rPr>
                      <w:color w:val="000000"/>
                      <w:kern w:val="0"/>
                      <w:sz w:val="18"/>
                      <w:szCs w:val="18"/>
                    </w:rPr>
                  </w:pPr>
                </w:p>
              </w:tc>
            </w:tr>
            <w:tr w14:paraId="5A86B8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4" w:space="0"/>
                    <w:left w:val="single" w:color="auto" w:sz="12" w:space="0"/>
                    <w:bottom w:val="single" w:color="auto" w:sz="4" w:space="0"/>
                    <w:right w:val="single" w:color="auto" w:sz="4" w:space="0"/>
                  </w:tcBorders>
                  <w:vAlign w:val="center"/>
                </w:tcPr>
                <w:p w14:paraId="15332526">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w:t>
                  </w:r>
                </w:p>
              </w:tc>
              <w:tc>
                <w:tcPr>
                  <w:tcW w:w="2410" w:type="dxa"/>
                  <w:vMerge w:val="restart"/>
                  <w:tcBorders>
                    <w:top w:val="single" w:color="auto" w:sz="4" w:space="0"/>
                    <w:left w:val="single" w:color="auto" w:sz="4" w:space="0"/>
                    <w:bottom w:val="single" w:color="auto" w:sz="4" w:space="0"/>
                    <w:right w:val="single" w:color="auto" w:sz="4" w:space="0"/>
                  </w:tcBorders>
                  <w:vAlign w:val="center"/>
                </w:tcPr>
                <w:p w14:paraId="6624DB4C">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颗粒物（粒径小于等于</w:t>
                  </w:r>
                  <w:r>
                    <w:rPr>
                      <w:color w:val="000000"/>
                      <w:kern w:val="0"/>
                      <w:sz w:val="18"/>
                      <w:szCs w:val="18"/>
                    </w:rPr>
                    <w:t>10µm</w:t>
                  </w:r>
                  <w:r>
                    <w:rPr>
                      <w:rFonts w:ascii="宋体" w:hAnsi="宋体"/>
                      <w:color w:val="000000"/>
                      <w:kern w:val="0"/>
                      <w:sz w:val="18"/>
                      <w:szCs w:val="18"/>
                    </w:rPr>
                    <w:t>）</w:t>
                  </w:r>
                </w:p>
              </w:tc>
              <w:tc>
                <w:tcPr>
                  <w:tcW w:w="1701" w:type="dxa"/>
                  <w:tcBorders>
                    <w:top w:val="single" w:color="auto" w:sz="4" w:space="0"/>
                    <w:left w:val="single" w:color="auto" w:sz="4" w:space="0"/>
                    <w:bottom w:val="single" w:color="auto" w:sz="4" w:space="0"/>
                    <w:right w:val="single" w:color="auto" w:sz="4" w:space="0"/>
                  </w:tcBorders>
                  <w:vAlign w:val="center"/>
                </w:tcPr>
                <w:p w14:paraId="2EFDF12A">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年平均</w:t>
                  </w:r>
                </w:p>
              </w:tc>
              <w:tc>
                <w:tcPr>
                  <w:tcW w:w="1701" w:type="dxa"/>
                  <w:tcBorders>
                    <w:top w:val="single" w:color="auto" w:sz="4" w:space="0"/>
                    <w:left w:val="single" w:color="auto" w:sz="4" w:space="0"/>
                    <w:bottom w:val="single" w:color="auto" w:sz="4" w:space="0"/>
                    <w:right w:val="single" w:color="auto" w:sz="4" w:space="0"/>
                  </w:tcBorders>
                  <w:vAlign w:val="center"/>
                </w:tcPr>
                <w:p w14:paraId="5F19AA1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60</w:t>
                  </w:r>
                </w:p>
              </w:tc>
              <w:tc>
                <w:tcPr>
                  <w:tcW w:w="992" w:type="dxa"/>
                  <w:tcBorders>
                    <w:top w:val="single" w:color="auto" w:sz="4" w:space="0"/>
                    <w:left w:val="single" w:color="auto" w:sz="4" w:space="0"/>
                    <w:bottom w:val="single" w:color="auto" w:sz="4" w:space="0"/>
                    <w:right w:val="single" w:color="auto" w:sz="4" w:space="0"/>
                  </w:tcBorders>
                  <w:vAlign w:val="center"/>
                </w:tcPr>
                <w:p w14:paraId="769EA897">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3FB69534">
                  <w:pPr>
                    <w:widowControl/>
                    <w:adjustRightInd/>
                    <w:snapToGrid/>
                    <w:spacing w:line="240" w:lineRule="auto"/>
                    <w:jc w:val="left"/>
                    <w:rPr>
                      <w:color w:val="000000"/>
                      <w:kern w:val="0"/>
                      <w:sz w:val="18"/>
                      <w:szCs w:val="18"/>
                    </w:rPr>
                  </w:pPr>
                </w:p>
              </w:tc>
            </w:tr>
            <w:tr w14:paraId="1A5D0F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7D627F5D">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46BD0EF1">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5DF30CA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24</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5038C84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120</w:t>
                  </w:r>
                </w:p>
              </w:tc>
              <w:tc>
                <w:tcPr>
                  <w:tcW w:w="992" w:type="dxa"/>
                  <w:tcBorders>
                    <w:top w:val="single" w:color="auto" w:sz="4" w:space="0"/>
                    <w:left w:val="single" w:color="auto" w:sz="4" w:space="0"/>
                    <w:bottom w:val="single" w:color="auto" w:sz="4" w:space="0"/>
                    <w:right w:val="single" w:color="auto" w:sz="4" w:space="0"/>
                  </w:tcBorders>
                  <w:vAlign w:val="center"/>
                </w:tcPr>
                <w:p w14:paraId="2D68C17C">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100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26D37C87">
                  <w:pPr>
                    <w:widowControl/>
                    <w:adjustRightInd/>
                    <w:snapToGrid/>
                    <w:spacing w:line="240" w:lineRule="auto"/>
                    <w:jc w:val="left"/>
                    <w:rPr>
                      <w:color w:val="000000"/>
                      <w:kern w:val="0"/>
                      <w:sz w:val="18"/>
                      <w:szCs w:val="18"/>
                    </w:rPr>
                  </w:pPr>
                </w:p>
              </w:tc>
            </w:tr>
            <w:tr w14:paraId="7A4518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4" w:space="0"/>
                    <w:left w:val="single" w:color="auto" w:sz="12" w:space="0"/>
                    <w:bottom w:val="single" w:color="auto" w:sz="4" w:space="0"/>
                    <w:right w:val="single" w:color="auto" w:sz="4" w:space="0"/>
                  </w:tcBorders>
                  <w:vAlign w:val="center"/>
                </w:tcPr>
                <w:p w14:paraId="7F2E2D8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w:t>
                  </w:r>
                </w:p>
              </w:tc>
              <w:tc>
                <w:tcPr>
                  <w:tcW w:w="2410" w:type="dxa"/>
                  <w:vMerge w:val="restart"/>
                  <w:tcBorders>
                    <w:top w:val="single" w:color="auto" w:sz="4" w:space="0"/>
                    <w:left w:val="single" w:color="auto" w:sz="4" w:space="0"/>
                    <w:bottom w:val="single" w:color="auto" w:sz="4" w:space="0"/>
                    <w:right w:val="single" w:color="auto" w:sz="4" w:space="0"/>
                  </w:tcBorders>
                  <w:vAlign w:val="center"/>
                </w:tcPr>
                <w:p w14:paraId="29951578">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颗粒物（粒径小于等于</w:t>
                  </w:r>
                  <w:r>
                    <w:rPr>
                      <w:color w:val="000000"/>
                      <w:kern w:val="0"/>
                      <w:sz w:val="18"/>
                      <w:szCs w:val="18"/>
                    </w:rPr>
                    <w:t>2.5µm</w:t>
                  </w:r>
                  <w:r>
                    <w:rPr>
                      <w:rFonts w:ascii="宋体" w:hAnsi="宋体"/>
                      <w:color w:val="000000"/>
                      <w:kern w:val="0"/>
                      <w:sz w:val="18"/>
                      <w:szCs w:val="18"/>
                    </w:rPr>
                    <w:t>）</w:t>
                  </w:r>
                </w:p>
              </w:tc>
              <w:tc>
                <w:tcPr>
                  <w:tcW w:w="1701" w:type="dxa"/>
                  <w:tcBorders>
                    <w:top w:val="single" w:color="auto" w:sz="4" w:space="0"/>
                    <w:left w:val="single" w:color="auto" w:sz="4" w:space="0"/>
                    <w:bottom w:val="single" w:color="auto" w:sz="4" w:space="0"/>
                    <w:right w:val="single" w:color="auto" w:sz="4" w:space="0"/>
                  </w:tcBorders>
                  <w:vAlign w:val="center"/>
                </w:tcPr>
                <w:p w14:paraId="57656174">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年平均</w:t>
                  </w:r>
                </w:p>
              </w:tc>
              <w:tc>
                <w:tcPr>
                  <w:tcW w:w="1701" w:type="dxa"/>
                  <w:tcBorders>
                    <w:top w:val="single" w:color="auto" w:sz="4" w:space="0"/>
                    <w:left w:val="single" w:color="auto" w:sz="4" w:space="0"/>
                    <w:bottom w:val="single" w:color="auto" w:sz="4" w:space="0"/>
                    <w:right w:val="single" w:color="auto" w:sz="4" w:space="0"/>
                  </w:tcBorders>
                  <w:vAlign w:val="center"/>
                </w:tcPr>
                <w:p w14:paraId="6758763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30</w:t>
                  </w:r>
                </w:p>
              </w:tc>
              <w:tc>
                <w:tcPr>
                  <w:tcW w:w="992" w:type="dxa"/>
                  <w:tcBorders>
                    <w:top w:val="single" w:color="auto" w:sz="4" w:space="0"/>
                    <w:left w:val="single" w:color="auto" w:sz="4" w:space="0"/>
                    <w:bottom w:val="single" w:color="auto" w:sz="4" w:space="0"/>
                    <w:right w:val="single" w:color="auto" w:sz="4" w:space="0"/>
                  </w:tcBorders>
                  <w:vAlign w:val="center"/>
                </w:tcPr>
                <w:p w14:paraId="47BBABA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25</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05B48AFF">
                  <w:pPr>
                    <w:widowControl/>
                    <w:adjustRightInd/>
                    <w:snapToGrid/>
                    <w:spacing w:line="240" w:lineRule="auto"/>
                    <w:jc w:val="left"/>
                    <w:rPr>
                      <w:color w:val="000000"/>
                      <w:kern w:val="0"/>
                      <w:sz w:val="18"/>
                      <w:szCs w:val="18"/>
                    </w:rPr>
                  </w:pPr>
                </w:p>
              </w:tc>
            </w:tr>
            <w:tr w14:paraId="219CCF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47DCEFF6">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01EE9DFE">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3A2FC2C9">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24</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555064A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60</w:t>
                  </w:r>
                </w:p>
              </w:tc>
              <w:tc>
                <w:tcPr>
                  <w:tcW w:w="992" w:type="dxa"/>
                  <w:tcBorders>
                    <w:top w:val="single" w:color="auto" w:sz="4" w:space="0"/>
                    <w:left w:val="single" w:color="auto" w:sz="4" w:space="0"/>
                    <w:bottom w:val="single" w:color="auto" w:sz="4" w:space="0"/>
                    <w:right w:val="single" w:color="auto" w:sz="4" w:space="0"/>
                  </w:tcBorders>
                  <w:vAlign w:val="center"/>
                </w:tcPr>
                <w:p w14:paraId="0831232C">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601F08AD">
                  <w:pPr>
                    <w:widowControl/>
                    <w:adjustRightInd/>
                    <w:snapToGrid/>
                    <w:spacing w:line="240" w:lineRule="auto"/>
                    <w:jc w:val="left"/>
                    <w:rPr>
                      <w:color w:val="000000"/>
                      <w:kern w:val="0"/>
                      <w:sz w:val="18"/>
                      <w:szCs w:val="18"/>
                    </w:rPr>
                  </w:pPr>
                </w:p>
              </w:tc>
            </w:tr>
            <w:tr w14:paraId="16C36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4" w:space="0"/>
                    <w:left w:val="single" w:color="auto" w:sz="12" w:space="0"/>
                    <w:bottom w:val="single" w:color="auto" w:sz="4" w:space="0"/>
                    <w:right w:val="single" w:color="auto" w:sz="4" w:space="0"/>
                  </w:tcBorders>
                  <w:vAlign w:val="center"/>
                </w:tcPr>
                <w:p w14:paraId="17DCEE7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w:t>
                  </w:r>
                </w:p>
              </w:tc>
              <w:tc>
                <w:tcPr>
                  <w:tcW w:w="2410" w:type="dxa"/>
                  <w:vMerge w:val="restart"/>
                  <w:tcBorders>
                    <w:top w:val="single" w:color="auto" w:sz="4" w:space="0"/>
                    <w:left w:val="single" w:color="auto" w:sz="4" w:space="0"/>
                    <w:bottom w:val="single" w:color="auto" w:sz="4" w:space="0"/>
                    <w:right w:val="single" w:color="auto" w:sz="4" w:space="0"/>
                  </w:tcBorders>
                  <w:vAlign w:val="center"/>
                </w:tcPr>
                <w:p w14:paraId="11B478BD">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总悬浮颗粒物（</w:t>
                  </w:r>
                  <w:r>
                    <w:rPr>
                      <w:color w:val="000000"/>
                      <w:kern w:val="0"/>
                      <w:sz w:val="18"/>
                      <w:szCs w:val="18"/>
                    </w:rPr>
                    <w:t>TSP</w:t>
                  </w:r>
                  <w:r>
                    <w:rPr>
                      <w:rFonts w:ascii="宋体" w:hAnsi="宋体"/>
                      <w:color w:val="000000"/>
                      <w:kern w:val="0"/>
                      <w:sz w:val="18"/>
                      <w:szCs w:val="18"/>
                    </w:rPr>
                    <w:t>）</w:t>
                  </w:r>
                </w:p>
              </w:tc>
              <w:tc>
                <w:tcPr>
                  <w:tcW w:w="1701" w:type="dxa"/>
                  <w:tcBorders>
                    <w:top w:val="single" w:color="auto" w:sz="4" w:space="0"/>
                    <w:left w:val="single" w:color="auto" w:sz="4" w:space="0"/>
                    <w:bottom w:val="single" w:color="auto" w:sz="4" w:space="0"/>
                    <w:right w:val="single" w:color="auto" w:sz="4" w:space="0"/>
                  </w:tcBorders>
                  <w:vAlign w:val="center"/>
                </w:tcPr>
                <w:p w14:paraId="53889EA9">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年平均</w:t>
                  </w:r>
                </w:p>
              </w:tc>
              <w:tc>
                <w:tcPr>
                  <w:tcW w:w="1701" w:type="dxa"/>
                  <w:tcBorders>
                    <w:top w:val="single" w:color="auto" w:sz="4" w:space="0"/>
                    <w:left w:val="single" w:color="auto" w:sz="4" w:space="0"/>
                    <w:bottom w:val="single" w:color="auto" w:sz="4" w:space="0"/>
                    <w:right w:val="single" w:color="auto" w:sz="4" w:space="0"/>
                  </w:tcBorders>
                  <w:vAlign w:val="center"/>
                </w:tcPr>
                <w:p w14:paraId="3B3B957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200</w:t>
                  </w:r>
                </w:p>
              </w:tc>
              <w:tc>
                <w:tcPr>
                  <w:tcW w:w="992" w:type="dxa"/>
                  <w:tcBorders>
                    <w:top w:val="single" w:color="auto" w:sz="4" w:space="0"/>
                    <w:left w:val="single" w:color="auto" w:sz="4" w:space="0"/>
                    <w:bottom w:val="single" w:color="auto" w:sz="4" w:space="0"/>
                    <w:right w:val="single" w:color="auto" w:sz="4" w:space="0"/>
                  </w:tcBorders>
                  <w:vAlign w:val="center"/>
                </w:tcPr>
                <w:p w14:paraId="77E27296">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200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4552DBB4">
                  <w:pPr>
                    <w:widowControl/>
                    <w:adjustRightInd/>
                    <w:snapToGrid/>
                    <w:spacing w:line="240" w:lineRule="auto"/>
                    <w:jc w:val="left"/>
                    <w:rPr>
                      <w:color w:val="000000"/>
                      <w:kern w:val="0"/>
                      <w:sz w:val="18"/>
                      <w:szCs w:val="18"/>
                    </w:rPr>
                  </w:pPr>
                </w:p>
              </w:tc>
            </w:tr>
            <w:tr w14:paraId="6788BD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6090C39F">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2CAD94A3">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1A2BFDF2">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24</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24B9E06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300</w:t>
                  </w:r>
                </w:p>
              </w:tc>
              <w:tc>
                <w:tcPr>
                  <w:tcW w:w="992" w:type="dxa"/>
                  <w:tcBorders>
                    <w:top w:val="single" w:color="auto" w:sz="4" w:space="0"/>
                    <w:left w:val="single" w:color="auto" w:sz="4" w:space="0"/>
                    <w:bottom w:val="single" w:color="auto" w:sz="4" w:space="0"/>
                    <w:right w:val="single" w:color="auto" w:sz="4" w:space="0"/>
                  </w:tcBorders>
                  <w:vAlign w:val="center"/>
                </w:tcPr>
                <w:p w14:paraId="09E22E0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300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450B8F64">
                  <w:pPr>
                    <w:widowControl/>
                    <w:adjustRightInd/>
                    <w:snapToGrid/>
                    <w:spacing w:line="240" w:lineRule="auto"/>
                    <w:jc w:val="left"/>
                    <w:rPr>
                      <w:color w:val="000000"/>
                      <w:kern w:val="0"/>
                      <w:sz w:val="18"/>
                      <w:szCs w:val="18"/>
                    </w:rPr>
                  </w:pPr>
                </w:p>
              </w:tc>
            </w:tr>
            <w:tr w14:paraId="14421F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4" w:space="0"/>
                    <w:left w:val="single" w:color="auto" w:sz="12" w:space="0"/>
                    <w:bottom w:val="single" w:color="auto" w:sz="4" w:space="0"/>
                    <w:right w:val="single" w:color="auto" w:sz="4" w:space="0"/>
                  </w:tcBorders>
                  <w:vAlign w:val="center"/>
                </w:tcPr>
                <w:p w14:paraId="03DCBC58">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w:t>
                  </w:r>
                </w:p>
              </w:tc>
              <w:tc>
                <w:tcPr>
                  <w:tcW w:w="2410" w:type="dxa"/>
                  <w:vMerge w:val="restart"/>
                  <w:tcBorders>
                    <w:top w:val="single" w:color="auto" w:sz="4" w:space="0"/>
                    <w:left w:val="single" w:color="auto" w:sz="4" w:space="0"/>
                    <w:bottom w:val="single" w:color="auto" w:sz="4" w:space="0"/>
                    <w:right w:val="single" w:color="auto" w:sz="4" w:space="0"/>
                  </w:tcBorders>
                  <w:vAlign w:val="center"/>
                </w:tcPr>
                <w:p w14:paraId="46322195">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氮氧化物（</w:t>
                  </w:r>
                  <w:r>
                    <w:rPr>
                      <w:color w:val="000000"/>
                      <w:kern w:val="0"/>
                      <w:sz w:val="18"/>
                      <w:szCs w:val="18"/>
                    </w:rPr>
                    <w:t>NOx</w:t>
                  </w:r>
                  <w:r>
                    <w:rPr>
                      <w:rFonts w:ascii="宋体" w:hAnsi="宋体"/>
                      <w:color w:val="000000"/>
                      <w:kern w:val="0"/>
                      <w:sz w:val="18"/>
                      <w:szCs w:val="18"/>
                    </w:rPr>
                    <w:t>）</w:t>
                  </w:r>
                </w:p>
              </w:tc>
              <w:tc>
                <w:tcPr>
                  <w:tcW w:w="1701" w:type="dxa"/>
                  <w:tcBorders>
                    <w:top w:val="single" w:color="auto" w:sz="4" w:space="0"/>
                    <w:left w:val="single" w:color="auto" w:sz="4" w:space="0"/>
                    <w:bottom w:val="single" w:color="auto" w:sz="4" w:space="0"/>
                    <w:right w:val="single" w:color="auto" w:sz="4" w:space="0"/>
                  </w:tcBorders>
                  <w:vAlign w:val="center"/>
                </w:tcPr>
                <w:p w14:paraId="0C3F3204">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年平均</w:t>
                  </w:r>
                </w:p>
              </w:tc>
              <w:tc>
                <w:tcPr>
                  <w:tcW w:w="1701" w:type="dxa"/>
                  <w:tcBorders>
                    <w:top w:val="single" w:color="auto" w:sz="4" w:space="0"/>
                    <w:left w:val="single" w:color="auto" w:sz="4" w:space="0"/>
                    <w:bottom w:val="single" w:color="auto" w:sz="4" w:space="0"/>
                    <w:right w:val="single" w:color="auto" w:sz="4" w:space="0"/>
                  </w:tcBorders>
                  <w:vAlign w:val="center"/>
                </w:tcPr>
                <w:p w14:paraId="6F6E719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50</w:t>
                  </w:r>
                </w:p>
              </w:tc>
              <w:tc>
                <w:tcPr>
                  <w:tcW w:w="992" w:type="dxa"/>
                  <w:tcBorders>
                    <w:top w:val="single" w:color="auto" w:sz="4" w:space="0"/>
                    <w:left w:val="single" w:color="auto" w:sz="4" w:space="0"/>
                    <w:bottom w:val="single" w:color="auto" w:sz="4" w:space="0"/>
                    <w:right w:val="single" w:color="auto" w:sz="4" w:space="0"/>
                  </w:tcBorders>
                  <w:vAlign w:val="center"/>
                </w:tcPr>
                <w:p w14:paraId="7B09435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40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2D684595">
                  <w:pPr>
                    <w:widowControl/>
                    <w:adjustRightInd/>
                    <w:snapToGrid/>
                    <w:spacing w:line="240" w:lineRule="auto"/>
                    <w:jc w:val="left"/>
                    <w:rPr>
                      <w:color w:val="000000"/>
                      <w:kern w:val="0"/>
                      <w:sz w:val="18"/>
                      <w:szCs w:val="18"/>
                    </w:rPr>
                  </w:pPr>
                </w:p>
              </w:tc>
            </w:tr>
            <w:tr w14:paraId="2F54DF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47CAB791">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46F10314">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270FE218">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24</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276185A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100</w:t>
                  </w:r>
                </w:p>
              </w:tc>
              <w:tc>
                <w:tcPr>
                  <w:tcW w:w="992" w:type="dxa"/>
                  <w:tcBorders>
                    <w:top w:val="single" w:color="auto" w:sz="4" w:space="0"/>
                    <w:left w:val="single" w:color="auto" w:sz="4" w:space="0"/>
                    <w:bottom w:val="single" w:color="auto" w:sz="4" w:space="0"/>
                    <w:right w:val="single" w:color="auto" w:sz="4" w:space="0"/>
                  </w:tcBorders>
                  <w:vAlign w:val="center"/>
                </w:tcPr>
                <w:p w14:paraId="6351A78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4E946E36">
                  <w:pPr>
                    <w:widowControl/>
                    <w:adjustRightInd/>
                    <w:snapToGrid/>
                    <w:spacing w:line="240" w:lineRule="auto"/>
                    <w:jc w:val="left"/>
                    <w:rPr>
                      <w:color w:val="000000"/>
                      <w:kern w:val="0"/>
                      <w:sz w:val="18"/>
                      <w:szCs w:val="18"/>
                    </w:rPr>
                  </w:pPr>
                </w:p>
              </w:tc>
            </w:tr>
            <w:tr w14:paraId="3385B2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4" w:space="0"/>
                    <w:right w:val="single" w:color="auto" w:sz="4" w:space="0"/>
                  </w:tcBorders>
                  <w:vAlign w:val="center"/>
                </w:tcPr>
                <w:p w14:paraId="6618327F">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4" w:space="0"/>
                    <w:right w:val="single" w:color="auto" w:sz="4" w:space="0"/>
                  </w:tcBorders>
                  <w:vAlign w:val="center"/>
                </w:tcPr>
                <w:p w14:paraId="49560E00">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4" w:space="0"/>
                    <w:right w:val="single" w:color="auto" w:sz="4" w:space="0"/>
                  </w:tcBorders>
                  <w:vAlign w:val="center"/>
                </w:tcPr>
                <w:p w14:paraId="0563E40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4" w:space="0"/>
                    <w:right w:val="single" w:color="auto" w:sz="4" w:space="0"/>
                  </w:tcBorders>
                  <w:vAlign w:val="center"/>
                </w:tcPr>
                <w:p w14:paraId="642EB13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250</w:t>
                  </w:r>
                </w:p>
              </w:tc>
              <w:tc>
                <w:tcPr>
                  <w:tcW w:w="992" w:type="dxa"/>
                  <w:tcBorders>
                    <w:top w:val="single" w:color="auto" w:sz="4" w:space="0"/>
                    <w:left w:val="single" w:color="auto" w:sz="4" w:space="0"/>
                    <w:bottom w:val="single" w:color="auto" w:sz="4" w:space="0"/>
                    <w:right w:val="single" w:color="auto" w:sz="4" w:space="0"/>
                  </w:tcBorders>
                  <w:vAlign w:val="center"/>
                </w:tcPr>
                <w:p w14:paraId="6E513CF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250</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3D9C62C3">
                  <w:pPr>
                    <w:widowControl/>
                    <w:adjustRightInd/>
                    <w:snapToGrid/>
                    <w:spacing w:line="240" w:lineRule="auto"/>
                    <w:jc w:val="left"/>
                    <w:rPr>
                      <w:color w:val="000000"/>
                      <w:kern w:val="0"/>
                      <w:sz w:val="18"/>
                      <w:szCs w:val="18"/>
                    </w:rPr>
                  </w:pPr>
                </w:p>
              </w:tc>
            </w:tr>
            <w:tr w14:paraId="2599AC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restart"/>
                  <w:tcBorders>
                    <w:top w:val="single" w:color="auto" w:sz="4" w:space="0"/>
                    <w:left w:val="single" w:color="auto" w:sz="12" w:space="0"/>
                    <w:bottom w:val="single" w:color="auto" w:sz="4" w:space="0"/>
                    <w:right w:val="single" w:color="auto" w:sz="4" w:space="0"/>
                  </w:tcBorders>
                  <w:vAlign w:val="center"/>
                </w:tcPr>
                <w:p w14:paraId="2B0D579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9</w:t>
                  </w:r>
                </w:p>
              </w:tc>
              <w:tc>
                <w:tcPr>
                  <w:tcW w:w="2410" w:type="dxa"/>
                  <w:vMerge w:val="restart"/>
                  <w:tcBorders>
                    <w:top w:val="single" w:color="auto" w:sz="4" w:space="0"/>
                    <w:left w:val="single" w:color="auto" w:sz="4" w:space="0"/>
                    <w:bottom w:val="single" w:color="auto" w:sz="4" w:space="0"/>
                    <w:right w:val="single" w:color="auto" w:sz="4" w:space="0"/>
                  </w:tcBorders>
                  <w:vAlign w:val="center"/>
                </w:tcPr>
                <w:p w14:paraId="39E55F9F">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苯并</w:t>
                  </w:r>
                  <w:r>
                    <w:rPr>
                      <w:color w:val="000000"/>
                      <w:kern w:val="0"/>
                      <w:sz w:val="18"/>
                      <w:szCs w:val="18"/>
                    </w:rPr>
                    <w:t>[a]</w:t>
                  </w:r>
                  <w:r>
                    <w:rPr>
                      <w:rFonts w:ascii="宋体" w:hAnsi="宋体"/>
                      <w:color w:val="000000"/>
                      <w:kern w:val="0"/>
                      <w:sz w:val="18"/>
                      <w:szCs w:val="18"/>
                    </w:rPr>
                    <w:t>芘（</w:t>
                  </w:r>
                  <w:r>
                    <w:rPr>
                      <w:color w:val="000000"/>
                      <w:kern w:val="0"/>
                      <w:sz w:val="18"/>
                      <w:szCs w:val="18"/>
                    </w:rPr>
                    <w:t>BaP</w:t>
                  </w:r>
                  <w:r>
                    <w:rPr>
                      <w:rFonts w:ascii="宋体" w:hAnsi="宋体"/>
                      <w:color w:val="000000"/>
                      <w:kern w:val="0"/>
                      <w:sz w:val="18"/>
                      <w:szCs w:val="18"/>
                    </w:rPr>
                    <w:t>）</w:t>
                  </w:r>
                </w:p>
              </w:tc>
              <w:tc>
                <w:tcPr>
                  <w:tcW w:w="1701" w:type="dxa"/>
                  <w:tcBorders>
                    <w:top w:val="single" w:color="auto" w:sz="4" w:space="0"/>
                    <w:left w:val="single" w:color="auto" w:sz="4" w:space="0"/>
                    <w:bottom w:val="single" w:color="auto" w:sz="4" w:space="0"/>
                    <w:right w:val="single" w:color="auto" w:sz="4" w:space="0"/>
                  </w:tcBorders>
                  <w:vAlign w:val="center"/>
                </w:tcPr>
                <w:p w14:paraId="2F921999">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年平均</w:t>
                  </w:r>
                </w:p>
              </w:tc>
              <w:tc>
                <w:tcPr>
                  <w:tcW w:w="1701" w:type="dxa"/>
                  <w:tcBorders>
                    <w:top w:val="single" w:color="auto" w:sz="4" w:space="0"/>
                    <w:left w:val="single" w:color="auto" w:sz="4" w:space="0"/>
                    <w:bottom w:val="single" w:color="auto" w:sz="4" w:space="0"/>
                    <w:right w:val="single" w:color="auto" w:sz="4" w:space="0"/>
                  </w:tcBorders>
                  <w:vAlign w:val="center"/>
                </w:tcPr>
                <w:p w14:paraId="12ECDD5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0.001</w:t>
                  </w:r>
                </w:p>
              </w:tc>
              <w:tc>
                <w:tcPr>
                  <w:tcW w:w="992" w:type="dxa"/>
                  <w:tcBorders>
                    <w:top w:val="single" w:color="auto" w:sz="4" w:space="0"/>
                    <w:left w:val="single" w:color="auto" w:sz="4" w:space="0"/>
                    <w:bottom w:val="single" w:color="auto" w:sz="4" w:space="0"/>
                    <w:right w:val="single" w:color="auto" w:sz="4" w:space="0"/>
                  </w:tcBorders>
                  <w:vAlign w:val="center"/>
                </w:tcPr>
                <w:p w14:paraId="23F36B5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0.001</w:t>
                  </w:r>
                </w:p>
              </w:tc>
              <w:tc>
                <w:tcPr>
                  <w:tcW w:w="754" w:type="dxa"/>
                  <w:vMerge w:val="continue"/>
                  <w:tcBorders>
                    <w:top w:val="single" w:color="auto" w:sz="4" w:space="0"/>
                    <w:left w:val="single" w:color="auto" w:sz="4" w:space="0"/>
                    <w:bottom w:val="single" w:color="auto" w:sz="4" w:space="0"/>
                    <w:right w:val="single" w:color="auto" w:sz="12" w:space="0"/>
                  </w:tcBorders>
                  <w:vAlign w:val="center"/>
                </w:tcPr>
                <w:p w14:paraId="4C6A505C">
                  <w:pPr>
                    <w:widowControl/>
                    <w:adjustRightInd/>
                    <w:snapToGrid/>
                    <w:spacing w:line="240" w:lineRule="auto"/>
                    <w:jc w:val="left"/>
                    <w:rPr>
                      <w:color w:val="000000"/>
                      <w:kern w:val="0"/>
                      <w:sz w:val="18"/>
                      <w:szCs w:val="18"/>
                    </w:rPr>
                  </w:pPr>
                </w:p>
              </w:tc>
            </w:tr>
            <w:tr w14:paraId="62D8B3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4" w:type="dxa"/>
                  <w:vMerge w:val="continue"/>
                  <w:tcBorders>
                    <w:top w:val="single" w:color="auto" w:sz="4" w:space="0"/>
                    <w:left w:val="single" w:color="auto" w:sz="12" w:space="0"/>
                    <w:bottom w:val="single" w:color="auto" w:sz="12" w:space="0"/>
                    <w:right w:val="single" w:color="auto" w:sz="4" w:space="0"/>
                  </w:tcBorders>
                  <w:vAlign w:val="center"/>
                </w:tcPr>
                <w:p w14:paraId="136DCF4D">
                  <w:pPr>
                    <w:widowControl/>
                    <w:adjustRightInd/>
                    <w:snapToGrid/>
                    <w:spacing w:line="240" w:lineRule="auto"/>
                    <w:jc w:val="left"/>
                    <w:rPr>
                      <w:color w:val="000000"/>
                      <w:kern w:val="0"/>
                      <w:sz w:val="18"/>
                      <w:szCs w:val="18"/>
                    </w:rPr>
                  </w:pPr>
                </w:p>
              </w:tc>
              <w:tc>
                <w:tcPr>
                  <w:tcW w:w="2410" w:type="dxa"/>
                  <w:vMerge w:val="continue"/>
                  <w:tcBorders>
                    <w:top w:val="single" w:color="auto" w:sz="4" w:space="0"/>
                    <w:left w:val="single" w:color="auto" w:sz="4" w:space="0"/>
                    <w:bottom w:val="single" w:color="auto" w:sz="12" w:space="0"/>
                    <w:right w:val="single" w:color="auto" w:sz="4" w:space="0"/>
                  </w:tcBorders>
                  <w:vAlign w:val="center"/>
                </w:tcPr>
                <w:p w14:paraId="76B677DD">
                  <w:pPr>
                    <w:widowControl/>
                    <w:adjustRightInd/>
                    <w:snapToGrid/>
                    <w:spacing w:line="240" w:lineRule="auto"/>
                    <w:jc w:val="left"/>
                    <w:rPr>
                      <w:color w:val="000000"/>
                      <w:kern w:val="0"/>
                      <w:sz w:val="18"/>
                      <w:szCs w:val="18"/>
                    </w:rPr>
                  </w:pPr>
                </w:p>
              </w:tc>
              <w:tc>
                <w:tcPr>
                  <w:tcW w:w="1701" w:type="dxa"/>
                  <w:tcBorders>
                    <w:top w:val="single" w:color="auto" w:sz="4" w:space="0"/>
                    <w:left w:val="single" w:color="auto" w:sz="4" w:space="0"/>
                    <w:bottom w:val="single" w:color="auto" w:sz="12" w:space="0"/>
                    <w:right w:val="single" w:color="auto" w:sz="4" w:space="0"/>
                  </w:tcBorders>
                  <w:vAlign w:val="center"/>
                </w:tcPr>
                <w:p w14:paraId="512150A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24</w:t>
                  </w:r>
                  <w:r>
                    <w:rPr>
                      <w:rFonts w:ascii="宋体" w:hAnsi="宋体"/>
                      <w:color w:val="000000"/>
                      <w:kern w:val="0"/>
                      <w:sz w:val="18"/>
                      <w:szCs w:val="18"/>
                    </w:rPr>
                    <w:t>小时平均</w:t>
                  </w:r>
                </w:p>
              </w:tc>
              <w:tc>
                <w:tcPr>
                  <w:tcW w:w="1701" w:type="dxa"/>
                  <w:tcBorders>
                    <w:top w:val="single" w:color="auto" w:sz="4" w:space="0"/>
                    <w:left w:val="single" w:color="auto" w:sz="4" w:space="0"/>
                    <w:bottom w:val="single" w:color="auto" w:sz="12" w:space="0"/>
                    <w:right w:val="single" w:color="auto" w:sz="4" w:space="0"/>
                  </w:tcBorders>
                  <w:vAlign w:val="center"/>
                </w:tcPr>
                <w:p w14:paraId="061FB16C">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0.0025</w:t>
                  </w:r>
                </w:p>
              </w:tc>
              <w:tc>
                <w:tcPr>
                  <w:tcW w:w="992" w:type="dxa"/>
                  <w:tcBorders>
                    <w:top w:val="single" w:color="auto" w:sz="4" w:space="0"/>
                    <w:left w:val="single" w:color="auto" w:sz="4" w:space="0"/>
                    <w:bottom w:val="single" w:color="auto" w:sz="12" w:space="0"/>
                    <w:right w:val="single" w:color="auto" w:sz="4" w:space="0"/>
                  </w:tcBorders>
                  <w:vAlign w:val="center"/>
                </w:tcPr>
                <w:p w14:paraId="08E629C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0.0025</w:t>
                  </w:r>
                </w:p>
              </w:tc>
              <w:tc>
                <w:tcPr>
                  <w:tcW w:w="754" w:type="dxa"/>
                  <w:vMerge w:val="continue"/>
                  <w:tcBorders>
                    <w:top w:val="single" w:color="auto" w:sz="4" w:space="0"/>
                    <w:left w:val="single" w:color="auto" w:sz="4" w:space="0"/>
                    <w:bottom w:val="single" w:color="auto" w:sz="12" w:space="0"/>
                    <w:right w:val="single" w:color="auto" w:sz="12" w:space="0"/>
                  </w:tcBorders>
                  <w:vAlign w:val="center"/>
                </w:tcPr>
                <w:p w14:paraId="00DE1503">
                  <w:pPr>
                    <w:widowControl/>
                    <w:adjustRightInd/>
                    <w:snapToGrid/>
                    <w:spacing w:line="240" w:lineRule="auto"/>
                    <w:jc w:val="left"/>
                    <w:rPr>
                      <w:color w:val="000000"/>
                      <w:kern w:val="0"/>
                      <w:sz w:val="18"/>
                      <w:szCs w:val="18"/>
                    </w:rPr>
                  </w:pPr>
                </w:p>
              </w:tc>
            </w:tr>
          </w:tbl>
          <w:p w14:paraId="2E679A24">
            <w:pPr>
              <w:widowControl/>
              <w:kinsoku w:val="0"/>
              <w:autoSpaceDE w:val="0"/>
              <w:autoSpaceDN w:val="0"/>
              <w:ind w:firstLine="400" w:firstLineChars="200"/>
              <w:textAlignment w:val="baseline"/>
              <w:outlineLvl w:val="2"/>
              <w:rPr>
                <w:bCs/>
                <w:color w:val="000000"/>
                <w:kern w:val="0"/>
                <w:sz w:val="20"/>
                <w:szCs w:val="20"/>
              </w:rPr>
            </w:pPr>
            <w:r>
              <w:rPr>
                <w:rFonts w:ascii="宋体" w:hAnsi="宋体"/>
                <w:bCs/>
                <w:color w:val="000000"/>
                <w:kern w:val="0"/>
                <w:sz w:val="20"/>
                <w:szCs w:val="20"/>
              </w:rPr>
              <w:t>注：至</w:t>
            </w:r>
            <w:r>
              <w:rPr>
                <w:bCs/>
                <w:color w:val="000000"/>
                <w:kern w:val="0"/>
                <w:sz w:val="20"/>
                <w:szCs w:val="20"/>
              </w:rPr>
              <w:t>2030</w:t>
            </w:r>
            <w:r>
              <w:rPr>
                <w:rFonts w:ascii="宋体" w:hAnsi="宋体"/>
                <w:bCs/>
                <w:color w:val="000000"/>
                <w:kern w:val="0"/>
                <w:sz w:val="20"/>
                <w:szCs w:val="20"/>
              </w:rPr>
              <w:t>年</w:t>
            </w:r>
            <w:r>
              <w:rPr>
                <w:bCs/>
                <w:color w:val="000000"/>
                <w:kern w:val="0"/>
                <w:sz w:val="20"/>
                <w:szCs w:val="20"/>
              </w:rPr>
              <w:t>12</w:t>
            </w:r>
            <w:r>
              <w:rPr>
                <w:rFonts w:ascii="宋体" w:hAnsi="宋体"/>
                <w:bCs/>
                <w:color w:val="000000"/>
                <w:kern w:val="0"/>
                <w:sz w:val="20"/>
                <w:szCs w:val="20"/>
              </w:rPr>
              <w:t>月</w:t>
            </w:r>
            <w:r>
              <w:rPr>
                <w:bCs/>
                <w:color w:val="000000"/>
                <w:kern w:val="0"/>
                <w:sz w:val="20"/>
                <w:szCs w:val="20"/>
              </w:rPr>
              <w:t>31</w:t>
            </w:r>
            <w:r>
              <w:rPr>
                <w:rFonts w:ascii="宋体" w:hAnsi="宋体"/>
                <w:bCs/>
                <w:color w:val="000000"/>
                <w:kern w:val="0"/>
                <w:sz w:val="20"/>
                <w:szCs w:val="20"/>
              </w:rPr>
              <w:t>日止，环境空气污染物基本项目实施过渡阶段浓度限值；自</w:t>
            </w:r>
            <w:r>
              <w:rPr>
                <w:bCs/>
                <w:color w:val="000000"/>
                <w:kern w:val="0"/>
                <w:sz w:val="20"/>
                <w:szCs w:val="20"/>
              </w:rPr>
              <w:t>2031</w:t>
            </w:r>
            <w:r>
              <w:rPr>
                <w:rFonts w:ascii="宋体" w:hAnsi="宋体"/>
                <w:bCs/>
                <w:color w:val="000000"/>
                <w:kern w:val="0"/>
                <w:sz w:val="20"/>
                <w:szCs w:val="20"/>
              </w:rPr>
              <w:t>年</w:t>
            </w:r>
            <w:r>
              <w:rPr>
                <w:bCs/>
                <w:color w:val="000000"/>
                <w:kern w:val="0"/>
                <w:sz w:val="20"/>
                <w:szCs w:val="20"/>
              </w:rPr>
              <w:t>1</w:t>
            </w:r>
            <w:r>
              <w:rPr>
                <w:rFonts w:ascii="宋体" w:hAnsi="宋体"/>
                <w:bCs/>
                <w:color w:val="000000"/>
                <w:kern w:val="0"/>
                <w:sz w:val="20"/>
                <w:szCs w:val="20"/>
              </w:rPr>
              <w:t>月</w:t>
            </w:r>
            <w:r>
              <w:rPr>
                <w:bCs/>
                <w:color w:val="000000"/>
                <w:kern w:val="0"/>
                <w:sz w:val="20"/>
                <w:szCs w:val="20"/>
              </w:rPr>
              <w:t>1</w:t>
            </w:r>
            <w:r>
              <w:rPr>
                <w:rFonts w:ascii="宋体" w:hAnsi="宋体"/>
                <w:bCs/>
                <w:color w:val="000000"/>
                <w:kern w:val="0"/>
                <w:sz w:val="20"/>
                <w:szCs w:val="20"/>
              </w:rPr>
              <w:t>日起，实施浓度限值。</w:t>
            </w:r>
          </w:p>
          <w:p w14:paraId="57911199">
            <w:pPr>
              <w:widowControl/>
              <w:kinsoku w:val="0"/>
              <w:autoSpaceDE w:val="0"/>
              <w:autoSpaceDN w:val="0"/>
              <w:ind w:firstLine="422" w:firstLineChars="200"/>
              <w:textAlignment w:val="baseline"/>
              <w:outlineLvl w:val="2"/>
              <w:rPr>
                <w:b/>
                <w:color w:val="000000"/>
                <w:kern w:val="0"/>
                <w:szCs w:val="21"/>
              </w:rPr>
            </w:pPr>
            <w:r>
              <w:rPr>
                <w:b/>
                <w:color w:val="000000"/>
                <w:kern w:val="0"/>
                <w:szCs w:val="21"/>
              </w:rPr>
              <w:t>3</w:t>
            </w:r>
            <w:r>
              <w:rPr>
                <w:rFonts w:ascii="宋体" w:hAnsi="宋体"/>
                <w:b/>
                <w:color w:val="000000"/>
                <w:kern w:val="0"/>
                <w:szCs w:val="21"/>
              </w:rPr>
              <w:t>、声环境质量标准</w:t>
            </w:r>
          </w:p>
          <w:p w14:paraId="735CEF19">
            <w:pPr>
              <w:widowControl/>
              <w:kinsoku w:val="0"/>
              <w:autoSpaceDE w:val="0"/>
              <w:autoSpaceDN w:val="0"/>
              <w:ind w:firstLine="420" w:firstLineChars="200"/>
              <w:textAlignment w:val="baseline"/>
              <w:outlineLvl w:val="2"/>
              <w:rPr>
                <w:highlight w:val="yellow"/>
              </w:rPr>
            </w:pPr>
            <w:r>
              <w:rPr>
                <w:rFonts w:ascii="宋体" w:hAnsi="宋体"/>
                <w:bCs/>
                <w:color w:val="000000"/>
                <w:kern w:val="28"/>
                <w:szCs w:val="21"/>
              </w:rPr>
              <w:t>本项目位于杭州市钱塘区</w:t>
            </w:r>
            <w:r>
              <w:rPr>
                <w:rFonts w:hint="eastAsia" w:ascii="宋体" w:hAnsi="宋体"/>
                <w:bCs/>
                <w:color w:val="000000"/>
                <w:kern w:val="28"/>
                <w:szCs w:val="21"/>
              </w:rPr>
              <w:t>河庄</w:t>
            </w:r>
            <w:r>
              <w:rPr>
                <w:rFonts w:ascii="宋体" w:hAnsi="宋体"/>
                <w:bCs/>
                <w:color w:val="000000"/>
                <w:kern w:val="28"/>
                <w:szCs w:val="21"/>
              </w:rPr>
              <w:t>街道。根据杭州市钱塘区声环境功能区划分方案：本项目所在区域为</w:t>
            </w:r>
            <w:r>
              <w:rPr>
                <w:rFonts w:hint="eastAsia"/>
                <w:bCs/>
                <w:color w:val="000000"/>
                <w:kern w:val="28"/>
                <w:szCs w:val="21"/>
              </w:rPr>
              <w:t>2</w:t>
            </w:r>
            <w:r>
              <w:rPr>
                <w:rFonts w:ascii="宋体" w:hAnsi="宋体"/>
                <w:bCs/>
                <w:color w:val="000000"/>
                <w:kern w:val="28"/>
                <w:szCs w:val="21"/>
              </w:rPr>
              <w:t>类声环境功能区，</w:t>
            </w:r>
            <w:r>
              <w:rPr>
                <w:rFonts w:hint="eastAsia" w:ascii="宋体" w:hAnsi="宋体"/>
                <w:bCs/>
                <w:color w:val="000000"/>
                <w:kern w:val="28"/>
                <w:szCs w:val="21"/>
              </w:rPr>
              <w:t>此外高速公路、一级公路、二级公路、城市快速路、城市主干路、城市次干路、城市轨道交通线路(地面段)、内河航道边界线外一定距离内(距离要求见</w:t>
            </w:r>
            <w:r>
              <w:rPr>
                <w:rFonts w:hint="eastAsia" w:ascii="宋体" w:hAnsi="宋体"/>
                <w:bCs/>
                <w:color w:val="000000"/>
                <w:kern w:val="28"/>
                <w:szCs w:val="21"/>
              </w:rPr>
              <w:fldChar w:fldCharType="begin"/>
            </w:r>
            <w:r>
              <w:rPr>
                <w:rFonts w:hint="eastAsia" w:ascii="宋体" w:hAnsi="宋体"/>
                <w:bCs/>
                <w:color w:val="000000"/>
                <w:kern w:val="28"/>
                <w:szCs w:val="21"/>
              </w:rPr>
              <w:instrText xml:space="preserve"> REF _Ref233635916 \h </w:instrText>
            </w:r>
            <w:r>
              <w:rPr>
                <w:rFonts w:hint="eastAsia" w:ascii="宋体" w:hAnsi="宋体"/>
                <w:bCs/>
                <w:color w:val="000000"/>
                <w:kern w:val="28"/>
                <w:szCs w:val="21"/>
              </w:rPr>
              <w:fldChar w:fldCharType="separate"/>
            </w:r>
            <w:r>
              <w:t>表 3</w:t>
            </w:r>
            <w:r>
              <w:noBreakHyphen/>
            </w:r>
            <w:r>
              <w:t>10</w:t>
            </w:r>
            <w:r>
              <w:rPr>
                <w:rFonts w:hint="eastAsia" w:ascii="宋体" w:hAnsi="宋体"/>
                <w:bCs/>
                <w:color w:val="000000"/>
                <w:kern w:val="28"/>
                <w:szCs w:val="21"/>
              </w:rPr>
              <w:fldChar w:fldCharType="end"/>
            </w:r>
            <w:r>
              <w:rPr>
                <w:rFonts w:hint="eastAsia" w:ascii="宋体" w:hAnsi="宋体"/>
                <w:bCs/>
                <w:color w:val="000000"/>
                <w:kern w:val="28"/>
                <w:szCs w:val="21"/>
              </w:rPr>
              <w:t>)的区域为</w:t>
            </w:r>
            <w:r>
              <w:rPr>
                <w:bCs/>
                <w:color w:val="000000"/>
                <w:kern w:val="28"/>
                <w:szCs w:val="21"/>
              </w:rPr>
              <w:t>4a</w:t>
            </w:r>
            <w:r>
              <w:rPr>
                <w:rFonts w:hint="eastAsia" w:ascii="宋体" w:hAnsi="宋体"/>
                <w:bCs/>
                <w:color w:val="000000"/>
                <w:kern w:val="28"/>
                <w:szCs w:val="21"/>
              </w:rPr>
              <w:t>类区。</w:t>
            </w:r>
            <w:r>
              <w:t>在本项目中，工程沿线两侧邻近区域</w:t>
            </w:r>
            <w:r>
              <w:rPr>
                <w:rFonts w:hint="eastAsia"/>
              </w:rPr>
              <w:t>主要</w:t>
            </w:r>
            <w:r>
              <w:t>为2类声环境功能区，</w:t>
            </w:r>
            <w:r>
              <w:rPr>
                <w:rFonts w:hint="eastAsia"/>
              </w:rPr>
              <w:t>执行</w:t>
            </w:r>
            <w:r>
              <w:t>《声环境质量标准》（GB3096-2008）中的2类标准</w:t>
            </w:r>
            <w:r>
              <w:rPr>
                <w:rFonts w:hint="eastAsia"/>
              </w:rPr>
              <w:t>，北侧江东大道和南侧河景路（均为城市主干道）道路边线</w:t>
            </w:r>
            <w:r>
              <w:t>35m范围</w:t>
            </w:r>
            <w:r>
              <w:rPr>
                <w:rFonts w:hint="eastAsia"/>
              </w:rPr>
              <w:t>内</w:t>
            </w:r>
            <w:r>
              <w:t>的区域执行《声环境质量标准》（GB3096-2008）4a类标准。</w:t>
            </w:r>
          </w:p>
          <w:p w14:paraId="4F4D8E16">
            <w:pPr>
              <w:pStyle w:val="9"/>
              <w:spacing w:before="120"/>
            </w:pPr>
            <w:bookmarkStart w:id="46" w:name="_Ref233635916"/>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10</w:t>
            </w:r>
            <w:r>
              <w:fldChar w:fldCharType="end"/>
            </w:r>
            <w:bookmarkEnd w:id="46"/>
            <w:r>
              <w:t xml:space="preserve"> 4a类功能区距离的判定</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604"/>
              <w:gridCol w:w="1927"/>
              <w:gridCol w:w="2756"/>
            </w:tblGrid>
            <w:tr w14:paraId="6A470E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12" w:type="dxa"/>
                  <w:vAlign w:val="center"/>
                </w:tcPr>
                <w:p w14:paraId="6D50D382">
                  <w:pPr>
                    <w:widowControl/>
                    <w:kinsoku w:val="0"/>
                    <w:autoSpaceDE w:val="0"/>
                    <w:autoSpaceDN w:val="0"/>
                    <w:spacing w:line="240" w:lineRule="auto"/>
                    <w:jc w:val="center"/>
                    <w:textAlignment w:val="baseline"/>
                    <w:outlineLvl w:val="2"/>
                    <w:rPr>
                      <w:rFonts w:cs="Arial"/>
                      <w:b/>
                      <w:bCs/>
                      <w:color w:val="000000"/>
                      <w:kern w:val="0"/>
                      <w:sz w:val="18"/>
                      <w:szCs w:val="18"/>
                    </w:rPr>
                  </w:pPr>
                  <w:r>
                    <w:rPr>
                      <w:rFonts w:ascii="宋体" w:hAnsi="宋体" w:eastAsia="Times New Roman" w:cs="Arial"/>
                      <w:b/>
                      <w:bCs/>
                      <w:color w:val="000000"/>
                      <w:kern w:val="0"/>
                      <w:sz w:val="18"/>
                      <w:szCs w:val="18"/>
                    </w:rPr>
                    <w:t>交通干线类型</w:t>
                  </w:r>
                </w:p>
              </w:tc>
              <w:tc>
                <w:tcPr>
                  <w:tcW w:w="1878" w:type="dxa"/>
                  <w:vAlign w:val="center"/>
                </w:tcPr>
                <w:p w14:paraId="50CF032F">
                  <w:pPr>
                    <w:widowControl/>
                    <w:kinsoku w:val="0"/>
                    <w:autoSpaceDE w:val="0"/>
                    <w:autoSpaceDN w:val="0"/>
                    <w:spacing w:line="240" w:lineRule="auto"/>
                    <w:jc w:val="center"/>
                    <w:textAlignment w:val="baseline"/>
                    <w:outlineLvl w:val="2"/>
                    <w:rPr>
                      <w:rFonts w:eastAsia="Times New Roman" w:cs="Arial"/>
                      <w:b/>
                      <w:bCs/>
                      <w:color w:val="000000"/>
                      <w:kern w:val="0"/>
                      <w:sz w:val="18"/>
                      <w:szCs w:val="18"/>
                    </w:rPr>
                  </w:pPr>
                  <w:r>
                    <w:rPr>
                      <w:rFonts w:ascii="宋体" w:hAnsi="宋体" w:eastAsia="Times New Roman" w:cs="Arial"/>
                      <w:b/>
                      <w:bCs/>
                      <w:color w:val="000000"/>
                      <w:kern w:val="0"/>
                      <w:sz w:val="18"/>
                      <w:szCs w:val="18"/>
                    </w:rPr>
                    <w:t>划分距离</w:t>
                  </w:r>
                  <w:r>
                    <w:rPr>
                      <w:rFonts w:eastAsia="Times New Roman" w:cs="Arial"/>
                      <w:b/>
                      <w:bCs/>
                      <w:color w:val="000000"/>
                      <w:kern w:val="0"/>
                      <w:sz w:val="18"/>
                      <w:szCs w:val="18"/>
                    </w:rPr>
                    <w:t>/</w:t>
                  </w:r>
                  <w:r>
                    <w:rPr>
                      <w:rFonts w:ascii="宋体" w:hAnsi="宋体" w:eastAsia="Times New Roman" w:cs="Arial"/>
                      <w:b/>
                      <w:bCs/>
                      <w:color w:val="000000"/>
                      <w:kern w:val="0"/>
                      <w:sz w:val="18"/>
                      <w:szCs w:val="18"/>
                    </w:rPr>
                    <w:t>米</w:t>
                  </w:r>
                </w:p>
              </w:tc>
              <w:tc>
                <w:tcPr>
                  <w:tcW w:w="2686" w:type="dxa"/>
                  <w:vAlign w:val="center"/>
                </w:tcPr>
                <w:p w14:paraId="30B9FDB6">
                  <w:pPr>
                    <w:widowControl/>
                    <w:kinsoku w:val="0"/>
                    <w:autoSpaceDE w:val="0"/>
                    <w:autoSpaceDN w:val="0"/>
                    <w:spacing w:line="240" w:lineRule="auto"/>
                    <w:jc w:val="center"/>
                    <w:textAlignment w:val="baseline"/>
                    <w:outlineLvl w:val="2"/>
                    <w:rPr>
                      <w:rFonts w:eastAsia="Times New Roman" w:cs="Arial"/>
                      <w:b/>
                      <w:bCs/>
                      <w:color w:val="000000"/>
                      <w:kern w:val="0"/>
                      <w:sz w:val="18"/>
                      <w:szCs w:val="18"/>
                    </w:rPr>
                  </w:pPr>
                  <w:r>
                    <w:rPr>
                      <w:rFonts w:ascii="宋体" w:hAnsi="宋体" w:eastAsia="Times New Roman" w:cs="Arial"/>
                      <w:b/>
                      <w:bCs/>
                      <w:color w:val="000000"/>
                      <w:kern w:val="0"/>
                      <w:sz w:val="18"/>
                      <w:szCs w:val="18"/>
                    </w:rPr>
                    <w:t>相邻功能区类型</w:t>
                  </w:r>
                </w:p>
              </w:tc>
            </w:tr>
            <w:tr w14:paraId="7B2C4A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12" w:type="dxa"/>
                  <w:vMerge w:val="restart"/>
                  <w:vAlign w:val="center"/>
                </w:tcPr>
                <w:p w14:paraId="430706FA">
                  <w:pPr>
                    <w:widowControl/>
                    <w:kinsoku w:val="0"/>
                    <w:autoSpaceDE w:val="0"/>
                    <w:autoSpaceDN w:val="0"/>
                    <w:spacing w:line="240" w:lineRule="auto"/>
                    <w:jc w:val="center"/>
                    <w:textAlignment w:val="baseline"/>
                    <w:outlineLvl w:val="2"/>
                    <w:rPr>
                      <w:rFonts w:eastAsia="Times New Roman" w:cs="Arial"/>
                      <w:color w:val="000000"/>
                      <w:kern w:val="0"/>
                      <w:sz w:val="18"/>
                      <w:szCs w:val="18"/>
                    </w:rPr>
                  </w:pPr>
                  <w:r>
                    <w:rPr>
                      <w:rFonts w:ascii="宋体" w:hAnsi="宋体" w:eastAsia="Times New Roman" w:cs="Arial"/>
                      <w:color w:val="000000"/>
                      <w:kern w:val="0"/>
                      <w:sz w:val="18"/>
                      <w:szCs w:val="18"/>
                    </w:rPr>
                    <w:t>高速公路、一级公路、二级公路、城市快速路、城市主干路、城市次干路、城市轨道交通线路（地面段）、内河航道</w:t>
                  </w:r>
                </w:p>
              </w:tc>
              <w:tc>
                <w:tcPr>
                  <w:tcW w:w="1878" w:type="dxa"/>
                  <w:vAlign w:val="center"/>
                </w:tcPr>
                <w:p w14:paraId="7FA37C09">
                  <w:pPr>
                    <w:widowControl/>
                    <w:kinsoku w:val="0"/>
                    <w:autoSpaceDE w:val="0"/>
                    <w:autoSpaceDN w:val="0"/>
                    <w:spacing w:line="240" w:lineRule="auto"/>
                    <w:jc w:val="center"/>
                    <w:textAlignment w:val="baseline"/>
                    <w:outlineLvl w:val="2"/>
                    <w:rPr>
                      <w:rFonts w:eastAsia="Times New Roman" w:cs="Arial"/>
                      <w:color w:val="000000"/>
                      <w:kern w:val="0"/>
                      <w:sz w:val="18"/>
                      <w:szCs w:val="18"/>
                    </w:rPr>
                  </w:pPr>
                  <w:r>
                    <w:rPr>
                      <w:rFonts w:eastAsia="Times New Roman" w:cs="Arial"/>
                      <w:color w:val="000000"/>
                      <w:kern w:val="0"/>
                      <w:sz w:val="18"/>
                      <w:szCs w:val="18"/>
                    </w:rPr>
                    <w:t>50</w:t>
                  </w:r>
                </w:p>
              </w:tc>
              <w:tc>
                <w:tcPr>
                  <w:tcW w:w="2686" w:type="dxa"/>
                  <w:vAlign w:val="center"/>
                </w:tcPr>
                <w:p w14:paraId="3DDA4F98">
                  <w:pPr>
                    <w:widowControl/>
                    <w:kinsoku w:val="0"/>
                    <w:autoSpaceDE w:val="0"/>
                    <w:autoSpaceDN w:val="0"/>
                    <w:spacing w:line="240" w:lineRule="auto"/>
                    <w:jc w:val="center"/>
                    <w:textAlignment w:val="baseline"/>
                    <w:outlineLvl w:val="2"/>
                    <w:rPr>
                      <w:rFonts w:eastAsia="Times New Roman" w:cs="Arial"/>
                      <w:color w:val="000000"/>
                      <w:kern w:val="0"/>
                      <w:sz w:val="18"/>
                      <w:szCs w:val="18"/>
                    </w:rPr>
                  </w:pPr>
                  <w:r>
                    <w:rPr>
                      <w:rFonts w:eastAsia="Times New Roman" w:cs="Arial"/>
                      <w:color w:val="000000"/>
                      <w:kern w:val="0"/>
                      <w:sz w:val="18"/>
                      <w:szCs w:val="18"/>
                    </w:rPr>
                    <w:t>1</w:t>
                  </w:r>
                  <w:r>
                    <w:rPr>
                      <w:rFonts w:ascii="宋体" w:hAnsi="宋体" w:eastAsia="Times New Roman" w:cs="Arial"/>
                      <w:color w:val="000000"/>
                      <w:kern w:val="0"/>
                      <w:sz w:val="18"/>
                      <w:szCs w:val="18"/>
                    </w:rPr>
                    <w:t>类区</w:t>
                  </w:r>
                </w:p>
              </w:tc>
            </w:tr>
            <w:tr w14:paraId="02DAF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2" w:type="dxa"/>
                  <w:vMerge w:val="continue"/>
                  <w:vAlign w:val="center"/>
                </w:tcPr>
                <w:p w14:paraId="6D31A5AC">
                  <w:pPr>
                    <w:widowControl/>
                    <w:adjustRightInd/>
                    <w:snapToGrid/>
                    <w:spacing w:line="240" w:lineRule="auto"/>
                    <w:jc w:val="left"/>
                    <w:rPr>
                      <w:rFonts w:cs="Arial"/>
                      <w:color w:val="000000"/>
                      <w:kern w:val="0"/>
                      <w:sz w:val="18"/>
                      <w:szCs w:val="18"/>
                    </w:rPr>
                  </w:pPr>
                </w:p>
              </w:tc>
              <w:tc>
                <w:tcPr>
                  <w:tcW w:w="1878" w:type="dxa"/>
                  <w:vAlign w:val="center"/>
                </w:tcPr>
                <w:p w14:paraId="24ADADCC">
                  <w:pPr>
                    <w:widowControl/>
                    <w:kinsoku w:val="0"/>
                    <w:autoSpaceDE w:val="0"/>
                    <w:autoSpaceDN w:val="0"/>
                    <w:spacing w:line="240" w:lineRule="auto"/>
                    <w:jc w:val="center"/>
                    <w:textAlignment w:val="baseline"/>
                    <w:outlineLvl w:val="2"/>
                    <w:rPr>
                      <w:rFonts w:eastAsia="Times New Roman" w:cs="Arial"/>
                      <w:color w:val="000000"/>
                      <w:kern w:val="0"/>
                      <w:sz w:val="18"/>
                      <w:szCs w:val="18"/>
                    </w:rPr>
                  </w:pPr>
                  <w:r>
                    <w:rPr>
                      <w:rFonts w:eastAsia="Times New Roman" w:cs="Arial"/>
                      <w:color w:val="000000"/>
                      <w:kern w:val="0"/>
                      <w:sz w:val="18"/>
                      <w:szCs w:val="18"/>
                    </w:rPr>
                    <w:t>35</w:t>
                  </w:r>
                </w:p>
              </w:tc>
              <w:tc>
                <w:tcPr>
                  <w:tcW w:w="2686" w:type="dxa"/>
                  <w:vAlign w:val="center"/>
                </w:tcPr>
                <w:p w14:paraId="35F13DC2">
                  <w:pPr>
                    <w:widowControl/>
                    <w:kinsoku w:val="0"/>
                    <w:autoSpaceDE w:val="0"/>
                    <w:autoSpaceDN w:val="0"/>
                    <w:spacing w:line="240" w:lineRule="auto"/>
                    <w:jc w:val="center"/>
                    <w:textAlignment w:val="baseline"/>
                    <w:outlineLvl w:val="2"/>
                    <w:rPr>
                      <w:rFonts w:eastAsia="Times New Roman" w:cs="Arial"/>
                      <w:color w:val="000000"/>
                      <w:kern w:val="0"/>
                      <w:sz w:val="18"/>
                      <w:szCs w:val="18"/>
                    </w:rPr>
                  </w:pPr>
                  <w:r>
                    <w:rPr>
                      <w:rFonts w:eastAsia="Times New Roman" w:cs="Arial"/>
                      <w:color w:val="000000"/>
                      <w:kern w:val="0"/>
                      <w:sz w:val="18"/>
                      <w:szCs w:val="18"/>
                    </w:rPr>
                    <w:t>2</w:t>
                  </w:r>
                  <w:r>
                    <w:rPr>
                      <w:rFonts w:ascii="宋体" w:hAnsi="宋体" w:eastAsia="Times New Roman" w:cs="Arial"/>
                      <w:color w:val="000000"/>
                      <w:kern w:val="0"/>
                      <w:sz w:val="18"/>
                      <w:szCs w:val="18"/>
                    </w:rPr>
                    <w:t>类区</w:t>
                  </w:r>
                </w:p>
              </w:tc>
            </w:tr>
            <w:tr w14:paraId="699E9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2" w:type="dxa"/>
                  <w:vMerge w:val="continue"/>
                  <w:vAlign w:val="center"/>
                </w:tcPr>
                <w:p w14:paraId="2610612A">
                  <w:pPr>
                    <w:widowControl/>
                    <w:adjustRightInd/>
                    <w:snapToGrid/>
                    <w:spacing w:line="240" w:lineRule="auto"/>
                    <w:jc w:val="left"/>
                    <w:rPr>
                      <w:rFonts w:cs="Arial"/>
                      <w:color w:val="000000"/>
                      <w:kern w:val="0"/>
                      <w:sz w:val="18"/>
                      <w:szCs w:val="18"/>
                    </w:rPr>
                  </w:pPr>
                </w:p>
              </w:tc>
              <w:tc>
                <w:tcPr>
                  <w:tcW w:w="1878" w:type="dxa"/>
                  <w:vAlign w:val="center"/>
                </w:tcPr>
                <w:p w14:paraId="5D6C58E2">
                  <w:pPr>
                    <w:widowControl/>
                    <w:kinsoku w:val="0"/>
                    <w:autoSpaceDE w:val="0"/>
                    <w:autoSpaceDN w:val="0"/>
                    <w:spacing w:line="240" w:lineRule="auto"/>
                    <w:jc w:val="center"/>
                    <w:textAlignment w:val="baseline"/>
                    <w:outlineLvl w:val="2"/>
                    <w:rPr>
                      <w:rFonts w:eastAsia="Times New Roman" w:cs="Arial"/>
                      <w:color w:val="000000"/>
                      <w:kern w:val="0"/>
                      <w:sz w:val="18"/>
                      <w:szCs w:val="18"/>
                    </w:rPr>
                  </w:pPr>
                  <w:r>
                    <w:rPr>
                      <w:rFonts w:eastAsia="Times New Roman" w:cs="Arial"/>
                      <w:color w:val="000000"/>
                      <w:kern w:val="0"/>
                      <w:sz w:val="18"/>
                      <w:szCs w:val="18"/>
                    </w:rPr>
                    <w:t>25</w:t>
                  </w:r>
                </w:p>
              </w:tc>
              <w:tc>
                <w:tcPr>
                  <w:tcW w:w="2686" w:type="dxa"/>
                  <w:vAlign w:val="center"/>
                </w:tcPr>
                <w:p w14:paraId="209AB1AB">
                  <w:pPr>
                    <w:widowControl/>
                    <w:kinsoku w:val="0"/>
                    <w:autoSpaceDE w:val="0"/>
                    <w:autoSpaceDN w:val="0"/>
                    <w:spacing w:line="240" w:lineRule="auto"/>
                    <w:jc w:val="center"/>
                    <w:textAlignment w:val="baseline"/>
                    <w:outlineLvl w:val="2"/>
                    <w:rPr>
                      <w:rFonts w:eastAsia="Times New Roman" w:cs="Arial"/>
                      <w:color w:val="000000"/>
                      <w:kern w:val="0"/>
                      <w:sz w:val="18"/>
                      <w:szCs w:val="18"/>
                    </w:rPr>
                  </w:pPr>
                  <w:r>
                    <w:rPr>
                      <w:rFonts w:eastAsia="Times New Roman" w:cs="Arial"/>
                      <w:color w:val="000000"/>
                      <w:kern w:val="0"/>
                      <w:sz w:val="18"/>
                      <w:szCs w:val="18"/>
                    </w:rPr>
                    <w:t>3</w:t>
                  </w:r>
                  <w:r>
                    <w:rPr>
                      <w:rFonts w:ascii="宋体" w:hAnsi="宋体" w:eastAsia="Times New Roman" w:cs="Arial"/>
                      <w:color w:val="000000"/>
                      <w:kern w:val="0"/>
                      <w:sz w:val="18"/>
                      <w:szCs w:val="18"/>
                    </w:rPr>
                    <w:t>类区</w:t>
                  </w:r>
                </w:p>
              </w:tc>
            </w:tr>
          </w:tbl>
          <w:p w14:paraId="05502196">
            <w:pPr>
              <w:pStyle w:val="4"/>
            </w:pPr>
            <w:r>
              <w:t>污染物排放标准</w:t>
            </w:r>
          </w:p>
          <w:p w14:paraId="6E2527F8">
            <w:pPr>
              <w:widowControl/>
              <w:kinsoku w:val="0"/>
              <w:autoSpaceDE w:val="0"/>
              <w:autoSpaceDN w:val="0"/>
              <w:ind w:firstLine="422" w:firstLineChars="200"/>
              <w:textAlignment w:val="baseline"/>
              <w:rPr>
                <w:b/>
                <w:color w:val="000000"/>
                <w:kern w:val="0"/>
                <w:szCs w:val="21"/>
              </w:rPr>
            </w:pPr>
            <w:r>
              <w:rPr>
                <w:b/>
                <w:color w:val="000000"/>
                <w:kern w:val="0"/>
                <w:szCs w:val="21"/>
              </w:rPr>
              <w:t>1</w:t>
            </w:r>
            <w:r>
              <w:rPr>
                <w:rFonts w:ascii="宋体" w:hAnsi="宋体"/>
                <w:b/>
                <w:color w:val="000000"/>
                <w:kern w:val="0"/>
                <w:szCs w:val="21"/>
              </w:rPr>
              <w:t>、废水</w:t>
            </w:r>
          </w:p>
          <w:p w14:paraId="227B42F1">
            <w:pPr>
              <w:widowControl/>
              <w:kinsoku w:val="0"/>
              <w:autoSpaceDE w:val="0"/>
              <w:autoSpaceDN w:val="0"/>
              <w:ind w:firstLine="420" w:firstLineChars="200"/>
              <w:textAlignment w:val="baseline"/>
              <w:rPr>
                <w:rFonts w:hint="eastAsia" w:ascii="宋体" w:hAnsi="宋体"/>
                <w:color w:val="000000"/>
                <w:kern w:val="0"/>
                <w:szCs w:val="21"/>
              </w:rPr>
            </w:pPr>
            <w:r>
              <w:rPr>
                <w:rFonts w:hint="eastAsia" w:ascii="宋体" w:hAnsi="宋体"/>
                <w:color w:val="000000"/>
                <w:kern w:val="0"/>
                <w:szCs w:val="21"/>
              </w:rPr>
              <w:t>本项目废水主要产生于施工期，运营期无废水产生。施工废水在施工期设置简易隔油沉淀池，经隔油沉淀后上清液回用，可用于施工场地的洒水降尘和施工车辆冲洗等工作，不外排。施工期在施工区域设置有临时生活营地，生活污水经处理后将委托环卫部门外运。</w:t>
            </w:r>
          </w:p>
          <w:p w14:paraId="417E1016">
            <w:pPr>
              <w:widowControl/>
              <w:kinsoku w:val="0"/>
              <w:autoSpaceDE w:val="0"/>
              <w:autoSpaceDN w:val="0"/>
              <w:ind w:firstLine="422" w:firstLineChars="200"/>
              <w:textAlignment w:val="baseline"/>
              <w:rPr>
                <w:b/>
                <w:color w:val="000000"/>
                <w:kern w:val="0"/>
                <w:szCs w:val="21"/>
              </w:rPr>
            </w:pPr>
            <w:r>
              <w:rPr>
                <w:b/>
                <w:color w:val="000000"/>
                <w:kern w:val="0"/>
                <w:szCs w:val="21"/>
              </w:rPr>
              <w:t>2</w:t>
            </w:r>
            <w:r>
              <w:rPr>
                <w:rFonts w:ascii="宋体" w:hAnsi="宋体"/>
                <w:b/>
                <w:color w:val="000000"/>
                <w:kern w:val="0"/>
                <w:szCs w:val="21"/>
              </w:rPr>
              <w:t>、噪声</w:t>
            </w:r>
          </w:p>
          <w:p w14:paraId="1C3BFC0E">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施工噪声执行《建筑施工噪声排放标准》（</w:t>
            </w:r>
            <w:r>
              <w:rPr>
                <w:color w:val="000000"/>
                <w:kern w:val="0"/>
                <w:szCs w:val="21"/>
              </w:rPr>
              <w:t>GB12523-2025</w:t>
            </w:r>
            <w:r>
              <w:rPr>
                <w:rFonts w:ascii="宋体" w:hAnsi="宋体"/>
                <w:color w:val="000000"/>
                <w:kern w:val="0"/>
                <w:szCs w:val="21"/>
              </w:rPr>
              <w:t>），具体详见</w:t>
            </w:r>
            <w:r>
              <w:rPr>
                <w:rFonts w:hint="eastAsia" w:ascii="宋体" w:hAnsi="宋体"/>
                <w:color w:val="000000"/>
                <w:kern w:val="0"/>
                <w:szCs w:val="21"/>
              </w:rPr>
              <w:fldChar w:fldCharType="begin"/>
            </w:r>
            <w:r>
              <w:rPr>
                <w:rFonts w:hint="eastAsia" w:ascii="宋体" w:hAnsi="宋体"/>
                <w:color w:val="000000"/>
                <w:kern w:val="0"/>
                <w:szCs w:val="21"/>
              </w:rPr>
              <w:instrText xml:space="preserve"> </w:instrText>
            </w:r>
            <w:r>
              <w:rPr>
                <w:rFonts w:ascii="宋体" w:hAnsi="宋体"/>
                <w:color w:val="000000"/>
                <w:kern w:val="0"/>
                <w:szCs w:val="21"/>
              </w:rPr>
              <w:instrText xml:space="preserve">REF _Ref233638283 \h</w:instrText>
            </w:r>
            <w:r>
              <w:rPr>
                <w:rFonts w:hint="eastAsia" w:ascii="宋体" w:hAnsi="宋体"/>
                <w:color w:val="000000"/>
                <w:kern w:val="0"/>
                <w:szCs w:val="21"/>
              </w:rPr>
              <w:instrText xml:space="preserve">  \* MERGEFORMAT </w:instrText>
            </w:r>
            <w:r>
              <w:rPr>
                <w:rFonts w:hint="eastAsia" w:ascii="宋体" w:hAnsi="宋体"/>
                <w:color w:val="000000"/>
                <w:kern w:val="0"/>
                <w:szCs w:val="21"/>
              </w:rPr>
              <w:fldChar w:fldCharType="separate"/>
            </w:r>
            <w:r>
              <w:t>表 3</w:t>
            </w:r>
            <w:r>
              <w:noBreakHyphen/>
            </w:r>
            <w:r>
              <w:t>11</w:t>
            </w:r>
            <w:r>
              <w:rPr>
                <w:rFonts w:hint="eastAsia" w:ascii="宋体" w:hAnsi="宋体"/>
                <w:color w:val="000000"/>
                <w:kern w:val="0"/>
                <w:szCs w:val="21"/>
              </w:rPr>
              <w:fldChar w:fldCharType="end"/>
            </w:r>
            <w:r>
              <w:rPr>
                <w:rFonts w:ascii="宋体" w:hAnsi="宋体"/>
                <w:color w:val="000000"/>
                <w:kern w:val="0"/>
                <w:szCs w:val="21"/>
              </w:rPr>
              <w:t>。</w:t>
            </w:r>
          </w:p>
          <w:p w14:paraId="4441612E">
            <w:pPr>
              <w:pStyle w:val="9"/>
              <w:spacing w:before="120"/>
            </w:pPr>
            <w:bookmarkStart w:id="47" w:name="_Ref233638283"/>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11</w:t>
            </w:r>
            <w:r>
              <w:fldChar w:fldCharType="end"/>
            </w:r>
            <w:bookmarkEnd w:id="47"/>
            <w:r>
              <w:t>建筑施工场界噪声排放限值</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275"/>
              <w:gridCol w:w="4012"/>
            </w:tblGrid>
            <w:tr w14:paraId="1896F7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62" w:type="dxa"/>
                  <w:gridSpan w:val="2"/>
                  <w:vAlign w:val="center"/>
                </w:tcPr>
                <w:p w14:paraId="1B39EF1D">
                  <w:pPr>
                    <w:widowControl/>
                    <w:kinsoku w:val="0"/>
                    <w:autoSpaceDE w:val="0"/>
                    <w:autoSpaceDN w:val="0"/>
                    <w:spacing w:line="240" w:lineRule="auto"/>
                    <w:jc w:val="center"/>
                    <w:textAlignment w:val="baseline"/>
                    <w:rPr>
                      <w:b/>
                      <w:bCs/>
                      <w:color w:val="000000"/>
                      <w:kern w:val="0"/>
                      <w:sz w:val="18"/>
                      <w:szCs w:val="18"/>
                    </w:rPr>
                  </w:pPr>
                  <w:bookmarkStart w:id="48" w:name="_Toc527456260"/>
                  <w:r>
                    <w:rPr>
                      <w:rFonts w:ascii="宋体" w:hAnsi="宋体"/>
                      <w:b/>
                      <w:bCs/>
                      <w:color w:val="000000"/>
                      <w:kern w:val="0"/>
                      <w:sz w:val="18"/>
                      <w:szCs w:val="18"/>
                    </w:rPr>
                    <w:t>噪声限值</w:t>
                  </w:r>
                  <w:r>
                    <w:rPr>
                      <w:b/>
                      <w:bCs/>
                      <w:color w:val="000000"/>
                      <w:kern w:val="0"/>
                      <w:sz w:val="18"/>
                      <w:szCs w:val="18"/>
                    </w:rPr>
                    <w:t>[dB</w:t>
                  </w:r>
                  <w:bookmarkEnd w:id="48"/>
                  <w:r>
                    <w:rPr>
                      <w:rFonts w:ascii="宋体" w:hAnsi="宋体"/>
                      <w:b/>
                      <w:bCs/>
                      <w:color w:val="000000"/>
                      <w:kern w:val="0"/>
                      <w:sz w:val="18"/>
                      <w:szCs w:val="18"/>
                    </w:rPr>
                    <w:t>（</w:t>
                  </w:r>
                  <w:r>
                    <w:rPr>
                      <w:b/>
                      <w:bCs/>
                      <w:color w:val="000000"/>
                      <w:kern w:val="0"/>
                      <w:sz w:val="18"/>
                      <w:szCs w:val="18"/>
                    </w:rPr>
                    <w:t>A</w:t>
                  </w:r>
                  <w:r>
                    <w:rPr>
                      <w:rFonts w:ascii="宋体" w:hAnsi="宋体"/>
                      <w:b/>
                      <w:bCs/>
                      <w:color w:val="000000"/>
                      <w:kern w:val="0"/>
                      <w:sz w:val="18"/>
                      <w:szCs w:val="18"/>
                    </w:rPr>
                    <w:t>）</w:t>
                  </w:r>
                  <w:r>
                    <w:rPr>
                      <w:b/>
                      <w:bCs/>
                      <w:color w:val="000000"/>
                      <w:kern w:val="0"/>
                      <w:sz w:val="18"/>
                      <w:szCs w:val="18"/>
                    </w:rPr>
                    <w:t>]</w:t>
                  </w:r>
                </w:p>
              </w:tc>
            </w:tr>
            <w:tr w14:paraId="52B4C0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6" w:type="dxa"/>
                  <w:vAlign w:val="center"/>
                </w:tcPr>
                <w:p w14:paraId="729C7DBA">
                  <w:pPr>
                    <w:widowControl/>
                    <w:kinsoku w:val="0"/>
                    <w:autoSpaceDE w:val="0"/>
                    <w:autoSpaceDN w:val="0"/>
                    <w:spacing w:line="240" w:lineRule="auto"/>
                    <w:jc w:val="center"/>
                    <w:textAlignment w:val="baseline"/>
                    <w:rPr>
                      <w:bCs/>
                      <w:color w:val="000000"/>
                      <w:kern w:val="0"/>
                      <w:sz w:val="18"/>
                      <w:szCs w:val="18"/>
                    </w:rPr>
                  </w:pPr>
                  <w:bookmarkStart w:id="49" w:name="_Toc527456261"/>
                  <w:r>
                    <w:rPr>
                      <w:rFonts w:ascii="宋体" w:hAnsi="宋体"/>
                      <w:bCs/>
                      <w:color w:val="000000"/>
                      <w:kern w:val="0"/>
                      <w:sz w:val="18"/>
                      <w:szCs w:val="18"/>
                    </w:rPr>
                    <w:t>昼间</w:t>
                  </w:r>
                  <w:bookmarkEnd w:id="49"/>
                </w:p>
              </w:tc>
              <w:tc>
                <w:tcPr>
                  <w:tcW w:w="4386" w:type="dxa"/>
                  <w:vAlign w:val="center"/>
                </w:tcPr>
                <w:p w14:paraId="78904BB1">
                  <w:pPr>
                    <w:widowControl/>
                    <w:kinsoku w:val="0"/>
                    <w:autoSpaceDE w:val="0"/>
                    <w:autoSpaceDN w:val="0"/>
                    <w:spacing w:line="240" w:lineRule="auto"/>
                    <w:jc w:val="center"/>
                    <w:textAlignment w:val="baseline"/>
                    <w:rPr>
                      <w:bCs/>
                      <w:color w:val="000000"/>
                      <w:kern w:val="0"/>
                      <w:sz w:val="18"/>
                      <w:szCs w:val="18"/>
                    </w:rPr>
                  </w:pPr>
                  <w:bookmarkStart w:id="50" w:name="_Toc67061067"/>
                  <w:r>
                    <w:rPr>
                      <w:rFonts w:ascii="宋体" w:hAnsi="宋体"/>
                      <w:bCs/>
                      <w:color w:val="000000"/>
                      <w:kern w:val="0"/>
                      <w:sz w:val="18"/>
                      <w:szCs w:val="18"/>
                    </w:rPr>
                    <w:t>夜间</w:t>
                  </w:r>
                  <w:bookmarkEnd w:id="50"/>
                </w:p>
              </w:tc>
            </w:tr>
            <w:tr w14:paraId="1E873C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76" w:type="dxa"/>
                  <w:vAlign w:val="center"/>
                </w:tcPr>
                <w:p w14:paraId="7B51BFE2">
                  <w:pPr>
                    <w:widowControl/>
                    <w:kinsoku w:val="0"/>
                    <w:autoSpaceDE w:val="0"/>
                    <w:autoSpaceDN w:val="0"/>
                    <w:spacing w:line="240" w:lineRule="auto"/>
                    <w:jc w:val="center"/>
                    <w:textAlignment w:val="baseline"/>
                    <w:rPr>
                      <w:bCs/>
                      <w:color w:val="000000"/>
                      <w:kern w:val="0"/>
                      <w:sz w:val="18"/>
                      <w:szCs w:val="18"/>
                    </w:rPr>
                  </w:pPr>
                  <w:bookmarkStart w:id="51" w:name="_Toc500804466"/>
                  <w:r>
                    <w:rPr>
                      <w:bCs/>
                      <w:color w:val="000000"/>
                      <w:kern w:val="0"/>
                      <w:sz w:val="18"/>
                      <w:szCs w:val="18"/>
                    </w:rPr>
                    <w:t>70</w:t>
                  </w:r>
                  <w:bookmarkEnd w:id="51"/>
                </w:p>
              </w:tc>
              <w:tc>
                <w:tcPr>
                  <w:tcW w:w="4386" w:type="dxa"/>
                  <w:vAlign w:val="center"/>
                </w:tcPr>
                <w:p w14:paraId="0A3B4308">
                  <w:pPr>
                    <w:widowControl/>
                    <w:kinsoku w:val="0"/>
                    <w:autoSpaceDE w:val="0"/>
                    <w:autoSpaceDN w:val="0"/>
                    <w:spacing w:line="240" w:lineRule="auto"/>
                    <w:jc w:val="center"/>
                    <w:textAlignment w:val="baseline"/>
                    <w:rPr>
                      <w:bCs/>
                      <w:color w:val="000000"/>
                      <w:kern w:val="0"/>
                      <w:sz w:val="18"/>
                      <w:szCs w:val="18"/>
                    </w:rPr>
                  </w:pPr>
                  <w:bookmarkStart w:id="52" w:name="_Toc67061069"/>
                  <w:r>
                    <w:rPr>
                      <w:bCs/>
                      <w:color w:val="000000"/>
                      <w:kern w:val="0"/>
                      <w:sz w:val="18"/>
                      <w:szCs w:val="18"/>
                    </w:rPr>
                    <w:t>55</w:t>
                  </w:r>
                  <w:bookmarkEnd w:id="52"/>
                </w:p>
              </w:tc>
            </w:tr>
          </w:tbl>
          <w:p w14:paraId="451CAC58">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其中夜间噪声最大声级超过限值的幅度不得高于</w:t>
            </w:r>
            <w:r>
              <w:rPr>
                <w:color w:val="000000"/>
                <w:kern w:val="0"/>
                <w:szCs w:val="21"/>
              </w:rPr>
              <w:t>15dB</w:t>
            </w:r>
            <w:r>
              <w:rPr>
                <w:rFonts w:ascii="宋体" w:hAnsi="宋体"/>
                <w:color w:val="000000"/>
                <w:kern w:val="0"/>
                <w:szCs w:val="21"/>
              </w:rPr>
              <w:t>（</w:t>
            </w:r>
            <w:r>
              <w:rPr>
                <w:color w:val="000000"/>
                <w:kern w:val="0"/>
                <w:szCs w:val="21"/>
              </w:rPr>
              <w:t>A</w:t>
            </w:r>
            <w:r>
              <w:rPr>
                <w:rFonts w:ascii="宋体" w:hAnsi="宋体"/>
                <w:color w:val="000000"/>
                <w:kern w:val="0"/>
                <w:szCs w:val="21"/>
              </w:rPr>
              <w:t>）。</w:t>
            </w:r>
          </w:p>
          <w:p w14:paraId="04AE030D">
            <w:pPr>
              <w:widowControl/>
              <w:kinsoku w:val="0"/>
              <w:autoSpaceDE w:val="0"/>
              <w:autoSpaceDN w:val="0"/>
              <w:ind w:firstLine="422" w:firstLineChars="200"/>
              <w:textAlignment w:val="baseline"/>
              <w:rPr>
                <w:b/>
                <w:color w:val="000000"/>
                <w:kern w:val="0"/>
                <w:szCs w:val="21"/>
              </w:rPr>
            </w:pPr>
            <w:r>
              <w:rPr>
                <w:b/>
                <w:color w:val="000000"/>
                <w:kern w:val="0"/>
                <w:szCs w:val="21"/>
              </w:rPr>
              <w:t>3</w:t>
            </w:r>
            <w:r>
              <w:rPr>
                <w:rFonts w:ascii="宋体" w:hAnsi="宋体"/>
                <w:b/>
                <w:color w:val="000000"/>
                <w:kern w:val="0"/>
                <w:szCs w:val="21"/>
              </w:rPr>
              <w:t>、废气</w:t>
            </w:r>
          </w:p>
          <w:p w14:paraId="22B7C9CA">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项目施工期废气排放执行《大气污染物综合排放标准》（</w:t>
            </w:r>
            <w:r>
              <w:rPr>
                <w:color w:val="000000"/>
                <w:kern w:val="0"/>
                <w:szCs w:val="21"/>
              </w:rPr>
              <w:t>GB16297-1996</w:t>
            </w:r>
            <w:r>
              <w:rPr>
                <w:rFonts w:ascii="宋体" w:hAnsi="宋体"/>
                <w:color w:val="000000"/>
                <w:kern w:val="0"/>
                <w:szCs w:val="21"/>
              </w:rPr>
              <w:t>）新污染源二级标准，详见下</w:t>
            </w:r>
            <w:r>
              <w:rPr>
                <w:rFonts w:hint="eastAsia" w:ascii="宋体" w:hAnsi="宋体"/>
                <w:color w:val="000000"/>
                <w:kern w:val="0"/>
                <w:szCs w:val="21"/>
              </w:rPr>
              <w:t>表</w:t>
            </w:r>
            <w:r>
              <w:rPr>
                <w:rFonts w:ascii="宋体" w:hAnsi="宋体"/>
                <w:color w:val="000000"/>
                <w:kern w:val="0"/>
                <w:szCs w:val="21"/>
              </w:rPr>
              <w:t>。</w:t>
            </w:r>
          </w:p>
          <w:p w14:paraId="7FC50978">
            <w:pPr>
              <w:pStyle w:val="9"/>
              <w:spacing w:before="120"/>
            </w:pPr>
            <w:bookmarkStart w:id="53" w:name="_Ref233638819"/>
            <w:r>
              <w:t xml:space="preserve">表 </w:t>
            </w:r>
            <w:r>
              <w:fldChar w:fldCharType="begin"/>
            </w:r>
            <w:r>
              <w:instrText xml:space="preserve"> STYLEREF 1 \s </w:instrText>
            </w:r>
            <w:r>
              <w:fldChar w:fldCharType="separate"/>
            </w:r>
            <w:r>
              <w:t>3</w:t>
            </w:r>
            <w:r>
              <w:fldChar w:fldCharType="end"/>
            </w:r>
            <w:r>
              <w:noBreakHyphen/>
            </w:r>
            <w:r>
              <w:fldChar w:fldCharType="begin"/>
            </w:r>
            <w:r>
              <w:instrText xml:space="preserve"> SEQ 表 \* ARABIC \s 1 </w:instrText>
            </w:r>
            <w:r>
              <w:fldChar w:fldCharType="separate"/>
            </w:r>
            <w:r>
              <w:t>12</w:t>
            </w:r>
            <w:r>
              <w:fldChar w:fldCharType="end"/>
            </w:r>
            <w:bookmarkEnd w:id="53"/>
            <w:r>
              <w:t>《大气污染物综合排放标准》（GB16297-1996）</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642"/>
              <w:gridCol w:w="2813"/>
              <w:gridCol w:w="3842"/>
            </w:tblGrid>
            <w:tr w14:paraId="46E580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629" w:type="dxa"/>
                  <w:vMerge w:val="restart"/>
                  <w:tcBorders>
                    <w:top w:val="single" w:color="auto" w:sz="12" w:space="0"/>
                    <w:left w:val="single" w:color="auto" w:sz="12" w:space="0"/>
                    <w:bottom w:val="single" w:color="auto" w:sz="4" w:space="0"/>
                    <w:right w:val="single" w:color="auto" w:sz="4" w:space="0"/>
                  </w:tcBorders>
                  <w:vAlign w:val="center"/>
                </w:tcPr>
                <w:p w14:paraId="45093E8C">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污染物</w:t>
                  </w:r>
                </w:p>
              </w:tc>
              <w:tc>
                <w:tcPr>
                  <w:tcW w:w="6602" w:type="dxa"/>
                  <w:gridSpan w:val="2"/>
                  <w:tcBorders>
                    <w:top w:val="single" w:color="auto" w:sz="12" w:space="0"/>
                    <w:left w:val="single" w:color="auto" w:sz="4" w:space="0"/>
                    <w:bottom w:val="single" w:color="auto" w:sz="4" w:space="0"/>
                    <w:right w:val="single" w:color="auto" w:sz="12" w:space="0"/>
                  </w:tcBorders>
                  <w:vAlign w:val="center"/>
                </w:tcPr>
                <w:p w14:paraId="0EB167BD">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无组织排放监控浓度限值</w:t>
                  </w:r>
                </w:p>
              </w:tc>
            </w:tr>
            <w:tr w14:paraId="04599A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629" w:type="dxa"/>
                  <w:vMerge w:val="continue"/>
                  <w:tcBorders>
                    <w:top w:val="single" w:color="auto" w:sz="8" w:space="0"/>
                    <w:left w:val="single" w:color="auto" w:sz="12" w:space="0"/>
                    <w:bottom w:val="single" w:color="auto" w:sz="4" w:space="0"/>
                    <w:right w:val="single" w:color="auto" w:sz="4" w:space="0"/>
                  </w:tcBorders>
                  <w:vAlign w:val="center"/>
                </w:tcPr>
                <w:p w14:paraId="6D73E364">
                  <w:pPr>
                    <w:widowControl/>
                    <w:adjustRightInd/>
                    <w:snapToGrid/>
                    <w:spacing w:line="240" w:lineRule="auto"/>
                    <w:jc w:val="left"/>
                    <w:rPr>
                      <w:b/>
                      <w:color w:val="000000"/>
                      <w:kern w:val="0"/>
                      <w:sz w:val="18"/>
                      <w:szCs w:val="18"/>
                    </w:rPr>
                  </w:pPr>
                </w:p>
              </w:tc>
              <w:tc>
                <w:tcPr>
                  <w:tcW w:w="2791" w:type="dxa"/>
                  <w:tcBorders>
                    <w:top w:val="single" w:color="auto" w:sz="4" w:space="0"/>
                    <w:left w:val="single" w:color="auto" w:sz="4" w:space="0"/>
                    <w:bottom w:val="single" w:color="auto" w:sz="4" w:space="0"/>
                    <w:right w:val="single" w:color="auto" w:sz="4" w:space="0"/>
                  </w:tcBorders>
                  <w:vAlign w:val="center"/>
                </w:tcPr>
                <w:p w14:paraId="11E75C61">
                  <w:pPr>
                    <w:widowControl/>
                    <w:kinsoku w:val="0"/>
                    <w:autoSpaceDE w:val="0"/>
                    <w:autoSpaceDN w:val="0"/>
                    <w:spacing w:line="240" w:lineRule="auto"/>
                    <w:jc w:val="center"/>
                    <w:textAlignment w:val="baseline"/>
                    <w:rPr>
                      <w:b/>
                      <w:bCs/>
                      <w:color w:val="000000"/>
                      <w:kern w:val="0"/>
                      <w:sz w:val="18"/>
                      <w:szCs w:val="18"/>
                    </w:rPr>
                  </w:pPr>
                  <w:r>
                    <w:rPr>
                      <w:rFonts w:ascii="宋体" w:hAnsi="宋体"/>
                      <w:b/>
                      <w:bCs/>
                      <w:color w:val="000000"/>
                      <w:kern w:val="0"/>
                      <w:sz w:val="18"/>
                      <w:szCs w:val="18"/>
                    </w:rPr>
                    <w:t>监控点</w:t>
                  </w:r>
                </w:p>
              </w:tc>
              <w:tc>
                <w:tcPr>
                  <w:tcW w:w="3811" w:type="dxa"/>
                  <w:tcBorders>
                    <w:top w:val="single" w:color="auto" w:sz="4" w:space="0"/>
                    <w:left w:val="single" w:color="auto" w:sz="4" w:space="0"/>
                    <w:bottom w:val="single" w:color="auto" w:sz="4" w:space="0"/>
                    <w:right w:val="single" w:color="auto" w:sz="12" w:space="0"/>
                  </w:tcBorders>
                  <w:vAlign w:val="center"/>
                </w:tcPr>
                <w:p w14:paraId="73CFC230">
                  <w:pPr>
                    <w:widowControl/>
                    <w:kinsoku w:val="0"/>
                    <w:autoSpaceDE w:val="0"/>
                    <w:autoSpaceDN w:val="0"/>
                    <w:spacing w:line="240" w:lineRule="auto"/>
                    <w:jc w:val="center"/>
                    <w:textAlignment w:val="baseline"/>
                    <w:rPr>
                      <w:b/>
                      <w:bCs/>
                      <w:color w:val="000000"/>
                      <w:kern w:val="0"/>
                      <w:sz w:val="18"/>
                      <w:szCs w:val="18"/>
                    </w:rPr>
                  </w:pPr>
                  <w:r>
                    <w:rPr>
                      <w:rFonts w:ascii="宋体" w:hAnsi="宋体"/>
                      <w:b/>
                      <w:bCs/>
                      <w:color w:val="000000"/>
                      <w:kern w:val="0"/>
                      <w:sz w:val="18"/>
                      <w:szCs w:val="18"/>
                    </w:rPr>
                    <w:t>浓度（</w:t>
                  </w:r>
                  <w:r>
                    <w:rPr>
                      <w:b/>
                      <w:bCs/>
                      <w:color w:val="000000"/>
                      <w:kern w:val="0"/>
                      <w:sz w:val="18"/>
                      <w:szCs w:val="18"/>
                    </w:rPr>
                    <w:t>mg/m</w:t>
                  </w:r>
                  <w:r>
                    <w:rPr>
                      <w:b/>
                      <w:bCs/>
                      <w:color w:val="000000"/>
                      <w:kern w:val="0"/>
                      <w:sz w:val="18"/>
                      <w:szCs w:val="18"/>
                      <w:vertAlign w:val="superscript"/>
                    </w:rPr>
                    <w:t>3</w:t>
                  </w:r>
                  <w:r>
                    <w:rPr>
                      <w:rFonts w:ascii="宋体" w:hAnsi="宋体"/>
                      <w:b/>
                      <w:bCs/>
                      <w:color w:val="000000"/>
                      <w:kern w:val="0"/>
                      <w:sz w:val="18"/>
                      <w:szCs w:val="18"/>
                    </w:rPr>
                    <w:t>）</w:t>
                  </w:r>
                </w:p>
              </w:tc>
            </w:tr>
            <w:tr w14:paraId="109FE9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11" w:hRule="atLeast"/>
                <w:jc w:val="center"/>
              </w:trPr>
              <w:tc>
                <w:tcPr>
                  <w:tcW w:w="1629" w:type="dxa"/>
                  <w:tcBorders>
                    <w:top w:val="single" w:color="auto" w:sz="4" w:space="0"/>
                    <w:left w:val="single" w:color="auto" w:sz="12" w:space="0"/>
                    <w:bottom w:val="single" w:color="auto" w:sz="4" w:space="0"/>
                    <w:right w:val="single" w:color="auto" w:sz="4" w:space="0"/>
                  </w:tcBorders>
                  <w:vAlign w:val="center"/>
                </w:tcPr>
                <w:p w14:paraId="7C7CC288">
                  <w:pPr>
                    <w:widowControl/>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颗粒物</w:t>
                  </w:r>
                </w:p>
              </w:tc>
              <w:tc>
                <w:tcPr>
                  <w:tcW w:w="2791" w:type="dxa"/>
                  <w:tcBorders>
                    <w:top w:val="single" w:color="auto" w:sz="4" w:space="0"/>
                    <w:left w:val="single" w:color="auto" w:sz="4" w:space="0"/>
                    <w:bottom w:val="single" w:color="auto" w:sz="4" w:space="0"/>
                    <w:right w:val="single" w:color="auto" w:sz="4" w:space="0"/>
                  </w:tcBorders>
                  <w:vAlign w:val="center"/>
                </w:tcPr>
                <w:p w14:paraId="593FC3DB">
                  <w:pPr>
                    <w:widowControl/>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周界外</w:t>
                  </w:r>
                </w:p>
                <w:p w14:paraId="7E498A7D">
                  <w:pPr>
                    <w:widowControl/>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浓度最高点</w:t>
                  </w:r>
                </w:p>
              </w:tc>
              <w:tc>
                <w:tcPr>
                  <w:tcW w:w="3811" w:type="dxa"/>
                  <w:tcBorders>
                    <w:top w:val="single" w:color="auto" w:sz="4" w:space="0"/>
                    <w:left w:val="single" w:color="auto" w:sz="4" w:space="0"/>
                    <w:bottom w:val="single" w:color="auto" w:sz="4" w:space="0"/>
                    <w:right w:val="single" w:color="auto" w:sz="12" w:space="0"/>
                  </w:tcBorders>
                  <w:vAlign w:val="center"/>
                </w:tcPr>
                <w:p w14:paraId="6652C6C2">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1.0</w:t>
                  </w:r>
                </w:p>
              </w:tc>
            </w:tr>
            <w:tr w14:paraId="5C3D6F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629" w:type="dxa"/>
                  <w:tcBorders>
                    <w:top w:val="single" w:color="auto" w:sz="4" w:space="0"/>
                    <w:left w:val="single" w:color="auto" w:sz="12" w:space="0"/>
                    <w:bottom w:val="single" w:color="auto" w:sz="4" w:space="0"/>
                    <w:right w:val="single" w:color="auto" w:sz="4" w:space="0"/>
                  </w:tcBorders>
                  <w:vAlign w:val="center"/>
                </w:tcPr>
                <w:p w14:paraId="61C60D3B">
                  <w:pPr>
                    <w:widowControl/>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沥青烟</w:t>
                  </w:r>
                </w:p>
              </w:tc>
              <w:tc>
                <w:tcPr>
                  <w:tcW w:w="6602" w:type="dxa"/>
                  <w:gridSpan w:val="2"/>
                  <w:tcBorders>
                    <w:top w:val="single" w:color="auto" w:sz="4" w:space="0"/>
                    <w:left w:val="single" w:color="auto" w:sz="4" w:space="0"/>
                    <w:bottom w:val="single" w:color="auto" w:sz="4" w:space="0"/>
                    <w:right w:val="single" w:color="auto" w:sz="12" w:space="0"/>
                  </w:tcBorders>
                  <w:vAlign w:val="center"/>
                </w:tcPr>
                <w:p w14:paraId="05F67D9C">
                  <w:pPr>
                    <w:widowControl/>
                    <w:kinsoku w:val="0"/>
                    <w:autoSpaceDE w:val="0"/>
                    <w:autoSpaceDN w:val="0"/>
                    <w:spacing w:line="240" w:lineRule="auto"/>
                    <w:jc w:val="center"/>
                    <w:textAlignment w:val="baseline"/>
                    <w:rPr>
                      <w:color w:val="000000"/>
                      <w:kern w:val="0"/>
                      <w:sz w:val="18"/>
                      <w:szCs w:val="18"/>
                    </w:rPr>
                  </w:pPr>
                  <w:r>
                    <w:rPr>
                      <w:rFonts w:ascii="宋体" w:hAnsi="宋体"/>
                      <w:color w:val="000000"/>
                      <w:kern w:val="0"/>
                      <w:sz w:val="18"/>
                      <w:szCs w:val="18"/>
                    </w:rPr>
                    <w:t>生产设备不得有明显的无组织排放存在</w:t>
                  </w:r>
                </w:p>
              </w:tc>
            </w:tr>
            <w:tr w14:paraId="4D1C49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629" w:type="dxa"/>
                  <w:tcBorders>
                    <w:top w:val="single" w:color="auto" w:sz="4" w:space="0"/>
                    <w:left w:val="single" w:color="auto" w:sz="12" w:space="0"/>
                    <w:bottom w:val="single" w:color="auto" w:sz="12" w:space="0"/>
                    <w:right w:val="single" w:color="auto" w:sz="4" w:space="0"/>
                  </w:tcBorders>
                  <w:vAlign w:val="center"/>
                </w:tcPr>
                <w:p w14:paraId="3BF463A0">
                  <w:pPr>
                    <w:widowControl/>
                    <w:kinsoku w:val="0"/>
                    <w:autoSpaceDE w:val="0"/>
                    <w:autoSpaceDN w:val="0"/>
                    <w:spacing w:line="240" w:lineRule="auto"/>
                    <w:jc w:val="center"/>
                    <w:textAlignment w:val="baseline"/>
                    <w:rPr>
                      <w:rFonts w:hint="eastAsia" w:ascii="宋体" w:hAnsi="宋体"/>
                      <w:color w:val="000000"/>
                      <w:kern w:val="0"/>
                      <w:sz w:val="18"/>
                      <w:szCs w:val="18"/>
                    </w:rPr>
                  </w:pPr>
                  <w:r>
                    <w:rPr>
                      <w:rFonts w:ascii="宋体" w:hAnsi="宋体"/>
                      <w:color w:val="000000"/>
                      <w:kern w:val="0"/>
                      <w:sz w:val="18"/>
                      <w:szCs w:val="18"/>
                    </w:rPr>
                    <w:t>苯</w:t>
                  </w:r>
                  <w:r>
                    <w:rPr>
                      <w:sz w:val="18"/>
                      <w:szCs w:val="18"/>
                    </w:rPr>
                    <w:t>并[a]芘</w:t>
                  </w:r>
                </w:p>
              </w:tc>
              <w:tc>
                <w:tcPr>
                  <w:tcW w:w="6602" w:type="dxa"/>
                  <w:gridSpan w:val="2"/>
                  <w:tcBorders>
                    <w:top w:val="single" w:color="auto" w:sz="4" w:space="0"/>
                    <w:left w:val="single" w:color="auto" w:sz="4" w:space="0"/>
                    <w:bottom w:val="single" w:color="auto" w:sz="12" w:space="0"/>
                    <w:right w:val="single" w:color="auto" w:sz="12" w:space="0"/>
                  </w:tcBorders>
                  <w:vAlign w:val="center"/>
                </w:tcPr>
                <w:p w14:paraId="299ED348">
                  <w:pPr>
                    <w:widowControl/>
                    <w:kinsoku w:val="0"/>
                    <w:autoSpaceDE w:val="0"/>
                    <w:autoSpaceDN w:val="0"/>
                    <w:spacing w:line="240" w:lineRule="auto"/>
                    <w:jc w:val="center"/>
                    <w:textAlignment w:val="baseline"/>
                    <w:rPr>
                      <w:rFonts w:hint="eastAsia" w:ascii="宋体" w:hAnsi="宋体"/>
                      <w:color w:val="000000"/>
                      <w:kern w:val="0"/>
                      <w:sz w:val="18"/>
                      <w:szCs w:val="18"/>
                    </w:rPr>
                  </w:pPr>
                  <w:r>
                    <w:rPr>
                      <w:rFonts w:ascii="宋体" w:hAnsi="宋体"/>
                      <w:color w:val="000000"/>
                      <w:kern w:val="0"/>
                      <w:sz w:val="18"/>
                      <w:szCs w:val="18"/>
                    </w:rPr>
                    <w:t xml:space="preserve">周界外浓度最高点 </w:t>
                  </w:r>
                  <w:r>
                    <w:rPr>
                      <w:color w:val="000000"/>
                      <w:kern w:val="0"/>
                      <w:sz w:val="18"/>
                      <w:szCs w:val="18"/>
                    </w:rPr>
                    <w:t>≤ 0.008</w:t>
                  </w:r>
                  <w:r>
                    <w:rPr>
                      <w:sz w:val="18"/>
                      <w:szCs w:val="18"/>
                    </w:rPr>
                    <w:t xml:space="preserve"> μg/m³</w:t>
                  </w:r>
                </w:p>
              </w:tc>
            </w:tr>
          </w:tbl>
          <w:p w14:paraId="512B2DAC">
            <w:pPr>
              <w:widowControl/>
              <w:kinsoku w:val="0"/>
              <w:autoSpaceDE w:val="0"/>
              <w:autoSpaceDN w:val="0"/>
              <w:ind w:firstLine="422" w:firstLineChars="200"/>
              <w:textAlignment w:val="baseline"/>
              <w:rPr>
                <w:b/>
                <w:color w:val="000000"/>
                <w:kern w:val="0"/>
                <w:szCs w:val="21"/>
              </w:rPr>
            </w:pPr>
            <w:r>
              <w:rPr>
                <w:b/>
                <w:color w:val="000000"/>
                <w:kern w:val="0"/>
                <w:szCs w:val="21"/>
              </w:rPr>
              <w:t>4</w:t>
            </w:r>
            <w:r>
              <w:rPr>
                <w:rFonts w:ascii="宋体" w:hAnsi="宋体"/>
                <w:b/>
                <w:color w:val="000000"/>
                <w:kern w:val="0"/>
                <w:szCs w:val="21"/>
              </w:rPr>
              <w:t>、固废</w:t>
            </w:r>
          </w:p>
          <w:p w14:paraId="0083F0F0">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本项目固体废物的处理处置应满足《中华人民共和国固体废物污染环境防治法》</w:t>
            </w:r>
            <w:r>
              <w:rPr>
                <w:color w:val="000000"/>
                <w:kern w:val="0"/>
                <w:szCs w:val="21"/>
              </w:rPr>
              <w:t>(2020</w:t>
            </w:r>
            <w:r>
              <w:rPr>
                <w:rFonts w:ascii="宋体" w:hAnsi="宋体"/>
                <w:color w:val="000000"/>
                <w:kern w:val="0"/>
                <w:szCs w:val="21"/>
              </w:rPr>
              <w:t>年</w:t>
            </w:r>
            <w:r>
              <w:rPr>
                <w:color w:val="000000"/>
                <w:kern w:val="0"/>
                <w:szCs w:val="21"/>
              </w:rPr>
              <w:t>4</w:t>
            </w:r>
            <w:r>
              <w:rPr>
                <w:rFonts w:ascii="宋体" w:hAnsi="宋体"/>
                <w:color w:val="000000"/>
                <w:kern w:val="0"/>
                <w:szCs w:val="21"/>
              </w:rPr>
              <w:t>月</w:t>
            </w:r>
            <w:r>
              <w:rPr>
                <w:color w:val="000000"/>
                <w:kern w:val="0"/>
                <w:szCs w:val="21"/>
              </w:rPr>
              <w:t>20</w:t>
            </w:r>
            <w:r>
              <w:rPr>
                <w:rFonts w:ascii="宋体" w:hAnsi="宋体"/>
                <w:color w:val="000000"/>
                <w:kern w:val="0"/>
                <w:szCs w:val="21"/>
              </w:rPr>
              <w:t>日修订</w:t>
            </w:r>
            <w:r>
              <w:rPr>
                <w:color w:val="000000"/>
                <w:kern w:val="0"/>
                <w:szCs w:val="21"/>
              </w:rPr>
              <w:t>)</w:t>
            </w:r>
            <w:r>
              <w:rPr>
                <w:rFonts w:ascii="宋体" w:hAnsi="宋体"/>
                <w:color w:val="000000"/>
                <w:kern w:val="0"/>
                <w:szCs w:val="21"/>
              </w:rPr>
              <w:t>中有关规定。一般工业固体废物采用库房储存，根据《一般工业固体废物贮存和填埋污染控制标准》</w:t>
            </w:r>
            <w:r>
              <w:rPr>
                <w:rFonts w:hint="eastAsia" w:ascii="宋体" w:hAnsi="宋体"/>
                <w:color w:val="000000"/>
                <w:kern w:val="0"/>
                <w:szCs w:val="21"/>
              </w:rPr>
              <w:t>（</w:t>
            </w:r>
            <w:r>
              <w:rPr>
                <w:color w:val="000000"/>
                <w:kern w:val="0"/>
                <w:szCs w:val="21"/>
              </w:rPr>
              <w:t>GB18599-2020</w:t>
            </w:r>
            <w:r>
              <w:rPr>
                <w:rFonts w:hint="eastAsia" w:ascii="宋体" w:hAnsi="宋体"/>
                <w:color w:val="000000"/>
                <w:kern w:val="0"/>
                <w:szCs w:val="21"/>
              </w:rPr>
              <w:t>）</w:t>
            </w:r>
            <w:r>
              <w:rPr>
                <w:rFonts w:ascii="宋体" w:hAnsi="宋体"/>
                <w:color w:val="000000"/>
                <w:kern w:val="0"/>
                <w:szCs w:val="21"/>
              </w:rPr>
              <w:t>，采用库房、包装工具</w:t>
            </w:r>
            <w:r>
              <w:rPr>
                <w:rFonts w:hint="eastAsia"/>
                <w:color w:val="000000"/>
                <w:kern w:val="0"/>
                <w:szCs w:val="21"/>
              </w:rPr>
              <w:t>（</w:t>
            </w:r>
            <w:r>
              <w:rPr>
                <w:rFonts w:ascii="宋体" w:hAnsi="宋体"/>
                <w:color w:val="000000"/>
                <w:kern w:val="0"/>
                <w:szCs w:val="21"/>
              </w:rPr>
              <w:t>罐、桶、包装袋等</w:t>
            </w:r>
            <w:r>
              <w:rPr>
                <w:rFonts w:hint="eastAsia"/>
                <w:color w:val="000000"/>
                <w:kern w:val="0"/>
                <w:szCs w:val="21"/>
              </w:rPr>
              <w:t>）</w:t>
            </w:r>
            <w:r>
              <w:rPr>
                <w:rFonts w:ascii="宋体" w:hAnsi="宋体"/>
                <w:color w:val="000000"/>
                <w:kern w:val="0"/>
                <w:szCs w:val="21"/>
              </w:rPr>
              <w:t>贮存一般工业固体废物过程的污染控制，不适用本标准，其贮存场所应满足防渗漏、防雨淋、防扬尘等环境保护要求。</w:t>
            </w:r>
          </w:p>
          <w:p w14:paraId="60BEC54F">
            <w:pPr>
              <w:ind w:firstLine="420" w:firstLineChars="200"/>
              <w:rPr>
                <w:kern w:val="0"/>
                <w:szCs w:val="18"/>
                <w:highlight w:val="yellow"/>
              </w:rPr>
            </w:pPr>
            <w:r>
              <w:rPr>
                <w:rFonts w:ascii="宋体" w:hAnsi="宋体"/>
                <w:color w:val="000000"/>
                <w:kern w:val="0"/>
                <w:szCs w:val="21"/>
              </w:rPr>
              <w:t>施工过程产生的废机油、废油漆桶等危险废物执行《危险废物贮存污染控制标准》（</w:t>
            </w:r>
            <w:r>
              <w:rPr>
                <w:color w:val="000000"/>
                <w:kern w:val="0"/>
                <w:szCs w:val="21"/>
              </w:rPr>
              <w:t>GB18597-2023</w:t>
            </w:r>
            <w:r>
              <w:rPr>
                <w:rFonts w:ascii="宋体" w:hAnsi="宋体"/>
                <w:color w:val="000000"/>
                <w:kern w:val="0"/>
                <w:szCs w:val="21"/>
              </w:rPr>
              <w:t>）相关要求。</w:t>
            </w:r>
          </w:p>
        </w:tc>
      </w:tr>
      <w:tr w14:paraId="0764BE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416" w:type="dxa"/>
            <w:vAlign w:val="center"/>
          </w:tcPr>
          <w:p w14:paraId="658FE6F9">
            <w:pPr>
              <w:jc w:val="center"/>
              <w:rPr>
                <w:kern w:val="0"/>
                <w:szCs w:val="21"/>
                <w:highlight w:val="yellow"/>
              </w:rPr>
            </w:pPr>
            <w:r>
              <w:rPr>
                <w:kern w:val="0"/>
                <w:szCs w:val="21"/>
              </w:rPr>
              <w:t>总量控制指标</w:t>
            </w:r>
          </w:p>
        </w:tc>
        <w:tc>
          <w:tcPr>
            <w:tcW w:w="8533" w:type="dxa"/>
            <w:vAlign w:val="center"/>
          </w:tcPr>
          <w:p w14:paraId="5C9CD358">
            <w:pPr>
              <w:ind w:firstLine="420" w:firstLineChars="200"/>
              <w:rPr>
                <w:bCs/>
                <w:highlight w:val="yellow"/>
              </w:rPr>
            </w:pPr>
            <w:r>
              <w:rPr>
                <w:rFonts w:hint="eastAsia"/>
                <w:bCs/>
              </w:rPr>
              <w:t>本建设项目为城市道路工程，属于非生产性建设项目，不属于工业类项目，无总量控制要求。</w:t>
            </w:r>
          </w:p>
        </w:tc>
      </w:tr>
    </w:tbl>
    <w:p w14:paraId="3EF0AF13">
      <w:pPr>
        <w:pStyle w:val="27"/>
        <w:jc w:val="center"/>
        <w:outlineLvl w:val="0"/>
        <w:rPr>
          <w:rFonts w:ascii="Times New Roman" w:hAnsi="Times New Roman" w:eastAsia="黑体"/>
          <w:snapToGrid w:val="0"/>
          <w:sz w:val="30"/>
          <w:szCs w:val="30"/>
          <w:highlight w:val="yellow"/>
        </w:rPr>
        <w:sectPr>
          <w:pgSz w:w="11907" w:h="16840"/>
          <w:pgMar w:top="1701" w:right="1531" w:bottom="2127" w:left="1531" w:header="851" w:footer="851" w:gutter="0"/>
          <w:cols w:space="720" w:num="1"/>
          <w:docGrid w:linePitch="312" w:charSpace="0"/>
        </w:sectPr>
      </w:pPr>
    </w:p>
    <w:p w14:paraId="32794E49">
      <w:pPr>
        <w:pStyle w:val="2"/>
        <w:rPr>
          <w:snapToGrid w:val="0"/>
        </w:rPr>
      </w:pPr>
      <w:bookmarkStart w:id="54" w:name="_Toc238129007"/>
      <w:r>
        <w:rPr>
          <w:rFonts w:hint="eastAsia"/>
          <w:snapToGrid w:val="0"/>
        </w:rPr>
        <w:t>生态环境影响分析</w:t>
      </w:r>
      <w:bookmarkEnd w:id="54"/>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96"/>
        <w:gridCol w:w="8685"/>
      </w:tblGrid>
      <w:tr w14:paraId="75BE1B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6" w:type="dxa"/>
            <w:tcMar>
              <w:left w:w="28" w:type="dxa"/>
              <w:right w:w="28" w:type="dxa"/>
            </w:tcMar>
            <w:vAlign w:val="center"/>
          </w:tcPr>
          <w:p w14:paraId="72BD0CF3">
            <w:pPr>
              <w:pStyle w:val="27"/>
              <w:spacing w:before="0" w:beforeAutospacing="0" w:after="0" w:afterAutospacing="0"/>
              <w:jc w:val="center"/>
              <w:rPr>
                <w:rFonts w:ascii="Times New Roman" w:hAnsi="Times New Roman"/>
                <w:kern w:val="2"/>
                <w:sz w:val="21"/>
                <w:szCs w:val="21"/>
                <w:highlight w:val="yellow"/>
              </w:rPr>
            </w:pPr>
            <w:r>
              <w:rPr>
                <w:rFonts w:hint="eastAsia" w:ascii="Times New Roman" w:hAnsi="Times New Roman"/>
                <w:kern w:val="2"/>
                <w:sz w:val="21"/>
                <w:szCs w:val="21"/>
              </w:rPr>
              <w:t>施工期生态环境影响分析</w:t>
            </w:r>
          </w:p>
        </w:tc>
        <w:tc>
          <w:tcPr>
            <w:tcW w:w="8685" w:type="dxa"/>
            <w:vAlign w:val="center"/>
          </w:tcPr>
          <w:p w14:paraId="59A6BC96">
            <w:pPr>
              <w:pStyle w:val="3"/>
            </w:pPr>
            <w:r>
              <w:t>施工期水环境影响分析</w:t>
            </w:r>
          </w:p>
          <w:p w14:paraId="6C9DBF80">
            <w:pPr>
              <w:widowControl/>
              <w:kinsoku w:val="0"/>
              <w:autoSpaceDE w:val="0"/>
              <w:autoSpaceDN w:val="0"/>
              <w:ind w:firstLine="420" w:firstLineChars="200"/>
              <w:textAlignment w:val="baseline"/>
              <w:rPr>
                <w:color w:val="000000"/>
                <w:kern w:val="0"/>
                <w:szCs w:val="21"/>
              </w:rPr>
            </w:pPr>
            <w:r>
              <w:rPr>
                <w:rFonts w:hint="eastAsia" w:ascii="宋体" w:hAnsi="宋体"/>
                <w:color w:val="000000"/>
                <w:kern w:val="0"/>
                <w:szCs w:val="21"/>
              </w:rPr>
              <w:t>本项目施工期产生的废水主要来自于两个方面：施工废水和施工人员生活污水，同时施工对水文环境可能也会产生一定的的影响。</w:t>
            </w:r>
          </w:p>
          <w:p w14:paraId="7AC878BF">
            <w:pPr>
              <w:ind w:firstLine="422" w:firstLineChars="200"/>
              <w:rPr>
                <w:b/>
                <w:bCs/>
              </w:rPr>
            </w:pPr>
            <w:r>
              <w:rPr>
                <w:rFonts w:hint="eastAsia"/>
                <w:b/>
                <w:bCs/>
              </w:rPr>
              <w:t>1、施工作业生产污水</w:t>
            </w:r>
          </w:p>
          <w:p w14:paraId="77CD4346">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）施工场地施工机械</w:t>
            </w:r>
            <w:r>
              <w:rPr>
                <w:rFonts w:hint="eastAsia" w:ascii="宋体" w:hAnsi="宋体"/>
                <w:color w:val="000000"/>
                <w:kern w:val="0"/>
                <w:szCs w:val="21"/>
              </w:rPr>
              <w:t>冲洗</w:t>
            </w:r>
            <w:r>
              <w:rPr>
                <w:rFonts w:ascii="宋体" w:hAnsi="宋体"/>
                <w:color w:val="000000"/>
                <w:kern w:val="0"/>
                <w:szCs w:val="21"/>
              </w:rPr>
              <w:t>污废水</w:t>
            </w:r>
          </w:p>
          <w:p w14:paraId="189AD96E">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施工机械和车辆维修、冲洗将产生污废水，主要含油和泥沙等，这类污水成分比较复杂，若直接排入附近水域，将对水环境造成不利影响。因此，要求对施工机械冲洗废水集中收集和处理，应进行油水分离，经沉淀处理后的上清液回用于抑尘和养护、冲洗，沉淀物可用于路基填筑。</w:t>
            </w:r>
          </w:p>
          <w:p w14:paraId="07941453">
            <w:pPr>
              <w:widowControl/>
              <w:kinsoku w:val="0"/>
              <w:autoSpaceDE w:val="0"/>
              <w:autoSpaceDN w:val="0"/>
              <w:ind w:firstLine="422" w:firstLineChars="200"/>
              <w:textAlignment w:val="baseline"/>
              <w:rPr>
                <w:rFonts w:hint="eastAsia" w:ascii="宋体" w:hAnsi="宋体"/>
                <w:b/>
                <w:bCs/>
                <w:color w:val="000000"/>
                <w:kern w:val="0"/>
                <w:szCs w:val="21"/>
              </w:rPr>
            </w:pPr>
            <w:r>
              <w:rPr>
                <w:rFonts w:ascii="宋体" w:hAnsi="宋体"/>
                <w:b/>
                <w:bCs/>
                <w:color w:val="000000"/>
                <w:kern w:val="0"/>
                <w:szCs w:val="21"/>
              </w:rPr>
              <w:t>（</w:t>
            </w:r>
            <w:r>
              <w:rPr>
                <w:b/>
                <w:bCs/>
                <w:color w:val="000000"/>
                <w:kern w:val="0"/>
                <w:szCs w:val="21"/>
              </w:rPr>
              <w:t>2</w:t>
            </w:r>
            <w:r>
              <w:rPr>
                <w:rFonts w:ascii="宋体" w:hAnsi="宋体"/>
                <w:b/>
                <w:bCs/>
                <w:color w:val="000000"/>
                <w:kern w:val="0"/>
                <w:szCs w:val="21"/>
              </w:rPr>
              <w:t>）</w:t>
            </w:r>
            <w:r>
              <w:rPr>
                <w:rFonts w:hint="eastAsia" w:ascii="宋体" w:hAnsi="宋体"/>
                <w:b/>
                <w:bCs/>
                <w:color w:val="000000"/>
                <w:kern w:val="0"/>
                <w:szCs w:val="21"/>
              </w:rPr>
              <w:t>桥梁施工泥浆水</w:t>
            </w:r>
          </w:p>
          <w:p w14:paraId="56DC72F1">
            <w:pPr>
              <w:ind w:firstLine="420" w:firstLineChars="200"/>
            </w:pPr>
            <w:r>
              <w:rPr>
                <w:rFonts w:hint="eastAsia"/>
              </w:rPr>
              <w:t>本项目在K0+354.985处新建跨河庄横河中桥一座，基础施工（桩基础）产生的泥浆水若直接排入河道，将造成水体悬浮物浓度急剧升高，影响河庄横河水体水质。同时围堰打桩的过程，以及桥梁下部结构施工过程中围堰施工不当，也可能造成局部水体扰动和污染。所以在进行桥梁施工钻孔的时候，</w:t>
            </w:r>
            <w:commentRangeStart w:id="62"/>
            <w:commentRangeStart w:id="63"/>
            <w:r>
              <w:rPr>
                <w:rFonts w:hint="eastAsia"/>
              </w:rPr>
              <w:t>应将这部分泥浆水应尽可能收集抽运</w:t>
            </w:r>
            <w:commentRangeEnd w:id="62"/>
            <w:r>
              <w:rPr>
                <w:rStyle w:val="38"/>
                <w:rFonts w:hint="eastAsia"/>
              </w:rPr>
              <w:commentReference w:id="62"/>
            </w:r>
            <w:commentRangeEnd w:id="63"/>
            <w:r>
              <w:rPr>
                <w:rStyle w:val="38"/>
                <w:rFonts w:hint="eastAsia"/>
              </w:rPr>
              <w:commentReference w:id="63"/>
            </w:r>
            <w:r>
              <w:rPr>
                <w:rFonts w:hint="eastAsia"/>
              </w:rPr>
              <w:t>，部分现场固化后进行回填，另外一部分外运至弃渣场进行处理，不得直接将废水排入河道。但是在施工过程中，也将会有少部分泥浆水将不可避免将排入河道，但是这部分含量较少，影响范围仅限于工程周边200m范围内，超过该范围之后随着泥浆颗粒物逐渐沉淀完全，对地表水水体的影响也将会逐渐降低，直至完全消失，工程钻孔、浇筑等工序完工后影响也将随之消失，由此可见桥梁施工的影响是局部性、暂时性的。</w:t>
            </w:r>
          </w:p>
          <w:p w14:paraId="623269A1">
            <w:pPr>
              <w:ind w:firstLine="422" w:firstLineChars="200"/>
              <w:rPr>
                <w:b/>
                <w:bCs/>
              </w:rPr>
            </w:pPr>
            <w:r>
              <w:rPr>
                <w:rFonts w:hint="eastAsia"/>
                <w:b/>
                <w:bCs/>
              </w:rPr>
              <w:t>（3）临时堆土场物料流失污染水</w:t>
            </w:r>
          </w:p>
          <w:p w14:paraId="430B3CC6">
            <w:pPr>
              <w:ind w:firstLine="420" w:firstLineChars="200"/>
            </w:pPr>
            <w:r>
              <w:rPr>
                <w:rFonts w:hint="eastAsia" w:ascii="宋体" w:hAnsi="宋体"/>
                <w:color w:val="000000"/>
                <w:kern w:val="0"/>
                <w:szCs w:val="21"/>
              </w:rPr>
              <w:t>道路施工过程中，</w:t>
            </w:r>
            <w:r>
              <w:rPr>
                <w:rFonts w:ascii="宋体" w:hAnsi="宋体"/>
                <w:color w:val="000000"/>
                <w:kern w:val="0"/>
                <w:szCs w:val="21"/>
              </w:rPr>
              <w:t>由于建筑材料的堆放、管理不当，特别是粉状物料如石灰、黄沙、水泥、土方等露天堆放，遇暴雨可能被冲刷进入水体，尤其本项目部分路段邻近河流施工，更应注意物料流失。同时工程建设</w:t>
            </w:r>
            <w:r>
              <w:rPr>
                <w:rFonts w:hint="eastAsia" w:ascii="宋体" w:hAnsi="宋体"/>
                <w:color w:val="000000"/>
                <w:kern w:val="0"/>
                <w:szCs w:val="21"/>
              </w:rPr>
              <w:t>需要</w:t>
            </w:r>
            <w:r>
              <w:rPr>
                <w:rFonts w:ascii="宋体" w:hAnsi="宋体"/>
                <w:color w:val="000000"/>
                <w:kern w:val="0"/>
                <w:szCs w:val="21"/>
              </w:rPr>
              <w:t>大量的建材，施工过程中运输量较大，因此，建材运输过程中的散落也会随雨水进入附近水体。因此，施工单位应对运输、堆存严加管理，落实水土保持措施，如在物料堆场的周围设导排水沟；堆场上方设覆盖物；石灰、水泥等物质不得露天堆放；做好用料的时间安排，减少堆放时间；堆场与河道距离应尽量远，以减少物料流失对水体的影响。</w:t>
            </w:r>
          </w:p>
          <w:p w14:paraId="2127585D">
            <w:pPr>
              <w:ind w:firstLine="422" w:firstLineChars="200"/>
              <w:rPr>
                <w:b/>
                <w:bCs/>
              </w:rPr>
            </w:pPr>
            <w:r>
              <w:rPr>
                <w:rFonts w:hint="eastAsia"/>
                <w:b/>
                <w:bCs/>
              </w:rPr>
              <w:t>2、</w:t>
            </w:r>
            <w:r>
              <w:rPr>
                <w:b/>
                <w:bCs/>
              </w:rPr>
              <w:t>生活污水</w:t>
            </w:r>
          </w:p>
          <w:p w14:paraId="7D75B8DB">
            <w:pPr>
              <w:widowControl/>
              <w:kinsoku w:val="0"/>
              <w:autoSpaceDE w:val="0"/>
              <w:autoSpaceDN w:val="0"/>
              <w:ind w:firstLine="420" w:firstLineChars="200"/>
              <w:textAlignment w:val="baseline"/>
              <w:rPr>
                <w:rFonts w:hint="eastAsia" w:ascii="宋体" w:hAnsi="宋体"/>
                <w:color w:val="000000"/>
                <w:kern w:val="0"/>
                <w:szCs w:val="21"/>
              </w:rPr>
            </w:pPr>
            <w:r>
              <w:rPr>
                <w:rFonts w:hint="eastAsia" w:ascii="宋体" w:hAnsi="宋体"/>
                <w:color w:val="000000"/>
                <w:kern w:val="0"/>
                <w:szCs w:val="21"/>
              </w:rPr>
              <w:t>施工营地人员会产生生活污水和洗涤废水，若未经处理直接排放，将对附近地表水体造成有机污染。</w:t>
            </w:r>
            <w:r>
              <w:rPr>
                <w:rFonts w:ascii="宋体" w:hAnsi="宋体"/>
                <w:color w:val="000000"/>
                <w:kern w:val="0"/>
                <w:szCs w:val="21"/>
              </w:rPr>
              <w:t>本项目施工期间</w:t>
            </w:r>
            <w:r>
              <w:rPr>
                <w:rFonts w:hint="eastAsia" w:ascii="宋体" w:hAnsi="宋体"/>
                <w:color w:val="000000"/>
                <w:kern w:val="0"/>
                <w:szCs w:val="21"/>
              </w:rPr>
              <w:t>工程</w:t>
            </w:r>
            <w:r>
              <w:rPr>
                <w:rFonts w:ascii="宋体" w:hAnsi="宋体"/>
                <w:color w:val="000000"/>
                <w:kern w:val="0"/>
                <w:szCs w:val="21"/>
              </w:rPr>
              <w:t>人员</w:t>
            </w:r>
            <w:r>
              <w:rPr>
                <w:rFonts w:hint="eastAsia" w:ascii="宋体" w:hAnsi="宋体"/>
                <w:color w:val="000000"/>
                <w:kern w:val="0"/>
                <w:szCs w:val="21"/>
              </w:rPr>
              <w:t>主要生活于临时的板房</w:t>
            </w:r>
            <w:r>
              <w:rPr>
                <w:rFonts w:ascii="宋体" w:hAnsi="宋体"/>
                <w:color w:val="000000"/>
                <w:kern w:val="0"/>
                <w:szCs w:val="21"/>
              </w:rPr>
              <w:t>。施工生活污水主要污染因子为</w:t>
            </w:r>
            <w:r>
              <w:rPr>
                <w:color w:val="000000"/>
                <w:kern w:val="0"/>
                <w:szCs w:val="21"/>
              </w:rPr>
              <w:t>COD</w:t>
            </w:r>
            <w:r>
              <w:rPr>
                <w:rFonts w:ascii="宋体" w:hAnsi="宋体"/>
                <w:color w:val="000000"/>
                <w:kern w:val="0"/>
                <w:szCs w:val="21"/>
              </w:rPr>
              <w:t>、</w:t>
            </w:r>
            <w:r>
              <w:rPr>
                <w:color w:val="000000"/>
                <w:kern w:val="0"/>
                <w:szCs w:val="21"/>
              </w:rPr>
              <w:t>SS</w:t>
            </w:r>
            <w:r>
              <w:rPr>
                <w:rFonts w:ascii="宋体" w:hAnsi="宋体"/>
                <w:color w:val="000000"/>
                <w:kern w:val="0"/>
                <w:szCs w:val="21"/>
              </w:rPr>
              <w:t>、</w:t>
            </w:r>
            <w:r>
              <w:rPr>
                <w:color w:val="000000"/>
                <w:kern w:val="0"/>
                <w:szCs w:val="21"/>
              </w:rPr>
              <w:t>NH</w:t>
            </w:r>
            <w:r>
              <w:rPr>
                <w:color w:val="000000"/>
                <w:kern w:val="0"/>
                <w:szCs w:val="21"/>
                <w:vertAlign w:val="subscript"/>
              </w:rPr>
              <w:t>3</w:t>
            </w:r>
            <w:r>
              <w:rPr>
                <w:color w:val="000000"/>
                <w:kern w:val="0"/>
                <w:szCs w:val="21"/>
              </w:rPr>
              <w:t>-N</w:t>
            </w:r>
            <w:r>
              <w:rPr>
                <w:rFonts w:ascii="宋体" w:hAnsi="宋体"/>
                <w:color w:val="000000"/>
                <w:kern w:val="0"/>
                <w:szCs w:val="21"/>
              </w:rPr>
              <w:t>等</w:t>
            </w:r>
            <w:r>
              <w:rPr>
                <w:rFonts w:hint="eastAsia" w:ascii="宋体" w:hAnsi="宋体"/>
                <w:color w:val="000000"/>
                <w:kern w:val="0"/>
                <w:szCs w:val="21"/>
              </w:rPr>
              <w:t>。本项目施工期施工人员分为现场项目部管理层人员和现场施工人员，管理人员由杭州青西建设开发有限公司负责建设，成立工程项目部，下设综合管理部、财务管理部、质量安全部、技术前期部、征迁管理部、成本管理部等部门，以</w:t>
            </w:r>
            <w:r>
              <w:rPr>
                <w:rFonts w:hint="eastAsia"/>
                <w:color w:val="000000"/>
                <w:kern w:val="0"/>
                <w:szCs w:val="21"/>
              </w:rPr>
              <w:t>20</w:t>
            </w:r>
            <w:r>
              <w:rPr>
                <w:rFonts w:hint="eastAsia" w:ascii="宋体" w:hAnsi="宋体"/>
                <w:color w:val="000000"/>
                <w:kern w:val="0"/>
                <w:szCs w:val="21"/>
              </w:rPr>
              <w:t>人计，施工人员则由建设公司负责组建，本道路工程相对较短，</w:t>
            </w:r>
            <w:r>
              <w:rPr>
                <w:rFonts w:hint="eastAsia"/>
              </w:rPr>
              <w:t>以50</w:t>
            </w:r>
            <w:r>
              <w:t>人计</w:t>
            </w:r>
            <w:r>
              <w:rPr>
                <w:rFonts w:hint="eastAsia"/>
              </w:rPr>
              <w:t>，项目</w:t>
            </w:r>
            <w:r>
              <w:rPr>
                <w:rFonts w:hint="eastAsia" w:ascii="宋体" w:hAnsi="宋体"/>
                <w:color w:val="000000"/>
                <w:kern w:val="0"/>
                <w:szCs w:val="21"/>
              </w:rPr>
              <w:t>平均生活用水以</w:t>
            </w:r>
            <w:r>
              <w:rPr>
                <w:rFonts w:hint="eastAsia"/>
                <w:color w:val="000000"/>
                <w:kern w:val="0"/>
                <w:szCs w:val="21"/>
              </w:rPr>
              <w:t>50L/</w:t>
            </w:r>
            <w:r>
              <w:rPr>
                <w:rFonts w:hint="eastAsia" w:ascii="宋体" w:hAnsi="宋体"/>
                <w:color w:val="000000"/>
                <w:kern w:val="0"/>
                <w:szCs w:val="21"/>
              </w:rPr>
              <w:t>人·日计，生活污水的排放量按用水量的</w:t>
            </w:r>
            <w:r>
              <w:rPr>
                <w:rFonts w:hint="eastAsia"/>
                <w:color w:val="000000"/>
                <w:kern w:val="0"/>
                <w:szCs w:val="21"/>
              </w:rPr>
              <w:t>80%</w:t>
            </w:r>
            <w:r>
              <w:rPr>
                <w:rFonts w:hint="eastAsia" w:ascii="宋体" w:hAnsi="宋体"/>
                <w:color w:val="000000"/>
                <w:kern w:val="0"/>
                <w:szCs w:val="21"/>
              </w:rPr>
              <w:t>计算，则生活污水产生总量约</w:t>
            </w:r>
            <w:r>
              <w:rPr>
                <w:rFonts w:hint="eastAsia"/>
                <w:color w:val="000000"/>
                <w:kern w:val="0"/>
                <w:szCs w:val="21"/>
              </w:rPr>
              <w:t>2.8t/d</w:t>
            </w:r>
            <w:r>
              <w:rPr>
                <w:rFonts w:hint="eastAsia" w:ascii="宋体" w:hAnsi="宋体"/>
                <w:color w:val="000000"/>
                <w:kern w:val="0"/>
                <w:szCs w:val="21"/>
              </w:rPr>
              <w:t>。主要污染因子按</w:t>
            </w:r>
            <w:r>
              <w:rPr>
                <w:rFonts w:hint="eastAsia"/>
                <w:color w:val="000000"/>
                <w:kern w:val="0"/>
                <w:szCs w:val="21"/>
              </w:rPr>
              <w:t>COD350mg/L</w:t>
            </w:r>
            <w:r>
              <w:rPr>
                <w:rFonts w:hint="eastAsia" w:ascii="宋体" w:hAnsi="宋体"/>
                <w:color w:val="000000"/>
                <w:kern w:val="0"/>
                <w:szCs w:val="21"/>
              </w:rPr>
              <w:t>、</w:t>
            </w:r>
            <w:r>
              <w:rPr>
                <w:rFonts w:hint="eastAsia"/>
                <w:color w:val="000000"/>
                <w:kern w:val="0"/>
                <w:szCs w:val="21"/>
              </w:rPr>
              <w:t>SS250mg/L</w:t>
            </w:r>
            <w:r>
              <w:rPr>
                <w:rFonts w:hint="eastAsia" w:ascii="宋体" w:hAnsi="宋体"/>
                <w:color w:val="000000"/>
                <w:kern w:val="0"/>
                <w:szCs w:val="21"/>
              </w:rPr>
              <w:t>、氨氮</w:t>
            </w:r>
            <w:r>
              <w:rPr>
                <w:rFonts w:hint="eastAsia"/>
                <w:color w:val="000000"/>
                <w:kern w:val="0"/>
                <w:szCs w:val="21"/>
              </w:rPr>
              <w:t>30mg/L</w:t>
            </w:r>
            <w:r>
              <w:rPr>
                <w:rFonts w:hint="eastAsia" w:ascii="宋体" w:hAnsi="宋体"/>
                <w:color w:val="000000"/>
                <w:kern w:val="0"/>
                <w:szCs w:val="21"/>
              </w:rPr>
              <w:t>计，其施工期产生量为</w:t>
            </w:r>
            <w:r>
              <w:rPr>
                <w:rFonts w:hint="eastAsia"/>
                <w:color w:val="000000"/>
                <w:kern w:val="0"/>
                <w:szCs w:val="21"/>
              </w:rPr>
              <w:t>COD 0.98kg/d</w:t>
            </w:r>
            <w:r>
              <w:rPr>
                <w:rFonts w:hint="eastAsia" w:ascii="宋体" w:hAnsi="宋体"/>
                <w:color w:val="000000"/>
                <w:kern w:val="0"/>
                <w:szCs w:val="21"/>
              </w:rPr>
              <w:t>，</w:t>
            </w:r>
            <w:r>
              <w:rPr>
                <w:rFonts w:hint="eastAsia"/>
                <w:color w:val="000000"/>
                <w:kern w:val="0"/>
                <w:szCs w:val="21"/>
              </w:rPr>
              <w:t>SS 0.70kg/d</w:t>
            </w:r>
            <w:r>
              <w:rPr>
                <w:rFonts w:hint="eastAsia" w:ascii="宋体" w:hAnsi="宋体"/>
                <w:color w:val="000000"/>
                <w:kern w:val="0"/>
                <w:szCs w:val="21"/>
              </w:rPr>
              <w:t>，氨氮</w:t>
            </w:r>
            <w:r>
              <w:rPr>
                <w:rFonts w:hint="eastAsia"/>
                <w:color w:val="000000"/>
                <w:kern w:val="0"/>
                <w:szCs w:val="21"/>
              </w:rPr>
              <w:t>0.084kg/d</w:t>
            </w:r>
            <w:r>
              <w:rPr>
                <w:rFonts w:hint="eastAsia" w:ascii="宋体" w:hAnsi="宋体"/>
                <w:color w:val="000000"/>
                <w:kern w:val="0"/>
                <w:szCs w:val="21"/>
              </w:rPr>
              <w:t>。</w:t>
            </w:r>
            <w:r>
              <w:rPr>
                <w:rFonts w:ascii="宋体" w:hAnsi="宋体"/>
                <w:color w:val="000000"/>
                <w:kern w:val="0"/>
                <w:szCs w:val="21"/>
              </w:rPr>
              <w:t>施工期间，应加强对施工人员的环保管理，</w:t>
            </w:r>
            <w:r>
              <w:rPr>
                <w:rFonts w:hint="eastAsia" w:ascii="宋体" w:hAnsi="宋体"/>
                <w:color w:val="000000"/>
                <w:kern w:val="0"/>
                <w:szCs w:val="21"/>
              </w:rPr>
              <w:t>设置临时厕所并定期安排专人清运，本工程将委托</w:t>
            </w:r>
            <w:r>
              <w:rPr>
                <w:rFonts w:ascii="宋体" w:hAnsi="宋体"/>
                <w:color w:val="000000"/>
                <w:kern w:val="0"/>
                <w:szCs w:val="21"/>
              </w:rPr>
              <w:t>洁洁城市管理有限公司</w:t>
            </w:r>
            <w:r>
              <w:rPr>
                <w:rFonts w:hint="eastAsia" w:ascii="宋体" w:hAnsi="宋体"/>
                <w:color w:val="000000"/>
                <w:kern w:val="0"/>
                <w:szCs w:val="21"/>
              </w:rPr>
              <w:t>负责</w:t>
            </w:r>
            <w:r>
              <w:rPr>
                <w:rFonts w:ascii="宋体" w:hAnsi="宋体"/>
                <w:color w:val="000000"/>
                <w:kern w:val="0"/>
                <w:szCs w:val="21"/>
              </w:rPr>
              <w:t>清运</w:t>
            </w:r>
            <w:r>
              <w:rPr>
                <w:rFonts w:hint="eastAsia" w:ascii="宋体" w:hAnsi="宋体"/>
                <w:color w:val="000000"/>
                <w:kern w:val="0"/>
                <w:szCs w:val="21"/>
              </w:rPr>
              <w:t>工作，</w:t>
            </w:r>
            <w:r>
              <w:rPr>
                <w:rFonts w:ascii="宋体" w:hAnsi="宋体"/>
                <w:color w:val="000000"/>
                <w:kern w:val="0"/>
                <w:szCs w:val="21"/>
              </w:rPr>
              <w:t>严禁将未经处理的污水直接排入附近水体中，</w:t>
            </w:r>
            <w:r>
              <w:rPr>
                <w:rFonts w:hint="eastAsia" w:ascii="宋体" w:hAnsi="宋体"/>
                <w:color w:val="000000"/>
                <w:kern w:val="0"/>
                <w:szCs w:val="21"/>
              </w:rPr>
              <w:t>应该</w:t>
            </w:r>
            <w:r>
              <w:rPr>
                <w:rFonts w:ascii="宋体" w:hAnsi="宋体"/>
                <w:color w:val="000000"/>
                <w:kern w:val="0"/>
                <w:szCs w:val="21"/>
              </w:rPr>
              <w:t>排入区域污水处理厂集中达标处理后再排入环境。</w:t>
            </w:r>
          </w:p>
          <w:p w14:paraId="78FC28C3">
            <w:pPr>
              <w:ind w:firstLine="422" w:firstLineChars="200"/>
              <w:rPr>
                <w:b/>
                <w:bCs/>
              </w:rPr>
            </w:pPr>
            <w:r>
              <w:rPr>
                <w:rFonts w:hint="eastAsia"/>
                <w:b/>
                <w:bCs/>
              </w:rPr>
              <w:t>3、施工期对水文情势的影响分析</w:t>
            </w:r>
          </w:p>
          <w:p w14:paraId="7BA3AACC">
            <w:pPr>
              <w:ind w:firstLine="420" w:firstLineChars="200"/>
            </w:pPr>
            <w:r>
              <w:rPr>
                <w:rFonts w:hint="eastAsia"/>
              </w:rPr>
              <w:t>桥梁施工采用钢护筒跟进施工工艺，施工期间需在河道两侧设</w:t>
            </w:r>
            <w:commentRangeStart w:id="64"/>
            <w:commentRangeStart w:id="65"/>
            <w:r>
              <w:rPr>
                <w:rFonts w:hint="eastAsia"/>
              </w:rPr>
              <w:t>置临时围堰，</w:t>
            </w:r>
            <w:commentRangeEnd w:id="64"/>
            <w:r>
              <w:rPr>
                <w:rStyle w:val="38"/>
                <w:rFonts w:hint="eastAsia"/>
              </w:rPr>
              <w:commentReference w:id="64"/>
            </w:r>
            <w:commentRangeEnd w:id="65"/>
            <w:r>
              <w:rPr>
                <w:rStyle w:val="38"/>
                <w:rFonts w:hint="eastAsia"/>
              </w:rPr>
              <w:commentReference w:id="65"/>
            </w:r>
            <w:r>
              <w:rPr>
                <w:rFonts w:hint="eastAsia"/>
              </w:rPr>
              <w:t>围堰将采用</w:t>
            </w:r>
            <w:bookmarkStart w:id="55" w:name="OLE_LINK12"/>
            <w:r>
              <w:t>双排拉森钢板桩结构围堰</w:t>
            </w:r>
            <w:bookmarkEnd w:id="55"/>
            <w:r>
              <w:t>，</w:t>
            </w:r>
            <w:r>
              <w:rPr>
                <w:rFonts w:hint="eastAsia"/>
              </w:rPr>
              <w:t>在施工准备后测量放样确定围堰的轴线位置，之后安装导向架保证插打精度和垂直度，确定安装位置后</w:t>
            </w:r>
            <w:r>
              <w:t>由上游向下游逐根打设钢板桩（先施工北侧围堰、再施工南侧围堰），先打设外排钢板桩至设计深度，再打设内排钢板桩，两排之间净距保持3.2m。严格控制钢板桩的垂直度（偏差不大于1%），确保锁口咬合紧密，形成连续封闭的挡水帷幕。两排钢板桩打设完成后，在桩顶以下约1.0m处安装直径50mm钢拉杆对拉连接，拉杆纵向间距1.6m，将两排钢板桩拉结为整体。然后在两排钢板桩之间回填砂土并分层压实，利用拉杆约束和砂土自重增强围堰整体稳定性，抵抗外侧水土压力。</w:t>
            </w:r>
            <w:r>
              <w:rPr>
                <w:rFonts w:hint="eastAsia"/>
              </w:rPr>
              <w:t>在围堰内进行清基与封底之后即可进行施工，施工结束后将逐层注水、逐层拆除内支撑和钢板桩。本项目桥梁无水中墩，围堰主要用于岸上桥台基坑的支护挡土，为桥台施工提供安全、干燥的作业环境，具体围堰尺寸、钢板桩型号需由施工单位根据现场条件进行专项设计后确定</w:t>
            </w:r>
            <w:r>
              <w:t>。</w:t>
            </w:r>
            <w:r>
              <w:rPr>
                <w:rFonts w:hint="eastAsia"/>
              </w:rPr>
              <w:t>施工围堰可能会临时占用部分河道过水断面，导致河庄横河在该断面的有效过流面积减小，</w:t>
            </w:r>
            <w:r>
              <w:t>局部流速增大。流速增大会增加对河床的冲刷作用，可能引起桥位附近河床的局部冲刷</w:t>
            </w:r>
            <w:r>
              <w:rPr>
                <w:rFonts w:hint="eastAsia"/>
              </w:rPr>
              <w:t>；</w:t>
            </w:r>
            <w:r>
              <w:t>施工期围堰占用河道过水断面，在洪水期会降低河道的行洪能力，可能导致桥位上游水位略有壅高。</w:t>
            </w:r>
            <w:r>
              <w:rPr>
                <w:rFonts w:hint="eastAsia"/>
              </w:rPr>
              <w:t>但是本项目桥墩建设后并不直接设置于河道中不占用河道，河道主槽内仅在两侧岸边设置少量临时围堰，对过水断面河道的占用面积很小，并且本项目桥梁工序施工时间将会避开汛期，桥梁工程对河道水文和防洪的影响很小且是暂时的。</w:t>
            </w:r>
          </w:p>
          <w:p w14:paraId="284197EE">
            <w:pPr>
              <w:pStyle w:val="3"/>
            </w:pPr>
            <w:r>
              <w:t>施工期大气环境影响分析</w:t>
            </w:r>
          </w:p>
          <w:p w14:paraId="776E4E5D">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施工过程中产生的大气污染物主要是各类施工作业（如平整</w:t>
            </w:r>
            <w:r>
              <w:rPr>
                <w:rFonts w:hint="eastAsia" w:ascii="宋体" w:hAnsi="宋体"/>
                <w:color w:val="000000"/>
                <w:kern w:val="0"/>
                <w:szCs w:val="21"/>
              </w:rPr>
              <w:t>、</w:t>
            </w:r>
            <w:r>
              <w:rPr>
                <w:rFonts w:ascii="宋体" w:hAnsi="宋体"/>
                <w:color w:val="000000"/>
                <w:kern w:val="0"/>
                <w:szCs w:val="21"/>
              </w:rPr>
              <w:t>挖土、铺浇路面等）及砂石料、水泥、黄沙、石灰的装卸和投料过程以及运输过程中产生扬尘；施工机械和各类运输车辆产生的汽车尾气；沥青烟等。</w:t>
            </w:r>
          </w:p>
          <w:p w14:paraId="5DC13BDF">
            <w:pPr>
              <w:ind w:firstLine="422" w:firstLineChars="200"/>
              <w:rPr>
                <w:b/>
                <w:bCs/>
              </w:rPr>
            </w:pPr>
            <w:r>
              <w:rPr>
                <w:rFonts w:hint="eastAsia"/>
                <w:b/>
                <w:bCs/>
              </w:rPr>
              <w:t>1、</w:t>
            </w:r>
            <w:r>
              <w:rPr>
                <w:b/>
                <w:bCs/>
              </w:rPr>
              <w:t>施工扬尘</w:t>
            </w:r>
          </w:p>
          <w:p w14:paraId="5922BE0A">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在整个施工期间，施工产生的扬尘主要集中在土建施工阶段，按扬尘的原因可分为风力起尘和动力起尘。其中风力起尘主要是由于露天堆放的建材（如黄沙、水泥）及裸露的施工区表层浮尘由于天气干燥及大风，产生风力扬尘；动力起尘主要是在建材的装卸、搅拌的过程中，由于外力而产生的尘粒再悬浮。</w:t>
            </w:r>
          </w:p>
          <w:p w14:paraId="24E17248">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由于施工的需要，一些建材需露天堆放；一些施工点表层土壤需人工开挖、堆放，在气候干燥又有风的情况下，会产生扬尘，其扬尘量可根据《扬尘源颗粒物排放清单编制技术指南》中堆场扬尘源排放量计算方法进行计算：</w:t>
            </w:r>
          </w:p>
          <w:p w14:paraId="77E9F62A">
            <w:pPr>
              <w:widowControl/>
              <w:kinsoku w:val="0"/>
              <w:autoSpaceDE w:val="0"/>
              <w:autoSpaceDN w:val="0"/>
              <w:spacing w:line="240" w:lineRule="auto"/>
              <w:ind w:firstLine="420" w:firstLineChars="200"/>
              <w:jc w:val="center"/>
              <w:textAlignment w:val="baseline"/>
              <w:rPr>
                <w:color w:val="000000"/>
                <w:kern w:val="0"/>
                <w:szCs w:val="21"/>
              </w:rPr>
            </w:pPr>
            <w:r>
              <w:rPr>
                <w:rFonts w:ascii="Arial" w:hAnsi="Arial" w:cs="Arial"/>
                <w:color w:val="000000"/>
                <w:kern w:val="0"/>
                <w:szCs w:val="21"/>
              </w:rPr>
              <w:drawing>
                <wp:inline distT="0" distB="0" distL="0" distR="0">
                  <wp:extent cx="2303145" cy="440055"/>
                  <wp:effectExtent l="0" t="0" r="0" b="0"/>
                  <wp:docPr id="1044725320" name="图片 104472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25320" name="图片 1044725320"/>
                          <pic:cNvPicPr>
                            <a:picLocks noChangeAspect="1" noChangeArrowheads="1"/>
                          </pic:cNvPicPr>
                        </pic:nvPicPr>
                        <pic:blipFill>
                          <a:blip r:embed="rId37"/>
                          <a:srcRect/>
                          <a:stretch>
                            <a:fillRect/>
                          </a:stretch>
                        </pic:blipFill>
                        <pic:spPr>
                          <a:xfrm>
                            <a:off x="0" y="0"/>
                            <a:ext cx="2303145" cy="440055"/>
                          </a:xfrm>
                          <a:prstGeom prst="rect">
                            <a:avLst/>
                          </a:prstGeom>
                          <a:noFill/>
                          <a:ln>
                            <a:noFill/>
                          </a:ln>
                        </pic:spPr>
                      </pic:pic>
                    </a:graphicData>
                  </a:graphic>
                </wp:inline>
              </w:drawing>
            </w:r>
            <w:r>
              <w:rPr>
                <w:color w:val="000000"/>
                <w:kern w:val="0"/>
                <w:szCs w:val="21"/>
              </w:rPr>
              <w:t xml:space="preserve"> </w:t>
            </w:r>
          </w:p>
          <w:p w14:paraId="6595AA6F">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式中：</w:t>
            </w:r>
            <w:r>
              <w:rPr>
                <w:i/>
                <w:iCs/>
                <w:color w:val="000000"/>
                <w:kern w:val="0"/>
                <w:szCs w:val="21"/>
              </w:rPr>
              <w:t>W</w:t>
            </w:r>
            <w:r>
              <w:rPr>
                <w:i/>
                <w:iCs/>
                <w:color w:val="000000"/>
                <w:kern w:val="0"/>
                <w:szCs w:val="21"/>
                <w:vertAlign w:val="subscript"/>
              </w:rPr>
              <w:t>Y</w:t>
            </w:r>
            <w:r>
              <w:rPr>
                <w:color w:val="000000"/>
                <w:kern w:val="0"/>
                <w:szCs w:val="21"/>
              </w:rPr>
              <w:t>——</w:t>
            </w:r>
            <w:r>
              <w:rPr>
                <w:rFonts w:ascii="宋体" w:hAnsi="宋体"/>
                <w:color w:val="000000"/>
                <w:kern w:val="0"/>
                <w:szCs w:val="21"/>
              </w:rPr>
              <w:t>堆场扬尘源中颗粒物总排放量，</w:t>
            </w:r>
            <w:r>
              <w:rPr>
                <w:color w:val="000000"/>
                <w:kern w:val="0"/>
                <w:szCs w:val="21"/>
              </w:rPr>
              <w:t>t/a</w:t>
            </w:r>
            <w:r>
              <w:rPr>
                <w:rFonts w:ascii="宋体" w:hAnsi="宋体"/>
                <w:color w:val="000000"/>
                <w:kern w:val="0"/>
                <w:szCs w:val="21"/>
              </w:rPr>
              <w:t>；</w:t>
            </w:r>
          </w:p>
          <w:p w14:paraId="39B843DC">
            <w:pPr>
              <w:widowControl/>
              <w:kinsoku w:val="0"/>
              <w:autoSpaceDE w:val="0"/>
              <w:autoSpaceDN w:val="0"/>
              <w:ind w:firstLine="1041" w:firstLineChars="496"/>
              <w:textAlignment w:val="baseline"/>
              <w:rPr>
                <w:color w:val="000000"/>
                <w:kern w:val="0"/>
                <w:szCs w:val="21"/>
              </w:rPr>
            </w:pPr>
            <w:r>
              <w:rPr>
                <w:i/>
                <w:iCs/>
                <w:color w:val="000000"/>
                <w:kern w:val="0"/>
                <w:szCs w:val="21"/>
              </w:rPr>
              <w:t>E</w:t>
            </w:r>
            <w:r>
              <w:rPr>
                <w:i/>
                <w:iCs/>
                <w:color w:val="000000"/>
                <w:kern w:val="0"/>
                <w:szCs w:val="21"/>
                <w:vertAlign w:val="subscript"/>
              </w:rPr>
              <w:t>h</w:t>
            </w:r>
            <w:r>
              <w:rPr>
                <w:color w:val="000000"/>
                <w:kern w:val="0"/>
                <w:szCs w:val="21"/>
              </w:rPr>
              <w:t>——</w:t>
            </w:r>
            <w:r>
              <w:rPr>
                <w:rFonts w:ascii="宋体" w:hAnsi="宋体"/>
                <w:color w:val="000000"/>
                <w:kern w:val="0"/>
                <w:szCs w:val="21"/>
              </w:rPr>
              <w:t>堆场装卸运输过程的扬尘颗粒物排放系数，</w:t>
            </w:r>
            <w:r>
              <w:rPr>
                <w:color w:val="000000"/>
                <w:kern w:val="0"/>
                <w:szCs w:val="21"/>
              </w:rPr>
              <w:t>kg/t</w:t>
            </w:r>
            <w:r>
              <w:rPr>
                <w:rFonts w:ascii="宋体" w:hAnsi="宋体"/>
                <w:color w:val="000000"/>
                <w:kern w:val="0"/>
                <w:szCs w:val="21"/>
              </w:rPr>
              <w:t>；</w:t>
            </w:r>
          </w:p>
          <w:p w14:paraId="6D101919">
            <w:pPr>
              <w:widowControl/>
              <w:kinsoku w:val="0"/>
              <w:autoSpaceDE w:val="0"/>
              <w:autoSpaceDN w:val="0"/>
              <w:ind w:firstLine="1041" w:firstLineChars="496"/>
              <w:textAlignment w:val="baseline"/>
              <w:rPr>
                <w:color w:val="000000"/>
                <w:kern w:val="0"/>
                <w:szCs w:val="21"/>
              </w:rPr>
            </w:pPr>
            <w:r>
              <w:rPr>
                <w:i/>
                <w:iCs/>
                <w:color w:val="000000"/>
                <w:kern w:val="0"/>
                <w:szCs w:val="21"/>
              </w:rPr>
              <w:t>m</w:t>
            </w:r>
            <w:r>
              <w:rPr>
                <w:color w:val="000000"/>
                <w:kern w:val="0"/>
                <w:szCs w:val="21"/>
              </w:rPr>
              <w:t>——</w:t>
            </w:r>
            <w:r>
              <w:rPr>
                <w:rFonts w:ascii="宋体" w:hAnsi="宋体"/>
                <w:color w:val="000000"/>
                <w:kern w:val="0"/>
                <w:szCs w:val="21"/>
              </w:rPr>
              <w:t>每年料堆物料装卸总次数；</w:t>
            </w:r>
          </w:p>
          <w:p w14:paraId="1D9FCD8B">
            <w:pPr>
              <w:widowControl/>
              <w:kinsoku w:val="0"/>
              <w:autoSpaceDE w:val="0"/>
              <w:autoSpaceDN w:val="0"/>
              <w:ind w:firstLine="1041" w:firstLineChars="496"/>
              <w:textAlignment w:val="baseline"/>
              <w:rPr>
                <w:color w:val="000000"/>
                <w:kern w:val="0"/>
                <w:szCs w:val="21"/>
              </w:rPr>
            </w:pPr>
            <w:r>
              <w:rPr>
                <w:i/>
                <w:iCs/>
                <w:color w:val="000000"/>
                <w:kern w:val="0"/>
                <w:szCs w:val="21"/>
              </w:rPr>
              <w:t>G</w:t>
            </w:r>
            <w:r>
              <w:rPr>
                <w:i/>
                <w:iCs/>
                <w:color w:val="000000"/>
                <w:kern w:val="0"/>
                <w:szCs w:val="21"/>
                <w:vertAlign w:val="subscript"/>
              </w:rPr>
              <w:t>Yi</w:t>
            </w:r>
            <w:r>
              <w:rPr>
                <w:color w:val="000000"/>
                <w:kern w:val="0"/>
                <w:szCs w:val="21"/>
              </w:rPr>
              <w:t>——</w:t>
            </w:r>
            <w:r>
              <w:rPr>
                <w:rFonts w:ascii="宋体" w:hAnsi="宋体"/>
                <w:color w:val="000000"/>
                <w:kern w:val="0"/>
                <w:szCs w:val="21"/>
              </w:rPr>
              <w:t>第</w:t>
            </w:r>
            <w:r>
              <w:rPr>
                <w:color w:val="000000"/>
                <w:kern w:val="0"/>
                <w:szCs w:val="21"/>
              </w:rPr>
              <w:t>i</w:t>
            </w:r>
            <w:r>
              <w:rPr>
                <w:rFonts w:ascii="宋体" w:hAnsi="宋体"/>
                <w:color w:val="000000"/>
                <w:kern w:val="0"/>
                <w:szCs w:val="21"/>
              </w:rPr>
              <w:t>次装卸过程的物料装卸量，</w:t>
            </w:r>
            <w:r>
              <w:rPr>
                <w:color w:val="000000"/>
                <w:kern w:val="0"/>
                <w:szCs w:val="21"/>
              </w:rPr>
              <w:t>t</w:t>
            </w:r>
            <w:r>
              <w:rPr>
                <w:rFonts w:ascii="宋体" w:hAnsi="宋体"/>
                <w:color w:val="000000"/>
                <w:kern w:val="0"/>
                <w:szCs w:val="21"/>
              </w:rPr>
              <w:t>；</w:t>
            </w:r>
          </w:p>
          <w:p w14:paraId="169D11E9">
            <w:pPr>
              <w:widowControl/>
              <w:kinsoku w:val="0"/>
              <w:autoSpaceDE w:val="0"/>
              <w:autoSpaceDN w:val="0"/>
              <w:ind w:firstLine="1041" w:firstLineChars="496"/>
              <w:textAlignment w:val="baseline"/>
              <w:rPr>
                <w:color w:val="000000"/>
                <w:kern w:val="0"/>
                <w:szCs w:val="21"/>
              </w:rPr>
            </w:pPr>
            <w:r>
              <w:rPr>
                <w:i/>
                <w:iCs/>
                <w:color w:val="000000"/>
                <w:kern w:val="0"/>
                <w:szCs w:val="21"/>
              </w:rPr>
              <w:t>E</w:t>
            </w:r>
            <w:r>
              <w:rPr>
                <w:i/>
                <w:iCs/>
                <w:color w:val="000000"/>
                <w:kern w:val="0"/>
                <w:szCs w:val="21"/>
                <w:vertAlign w:val="subscript"/>
              </w:rPr>
              <w:t>w</w:t>
            </w:r>
            <w:r>
              <w:rPr>
                <w:color w:val="000000"/>
                <w:kern w:val="0"/>
                <w:szCs w:val="21"/>
              </w:rPr>
              <w:t>——</w:t>
            </w:r>
            <w:r>
              <w:rPr>
                <w:rFonts w:ascii="宋体" w:hAnsi="宋体"/>
                <w:color w:val="000000"/>
                <w:kern w:val="0"/>
                <w:szCs w:val="21"/>
              </w:rPr>
              <w:t>料堆受到风蚀作用的颗粒物排放系数，</w:t>
            </w:r>
            <w:r>
              <w:rPr>
                <w:color w:val="000000"/>
                <w:kern w:val="0"/>
                <w:szCs w:val="21"/>
              </w:rPr>
              <w:t>kg/m</w:t>
            </w:r>
            <w:r>
              <w:rPr>
                <w:color w:val="000000"/>
                <w:kern w:val="0"/>
                <w:szCs w:val="21"/>
                <w:vertAlign w:val="superscript"/>
              </w:rPr>
              <w:t>2</w:t>
            </w:r>
            <w:r>
              <w:rPr>
                <w:rFonts w:ascii="宋体" w:hAnsi="宋体"/>
                <w:color w:val="000000"/>
                <w:kern w:val="0"/>
                <w:szCs w:val="21"/>
              </w:rPr>
              <w:t>；</w:t>
            </w:r>
          </w:p>
          <w:p w14:paraId="22C4C4E7">
            <w:pPr>
              <w:widowControl/>
              <w:kinsoku w:val="0"/>
              <w:autoSpaceDE w:val="0"/>
              <w:autoSpaceDN w:val="0"/>
              <w:ind w:firstLine="1041" w:firstLineChars="496"/>
              <w:textAlignment w:val="baseline"/>
              <w:rPr>
                <w:color w:val="000000"/>
                <w:kern w:val="0"/>
                <w:szCs w:val="21"/>
              </w:rPr>
            </w:pPr>
            <w:r>
              <w:rPr>
                <w:i/>
                <w:iCs/>
                <w:color w:val="000000"/>
                <w:kern w:val="0"/>
                <w:szCs w:val="21"/>
              </w:rPr>
              <w:t>A</w:t>
            </w:r>
            <w:r>
              <w:rPr>
                <w:i/>
                <w:iCs/>
                <w:color w:val="000000"/>
                <w:kern w:val="0"/>
                <w:szCs w:val="21"/>
                <w:vertAlign w:val="subscript"/>
              </w:rPr>
              <w:t>Y</w:t>
            </w:r>
            <w:r>
              <w:rPr>
                <w:color w:val="000000"/>
                <w:kern w:val="0"/>
                <w:szCs w:val="21"/>
              </w:rPr>
              <w:t>——</w:t>
            </w:r>
            <w:r>
              <w:rPr>
                <w:rFonts w:ascii="宋体" w:hAnsi="宋体"/>
                <w:color w:val="000000"/>
                <w:kern w:val="0"/>
                <w:szCs w:val="21"/>
              </w:rPr>
              <w:t>料堆表面积，</w:t>
            </w:r>
            <w:r>
              <w:rPr>
                <w:color w:val="000000"/>
                <w:kern w:val="0"/>
                <w:szCs w:val="21"/>
              </w:rPr>
              <w:t>m</w:t>
            </w:r>
            <w:r>
              <w:rPr>
                <w:color w:val="000000"/>
                <w:kern w:val="0"/>
                <w:szCs w:val="21"/>
                <w:vertAlign w:val="superscript"/>
              </w:rPr>
              <w:t>2</w:t>
            </w:r>
            <w:r>
              <w:rPr>
                <w:rFonts w:ascii="宋体" w:hAnsi="宋体"/>
                <w:color w:val="000000"/>
                <w:kern w:val="0"/>
                <w:szCs w:val="21"/>
              </w:rPr>
              <w:t>。</w:t>
            </w:r>
          </w:p>
          <w:p w14:paraId="71C2A0AA">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尘粒在空气中的传播扩散情况与风速、含水率等条件有关，也与尘粒本身的沉降速度有关。不同尘粒的沉降速度见下表。</w:t>
            </w:r>
          </w:p>
          <w:p w14:paraId="529A964A">
            <w:pPr>
              <w:pStyle w:val="9"/>
              <w:spacing w:before="120"/>
            </w:pPr>
            <w:r>
              <w:t xml:space="preserve">表 </w:t>
            </w:r>
            <w:r>
              <w:fldChar w:fldCharType="begin"/>
            </w:r>
            <w:r>
              <w:instrText xml:space="preserve"> STYLEREF 1 \s </w:instrText>
            </w:r>
            <w:r>
              <w:fldChar w:fldCharType="separate"/>
            </w:r>
            <w:r>
              <w:t>4</w:t>
            </w:r>
            <w:r>
              <w:fldChar w:fldCharType="end"/>
            </w:r>
            <w:r>
              <w:noBreakHyphen/>
            </w:r>
            <w:r>
              <w:fldChar w:fldCharType="begin"/>
            </w:r>
            <w:r>
              <w:instrText xml:space="preserve"> SEQ 表 \* ARABIC \s 1 </w:instrText>
            </w:r>
            <w:r>
              <w:fldChar w:fldCharType="separate"/>
            </w:r>
            <w:r>
              <w:t>1</w:t>
            </w:r>
            <w:r>
              <w:fldChar w:fldCharType="end"/>
            </w:r>
            <w:r>
              <w:t>不同粒径尘粒的沉降速度</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876"/>
              <w:gridCol w:w="938"/>
              <w:gridCol w:w="938"/>
              <w:gridCol w:w="938"/>
              <w:gridCol w:w="938"/>
              <w:gridCol w:w="938"/>
              <w:gridCol w:w="1028"/>
              <w:gridCol w:w="845"/>
            </w:tblGrid>
            <w:tr w14:paraId="7EBF3A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2" w:type="dxa"/>
                  <w:vAlign w:val="center"/>
                </w:tcPr>
                <w:p w14:paraId="0F846A87">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粉尘粒径（</w:t>
                  </w:r>
                  <w:r>
                    <w:rPr>
                      <w:rFonts w:ascii="Symbol" w:hAnsi="Symbol" w:cs="Arial"/>
                      <w:b/>
                      <w:color w:val="000000"/>
                      <w:kern w:val="0"/>
                      <w:sz w:val="18"/>
                      <w:szCs w:val="18"/>
                    </w:rPr>
                    <w:t>m</w:t>
                  </w:r>
                  <w:r>
                    <w:rPr>
                      <w:b/>
                      <w:color w:val="000000"/>
                      <w:kern w:val="0"/>
                      <w:sz w:val="18"/>
                      <w:szCs w:val="18"/>
                    </w:rPr>
                    <w:t>m</w:t>
                  </w:r>
                  <w:r>
                    <w:rPr>
                      <w:rFonts w:ascii="宋体" w:hAnsi="宋体"/>
                      <w:b/>
                      <w:color w:val="000000"/>
                      <w:kern w:val="0"/>
                      <w:sz w:val="18"/>
                      <w:szCs w:val="18"/>
                    </w:rPr>
                    <w:t>）</w:t>
                  </w:r>
                </w:p>
              </w:tc>
              <w:tc>
                <w:tcPr>
                  <w:tcW w:w="901" w:type="dxa"/>
                  <w:vAlign w:val="center"/>
                </w:tcPr>
                <w:p w14:paraId="65F7881E">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10</w:t>
                  </w:r>
                </w:p>
              </w:tc>
              <w:tc>
                <w:tcPr>
                  <w:tcW w:w="902" w:type="dxa"/>
                  <w:vAlign w:val="center"/>
                </w:tcPr>
                <w:p w14:paraId="642DE740">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20</w:t>
                  </w:r>
                </w:p>
              </w:tc>
              <w:tc>
                <w:tcPr>
                  <w:tcW w:w="902" w:type="dxa"/>
                  <w:vAlign w:val="center"/>
                </w:tcPr>
                <w:p w14:paraId="500D61DC">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30</w:t>
                  </w:r>
                </w:p>
              </w:tc>
              <w:tc>
                <w:tcPr>
                  <w:tcW w:w="902" w:type="dxa"/>
                  <w:vAlign w:val="center"/>
                </w:tcPr>
                <w:p w14:paraId="2C700612">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40</w:t>
                  </w:r>
                </w:p>
              </w:tc>
              <w:tc>
                <w:tcPr>
                  <w:tcW w:w="902" w:type="dxa"/>
                  <w:vAlign w:val="center"/>
                </w:tcPr>
                <w:p w14:paraId="60A5AF83">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50</w:t>
                  </w:r>
                </w:p>
              </w:tc>
              <w:tc>
                <w:tcPr>
                  <w:tcW w:w="988" w:type="dxa"/>
                  <w:vAlign w:val="center"/>
                </w:tcPr>
                <w:p w14:paraId="4F4B1FA9">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812" w:type="dxa"/>
                  <w:vAlign w:val="center"/>
                </w:tcPr>
                <w:p w14:paraId="100A85E4">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70</w:t>
                  </w:r>
                </w:p>
              </w:tc>
            </w:tr>
            <w:tr w14:paraId="382B1C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2" w:type="dxa"/>
                  <w:vAlign w:val="center"/>
                </w:tcPr>
                <w:p w14:paraId="09248263">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沉降速度（</w:t>
                  </w:r>
                  <w:r>
                    <w:rPr>
                      <w:b/>
                      <w:color w:val="000000"/>
                      <w:kern w:val="0"/>
                      <w:sz w:val="18"/>
                      <w:szCs w:val="18"/>
                    </w:rPr>
                    <w:t>m/s</w:t>
                  </w:r>
                  <w:r>
                    <w:rPr>
                      <w:rFonts w:ascii="宋体" w:hAnsi="宋体"/>
                      <w:b/>
                      <w:color w:val="000000"/>
                      <w:kern w:val="0"/>
                      <w:sz w:val="18"/>
                      <w:szCs w:val="18"/>
                    </w:rPr>
                    <w:t>）</w:t>
                  </w:r>
                </w:p>
              </w:tc>
              <w:tc>
                <w:tcPr>
                  <w:tcW w:w="901" w:type="dxa"/>
                  <w:vAlign w:val="center"/>
                </w:tcPr>
                <w:p w14:paraId="58AAD785">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0.003</w:t>
                  </w:r>
                </w:p>
              </w:tc>
              <w:tc>
                <w:tcPr>
                  <w:tcW w:w="902" w:type="dxa"/>
                  <w:vAlign w:val="center"/>
                </w:tcPr>
                <w:p w14:paraId="2D1AF511">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0.012</w:t>
                  </w:r>
                </w:p>
              </w:tc>
              <w:tc>
                <w:tcPr>
                  <w:tcW w:w="902" w:type="dxa"/>
                  <w:vAlign w:val="center"/>
                </w:tcPr>
                <w:p w14:paraId="7E38484A">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0.027</w:t>
                  </w:r>
                </w:p>
              </w:tc>
              <w:tc>
                <w:tcPr>
                  <w:tcW w:w="902" w:type="dxa"/>
                  <w:vAlign w:val="center"/>
                </w:tcPr>
                <w:p w14:paraId="503A4B26">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0.048</w:t>
                  </w:r>
                </w:p>
              </w:tc>
              <w:tc>
                <w:tcPr>
                  <w:tcW w:w="902" w:type="dxa"/>
                  <w:vAlign w:val="center"/>
                </w:tcPr>
                <w:p w14:paraId="6761CBD7">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0.075</w:t>
                  </w:r>
                </w:p>
              </w:tc>
              <w:tc>
                <w:tcPr>
                  <w:tcW w:w="988" w:type="dxa"/>
                  <w:vAlign w:val="center"/>
                </w:tcPr>
                <w:p w14:paraId="2DD5EB8C">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0.108</w:t>
                  </w:r>
                </w:p>
              </w:tc>
              <w:tc>
                <w:tcPr>
                  <w:tcW w:w="812" w:type="dxa"/>
                  <w:vAlign w:val="center"/>
                </w:tcPr>
                <w:p w14:paraId="02BA17AE">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0.147</w:t>
                  </w:r>
                </w:p>
              </w:tc>
            </w:tr>
            <w:tr w14:paraId="2025BF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2" w:type="dxa"/>
                  <w:vAlign w:val="center"/>
                </w:tcPr>
                <w:p w14:paraId="68E0984F">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粉尘粒径（</w:t>
                  </w:r>
                  <w:r>
                    <w:rPr>
                      <w:rFonts w:ascii="Symbol" w:hAnsi="Symbol" w:cs="Arial"/>
                      <w:b/>
                      <w:color w:val="000000"/>
                      <w:kern w:val="0"/>
                      <w:sz w:val="18"/>
                      <w:szCs w:val="18"/>
                    </w:rPr>
                    <w:t>m</w:t>
                  </w:r>
                  <w:r>
                    <w:rPr>
                      <w:b/>
                      <w:color w:val="000000"/>
                      <w:kern w:val="0"/>
                      <w:sz w:val="18"/>
                      <w:szCs w:val="18"/>
                    </w:rPr>
                    <w:t>m</w:t>
                  </w:r>
                  <w:r>
                    <w:rPr>
                      <w:rFonts w:ascii="宋体" w:hAnsi="宋体"/>
                      <w:b/>
                      <w:color w:val="000000"/>
                      <w:kern w:val="0"/>
                      <w:sz w:val="18"/>
                      <w:szCs w:val="18"/>
                    </w:rPr>
                    <w:t>）</w:t>
                  </w:r>
                </w:p>
              </w:tc>
              <w:tc>
                <w:tcPr>
                  <w:tcW w:w="901" w:type="dxa"/>
                  <w:vAlign w:val="center"/>
                </w:tcPr>
                <w:p w14:paraId="0B400145">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80</w:t>
                  </w:r>
                </w:p>
              </w:tc>
              <w:tc>
                <w:tcPr>
                  <w:tcW w:w="902" w:type="dxa"/>
                  <w:vAlign w:val="center"/>
                </w:tcPr>
                <w:p w14:paraId="317D5D21">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90</w:t>
                  </w:r>
                </w:p>
              </w:tc>
              <w:tc>
                <w:tcPr>
                  <w:tcW w:w="902" w:type="dxa"/>
                  <w:vAlign w:val="center"/>
                </w:tcPr>
                <w:p w14:paraId="316A8325">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100</w:t>
                  </w:r>
                </w:p>
              </w:tc>
              <w:tc>
                <w:tcPr>
                  <w:tcW w:w="902" w:type="dxa"/>
                  <w:vAlign w:val="center"/>
                </w:tcPr>
                <w:p w14:paraId="5E35F935">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150</w:t>
                  </w:r>
                </w:p>
              </w:tc>
              <w:tc>
                <w:tcPr>
                  <w:tcW w:w="902" w:type="dxa"/>
                  <w:vAlign w:val="center"/>
                </w:tcPr>
                <w:p w14:paraId="57A64D21">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200</w:t>
                  </w:r>
                </w:p>
              </w:tc>
              <w:tc>
                <w:tcPr>
                  <w:tcW w:w="988" w:type="dxa"/>
                  <w:vAlign w:val="center"/>
                </w:tcPr>
                <w:p w14:paraId="21E9D3E4">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250</w:t>
                  </w:r>
                </w:p>
              </w:tc>
              <w:tc>
                <w:tcPr>
                  <w:tcW w:w="812" w:type="dxa"/>
                  <w:vAlign w:val="center"/>
                </w:tcPr>
                <w:p w14:paraId="227290B2">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350</w:t>
                  </w:r>
                </w:p>
              </w:tc>
            </w:tr>
            <w:tr w14:paraId="29581D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2" w:type="dxa"/>
                  <w:vAlign w:val="center"/>
                </w:tcPr>
                <w:p w14:paraId="632AAC7F">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沉降速度（</w:t>
                  </w:r>
                  <w:r>
                    <w:rPr>
                      <w:b/>
                      <w:color w:val="000000"/>
                      <w:kern w:val="0"/>
                      <w:sz w:val="18"/>
                      <w:szCs w:val="18"/>
                    </w:rPr>
                    <w:t>m/s</w:t>
                  </w:r>
                  <w:r>
                    <w:rPr>
                      <w:rFonts w:ascii="宋体" w:hAnsi="宋体"/>
                      <w:b/>
                      <w:color w:val="000000"/>
                      <w:kern w:val="0"/>
                      <w:sz w:val="18"/>
                      <w:szCs w:val="18"/>
                    </w:rPr>
                    <w:t>）</w:t>
                  </w:r>
                </w:p>
              </w:tc>
              <w:tc>
                <w:tcPr>
                  <w:tcW w:w="901" w:type="dxa"/>
                  <w:vAlign w:val="center"/>
                </w:tcPr>
                <w:p w14:paraId="772864F1">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0.158</w:t>
                  </w:r>
                </w:p>
              </w:tc>
              <w:tc>
                <w:tcPr>
                  <w:tcW w:w="902" w:type="dxa"/>
                  <w:vAlign w:val="center"/>
                </w:tcPr>
                <w:p w14:paraId="63B56577">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0.170</w:t>
                  </w:r>
                </w:p>
              </w:tc>
              <w:tc>
                <w:tcPr>
                  <w:tcW w:w="902" w:type="dxa"/>
                  <w:vAlign w:val="center"/>
                </w:tcPr>
                <w:p w14:paraId="41026012">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0.182</w:t>
                  </w:r>
                </w:p>
              </w:tc>
              <w:tc>
                <w:tcPr>
                  <w:tcW w:w="902" w:type="dxa"/>
                  <w:vAlign w:val="center"/>
                </w:tcPr>
                <w:p w14:paraId="132C6437">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0.239</w:t>
                  </w:r>
                </w:p>
              </w:tc>
              <w:tc>
                <w:tcPr>
                  <w:tcW w:w="902" w:type="dxa"/>
                  <w:vAlign w:val="center"/>
                </w:tcPr>
                <w:p w14:paraId="290D4502">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0.804</w:t>
                  </w:r>
                </w:p>
              </w:tc>
              <w:tc>
                <w:tcPr>
                  <w:tcW w:w="988" w:type="dxa"/>
                  <w:vAlign w:val="center"/>
                </w:tcPr>
                <w:p w14:paraId="7D1D2BF3">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1.005</w:t>
                  </w:r>
                </w:p>
              </w:tc>
              <w:tc>
                <w:tcPr>
                  <w:tcW w:w="812" w:type="dxa"/>
                  <w:vAlign w:val="center"/>
                </w:tcPr>
                <w:p w14:paraId="632BFB64">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1.829</w:t>
                  </w:r>
                </w:p>
              </w:tc>
            </w:tr>
            <w:tr w14:paraId="2D27C8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2" w:type="dxa"/>
                  <w:vAlign w:val="center"/>
                </w:tcPr>
                <w:p w14:paraId="3479E9E0">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粉尘粒径（</w:t>
                  </w:r>
                  <w:r>
                    <w:rPr>
                      <w:rFonts w:ascii="Symbol" w:hAnsi="Symbol" w:cs="Arial"/>
                      <w:b/>
                      <w:color w:val="000000"/>
                      <w:kern w:val="0"/>
                      <w:sz w:val="18"/>
                      <w:szCs w:val="18"/>
                    </w:rPr>
                    <w:t>m</w:t>
                  </w:r>
                  <w:r>
                    <w:rPr>
                      <w:b/>
                      <w:color w:val="000000"/>
                      <w:kern w:val="0"/>
                      <w:sz w:val="18"/>
                      <w:szCs w:val="18"/>
                    </w:rPr>
                    <w:t>m</w:t>
                  </w:r>
                  <w:r>
                    <w:rPr>
                      <w:rFonts w:ascii="宋体" w:hAnsi="宋体"/>
                      <w:b/>
                      <w:color w:val="000000"/>
                      <w:kern w:val="0"/>
                      <w:sz w:val="18"/>
                      <w:szCs w:val="18"/>
                    </w:rPr>
                    <w:t>）</w:t>
                  </w:r>
                </w:p>
              </w:tc>
              <w:tc>
                <w:tcPr>
                  <w:tcW w:w="901" w:type="dxa"/>
                  <w:vAlign w:val="center"/>
                </w:tcPr>
                <w:p w14:paraId="440E06C6">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450</w:t>
                  </w:r>
                </w:p>
              </w:tc>
              <w:tc>
                <w:tcPr>
                  <w:tcW w:w="902" w:type="dxa"/>
                  <w:vAlign w:val="center"/>
                </w:tcPr>
                <w:p w14:paraId="6926AFF2">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550</w:t>
                  </w:r>
                </w:p>
              </w:tc>
              <w:tc>
                <w:tcPr>
                  <w:tcW w:w="902" w:type="dxa"/>
                  <w:vAlign w:val="center"/>
                </w:tcPr>
                <w:p w14:paraId="0C38C4D6">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650</w:t>
                  </w:r>
                </w:p>
              </w:tc>
              <w:tc>
                <w:tcPr>
                  <w:tcW w:w="902" w:type="dxa"/>
                  <w:vAlign w:val="center"/>
                </w:tcPr>
                <w:p w14:paraId="78E40B1F">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750</w:t>
                  </w:r>
                </w:p>
              </w:tc>
              <w:tc>
                <w:tcPr>
                  <w:tcW w:w="902" w:type="dxa"/>
                  <w:vAlign w:val="center"/>
                </w:tcPr>
                <w:p w14:paraId="5F8BAC1B">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850</w:t>
                  </w:r>
                </w:p>
              </w:tc>
              <w:tc>
                <w:tcPr>
                  <w:tcW w:w="988" w:type="dxa"/>
                  <w:vAlign w:val="center"/>
                </w:tcPr>
                <w:p w14:paraId="0C566DCA">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950</w:t>
                  </w:r>
                </w:p>
              </w:tc>
              <w:tc>
                <w:tcPr>
                  <w:tcW w:w="812" w:type="dxa"/>
                  <w:vAlign w:val="center"/>
                </w:tcPr>
                <w:p w14:paraId="6ABE9A06">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1050</w:t>
                  </w:r>
                </w:p>
              </w:tc>
            </w:tr>
            <w:tr w14:paraId="0D9CE2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02" w:type="dxa"/>
                  <w:vAlign w:val="center"/>
                </w:tcPr>
                <w:p w14:paraId="6A4394B0">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沉降速度（</w:t>
                  </w:r>
                  <w:r>
                    <w:rPr>
                      <w:b/>
                      <w:color w:val="000000"/>
                      <w:kern w:val="0"/>
                      <w:sz w:val="18"/>
                      <w:szCs w:val="18"/>
                    </w:rPr>
                    <w:t>m/s</w:t>
                  </w:r>
                  <w:r>
                    <w:rPr>
                      <w:rFonts w:ascii="宋体" w:hAnsi="宋体"/>
                      <w:b/>
                      <w:color w:val="000000"/>
                      <w:kern w:val="0"/>
                      <w:sz w:val="18"/>
                      <w:szCs w:val="18"/>
                    </w:rPr>
                    <w:t>）</w:t>
                  </w:r>
                </w:p>
              </w:tc>
              <w:tc>
                <w:tcPr>
                  <w:tcW w:w="901" w:type="dxa"/>
                  <w:vAlign w:val="center"/>
                </w:tcPr>
                <w:p w14:paraId="3DAC1B00">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2.211</w:t>
                  </w:r>
                </w:p>
              </w:tc>
              <w:tc>
                <w:tcPr>
                  <w:tcW w:w="902" w:type="dxa"/>
                  <w:vAlign w:val="center"/>
                </w:tcPr>
                <w:p w14:paraId="0E949A88">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2.614</w:t>
                  </w:r>
                </w:p>
              </w:tc>
              <w:tc>
                <w:tcPr>
                  <w:tcW w:w="902" w:type="dxa"/>
                  <w:vAlign w:val="center"/>
                </w:tcPr>
                <w:p w14:paraId="75F90A7A">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3.016</w:t>
                  </w:r>
                </w:p>
              </w:tc>
              <w:tc>
                <w:tcPr>
                  <w:tcW w:w="902" w:type="dxa"/>
                  <w:vAlign w:val="center"/>
                </w:tcPr>
                <w:p w14:paraId="6E13D790">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3.418</w:t>
                  </w:r>
                </w:p>
              </w:tc>
              <w:tc>
                <w:tcPr>
                  <w:tcW w:w="902" w:type="dxa"/>
                  <w:vAlign w:val="center"/>
                </w:tcPr>
                <w:p w14:paraId="0A41A939">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3.820</w:t>
                  </w:r>
                </w:p>
              </w:tc>
              <w:tc>
                <w:tcPr>
                  <w:tcW w:w="988" w:type="dxa"/>
                  <w:vAlign w:val="center"/>
                </w:tcPr>
                <w:p w14:paraId="1405B791">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4.222</w:t>
                  </w:r>
                </w:p>
              </w:tc>
              <w:tc>
                <w:tcPr>
                  <w:tcW w:w="812" w:type="dxa"/>
                  <w:vAlign w:val="center"/>
                </w:tcPr>
                <w:p w14:paraId="3A5FF092">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4.624</w:t>
                  </w:r>
                </w:p>
              </w:tc>
            </w:tr>
          </w:tbl>
          <w:p w14:paraId="56985AAB">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由上表可知粉性材料一定要堆放在料棚内，施工工地要定期洒水，施工建筑要设置滞尘网，采用商品混凝土，施工运输车辆出入施工场地减速行驶并密闭化，以减少施工扬尘的大面积污染。</w:t>
            </w:r>
          </w:p>
          <w:p w14:paraId="2DDB4570">
            <w:pPr>
              <w:widowControl/>
              <w:kinsoku w:val="0"/>
              <w:autoSpaceDE w:val="0"/>
              <w:autoSpaceDN w:val="0"/>
              <w:ind w:firstLine="422" w:firstLineChars="200"/>
              <w:textAlignment w:val="baseline"/>
              <w:rPr>
                <w:b/>
                <w:color w:val="000000"/>
                <w:kern w:val="0"/>
                <w:szCs w:val="21"/>
              </w:rPr>
            </w:pPr>
            <w:r>
              <w:rPr>
                <w:rFonts w:hint="eastAsia" w:ascii="宋体" w:hAnsi="宋体"/>
                <w:b/>
                <w:color w:val="000000"/>
                <w:kern w:val="0"/>
                <w:szCs w:val="21"/>
              </w:rPr>
              <w:t>2、</w:t>
            </w:r>
            <w:r>
              <w:rPr>
                <w:rFonts w:ascii="宋体" w:hAnsi="宋体"/>
                <w:b/>
                <w:color w:val="000000"/>
                <w:kern w:val="0"/>
                <w:szCs w:val="21"/>
              </w:rPr>
              <w:t>汽车（机械）尾气</w:t>
            </w:r>
          </w:p>
          <w:p w14:paraId="5003A211">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在地面开挖、路堤填筑等施工中，由于使用运输车辆、柴油机等设备，将有少量的燃油废气产生，主要污染物是</w:t>
            </w:r>
            <w:r>
              <w:rPr>
                <w:color w:val="000000"/>
                <w:kern w:val="0"/>
                <w:szCs w:val="21"/>
              </w:rPr>
              <w:t>NO</w:t>
            </w:r>
            <w:r>
              <w:rPr>
                <w:color w:val="000000"/>
                <w:kern w:val="0"/>
                <w:szCs w:val="21"/>
                <w:vertAlign w:val="subscript"/>
              </w:rPr>
              <w:t>2</w:t>
            </w:r>
            <w:r>
              <w:rPr>
                <w:rFonts w:ascii="宋体" w:hAnsi="宋体"/>
                <w:color w:val="000000"/>
                <w:kern w:val="0"/>
                <w:szCs w:val="21"/>
              </w:rPr>
              <w:t>、</w:t>
            </w:r>
            <w:r>
              <w:rPr>
                <w:color w:val="000000"/>
                <w:kern w:val="0"/>
                <w:szCs w:val="21"/>
              </w:rPr>
              <w:t>CO</w:t>
            </w:r>
            <w:r>
              <w:rPr>
                <w:rFonts w:ascii="宋体" w:hAnsi="宋体"/>
                <w:color w:val="000000"/>
                <w:kern w:val="0"/>
                <w:szCs w:val="21"/>
              </w:rPr>
              <w:t>等。由于废气量较小，同时废气污染源具有间歇性和流动性，且施工现场均较开敞，利于空气扩散，对局部地区的环境空气影响较小。</w:t>
            </w:r>
          </w:p>
          <w:p w14:paraId="366D51D9">
            <w:pPr>
              <w:widowControl/>
              <w:kinsoku w:val="0"/>
              <w:autoSpaceDE w:val="0"/>
              <w:autoSpaceDN w:val="0"/>
              <w:ind w:firstLine="422" w:firstLineChars="200"/>
              <w:textAlignment w:val="baseline"/>
              <w:rPr>
                <w:b/>
                <w:color w:val="000000"/>
                <w:kern w:val="0"/>
                <w:szCs w:val="21"/>
              </w:rPr>
            </w:pPr>
            <w:r>
              <w:rPr>
                <w:b/>
                <w:color w:val="000000"/>
                <w:kern w:val="0"/>
                <w:szCs w:val="21"/>
              </w:rPr>
              <w:t>3</w:t>
            </w:r>
            <w:r>
              <w:rPr>
                <w:rFonts w:ascii="宋体" w:hAnsi="宋体"/>
                <w:b/>
                <w:color w:val="000000"/>
                <w:kern w:val="0"/>
                <w:szCs w:val="21"/>
              </w:rPr>
              <w:t>、运输扬尘</w:t>
            </w:r>
          </w:p>
          <w:p w14:paraId="1AE9CC59">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在施工过程中，车辆行驶产生的扬尘占扬尘总量的</w:t>
            </w:r>
            <w:r>
              <w:rPr>
                <w:rFonts w:hint="eastAsia"/>
                <w:color w:val="000000"/>
                <w:kern w:val="0"/>
                <w:szCs w:val="21"/>
              </w:rPr>
              <w:t>40</w:t>
            </w:r>
            <w:r>
              <w:rPr>
                <w:color w:val="000000"/>
                <w:kern w:val="0"/>
                <w:szCs w:val="21"/>
              </w:rPr>
              <w:t>%</w:t>
            </w:r>
            <w:r>
              <w:rPr>
                <w:rFonts w:ascii="宋体" w:hAnsi="宋体"/>
                <w:color w:val="000000"/>
                <w:kern w:val="0"/>
                <w:szCs w:val="21"/>
              </w:rPr>
              <w:t>以上。车辆在行驶过程中产生的扬尘，在完全干燥的情况下，可按下列经验公式计算：</w:t>
            </w:r>
          </w:p>
          <w:p w14:paraId="165135FF">
            <w:pPr>
              <w:widowControl/>
              <w:kinsoku w:val="0"/>
              <w:autoSpaceDE w:val="0"/>
              <w:autoSpaceDN w:val="0"/>
              <w:ind w:firstLine="2169" w:firstLineChars="1033"/>
              <w:textAlignment w:val="baseline"/>
              <w:rPr>
                <w:color w:val="000000"/>
                <w:kern w:val="0"/>
                <w:szCs w:val="21"/>
              </w:rPr>
            </w:pPr>
            <w:r>
              <w:rPr>
                <w:rFonts w:ascii="Arial" w:hAnsi="Arial" w:cs="Arial"/>
                <w:color w:val="000000"/>
                <w:kern w:val="0"/>
                <w:szCs w:val="21"/>
              </w:rPr>
              <w:drawing>
                <wp:inline distT="0" distB="0" distL="0" distR="0">
                  <wp:extent cx="2001520" cy="47434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8"/>
                          <a:srcRect/>
                          <a:stretch>
                            <a:fillRect/>
                          </a:stretch>
                        </pic:blipFill>
                        <pic:spPr>
                          <a:xfrm>
                            <a:off x="0" y="0"/>
                            <a:ext cx="2001520" cy="474345"/>
                          </a:xfrm>
                          <a:prstGeom prst="rect">
                            <a:avLst/>
                          </a:prstGeom>
                          <a:noFill/>
                          <a:ln>
                            <a:noFill/>
                          </a:ln>
                        </pic:spPr>
                      </pic:pic>
                    </a:graphicData>
                  </a:graphic>
                </wp:inline>
              </w:drawing>
            </w:r>
            <w:r>
              <w:rPr>
                <w:color w:val="000000"/>
                <w:kern w:val="0"/>
                <w:szCs w:val="21"/>
              </w:rPr>
              <w:t xml:space="preserve"> </w:t>
            </w:r>
          </w:p>
          <w:p w14:paraId="44912BF0">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式中：</w:t>
            </w:r>
          </w:p>
          <w:p w14:paraId="104F67CA">
            <w:pPr>
              <w:widowControl/>
              <w:kinsoku w:val="0"/>
              <w:autoSpaceDE w:val="0"/>
              <w:autoSpaceDN w:val="0"/>
              <w:ind w:firstLine="2169" w:firstLineChars="1033"/>
              <w:textAlignment w:val="baseline"/>
              <w:rPr>
                <w:color w:val="000000"/>
                <w:kern w:val="0"/>
                <w:szCs w:val="21"/>
              </w:rPr>
            </w:pPr>
            <w:r>
              <w:rPr>
                <w:i/>
                <w:color w:val="000000"/>
                <w:kern w:val="0"/>
                <w:szCs w:val="21"/>
              </w:rPr>
              <w:t>Q</w:t>
            </w:r>
            <w:r>
              <w:rPr>
                <w:color w:val="000000"/>
                <w:kern w:val="0"/>
                <w:szCs w:val="21"/>
              </w:rPr>
              <w:t>——</w:t>
            </w:r>
            <w:r>
              <w:rPr>
                <w:rFonts w:ascii="宋体" w:hAnsi="宋体"/>
                <w:color w:val="000000"/>
                <w:kern w:val="0"/>
                <w:szCs w:val="21"/>
              </w:rPr>
              <w:t>汽车行驶的扬尘，</w:t>
            </w:r>
            <w:r>
              <w:rPr>
                <w:color w:val="000000"/>
                <w:kern w:val="0"/>
                <w:szCs w:val="21"/>
              </w:rPr>
              <w:t>kg/km·</w:t>
            </w:r>
            <w:r>
              <w:rPr>
                <w:rFonts w:ascii="宋体" w:hAnsi="宋体"/>
                <w:color w:val="000000"/>
                <w:kern w:val="0"/>
                <w:szCs w:val="21"/>
              </w:rPr>
              <w:t>辆；</w:t>
            </w:r>
          </w:p>
          <w:p w14:paraId="514D5C71">
            <w:pPr>
              <w:widowControl/>
              <w:kinsoku w:val="0"/>
              <w:autoSpaceDE w:val="0"/>
              <w:autoSpaceDN w:val="0"/>
              <w:ind w:firstLine="2169" w:firstLineChars="1033"/>
              <w:textAlignment w:val="baseline"/>
              <w:rPr>
                <w:color w:val="000000"/>
                <w:kern w:val="0"/>
                <w:szCs w:val="21"/>
              </w:rPr>
            </w:pPr>
            <w:r>
              <w:rPr>
                <w:i/>
                <w:color w:val="000000"/>
                <w:kern w:val="0"/>
                <w:szCs w:val="21"/>
              </w:rPr>
              <w:t>V</w:t>
            </w:r>
            <w:r>
              <w:rPr>
                <w:color w:val="000000"/>
                <w:kern w:val="0"/>
                <w:szCs w:val="21"/>
              </w:rPr>
              <w:t>——</w:t>
            </w:r>
            <w:r>
              <w:rPr>
                <w:rFonts w:ascii="宋体" w:hAnsi="宋体"/>
                <w:color w:val="000000"/>
                <w:kern w:val="0"/>
                <w:szCs w:val="21"/>
              </w:rPr>
              <w:t>汽车速度，</w:t>
            </w:r>
            <w:r>
              <w:rPr>
                <w:color w:val="000000"/>
                <w:kern w:val="0"/>
                <w:szCs w:val="21"/>
              </w:rPr>
              <w:t>km/h</w:t>
            </w:r>
            <w:r>
              <w:rPr>
                <w:rFonts w:ascii="宋体" w:hAnsi="宋体"/>
                <w:color w:val="000000"/>
                <w:kern w:val="0"/>
                <w:szCs w:val="21"/>
              </w:rPr>
              <w:t>；</w:t>
            </w:r>
          </w:p>
          <w:p w14:paraId="1FE02D66">
            <w:pPr>
              <w:widowControl/>
              <w:kinsoku w:val="0"/>
              <w:autoSpaceDE w:val="0"/>
              <w:autoSpaceDN w:val="0"/>
              <w:ind w:firstLine="2169" w:firstLineChars="1033"/>
              <w:textAlignment w:val="baseline"/>
              <w:rPr>
                <w:color w:val="000000"/>
                <w:kern w:val="0"/>
                <w:szCs w:val="21"/>
              </w:rPr>
            </w:pPr>
            <w:r>
              <w:rPr>
                <w:i/>
                <w:color w:val="000000"/>
                <w:kern w:val="0"/>
                <w:szCs w:val="21"/>
              </w:rPr>
              <w:t>W</w:t>
            </w:r>
            <w:r>
              <w:rPr>
                <w:color w:val="000000"/>
                <w:kern w:val="0"/>
                <w:szCs w:val="21"/>
              </w:rPr>
              <w:t>——</w:t>
            </w:r>
            <w:r>
              <w:rPr>
                <w:rFonts w:ascii="宋体" w:hAnsi="宋体"/>
                <w:color w:val="000000"/>
                <w:kern w:val="0"/>
                <w:szCs w:val="21"/>
              </w:rPr>
              <w:t>汽车载重量，</w:t>
            </w:r>
            <w:r>
              <w:rPr>
                <w:color w:val="000000"/>
                <w:kern w:val="0"/>
                <w:szCs w:val="21"/>
              </w:rPr>
              <w:t>t</w:t>
            </w:r>
            <w:r>
              <w:rPr>
                <w:rFonts w:ascii="宋体" w:hAnsi="宋体"/>
                <w:color w:val="000000"/>
                <w:kern w:val="0"/>
                <w:szCs w:val="21"/>
              </w:rPr>
              <w:t>；</w:t>
            </w:r>
          </w:p>
          <w:p w14:paraId="763A6D6E">
            <w:pPr>
              <w:widowControl/>
              <w:kinsoku w:val="0"/>
              <w:autoSpaceDE w:val="0"/>
              <w:autoSpaceDN w:val="0"/>
              <w:ind w:firstLine="2169" w:firstLineChars="1033"/>
              <w:textAlignment w:val="baseline"/>
              <w:rPr>
                <w:color w:val="000000"/>
                <w:kern w:val="0"/>
                <w:szCs w:val="21"/>
                <w:highlight w:val="yellow"/>
              </w:rPr>
            </w:pPr>
            <w:r>
              <w:rPr>
                <w:i/>
                <w:color w:val="000000"/>
                <w:kern w:val="0"/>
                <w:szCs w:val="21"/>
              </w:rPr>
              <w:t>P</w:t>
            </w:r>
            <w:r>
              <w:rPr>
                <w:color w:val="000000"/>
                <w:kern w:val="0"/>
                <w:szCs w:val="21"/>
              </w:rPr>
              <w:t>——</w:t>
            </w:r>
            <w:r>
              <w:rPr>
                <w:rFonts w:ascii="宋体" w:hAnsi="宋体"/>
                <w:color w:val="000000"/>
                <w:kern w:val="0"/>
                <w:szCs w:val="21"/>
              </w:rPr>
              <w:t>道路表面粉尘量，</w:t>
            </w:r>
            <w:r>
              <w:rPr>
                <w:color w:val="000000"/>
                <w:kern w:val="0"/>
                <w:szCs w:val="21"/>
              </w:rPr>
              <w:t>kg/m</w:t>
            </w:r>
            <w:r>
              <w:rPr>
                <w:color w:val="000000"/>
                <w:kern w:val="0"/>
                <w:szCs w:val="21"/>
                <w:vertAlign w:val="superscript"/>
              </w:rPr>
              <w:t>2</w:t>
            </w:r>
            <w:r>
              <w:rPr>
                <w:rFonts w:ascii="宋体" w:hAnsi="宋体"/>
                <w:color w:val="000000"/>
                <w:kern w:val="0"/>
                <w:szCs w:val="21"/>
              </w:rPr>
              <w:t>。</w:t>
            </w:r>
          </w:p>
          <w:p w14:paraId="3A850AD3">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从上面的公式中可见，在同样的路面条件下，车速越快，扬尘量越大；在同样的车速情况下，路面越脏，扬尘量越大。限制车辆行驶速度以及保持路面的清洁是减少汽车扬尘的有效手段。在施工期间对车辆行驶的路面实施洒水抑尘，每天洒水</w:t>
            </w:r>
            <w:r>
              <w:rPr>
                <w:color w:val="000000"/>
                <w:kern w:val="0"/>
                <w:szCs w:val="21"/>
              </w:rPr>
              <w:t>4-5</w:t>
            </w:r>
            <w:r>
              <w:rPr>
                <w:rFonts w:ascii="宋体" w:hAnsi="宋体"/>
                <w:color w:val="000000"/>
                <w:kern w:val="0"/>
                <w:szCs w:val="21"/>
              </w:rPr>
              <w:t>次，两次洒水时间间隔可控制在</w:t>
            </w:r>
            <w:r>
              <w:rPr>
                <w:color w:val="000000"/>
                <w:kern w:val="0"/>
                <w:szCs w:val="21"/>
              </w:rPr>
              <w:t>2</w:t>
            </w:r>
            <w:r>
              <w:rPr>
                <w:rFonts w:ascii="宋体" w:hAnsi="宋体"/>
                <w:color w:val="000000"/>
                <w:kern w:val="0"/>
                <w:szCs w:val="21"/>
              </w:rPr>
              <w:t>小时左右，可使扬尘减少</w:t>
            </w:r>
            <w:r>
              <w:rPr>
                <w:color w:val="000000"/>
                <w:kern w:val="0"/>
                <w:szCs w:val="21"/>
              </w:rPr>
              <w:t>70%</w:t>
            </w:r>
            <w:r>
              <w:rPr>
                <w:rFonts w:ascii="宋体" w:hAnsi="宋体"/>
                <w:color w:val="000000"/>
                <w:kern w:val="0"/>
                <w:szCs w:val="21"/>
              </w:rPr>
              <w:t>左右，可有效地控制施工扬尘，可将</w:t>
            </w:r>
            <w:r>
              <w:rPr>
                <w:color w:val="000000"/>
                <w:kern w:val="0"/>
                <w:szCs w:val="21"/>
              </w:rPr>
              <w:t>TSP</w:t>
            </w:r>
            <w:r>
              <w:rPr>
                <w:rFonts w:ascii="宋体" w:hAnsi="宋体"/>
                <w:color w:val="000000"/>
                <w:kern w:val="0"/>
                <w:szCs w:val="21"/>
              </w:rPr>
              <w:t>的污染距离缩小到</w:t>
            </w:r>
            <w:r>
              <w:rPr>
                <w:color w:val="000000"/>
                <w:kern w:val="0"/>
                <w:szCs w:val="21"/>
              </w:rPr>
              <w:t>20-50m</w:t>
            </w:r>
            <w:r>
              <w:rPr>
                <w:rFonts w:ascii="宋体" w:hAnsi="宋体"/>
                <w:color w:val="000000"/>
                <w:kern w:val="0"/>
                <w:szCs w:val="21"/>
              </w:rPr>
              <w:t>范围。同时，工地运输渣土、建筑材料车辆必须密闭化、严禁跑冒滴漏，装卸时严禁凌空抛洒。在施工期间，严格提倡文明施工，对运输车辆途经敏感点时减速行驶并进行洒水抑尘，加强管理，减少人为粉尘产生。</w:t>
            </w:r>
          </w:p>
          <w:p w14:paraId="1CFD0FDB">
            <w:pPr>
              <w:widowControl/>
              <w:kinsoku w:val="0"/>
              <w:autoSpaceDE w:val="0"/>
              <w:autoSpaceDN w:val="0"/>
              <w:ind w:firstLine="422" w:firstLineChars="200"/>
              <w:textAlignment w:val="baseline"/>
              <w:rPr>
                <w:b/>
                <w:color w:val="000000"/>
                <w:kern w:val="0"/>
                <w:szCs w:val="21"/>
              </w:rPr>
            </w:pPr>
            <w:r>
              <w:rPr>
                <w:b/>
                <w:color w:val="000000"/>
                <w:kern w:val="0"/>
                <w:szCs w:val="21"/>
              </w:rPr>
              <w:t>4</w:t>
            </w:r>
            <w:r>
              <w:rPr>
                <w:rFonts w:ascii="宋体" w:hAnsi="宋体"/>
                <w:b/>
                <w:color w:val="000000"/>
                <w:kern w:val="0"/>
                <w:szCs w:val="21"/>
              </w:rPr>
              <w:t>、沥青烟</w:t>
            </w:r>
          </w:p>
          <w:p w14:paraId="3355F7D0">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本工程沥青均采用商购，施工过程不涉及沥青熬炼、搅拌过程。本工程全线为沥青混凝土路面，本工程沥青烟的产生主要来自路面铺设过程。铺路沥青在出厂前的高温加工过程中废气的挥发已达</w:t>
            </w:r>
            <w:r>
              <w:rPr>
                <w:color w:val="000000"/>
                <w:kern w:val="0"/>
                <w:szCs w:val="21"/>
              </w:rPr>
              <w:t>90%</w:t>
            </w:r>
            <w:r>
              <w:rPr>
                <w:rFonts w:ascii="宋体" w:hAnsi="宋体"/>
                <w:color w:val="000000"/>
                <w:kern w:val="0"/>
                <w:szCs w:val="21"/>
              </w:rPr>
              <w:t>以上，在铺路时的加热过程中挥发量已较少，沥青的熔融、搅拌、摊铺时会产生以</w:t>
            </w:r>
            <w:r>
              <w:rPr>
                <w:color w:val="000000"/>
                <w:kern w:val="0"/>
                <w:szCs w:val="21"/>
              </w:rPr>
              <w:t>THC</w:t>
            </w:r>
            <w:r>
              <w:rPr>
                <w:rFonts w:ascii="宋体" w:hAnsi="宋体"/>
                <w:color w:val="000000"/>
                <w:kern w:val="0"/>
                <w:szCs w:val="21"/>
              </w:rPr>
              <w:t>、</w:t>
            </w:r>
            <w:r>
              <w:rPr>
                <w:color w:val="000000"/>
                <w:kern w:val="0"/>
                <w:szCs w:val="21"/>
              </w:rPr>
              <w:t>TSP</w:t>
            </w:r>
            <w:r>
              <w:rPr>
                <w:rFonts w:ascii="宋体" w:hAnsi="宋体"/>
                <w:color w:val="000000"/>
                <w:kern w:val="0"/>
                <w:szCs w:val="21"/>
              </w:rPr>
              <w:t>和</w:t>
            </w:r>
            <w:r>
              <w:rPr>
                <w:color w:val="000000"/>
                <w:kern w:val="0"/>
                <w:szCs w:val="21"/>
              </w:rPr>
              <w:t>BaP</w:t>
            </w:r>
            <w:r>
              <w:rPr>
                <w:rFonts w:ascii="宋体" w:hAnsi="宋体"/>
                <w:color w:val="000000"/>
                <w:kern w:val="0"/>
                <w:szCs w:val="21"/>
              </w:rPr>
              <w:t>为主的烟尘以及异味气体，其中</w:t>
            </w:r>
            <w:r>
              <w:rPr>
                <w:color w:val="000000"/>
                <w:kern w:val="0"/>
                <w:szCs w:val="21"/>
              </w:rPr>
              <w:t>THC</w:t>
            </w:r>
            <w:r>
              <w:rPr>
                <w:rFonts w:ascii="宋体" w:hAnsi="宋体"/>
                <w:color w:val="000000"/>
                <w:kern w:val="0"/>
                <w:szCs w:val="21"/>
              </w:rPr>
              <w:t>和</w:t>
            </w:r>
            <w:r>
              <w:rPr>
                <w:color w:val="000000"/>
                <w:kern w:val="0"/>
                <w:szCs w:val="21"/>
              </w:rPr>
              <w:t>BaP</w:t>
            </w:r>
            <w:r>
              <w:rPr>
                <w:rFonts w:ascii="宋体" w:hAnsi="宋体"/>
                <w:color w:val="000000"/>
                <w:kern w:val="0"/>
                <w:szCs w:val="21"/>
              </w:rPr>
              <w:t>为有害物质，对空气将造成一定的污染，对人体也有伤害，其污染影响范围一般在周边</w:t>
            </w:r>
            <w:r>
              <w:rPr>
                <w:color w:val="000000"/>
                <w:kern w:val="0"/>
                <w:szCs w:val="21"/>
              </w:rPr>
              <w:t>50m</w:t>
            </w:r>
            <w:r>
              <w:rPr>
                <w:rFonts w:ascii="宋体" w:hAnsi="宋体"/>
                <w:color w:val="000000"/>
                <w:kern w:val="0"/>
                <w:szCs w:val="21"/>
              </w:rPr>
              <w:t>之内以及在距离下风向</w:t>
            </w:r>
            <w:r>
              <w:rPr>
                <w:color w:val="000000"/>
                <w:kern w:val="0"/>
                <w:szCs w:val="21"/>
              </w:rPr>
              <w:t>100m</w:t>
            </w:r>
            <w:r>
              <w:rPr>
                <w:rFonts w:ascii="宋体" w:hAnsi="宋体"/>
                <w:color w:val="000000"/>
                <w:kern w:val="0"/>
                <w:szCs w:val="21"/>
              </w:rPr>
              <w:t>左右。因此，沥青铺浇应避开风向针对</w:t>
            </w:r>
            <w:r>
              <w:rPr>
                <w:rFonts w:hint="eastAsia" w:ascii="宋体" w:hAnsi="宋体"/>
                <w:color w:val="000000"/>
                <w:kern w:val="0"/>
                <w:szCs w:val="21"/>
              </w:rPr>
              <w:t>生态</w:t>
            </w:r>
            <w:r>
              <w:rPr>
                <w:rFonts w:ascii="宋体" w:hAnsi="宋体"/>
                <w:color w:val="000000"/>
                <w:kern w:val="0"/>
                <w:szCs w:val="21"/>
              </w:rPr>
              <w:t>环境敏感点的时段，同时避开人群上下班高峰期，以避免对人群健康产生影响。随着施工竣工，施工沥青烟气影响将不再存在，</w:t>
            </w:r>
            <w:r>
              <w:rPr>
                <w:rFonts w:hint="eastAsia" w:ascii="宋体" w:hAnsi="宋体"/>
                <w:color w:val="000000"/>
                <w:kern w:val="0"/>
                <w:szCs w:val="21"/>
              </w:rPr>
              <w:t>本工程周边如今均为农田与空地为主，</w:t>
            </w:r>
            <w:r>
              <w:rPr>
                <w:rFonts w:hint="eastAsia"/>
              </w:rPr>
              <w:t>周边100m</w:t>
            </w:r>
            <w:r>
              <w:t>范围内不存在</w:t>
            </w:r>
            <w:r>
              <w:rPr>
                <w:rFonts w:hint="eastAsia"/>
              </w:rPr>
              <w:t>生态环境敏感点</w:t>
            </w:r>
            <w:r>
              <w:rPr>
                <w:rFonts w:hint="eastAsia" w:ascii="宋体" w:hAnsi="宋体"/>
                <w:color w:val="000000"/>
                <w:kern w:val="0"/>
                <w:szCs w:val="21"/>
              </w:rPr>
              <w:t>，所以</w:t>
            </w:r>
            <w:r>
              <w:rPr>
                <w:rFonts w:ascii="宋体" w:hAnsi="宋体"/>
                <w:color w:val="000000"/>
                <w:kern w:val="0"/>
                <w:szCs w:val="21"/>
              </w:rPr>
              <w:t>施工沥青烟气对环境的不利影响是暂时的，短期的。</w:t>
            </w:r>
          </w:p>
          <w:p w14:paraId="0410A355">
            <w:pPr>
              <w:widowControl/>
              <w:kinsoku w:val="0"/>
              <w:autoSpaceDE w:val="0"/>
              <w:autoSpaceDN w:val="0"/>
              <w:ind w:firstLine="422" w:firstLineChars="200"/>
              <w:textAlignment w:val="baseline"/>
              <w:rPr>
                <w:b/>
                <w:color w:val="000000"/>
                <w:kern w:val="0"/>
                <w:szCs w:val="21"/>
              </w:rPr>
            </w:pPr>
            <w:r>
              <w:rPr>
                <w:rFonts w:hint="eastAsia"/>
                <w:b/>
                <w:color w:val="000000"/>
                <w:kern w:val="0"/>
                <w:szCs w:val="21"/>
              </w:rPr>
              <w:t>5</w:t>
            </w:r>
            <w:r>
              <w:rPr>
                <w:rFonts w:ascii="宋体" w:hAnsi="宋体"/>
                <w:b/>
                <w:color w:val="000000"/>
                <w:kern w:val="0"/>
                <w:szCs w:val="21"/>
              </w:rPr>
              <w:t>、施工场地废气</w:t>
            </w:r>
          </w:p>
          <w:p w14:paraId="0D56B346">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本项目施工场地不设混凝土、水稳、沥青拌合站、预制场等。施工场地主要用于施工物料的堆放、施工机械的停放以及相关施工过程中钢筋笼的加工等。</w:t>
            </w:r>
          </w:p>
          <w:p w14:paraId="52282B2B">
            <w:pPr>
              <w:widowControl/>
              <w:kinsoku w:val="0"/>
              <w:autoSpaceDE w:val="0"/>
              <w:autoSpaceDN w:val="0"/>
              <w:ind w:firstLine="420" w:firstLineChars="200"/>
              <w:textAlignment w:val="baseline"/>
              <w:rPr>
                <w:b/>
                <w:color w:val="000000"/>
                <w:kern w:val="0"/>
                <w:szCs w:val="21"/>
              </w:rPr>
            </w:pPr>
            <w:r>
              <w:rPr>
                <w:rFonts w:ascii="宋体" w:hAnsi="宋体"/>
                <w:color w:val="000000"/>
                <w:kern w:val="0"/>
                <w:szCs w:val="21"/>
              </w:rPr>
              <w:t>施工期针对施工场地堆放较多施工物料，要求施工场地设置施工围挡，根据天气、风力、风向等气象条件，通过遮盖、洒水等措施防治扬尘对周边敏感点的影响。</w:t>
            </w:r>
          </w:p>
          <w:p w14:paraId="6A0CE6F0">
            <w:pPr>
              <w:pStyle w:val="3"/>
            </w:pPr>
            <w:r>
              <w:t>施工期声环境影响分析</w:t>
            </w:r>
          </w:p>
          <w:p w14:paraId="0C04689F">
            <w:pPr>
              <w:ind w:firstLine="420" w:firstLineChars="200"/>
            </w:pPr>
            <w:r>
              <w:t>本工程施工期间的噪声主要来源于各种筑路机械噪声和车辆运输产生的作业噪声。根据施工现场机械噪声影响的类比调查分析，在一般情况下，施工噪声昼间至少50m外基本能达标，夜间则至少在200m以外才能达标。</w:t>
            </w:r>
            <w:r>
              <w:rPr>
                <w:rFonts w:hint="eastAsia"/>
              </w:rPr>
              <w:t>本项目周边200m范围内无敏感点分布，</w:t>
            </w:r>
            <w:r>
              <w:t>。</w:t>
            </w:r>
          </w:p>
          <w:p w14:paraId="202E50AA">
            <w:pPr>
              <w:ind w:firstLine="420" w:firstLineChars="200"/>
            </w:pPr>
            <w:r>
              <w:t>施工期需运输大量物料进出施工现场，因此运输车辆多为重型运输车，其产生的噪声比一般车辆要高。本环评提出本项目施工时要协调好施工车辆通行的时间，在既有交通繁忙的情况下，工程建设方、施工方及交管部门应加强沟通、协调工作，避免交通堵塞，夜间运输要采取减速缓行、禁止鸣笛等措施。并且随着施工结束，影响便随之结束，因此，本项目施工期运输车辆所产生的噪声影响是短暂的。</w:t>
            </w:r>
          </w:p>
          <w:p w14:paraId="2BD94660">
            <w:pPr>
              <w:widowControl/>
              <w:kinsoku w:val="0"/>
              <w:autoSpaceDE w:val="0"/>
              <w:autoSpaceDN w:val="0"/>
              <w:jc w:val="left"/>
              <w:textAlignment w:val="baseline"/>
              <w:outlineLvl w:val="1"/>
              <w:rPr>
                <w:b/>
                <w:color w:val="000000"/>
                <w:kern w:val="0"/>
                <w:szCs w:val="21"/>
              </w:rPr>
            </w:pPr>
            <w:r>
              <w:rPr>
                <w:b/>
                <w:color w:val="000000"/>
                <w:kern w:val="0"/>
                <w:szCs w:val="21"/>
              </w:rPr>
              <w:t>4.4</w:t>
            </w:r>
            <w:r>
              <w:rPr>
                <w:rFonts w:ascii="宋体" w:hAnsi="宋体"/>
                <w:b/>
                <w:color w:val="000000"/>
                <w:kern w:val="0"/>
                <w:szCs w:val="21"/>
              </w:rPr>
              <w:t>施工期固体废物影响分析</w:t>
            </w:r>
          </w:p>
          <w:p w14:paraId="496DA8B1">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本项目在施工过程中固体废物主要为生活垃圾</w:t>
            </w:r>
            <w:r>
              <w:rPr>
                <w:rFonts w:hint="eastAsia" w:ascii="宋体" w:hAnsi="宋体"/>
                <w:color w:val="000000"/>
                <w:kern w:val="0"/>
                <w:szCs w:val="21"/>
              </w:rPr>
              <w:t>、施工建筑垃圾固废以及施工过程产生的危险废物</w:t>
            </w:r>
            <w:r>
              <w:rPr>
                <w:rFonts w:ascii="宋体" w:hAnsi="宋体"/>
                <w:color w:val="000000"/>
                <w:kern w:val="0"/>
                <w:szCs w:val="21"/>
              </w:rPr>
              <w:t>。</w:t>
            </w:r>
          </w:p>
          <w:p w14:paraId="5A45902C">
            <w:pPr>
              <w:widowControl/>
              <w:kinsoku w:val="0"/>
              <w:autoSpaceDE w:val="0"/>
              <w:autoSpaceDN w:val="0"/>
              <w:ind w:firstLine="422" w:firstLineChars="200"/>
              <w:textAlignment w:val="baseline"/>
              <w:rPr>
                <w:b/>
                <w:bCs/>
                <w:color w:val="000000"/>
                <w:kern w:val="0"/>
                <w:szCs w:val="21"/>
              </w:rPr>
            </w:pPr>
            <w:r>
              <w:rPr>
                <w:rFonts w:hint="eastAsia"/>
                <w:b/>
                <w:bCs/>
                <w:color w:val="000000"/>
                <w:kern w:val="0"/>
                <w:szCs w:val="21"/>
              </w:rPr>
              <w:t>1、施工人员生活垃圾</w:t>
            </w:r>
          </w:p>
          <w:p w14:paraId="0EED63A6">
            <w:pPr>
              <w:widowControl/>
              <w:kinsoku w:val="0"/>
              <w:autoSpaceDE w:val="0"/>
              <w:autoSpaceDN w:val="0"/>
              <w:ind w:firstLine="420" w:firstLineChars="200"/>
              <w:textAlignment w:val="baseline"/>
              <w:rPr>
                <w:color w:val="000000"/>
                <w:kern w:val="0"/>
                <w:szCs w:val="21"/>
              </w:rPr>
            </w:pPr>
            <w:r>
              <w:rPr>
                <w:rFonts w:hint="eastAsia" w:ascii="宋体" w:hAnsi="宋体"/>
                <w:color w:val="000000"/>
                <w:kern w:val="0"/>
                <w:szCs w:val="21"/>
              </w:rPr>
              <w:t>依前文，</w:t>
            </w:r>
            <w:r>
              <w:rPr>
                <w:rFonts w:ascii="宋体" w:hAnsi="宋体"/>
                <w:color w:val="000000"/>
                <w:kern w:val="0"/>
                <w:szCs w:val="21"/>
              </w:rPr>
              <w:t>本项目施工期</w:t>
            </w:r>
            <w:r>
              <w:rPr>
                <w:rFonts w:hint="eastAsia" w:ascii="宋体" w:hAnsi="宋体"/>
                <w:color w:val="000000"/>
                <w:kern w:val="0"/>
                <w:szCs w:val="21"/>
              </w:rPr>
              <w:t>工程人员</w:t>
            </w:r>
            <w:r>
              <w:rPr>
                <w:rFonts w:ascii="宋体" w:hAnsi="宋体"/>
                <w:color w:val="000000"/>
                <w:kern w:val="0"/>
                <w:szCs w:val="21"/>
              </w:rPr>
              <w:t>按</w:t>
            </w:r>
            <w:r>
              <w:rPr>
                <w:rFonts w:hint="eastAsia"/>
                <w:color w:val="000000"/>
                <w:kern w:val="0"/>
                <w:szCs w:val="21"/>
              </w:rPr>
              <w:t>7</w:t>
            </w:r>
            <w:r>
              <w:rPr>
                <w:color w:val="000000"/>
                <w:kern w:val="0"/>
                <w:szCs w:val="21"/>
              </w:rPr>
              <w:t>0</w:t>
            </w:r>
            <w:r>
              <w:rPr>
                <w:rFonts w:ascii="宋体" w:hAnsi="宋体"/>
                <w:color w:val="000000"/>
                <w:kern w:val="0"/>
                <w:szCs w:val="21"/>
              </w:rPr>
              <w:t>人计</w:t>
            </w:r>
            <w:r>
              <w:rPr>
                <w:rFonts w:hint="eastAsia" w:ascii="宋体" w:hAnsi="宋体"/>
                <w:color w:val="000000"/>
                <w:kern w:val="0"/>
                <w:szCs w:val="21"/>
              </w:rPr>
              <w:t>（</w:t>
            </w:r>
            <w:r>
              <w:rPr>
                <w:rFonts w:hint="eastAsia"/>
                <w:color w:val="000000"/>
                <w:kern w:val="0"/>
                <w:szCs w:val="21"/>
              </w:rPr>
              <w:t>施工50人+管理20人</w:t>
            </w:r>
            <w:r>
              <w:rPr>
                <w:rFonts w:hint="eastAsia" w:ascii="宋体" w:hAnsi="宋体"/>
                <w:color w:val="000000"/>
                <w:kern w:val="0"/>
                <w:szCs w:val="21"/>
              </w:rPr>
              <w:t>）</w:t>
            </w:r>
            <w:r>
              <w:rPr>
                <w:rFonts w:ascii="宋体" w:hAnsi="宋体"/>
                <w:color w:val="000000"/>
                <w:kern w:val="0"/>
                <w:szCs w:val="21"/>
              </w:rPr>
              <w:t>，生活垃圾产生量按每人每日</w:t>
            </w:r>
            <w:r>
              <w:rPr>
                <w:color w:val="000000"/>
                <w:kern w:val="0"/>
                <w:szCs w:val="21"/>
              </w:rPr>
              <w:t>1kg</w:t>
            </w:r>
            <w:r>
              <w:rPr>
                <w:rFonts w:ascii="宋体" w:hAnsi="宋体"/>
                <w:color w:val="000000"/>
                <w:kern w:val="0"/>
                <w:szCs w:val="21"/>
              </w:rPr>
              <w:t>计，产生的生活垃圾量为</w:t>
            </w:r>
            <w:r>
              <w:rPr>
                <w:rFonts w:hint="eastAsia"/>
                <w:color w:val="000000"/>
                <w:kern w:val="0"/>
                <w:szCs w:val="21"/>
              </w:rPr>
              <w:t>70</w:t>
            </w:r>
            <w:r>
              <w:rPr>
                <w:color w:val="000000"/>
                <w:kern w:val="0"/>
                <w:szCs w:val="21"/>
              </w:rPr>
              <w:t>kg/d。施工人员生活垃圾</w:t>
            </w:r>
            <w:r>
              <w:rPr>
                <w:rFonts w:hint="eastAsia"/>
                <w:color w:val="000000"/>
                <w:kern w:val="0"/>
                <w:szCs w:val="21"/>
              </w:rPr>
              <w:t>由垃圾桶统一收集、分类后</w:t>
            </w:r>
            <w:r>
              <w:rPr>
                <w:color w:val="000000"/>
                <w:kern w:val="0"/>
                <w:szCs w:val="21"/>
              </w:rPr>
              <w:t>定期由环卫部门清运。</w:t>
            </w:r>
          </w:p>
          <w:p w14:paraId="1ABCCD46">
            <w:pPr>
              <w:widowControl/>
              <w:kinsoku w:val="0"/>
              <w:autoSpaceDE w:val="0"/>
              <w:autoSpaceDN w:val="0"/>
              <w:ind w:firstLine="422" w:firstLineChars="200"/>
              <w:textAlignment w:val="baseline"/>
              <w:rPr>
                <w:b/>
                <w:bCs/>
                <w:color w:val="000000"/>
                <w:kern w:val="0"/>
                <w:szCs w:val="21"/>
              </w:rPr>
            </w:pPr>
            <w:r>
              <w:rPr>
                <w:rFonts w:hint="eastAsia"/>
                <w:b/>
                <w:bCs/>
                <w:color w:val="000000"/>
                <w:kern w:val="0"/>
                <w:szCs w:val="21"/>
              </w:rPr>
              <w:t>2、施工建筑垃圾</w:t>
            </w:r>
          </w:p>
          <w:p w14:paraId="085152F2">
            <w:pPr>
              <w:widowControl/>
              <w:kinsoku w:val="0"/>
              <w:autoSpaceDE w:val="0"/>
              <w:autoSpaceDN w:val="0"/>
              <w:ind w:firstLine="420" w:firstLineChars="200"/>
              <w:textAlignment w:val="baseline"/>
              <w:rPr>
                <w:color w:val="000000"/>
                <w:kern w:val="0"/>
                <w:szCs w:val="21"/>
              </w:rPr>
            </w:pPr>
            <w:r>
              <w:rPr>
                <w:rFonts w:hint="eastAsia"/>
                <w:color w:val="000000"/>
                <w:kern w:val="0"/>
                <w:szCs w:val="21"/>
              </w:rPr>
              <w:t>工程在进行</w:t>
            </w:r>
            <w:r>
              <w:rPr>
                <w:color w:val="000000"/>
                <w:kern w:val="0"/>
                <w:szCs w:val="21"/>
              </w:rPr>
              <w:t>路基、管基及基坑开挖等</w:t>
            </w:r>
            <w:r>
              <w:rPr>
                <w:rFonts w:hint="eastAsia"/>
                <w:color w:val="000000"/>
                <w:kern w:val="0"/>
                <w:szCs w:val="21"/>
              </w:rPr>
              <w:t>施工流程时，会产生工程渣土共计</w:t>
            </w:r>
            <w:r>
              <w:rPr>
                <w:color w:val="000000"/>
                <w:kern w:val="0"/>
                <w:szCs w:val="21"/>
              </w:rPr>
              <w:t>66034.56</w:t>
            </w:r>
            <w:r>
              <w:rPr>
                <w:rFonts w:hint="eastAsia"/>
                <w:color w:val="000000"/>
                <w:kern w:val="0"/>
                <w:szCs w:val="21"/>
              </w:rPr>
              <w:t xml:space="preserve"> m</w:t>
            </w:r>
            <w:r>
              <w:rPr>
                <w:rFonts w:hint="eastAsia"/>
                <w:color w:val="000000"/>
                <w:kern w:val="0"/>
                <w:szCs w:val="21"/>
                <w:vertAlign w:val="superscript"/>
              </w:rPr>
              <w:t>3</w:t>
            </w:r>
            <w:r>
              <w:rPr>
                <w:rFonts w:hint="eastAsia"/>
                <w:color w:val="000000"/>
                <w:kern w:val="0"/>
                <w:szCs w:val="21"/>
              </w:rPr>
              <w:t>，其中一部分将被</w:t>
            </w:r>
            <w:r>
              <w:rPr>
                <w:color w:val="000000"/>
                <w:kern w:val="0"/>
                <w:szCs w:val="21"/>
              </w:rPr>
              <w:t>场内回填利用</w:t>
            </w:r>
            <w:r>
              <w:rPr>
                <w:rFonts w:hint="eastAsia"/>
                <w:color w:val="000000"/>
                <w:kern w:val="0"/>
                <w:szCs w:val="21"/>
              </w:rPr>
              <w:t>（</w:t>
            </w:r>
            <w:r>
              <w:rPr>
                <w:color w:val="000000"/>
                <w:kern w:val="0"/>
                <w:szCs w:val="21"/>
              </w:rPr>
              <w:t>47347.6</w:t>
            </w:r>
            <w:r>
              <w:rPr>
                <w:rFonts w:hint="eastAsia"/>
                <w:color w:val="000000"/>
                <w:kern w:val="0"/>
                <w:szCs w:val="21"/>
              </w:rPr>
              <w:t xml:space="preserve"> m</w:t>
            </w:r>
            <w:r>
              <w:rPr>
                <w:rFonts w:hint="eastAsia"/>
                <w:color w:val="000000"/>
                <w:kern w:val="0"/>
                <w:szCs w:val="21"/>
                <w:vertAlign w:val="superscript"/>
              </w:rPr>
              <w:t>3</w:t>
            </w:r>
            <w:r>
              <w:rPr>
                <w:rFonts w:hint="eastAsia"/>
                <w:color w:val="000000"/>
                <w:kern w:val="0"/>
                <w:szCs w:val="21"/>
              </w:rPr>
              <w:t>）,另外一部分</w:t>
            </w:r>
            <w:r>
              <w:rPr>
                <w:color w:val="000000"/>
                <w:kern w:val="0"/>
                <w:szCs w:val="21"/>
              </w:rPr>
              <w:t>18686.9</w:t>
            </w:r>
            <w:r>
              <w:rPr>
                <w:rFonts w:hint="eastAsia"/>
                <w:color w:val="000000"/>
                <w:kern w:val="0"/>
                <w:szCs w:val="21"/>
              </w:rPr>
              <w:t xml:space="preserve"> m</w:t>
            </w:r>
            <w:r>
              <w:rPr>
                <w:rFonts w:hint="eastAsia"/>
                <w:color w:val="000000"/>
                <w:kern w:val="0"/>
                <w:szCs w:val="21"/>
                <w:vertAlign w:val="superscript"/>
              </w:rPr>
              <w:t>3</w:t>
            </w:r>
            <w:r>
              <w:rPr>
                <w:rFonts w:hint="eastAsia"/>
                <w:color w:val="000000"/>
                <w:kern w:val="0"/>
                <w:szCs w:val="21"/>
              </w:rPr>
              <w:t>将作为弃方外运至弃渣场进行处理。此外在进行</w:t>
            </w:r>
            <w:r>
              <w:rPr>
                <w:color w:val="000000"/>
                <w:kern w:val="0"/>
                <w:szCs w:val="21"/>
              </w:rPr>
              <w:t>基坑开挖</w:t>
            </w:r>
            <w:r>
              <w:rPr>
                <w:rFonts w:hint="eastAsia"/>
                <w:color w:val="000000"/>
                <w:kern w:val="0"/>
                <w:szCs w:val="21"/>
              </w:rPr>
              <w:t>的时候，会额外产生开挖土方量</w:t>
            </w:r>
            <w:r>
              <w:rPr>
                <w:color w:val="000000"/>
                <w:kern w:val="0"/>
                <w:szCs w:val="21"/>
              </w:rPr>
              <w:t>248.5</w:t>
            </w:r>
            <w:r>
              <w:rPr>
                <w:rFonts w:hint="eastAsia"/>
                <w:color w:val="000000"/>
                <w:kern w:val="0"/>
                <w:szCs w:val="21"/>
              </w:rPr>
              <w:t xml:space="preserve"> m</w:t>
            </w:r>
            <w:r>
              <w:rPr>
                <w:rFonts w:hint="eastAsia"/>
                <w:color w:val="000000"/>
                <w:kern w:val="0"/>
                <w:szCs w:val="21"/>
                <w:vertAlign w:val="superscript"/>
              </w:rPr>
              <w:t>3</w:t>
            </w:r>
            <w:r>
              <w:rPr>
                <w:rFonts w:hint="eastAsia"/>
                <w:color w:val="000000"/>
                <w:kern w:val="0"/>
                <w:szCs w:val="21"/>
              </w:rPr>
              <w:t>，亦运送至弃渣场进行集中处理。道路在进行</w:t>
            </w:r>
            <w:r>
              <w:rPr>
                <w:color w:val="000000"/>
                <w:kern w:val="0"/>
                <w:szCs w:val="21"/>
              </w:rPr>
              <w:t>既有设施</w:t>
            </w:r>
            <w:r>
              <w:rPr>
                <w:rFonts w:hint="eastAsia"/>
                <w:color w:val="000000"/>
                <w:kern w:val="0"/>
                <w:szCs w:val="21"/>
              </w:rPr>
              <w:t>、道路</w:t>
            </w:r>
            <w:r>
              <w:rPr>
                <w:color w:val="000000"/>
                <w:kern w:val="0"/>
                <w:szCs w:val="21"/>
              </w:rPr>
              <w:t>、临时设施拆除</w:t>
            </w:r>
            <w:r>
              <w:rPr>
                <w:rFonts w:hint="eastAsia"/>
                <w:color w:val="000000"/>
                <w:kern w:val="0"/>
                <w:szCs w:val="21"/>
              </w:rPr>
              <w:t>时，会产生废弃混凝土、板材、废沥青等共计</w:t>
            </w:r>
            <w:r>
              <w:rPr>
                <w:color w:val="000000"/>
                <w:kern w:val="0"/>
                <w:szCs w:val="21"/>
              </w:rPr>
              <w:t>1378.1</w:t>
            </w:r>
            <w:r>
              <w:rPr>
                <w:rFonts w:hint="eastAsia"/>
                <w:color w:val="000000"/>
                <w:kern w:val="0"/>
                <w:szCs w:val="21"/>
              </w:rPr>
              <w:t xml:space="preserve"> m</w:t>
            </w:r>
            <w:r>
              <w:rPr>
                <w:rFonts w:hint="eastAsia"/>
                <w:color w:val="000000"/>
                <w:kern w:val="0"/>
                <w:szCs w:val="21"/>
                <w:vertAlign w:val="superscript"/>
              </w:rPr>
              <w:t>3</w:t>
            </w:r>
            <w:r>
              <w:rPr>
                <w:rFonts w:hint="eastAsia"/>
                <w:color w:val="000000"/>
                <w:kern w:val="0"/>
                <w:szCs w:val="21"/>
              </w:rPr>
              <w:t>，其中一部分约</w:t>
            </w:r>
            <w:r>
              <w:rPr>
                <w:color w:val="000000"/>
                <w:kern w:val="0"/>
                <w:szCs w:val="21"/>
              </w:rPr>
              <w:t>785.7</w:t>
            </w:r>
            <w:r>
              <w:rPr>
                <w:rFonts w:hint="eastAsia"/>
                <w:color w:val="000000"/>
                <w:kern w:val="0"/>
                <w:szCs w:val="21"/>
              </w:rPr>
              <w:t xml:space="preserve"> m</w:t>
            </w:r>
            <w:r>
              <w:rPr>
                <w:rFonts w:hint="eastAsia"/>
                <w:color w:val="000000"/>
                <w:kern w:val="0"/>
                <w:szCs w:val="21"/>
                <w:vertAlign w:val="superscript"/>
              </w:rPr>
              <w:t>3</w:t>
            </w:r>
            <w:r>
              <w:rPr>
                <w:rFonts w:hint="eastAsia"/>
                <w:color w:val="000000"/>
                <w:kern w:val="0"/>
                <w:szCs w:val="21"/>
              </w:rPr>
              <w:t>，将直接在现场破碎后</w:t>
            </w:r>
            <w:r>
              <w:rPr>
                <w:color w:val="000000"/>
                <w:kern w:val="0"/>
                <w:szCs w:val="21"/>
              </w:rPr>
              <w:t>再生利用</w:t>
            </w:r>
            <w:r>
              <w:rPr>
                <w:rFonts w:hint="eastAsia"/>
                <w:color w:val="000000"/>
                <w:kern w:val="0"/>
                <w:szCs w:val="21"/>
              </w:rPr>
              <w:t>用于路基填筑，另一部分利用价值不高或不可再利用的约592.4 m</w:t>
            </w:r>
            <w:r>
              <w:rPr>
                <w:rFonts w:hint="eastAsia"/>
                <w:color w:val="000000"/>
                <w:kern w:val="0"/>
                <w:szCs w:val="21"/>
                <w:vertAlign w:val="superscript"/>
              </w:rPr>
              <w:t>3</w:t>
            </w:r>
            <w:r>
              <w:rPr>
                <w:rFonts w:hint="eastAsia"/>
                <w:color w:val="000000"/>
                <w:kern w:val="0"/>
                <w:szCs w:val="21"/>
              </w:rPr>
              <w:t>,将作为建筑垃圾外运至弃渣场进行集中处置。</w:t>
            </w:r>
          </w:p>
          <w:p w14:paraId="44148682">
            <w:pPr>
              <w:widowControl/>
              <w:kinsoku w:val="0"/>
              <w:autoSpaceDE w:val="0"/>
              <w:autoSpaceDN w:val="0"/>
              <w:ind w:firstLine="420" w:firstLineChars="200"/>
              <w:textAlignment w:val="baseline"/>
              <w:rPr>
                <w:rFonts w:hint="eastAsia" w:ascii="宋体" w:hAnsi="宋体"/>
                <w:color w:val="000000"/>
                <w:kern w:val="0"/>
                <w:szCs w:val="21"/>
              </w:rPr>
            </w:pPr>
            <w:r>
              <w:rPr>
                <w:rFonts w:hint="eastAsia"/>
                <w:color w:val="000000"/>
                <w:kern w:val="0"/>
                <w:szCs w:val="21"/>
              </w:rPr>
              <w:t>综上，本工程建筑垃圾</w:t>
            </w:r>
            <w:commentRangeStart w:id="66"/>
            <w:commentRangeStart w:id="67"/>
            <w:r>
              <w:rPr>
                <w:rFonts w:hint="eastAsia"/>
                <w:color w:val="000000"/>
                <w:kern w:val="0"/>
                <w:szCs w:val="21"/>
              </w:rPr>
              <w:t>共产生约</w:t>
            </w:r>
            <w:r>
              <w:rPr>
                <w:color w:val="000000"/>
                <w:kern w:val="0"/>
                <w:szCs w:val="21"/>
              </w:rPr>
              <w:t>67661.2</w:t>
            </w:r>
            <w:r>
              <w:rPr>
                <w:rFonts w:hint="eastAsia"/>
                <w:color w:val="000000"/>
                <w:kern w:val="0"/>
                <w:szCs w:val="21"/>
              </w:rPr>
              <w:t xml:space="preserve"> m</w:t>
            </w:r>
            <w:r>
              <w:rPr>
                <w:rFonts w:hint="eastAsia"/>
                <w:color w:val="000000"/>
                <w:kern w:val="0"/>
                <w:szCs w:val="21"/>
                <w:vertAlign w:val="superscript"/>
              </w:rPr>
              <w:t>3</w:t>
            </w:r>
            <w:r>
              <w:rPr>
                <w:rFonts w:hint="eastAsia"/>
                <w:color w:val="000000"/>
                <w:kern w:val="0"/>
                <w:szCs w:val="21"/>
              </w:rPr>
              <w:t>（约</w:t>
            </w:r>
            <w:r>
              <w:rPr>
                <w:color w:val="000000"/>
                <w:kern w:val="0"/>
                <w:szCs w:val="21"/>
              </w:rPr>
              <w:t>122379.7</w:t>
            </w:r>
            <w:r>
              <w:rPr>
                <w:rFonts w:hint="eastAsia"/>
                <w:color w:val="000000"/>
                <w:kern w:val="0"/>
                <w:szCs w:val="21"/>
              </w:rPr>
              <w:t>t</w:t>
            </w:r>
            <w:commentRangeEnd w:id="66"/>
            <w:r>
              <w:rPr>
                <w:rStyle w:val="38"/>
                <w:rFonts w:hint="eastAsia"/>
                <w:color w:val="000000"/>
                <w:kern w:val="0"/>
                <w:szCs w:val="21"/>
              </w:rPr>
              <w:commentReference w:id="66"/>
            </w:r>
            <w:commentRangeEnd w:id="67"/>
            <w:r>
              <w:rPr>
                <w:rStyle w:val="38"/>
                <w:rFonts w:hint="eastAsia"/>
                <w:color w:val="000000"/>
                <w:kern w:val="0"/>
                <w:szCs w:val="21"/>
              </w:rPr>
              <w:commentReference w:id="67"/>
            </w:r>
            <w:r>
              <w:rPr>
                <w:rFonts w:hint="eastAsia"/>
                <w:color w:val="000000"/>
                <w:kern w:val="0"/>
                <w:szCs w:val="21"/>
              </w:rPr>
              <w:t>），一部分将回收利用，一部分将外运处理。</w:t>
            </w:r>
            <w:r>
              <w:rPr>
                <w:rFonts w:ascii="宋体" w:hAnsi="宋体"/>
                <w:color w:val="000000"/>
                <w:kern w:val="0"/>
                <w:szCs w:val="21"/>
              </w:rPr>
              <w:t>本环评要求</w:t>
            </w:r>
            <w:r>
              <w:rPr>
                <w:rFonts w:hint="eastAsia" w:ascii="宋体" w:hAnsi="宋体"/>
                <w:color w:val="000000"/>
                <w:kern w:val="0"/>
                <w:szCs w:val="21"/>
              </w:rPr>
              <w:t>土方</w:t>
            </w:r>
            <w:r>
              <w:rPr>
                <w:rFonts w:ascii="宋体" w:hAnsi="宋体"/>
                <w:color w:val="000000"/>
                <w:kern w:val="0"/>
                <w:szCs w:val="21"/>
              </w:rPr>
              <w:t>外运前需满足《土壤环境质量农用地土壤污染风险管控标准》（</w:t>
            </w:r>
            <w:r>
              <w:rPr>
                <w:color w:val="000000"/>
                <w:kern w:val="0"/>
                <w:szCs w:val="21"/>
              </w:rPr>
              <w:t>GB15618-2018</w:t>
            </w:r>
            <w:r>
              <w:rPr>
                <w:rFonts w:ascii="宋体" w:hAnsi="宋体"/>
                <w:color w:val="000000"/>
                <w:kern w:val="0"/>
                <w:szCs w:val="21"/>
              </w:rPr>
              <w:t>）中基本项目风险筛选值标准、《土壤环境质量建设用地土壤污染风险管控标准</w:t>
            </w:r>
            <w:r>
              <w:rPr>
                <w:rFonts w:hint="eastAsia"/>
                <w:color w:val="000000"/>
                <w:kern w:val="0"/>
                <w:szCs w:val="21"/>
              </w:rPr>
              <w:t>（</w:t>
            </w:r>
            <w:r>
              <w:rPr>
                <w:rFonts w:ascii="宋体" w:hAnsi="宋体"/>
                <w:color w:val="000000"/>
                <w:kern w:val="0"/>
                <w:szCs w:val="21"/>
              </w:rPr>
              <w:t>试行</w:t>
            </w:r>
            <w:r>
              <w:rPr>
                <w:rFonts w:hint="eastAsia"/>
                <w:color w:val="000000"/>
                <w:kern w:val="0"/>
                <w:szCs w:val="21"/>
              </w:rPr>
              <w:t>）</w:t>
            </w:r>
            <w:r>
              <w:rPr>
                <w:rFonts w:ascii="宋体" w:hAnsi="宋体"/>
                <w:color w:val="000000"/>
                <w:kern w:val="0"/>
                <w:szCs w:val="21"/>
              </w:rPr>
              <w:t>》（</w:t>
            </w:r>
            <w:r>
              <w:rPr>
                <w:color w:val="000000"/>
                <w:kern w:val="0"/>
                <w:szCs w:val="21"/>
              </w:rPr>
              <w:t>GB36600-2018</w:t>
            </w:r>
            <w:r>
              <w:rPr>
                <w:rFonts w:ascii="宋体" w:hAnsi="宋体"/>
                <w:color w:val="000000"/>
                <w:kern w:val="0"/>
                <w:szCs w:val="21"/>
              </w:rPr>
              <w:t>）中建设用地</w:t>
            </w:r>
            <w:r>
              <w:rPr>
                <w:rFonts w:hint="eastAsia" w:ascii="宋体" w:hAnsi="宋体"/>
                <w:color w:val="000000"/>
                <w:kern w:val="0"/>
                <w:szCs w:val="21"/>
              </w:rPr>
              <w:t>土壤污染</w:t>
            </w:r>
            <w:r>
              <w:rPr>
                <w:rFonts w:ascii="宋体" w:hAnsi="宋体"/>
                <w:color w:val="000000"/>
                <w:kern w:val="0"/>
                <w:szCs w:val="21"/>
              </w:rPr>
              <w:t>风险筛选值和管制值或其他标准后方可外运处理。</w:t>
            </w:r>
          </w:p>
          <w:p w14:paraId="39A55B94">
            <w:pPr>
              <w:widowControl/>
              <w:kinsoku w:val="0"/>
              <w:autoSpaceDE w:val="0"/>
              <w:autoSpaceDN w:val="0"/>
              <w:ind w:firstLine="422" w:firstLineChars="200"/>
              <w:textAlignment w:val="baseline"/>
              <w:rPr>
                <w:b/>
                <w:bCs/>
                <w:color w:val="000000"/>
                <w:kern w:val="0"/>
                <w:szCs w:val="21"/>
              </w:rPr>
            </w:pPr>
            <w:r>
              <w:rPr>
                <w:b/>
                <w:bCs/>
                <w:color w:val="000000"/>
                <w:kern w:val="0"/>
                <w:szCs w:val="21"/>
              </w:rPr>
              <w:t>3、</w:t>
            </w:r>
            <w:r>
              <w:rPr>
                <w:rFonts w:hint="eastAsia" w:ascii="宋体" w:hAnsi="宋体"/>
                <w:b/>
                <w:bCs/>
                <w:color w:val="000000"/>
                <w:kern w:val="0"/>
                <w:szCs w:val="21"/>
              </w:rPr>
              <w:t>施工危废</w:t>
            </w:r>
          </w:p>
          <w:p w14:paraId="627913B3">
            <w:pPr>
              <w:widowControl/>
              <w:kinsoku w:val="0"/>
              <w:autoSpaceDE w:val="0"/>
              <w:autoSpaceDN w:val="0"/>
              <w:ind w:firstLine="420" w:firstLineChars="200"/>
              <w:textAlignment w:val="baseline"/>
              <w:rPr>
                <w:color w:val="000000"/>
                <w:kern w:val="0"/>
                <w:szCs w:val="21"/>
              </w:rPr>
            </w:pPr>
            <w:r>
              <w:rPr>
                <w:rFonts w:hint="eastAsia" w:ascii="宋体" w:hAnsi="宋体"/>
                <w:color w:val="000000"/>
                <w:kern w:val="0"/>
                <w:szCs w:val="21"/>
              </w:rPr>
              <w:t>本项目施工过程隔油池隔油以及施工机械维修保养等过程</w:t>
            </w:r>
            <w:commentRangeStart w:id="68"/>
            <w:r>
              <w:rPr>
                <w:rFonts w:hint="eastAsia" w:ascii="宋体" w:hAnsi="宋体"/>
                <w:color w:val="000000"/>
                <w:kern w:val="0"/>
                <w:szCs w:val="21"/>
              </w:rPr>
              <w:t>会产生废油、废机油</w:t>
            </w:r>
            <w:commentRangeEnd w:id="68"/>
            <w:r>
              <w:rPr>
                <w:rStyle w:val="38"/>
                <w:rFonts w:hint="eastAsia" w:ascii="宋体" w:hAnsi="宋体"/>
                <w:color w:val="000000"/>
                <w:kern w:val="0"/>
                <w:szCs w:val="21"/>
              </w:rPr>
              <w:commentReference w:id="68"/>
            </w:r>
            <w:r>
              <w:rPr>
                <w:rFonts w:hint="eastAsia" w:ascii="宋体" w:hAnsi="宋体"/>
                <w:color w:val="000000"/>
                <w:kern w:val="0"/>
                <w:szCs w:val="21"/>
              </w:rPr>
              <w:t>、废手套等危险废物，施工单位需定期委托有资质的单位处理。在施工场地设置有一处临时危险废物暂存点，危废暂存库应按照《</w:t>
            </w:r>
            <w:bookmarkStart w:id="56" w:name="OLE_LINK9"/>
            <w:r>
              <w:rPr>
                <w:rFonts w:hint="eastAsia" w:ascii="宋体" w:hAnsi="宋体"/>
                <w:color w:val="000000"/>
                <w:kern w:val="0"/>
                <w:szCs w:val="21"/>
              </w:rPr>
              <w:t>危险废物贮存污染控制标准</w:t>
            </w:r>
            <w:bookmarkEnd w:id="56"/>
            <w:r>
              <w:rPr>
                <w:rFonts w:hint="eastAsia" w:ascii="宋体" w:hAnsi="宋体"/>
                <w:color w:val="000000"/>
                <w:kern w:val="0"/>
                <w:szCs w:val="21"/>
              </w:rPr>
              <w:t>》（</w:t>
            </w:r>
            <w:r>
              <w:rPr>
                <w:rFonts w:hint="eastAsia"/>
                <w:color w:val="000000"/>
                <w:kern w:val="0"/>
                <w:szCs w:val="21"/>
              </w:rPr>
              <w:t>GB18597-2023</w:t>
            </w:r>
            <w:r>
              <w:rPr>
                <w:rFonts w:hint="eastAsia" w:ascii="宋体" w:hAnsi="宋体"/>
                <w:color w:val="000000"/>
                <w:kern w:val="0"/>
                <w:szCs w:val="21"/>
              </w:rPr>
              <w:t>）相关要求进行设计、建设，地面与裙脚要用坚固、防渗的材料建造，建筑材料必须与危险废物相容；设施内要有安全照明设施和观察窗口；不相容的危险废物必须分开存放，并设有隔离间隔断。同时危险废物需按照《危险废物转移管理办法》（部令第</w:t>
            </w:r>
            <w:r>
              <w:rPr>
                <w:rFonts w:hint="eastAsia"/>
                <w:color w:val="000000"/>
                <w:kern w:val="0"/>
                <w:szCs w:val="21"/>
              </w:rPr>
              <w:t>23</w:t>
            </w:r>
            <w:r>
              <w:rPr>
                <w:rFonts w:hint="eastAsia" w:ascii="宋体" w:hAnsi="宋体"/>
                <w:color w:val="000000"/>
                <w:kern w:val="0"/>
                <w:szCs w:val="21"/>
              </w:rPr>
              <w:t>号）相关要求进行转移。</w:t>
            </w:r>
          </w:p>
          <w:p w14:paraId="59F59823">
            <w:pPr>
              <w:pStyle w:val="3"/>
            </w:pPr>
            <w:r>
              <w:t>施工期生态环境影响分析</w:t>
            </w:r>
          </w:p>
          <w:p w14:paraId="3DDA55F3">
            <w:pPr>
              <w:widowControl/>
              <w:kinsoku w:val="0"/>
              <w:autoSpaceDE w:val="0"/>
              <w:autoSpaceDN w:val="0"/>
              <w:ind w:firstLine="422" w:firstLineChars="200"/>
              <w:textAlignment w:val="baseline"/>
              <w:rPr>
                <w:b/>
                <w:bCs/>
                <w:color w:val="000000"/>
                <w:kern w:val="0"/>
                <w:szCs w:val="21"/>
              </w:rPr>
            </w:pPr>
            <w:r>
              <w:rPr>
                <w:b/>
                <w:bCs/>
                <w:color w:val="000000"/>
                <w:kern w:val="0"/>
                <w:szCs w:val="21"/>
              </w:rPr>
              <w:t>1</w:t>
            </w:r>
            <w:r>
              <w:rPr>
                <w:rFonts w:ascii="宋体" w:hAnsi="宋体"/>
                <w:b/>
                <w:bCs/>
                <w:color w:val="000000"/>
                <w:kern w:val="0"/>
                <w:szCs w:val="21"/>
              </w:rPr>
              <w:t>、水土流失影响</w:t>
            </w:r>
            <w:r>
              <w:rPr>
                <w:rFonts w:hint="eastAsia" w:ascii="宋体" w:hAnsi="宋体"/>
                <w:b/>
                <w:bCs/>
                <w:color w:val="000000"/>
                <w:kern w:val="0"/>
                <w:szCs w:val="21"/>
              </w:rPr>
              <w:t>分析</w:t>
            </w:r>
          </w:p>
          <w:p w14:paraId="7C201FF1">
            <w:pPr>
              <w:widowControl/>
              <w:kinsoku w:val="0"/>
              <w:autoSpaceDE w:val="0"/>
              <w:autoSpaceDN w:val="0"/>
              <w:ind w:firstLine="420" w:firstLineChars="200"/>
              <w:textAlignment w:val="baseline"/>
              <w:rPr>
                <w:bCs/>
                <w:color w:val="000000"/>
                <w:kern w:val="0"/>
                <w:szCs w:val="21"/>
                <w:highlight w:val="yellow"/>
              </w:rPr>
            </w:pPr>
            <w:r>
              <w:rPr>
                <w:rFonts w:ascii="宋体" w:hAnsi="宋体"/>
                <w:bCs/>
                <w:color w:val="000000"/>
                <w:kern w:val="0"/>
                <w:szCs w:val="21"/>
              </w:rPr>
              <w:t>根据工程分析，本项目主要生态影响在建设期。虽然本项目拟建址地势平缓，整体施工工程总的土建量不大，但依旧会带来一定程度的水土流失。本项目建设需要做好水土保持，施工期间一次暴雨造成的水土流失也会相当可观。各个施工队必须随时配备一定数量的防护物，如草席、稻草和塑料布等遮盖物等，在暴雨未下之前及时将易受侵蚀的裸露地面覆盖起来，以减少雨水直接冲刷，从而降低水土流失量。通过以上分析可知，本项目建设虽然带来一定的水土流失影响，但通过采取一定的、切实可行的水土保持防治措施，因项目建设带来的水土流失影响可以降到最低程度。</w:t>
            </w:r>
          </w:p>
          <w:p w14:paraId="77766A7E">
            <w:pPr>
              <w:widowControl/>
              <w:kinsoku w:val="0"/>
              <w:autoSpaceDE w:val="0"/>
              <w:autoSpaceDN w:val="0"/>
              <w:ind w:firstLine="422" w:firstLineChars="200"/>
              <w:textAlignment w:val="baseline"/>
              <w:rPr>
                <w:rFonts w:hint="eastAsia" w:ascii="宋体" w:hAnsi="宋体"/>
                <w:b/>
                <w:bCs/>
                <w:color w:val="000000"/>
                <w:kern w:val="0"/>
                <w:szCs w:val="21"/>
              </w:rPr>
            </w:pPr>
            <w:r>
              <w:rPr>
                <w:b/>
                <w:bCs/>
                <w:color w:val="000000"/>
                <w:kern w:val="0"/>
                <w:szCs w:val="21"/>
              </w:rPr>
              <w:t>2</w:t>
            </w:r>
            <w:r>
              <w:rPr>
                <w:rFonts w:ascii="宋体" w:hAnsi="宋体"/>
                <w:b/>
                <w:bCs/>
                <w:color w:val="000000"/>
                <w:kern w:val="0"/>
                <w:szCs w:val="21"/>
              </w:rPr>
              <w:t>、对</w:t>
            </w:r>
            <w:r>
              <w:rPr>
                <w:rFonts w:hint="eastAsia" w:ascii="宋体" w:hAnsi="宋体"/>
                <w:b/>
                <w:bCs/>
                <w:color w:val="000000"/>
                <w:kern w:val="0"/>
                <w:szCs w:val="21"/>
              </w:rPr>
              <w:t>生物</w:t>
            </w:r>
            <w:r>
              <w:rPr>
                <w:rFonts w:ascii="宋体" w:hAnsi="宋体"/>
                <w:b/>
                <w:bCs/>
                <w:color w:val="000000"/>
                <w:kern w:val="0"/>
                <w:szCs w:val="21"/>
              </w:rPr>
              <w:t>的影响</w:t>
            </w:r>
            <w:r>
              <w:rPr>
                <w:rFonts w:hint="eastAsia" w:ascii="宋体" w:hAnsi="宋体"/>
                <w:b/>
                <w:bCs/>
                <w:color w:val="000000"/>
                <w:kern w:val="0"/>
                <w:szCs w:val="21"/>
              </w:rPr>
              <w:t>分析</w:t>
            </w:r>
          </w:p>
          <w:p w14:paraId="14E04D0D">
            <w:pPr>
              <w:widowControl/>
              <w:kinsoku w:val="0"/>
              <w:autoSpaceDE w:val="0"/>
              <w:autoSpaceDN w:val="0"/>
              <w:ind w:firstLine="422" w:firstLineChars="200"/>
              <w:textAlignment w:val="baseline"/>
              <w:rPr>
                <w:b/>
                <w:bCs/>
                <w:color w:val="000000"/>
                <w:kern w:val="0"/>
                <w:szCs w:val="21"/>
              </w:rPr>
            </w:pPr>
            <w:r>
              <w:rPr>
                <w:rFonts w:hint="eastAsia" w:cs="宋体"/>
                <w:b/>
                <w:bCs/>
                <w:color w:val="000000"/>
                <w:kern w:val="0"/>
                <w:szCs w:val="21"/>
              </w:rPr>
              <w:t>（1）</w:t>
            </w:r>
            <w:r>
              <w:rPr>
                <w:rFonts w:hint="eastAsia"/>
                <w:b/>
                <w:bCs/>
                <w:color w:val="000000"/>
                <w:kern w:val="0"/>
                <w:szCs w:val="21"/>
              </w:rPr>
              <w:t>对植物的影响</w:t>
            </w:r>
          </w:p>
          <w:p w14:paraId="7BF8A723">
            <w:pPr>
              <w:widowControl/>
              <w:kinsoku w:val="0"/>
              <w:autoSpaceDE w:val="0"/>
              <w:autoSpaceDN w:val="0"/>
              <w:ind w:firstLine="420" w:firstLineChars="200"/>
              <w:textAlignment w:val="baseline"/>
              <w:rPr>
                <w:bCs/>
                <w:color w:val="000000"/>
                <w:kern w:val="0"/>
                <w:szCs w:val="21"/>
              </w:rPr>
            </w:pPr>
            <w:r>
              <w:rPr>
                <w:bCs/>
                <w:color w:val="000000"/>
                <w:kern w:val="0"/>
                <w:szCs w:val="21"/>
              </w:rPr>
              <w:t>项目在建设过程中将破坏</w:t>
            </w:r>
            <w:r>
              <w:rPr>
                <w:rFonts w:hint="eastAsia"/>
                <w:bCs/>
                <w:color w:val="000000"/>
                <w:kern w:val="0"/>
                <w:szCs w:val="21"/>
              </w:rPr>
              <w:t>一部分</w:t>
            </w:r>
            <w:r>
              <w:rPr>
                <w:bCs/>
                <w:color w:val="000000"/>
                <w:kern w:val="0"/>
                <w:szCs w:val="21"/>
              </w:rPr>
              <w:t>现有的植被</w:t>
            </w:r>
            <w:r>
              <w:rPr>
                <w:rFonts w:hint="eastAsia"/>
                <w:bCs/>
                <w:color w:val="000000"/>
                <w:kern w:val="0"/>
                <w:szCs w:val="21"/>
              </w:rPr>
              <w:t>造成植被生物量损失</w:t>
            </w:r>
            <w:r>
              <w:rPr>
                <w:bCs/>
                <w:color w:val="000000"/>
                <w:kern w:val="0"/>
                <w:szCs w:val="21"/>
              </w:rPr>
              <w:t>，主要为丛生杂草</w:t>
            </w:r>
            <w:r>
              <w:rPr>
                <w:rFonts w:hint="eastAsia"/>
                <w:bCs/>
                <w:color w:val="000000"/>
                <w:kern w:val="0"/>
                <w:szCs w:val="21"/>
              </w:rPr>
              <w:t>、部分农业植被</w:t>
            </w:r>
            <w:r>
              <w:rPr>
                <w:bCs/>
                <w:color w:val="000000"/>
                <w:kern w:val="0"/>
                <w:szCs w:val="21"/>
              </w:rPr>
              <w:t>、人工绿化栽植植被，并没有珍稀植物和古树名木。随着施工结束，生态补偿措施的实施，植被可以得到恢复，并且在项目建成后会形成新的绿化带，因此，本项目对沿线的植物影响在可控的范围内。</w:t>
            </w:r>
          </w:p>
          <w:p w14:paraId="0D30EB7E">
            <w:pPr>
              <w:widowControl/>
              <w:kinsoku w:val="0"/>
              <w:autoSpaceDE w:val="0"/>
              <w:autoSpaceDN w:val="0"/>
              <w:ind w:firstLine="422" w:firstLineChars="200"/>
              <w:textAlignment w:val="baseline"/>
              <w:rPr>
                <w:b/>
                <w:color w:val="000000"/>
                <w:kern w:val="0"/>
                <w:szCs w:val="21"/>
              </w:rPr>
            </w:pPr>
            <w:r>
              <w:rPr>
                <w:rFonts w:hint="eastAsia"/>
                <w:b/>
                <w:color w:val="000000"/>
                <w:kern w:val="0"/>
                <w:szCs w:val="21"/>
              </w:rPr>
              <w:t>（2）对动物的影响</w:t>
            </w:r>
          </w:p>
          <w:p w14:paraId="28C70B54">
            <w:pPr>
              <w:widowControl/>
              <w:kinsoku w:val="0"/>
              <w:autoSpaceDE w:val="0"/>
              <w:autoSpaceDN w:val="0"/>
              <w:ind w:firstLine="420" w:firstLineChars="200"/>
              <w:textAlignment w:val="baseline"/>
              <w:rPr>
                <w:bCs/>
                <w:color w:val="000000"/>
                <w:kern w:val="0"/>
                <w:szCs w:val="21"/>
              </w:rPr>
            </w:pPr>
            <w:r>
              <w:rPr>
                <w:bCs/>
                <w:color w:val="000000"/>
                <w:kern w:val="0"/>
                <w:szCs w:val="21"/>
              </w:rPr>
              <w:t>本项目区域内目前活动的动物数量、种类都非常</w:t>
            </w:r>
            <w:r>
              <w:rPr>
                <w:rFonts w:hint="eastAsia"/>
                <w:bCs/>
                <w:color w:val="000000"/>
                <w:kern w:val="0"/>
                <w:szCs w:val="21"/>
              </w:rPr>
              <w:t>少</w:t>
            </w:r>
            <w:r>
              <w:rPr>
                <w:bCs/>
                <w:color w:val="000000"/>
                <w:kern w:val="0"/>
                <w:szCs w:val="21"/>
              </w:rPr>
              <w:t>，仅有少量飞禽、鼠类、蛙类等小型动物出没</w:t>
            </w:r>
            <w:r>
              <w:rPr>
                <w:rFonts w:hint="eastAsia"/>
                <w:bCs/>
                <w:color w:val="000000"/>
                <w:kern w:val="0"/>
                <w:szCs w:val="21"/>
              </w:rPr>
              <w:t>，如麻雀、八哥、白鹡鸰、褐家鼠、中华蟾蜍等</w:t>
            </w:r>
            <w:r>
              <w:rPr>
                <w:bCs/>
                <w:color w:val="000000"/>
                <w:kern w:val="0"/>
                <w:szCs w:val="21"/>
              </w:rPr>
              <w:t>，并未发现珍稀保护野生动物。施工对区域内动物的影响主要体现在施工噪声会驱赶其暂时离开栖息地；开挖等作业会对地表产生扰动，进而使动物迁移它处</w:t>
            </w:r>
            <w:r>
              <w:rPr>
                <w:rFonts w:hint="eastAsia"/>
                <w:bCs/>
                <w:color w:val="000000"/>
                <w:kern w:val="0"/>
                <w:szCs w:val="21"/>
              </w:rPr>
              <w:t>；建设结束后由于生境和生态系统的转变会占用一部分动物的栖息地</w:t>
            </w:r>
            <w:r>
              <w:rPr>
                <w:bCs/>
                <w:color w:val="000000"/>
                <w:kern w:val="0"/>
                <w:szCs w:val="21"/>
              </w:rPr>
              <w:t>。但这种影响是暂时和短期的，一方面项目施工区附近</w:t>
            </w:r>
            <w:r>
              <w:rPr>
                <w:rFonts w:hint="eastAsia"/>
                <w:bCs/>
                <w:color w:val="000000"/>
                <w:kern w:val="0"/>
                <w:szCs w:val="21"/>
              </w:rPr>
              <w:t>仍然</w:t>
            </w:r>
            <w:r>
              <w:rPr>
                <w:bCs/>
                <w:color w:val="000000"/>
                <w:kern w:val="0"/>
                <w:szCs w:val="21"/>
              </w:rPr>
              <w:t>有大片相似生境，可供这些动物转移，另一方面，这些影响仅限于施工期，待施工结束后，这些影响便会随之消失。</w:t>
            </w:r>
          </w:p>
          <w:p w14:paraId="770A6516">
            <w:pPr>
              <w:ind w:firstLine="422" w:firstLineChars="200"/>
              <w:rPr>
                <w:b/>
                <w:bCs/>
              </w:rPr>
            </w:pPr>
            <w:r>
              <w:rPr>
                <w:rFonts w:hint="eastAsia"/>
                <w:b/>
                <w:bCs/>
              </w:rPr>
              <w:t>（3）对水生生物的影响</w:t>
            </w:r>
          </w:p>
          <w:p w14:paraId="64D4F972">
            <w:pPr>
              <w:ind w:firstLine="420" w:firstLineChars="200"/>
            </w:pPr>
            <w:r>
              <w:rPr>
                <w:rFonts w:hint="eastAsia"/>
              </w:rPr>
              <w:t>在桥梁施工过程中，桥梁桩基施工作业时产生的振动不可避免地产生底泥和水体造成扰动，导致局部水体悬浮物过高，进而影响水域生态环境。</w:t>
            </w:r>
          </w:p>
          <w:p w14:paraId="59727F60">
            <w:pPr>
              <w:ind w:firstLine="420"/>
            </w:pPr>
            <w:r>
              <w:rPr>
                <w:rFonts w:hint="eastAsia"/>
              </w:rPr>
              <w:t>①对浮游生物的影响分析</w:t>
            </w:r>
          </w:p>
          <w:p w14:paraId="188D7479">
            <w:pPr>
              <w:ind w:firstLine="420"/>
            </w:pPr>
            <w:r>
              <w:rPr>
                <w:rFonts w:hint="eastAsia"/>
              </w:rPr>
              <w:t>浮游生物的时空分布、数量变化与水体透明度密切相关，桩基施工过程产生的悬浮物随着水体流场的变化而扩散，会形成一定范围的悬浮物高浓度区，导致局部水体透明度下降，进而影响浮游生物的生长。</w:t>
            </w:r>
          </w:p>
          <w:p w14:paraId="05B9FD55">
            <w:pPr>
              <w:ind w:firstLine="420" w:firstLineChars="200"/>
            </w:pPr>
            <w:r>
              <w:rPr>
                <w:rFonts w:hint="eastAsia"/>
              </w:rPr>
              <w:t>桥梁的桥梁下部结构为桩柱式墩台，对于水位较浅，并在汛期不致影响泄洪的河流上，桩基为钻孔灌注桩。在桥梁桩基的施工过程中，施工点附近一定范围内悬浮物浓度会显著升高，但随着施工期结束，影响随之消减。因此，项目建设对沿线水体中的浮游生物的影响只是局部和暂时的。</w:t>
            </w:r>
          </w:p>
          <w:p w14:paraId="4B386245">
            <w:pPr>
              <w:ind w:firstLine="420" w:firstLineChars="200"/>
            </w:pPr>
            <w:r>
              <w:rPr>
                <w:rFonts w:hint="eastAsia"/>
              </w:rPr>
              <w:t>②对底栖生物的影响分析</w:t>
            </w:r>
          </w:p>
          <w:p w14:paraId="4D1EDA57">
            <w:pPr>
              <w:ind w:firstLine="420" w:firstLineChars="200"/>
            </w:pPr>
            <w:r>
              <w:rPr>
                <w:rFonts w:hint="eastAsia"/>
              </w:rPr>
              <w:t>由于底栖生物活动能力低，其生存环境受环境变化的影响较为明显，最直接的影响是桥梁桩基占用了部分水底面积，导致底栖生物栖息面积减少，其次是桩基施工导致附近底泥冲刷（主要体现在涉河段），改变局部水文条件，从而影响底栖生物的活动设置会造成部分底栖生物死亡如一些螺类软体动物。</w:t>
            </w:r>
          </w:p>
          <w:p w14:paraId="33AB1D50">
            <w:pPr>
              <w:ind w:firstLine="420" w:firstLineChars="200"/>
            </w:pPr>
            <w:r>
              <w:rPr>
                <w:rFonts w:hint="eastAsia"/>
              </w:rPr>
              <w:t>桥梁桩基占各跨越河段水域面积比例很小，局部底泥冲刷而产生的影响在施工结束后，随着底泥的逐渐稳定，周围的底栖生物会逐渐占据受损的生境，物种数量和生物量都会有缓慢回升。因此，项目施工期对底栖生物的影响相对较小，等施工期结束后，影响将会进一步降低。</w:t>
            </w:r>
          </w:p>
          <w:p w14:paraId="46905A82">
            <w:pPr>
              <w:ind w:firstLine="420" w:firstLineChars="200"/>
            </w:pPr>
            <w:r>
              <w:rPr>
                <w:rFonts w:hint="eastAsia"/>
              </w:rPr>
              <w:t>③对渔业资源的影响分析</w:t>
            </w:r>
          </w:p>
          <w:p w14:paraId="2AECFBE7">
            <w:pPr>
              <w:ind w:firstLine="420" w:firstLineChars="200"/>
            </w:pPr>
            <w:r>
              <w:rPr>
                <w:rFonts w:hint="eastAsia"/>
              </w:rPr>
              <w:t>施工期间的悬浮泥沙对鱼类正常生活产生一定影响。悬浮的泥沙颗粒物会对水生生物的生理和生态造成一定影响，尤其是对于仔幼个体。高浑浊度悬浮泥沙使水体溶解度降低，同时仔幼鱼鳃部、软体动物进排水系统易被颗粒物堵塞，影响正常的生理活动，浮游动植物数量的下降也会影响部分滤食性鱼类捕食。总的来说项目施工带来的高浓度悬浮泥沙是暂时的，也是局部的，同时经过初步踏勘，桥梁施工区域河道整体较窄水质较差，鱼类种类密度较低，且与周边其他河道是相通的，鱼类经过施工干扰后会往外侧相邻河道游动迁移，对鱼类的影响较小。</w:t>
            </w:r>
          </w:p>
          <w:p w14:paraId="60889C1E">
            <w:pPr>
              <w:ind w:firstLine="420" w:firstLineChars="200"/>
            </w:pPr>
            <w:r>
              <w:rPr>
                <w:rFonts w:hint="eastAsia"/>
              </w:rPr>
              <w:t>施工期间，本工程的施工废水经处理后回用，不会对工程施工河段水质产生污染，也不会对水生生态环境和鱼类生境产生影响。此外，施工期间，水体作业噪声（特别是打桩产生的噪声、振动）会使鱼类等受到惊吓，影响其集群或摄食，但是经过现场踏勘，施工区域河道不属于鱼类集中活动的索饵场、产卵场和越冬场，施工期的影响是暂时的，随着施工期结束，影响随之消减。</w:t>
            </w:r>
          </w:p>
          <w:p w14:paraId="73DA0483">
            <w:pPr>
              <w:widowControl/>
              <w:kinsoku w:val="0"/>
              <w:autoSpaceDE w:val="0"/>
              <w:autoSpaceDN w:val="0"/>
              <w:ind w:firstLine="422" w:firstLineChars="200"/>
              <w:textAlignment w:val="baseline"/>
              <w:rPr>
                <w:b/>
                <w:color w:val="000000"/>
                <w:kern w:val="0"/>
                <w:szCs w:val="21"/>
              </w:rPr>
            </w:pPr>
            <w:r>
              <w:rPr>
                <w:rFonts w:hint="eastAsia"/>
                <w:b/>
                <w:color w:val="000000"/>
                <w:kern w:val="0"/>
                <w:szCs w:val="21"/>
              </w:rPr>
              <w:t>3</w:t>
            </w:r>
            <w:r>
              <w:rPr>
                <w:rFonts w:hint="eastAsia" w:ascii="宋体" w:hAnsi="宋体"/>
                <w:b/>
                <w:color w:val="000000"/>
                <w:kern w:val="0"/>
                <w:szCs w:val="21"/>
              </w:rPr>
              <w:t>、土地利用及景观生态变化影响分析</w:t>
            </w:r>
          </w:p>
          <w:p w14:paraId="0DEBF8B9">
            <w:pPr>
              <w:widowControl/>
              <w:kinsoku w:val="0"/>
              <w:autoSpaceDE w:val="0"/>
              <w:autoSpaceDN w:val="0"/>
              <w:ind w:firstLine="420" w:firstLineChars="200"/>
              <w:textAlignment w:val="baseline"/>
              <w:rPr>
                <w:rFonts w:ascii="Arial" w:hAnsi="Arial" w:cs="Arial"/>
                <w:color w:val="000000"/>
                <w:kern w:val="0"/>
                <w:szCs w:val="21"/>
              </w:rPr>
            </w:pPr>
            <w:r>
              <w:rPr>
                <w:rFonts w:hint="eastAsia"/>
              </w:rPr>
              <w:t>本项目工程区现状主要是农田、空闲地，根据建设项目预测绘成果，总用地面积 2.3203 公顷，其中耕地0.3685 公顷，林地 0.0996 公顷，草地 0.0056 公顷，商业服务业用地 0.5396 公顷，住宅用地 0.7409 公顷，公共管理与公共服务用地 0.1759公顷，交通运输用地 0.3095 公顷，水域及水利设施用地 0.0807 公顷。</w:t>
            </w:r>
            <w:r>
              <w:rPr>
                <w:rFonts w:hint="eastAsia" w:ascii="宋体" w:hAnsi="宋体" w:cs="Arial"/>
                <w:color w:val="000000"/>
                <w:kern w:val="0"/>
                <w:szCs w:val="21"/>
              </w:rPr>
              <w:t>施工期会占用一部分空地转为临时施工用地，整体上会使得景观的连通性下降，破碎度增加，但是工程整体长度较短，工程占地面积也较小，周边区域以城市交通景观为主，本身受人为的活动影响就较为明显，所以总体来说工程施工对周围的景观影响相对较小。</w:t>
            </w:r>
          </w:p>
          <w:p w14:paraId="30B190AC">
            <w:pPr>
              <w:widowControl/>
              <w:kinsoku w:val="0"/>
              <w:autoSpaceDE w:val="0"/>
              <w:autoSpaceDN w:val="0"/>
              <w:ind w:firstLine="422" w:firstLineChars="200"/>
              <w:textAlignment w:val="baseline"/>
              <w:rPr>
                <w:b/>
                <w:bCs/>
                <w:color w:val="000000"/>
                <w:kern w:val="0"/>
                <w:szCs w:val="21"/>
              </w:rPr>
            </w:pPr>
            <w:r>
              <w:rPr>
                <w:rFonts w:hint="eastAsia"/>
                <w:b/>
                <w:bCs/>
                <w:color w:val="000000"/>
                <w:kern w:val="0"/>
                <w:szCs w:val="21"/>
              </w:rPr>
              <w:t>4</w:t>
            </w:r>
            <w:r>
              <w:rPr>
                <w:rFonts w:hint="eastAsia" w:ascii="宋体" w:hAnsi="宋体"/>
                <w:b/>
                <w:bCs/>
                <w:color w:val="000000"/>
                <w:kern w:val="0"/>
                <w:szCs w:val="21"/>
              </w:rPr>
              <w:t>、</w:t>
            </w:r>
            <w:r>
              <w:rPr>
                <w:rFonts w:ascii="宋体" w:hAnsi="宋体"/>
                <w:b/>
                <w:bCs/>
                <w:color w:val="000000"/>
                <w:kern w:val="0"/>
                <w:szCs w:val="21"/>
              </w:rPr>
              <w:t>施工期风险事故分析</w:t>
            </w:r>
          </w:p>
          <w:p w14:paraId="2707EA8E">
            <w:pPr>
              <w:ind w:firstLine="420" w:firstLineChars="200"/>
              <w:rPr>
                <w:kern w:val="0"/>
                <w:highlight w:val="yellow"/>
                <w:lang w:val="zh-CN"/>
              </w:rPr>
            </w:pPr>
            <w:r>
              <w:rPr>
                <w:rFonts w:ascii="宋体" w:hAnsi="宋体"/>
                <w:bCs/>
                <w:color w:val="000000"/>
                <w:kern w:val="0"/>
                <w:szCs w:val="21"/>
              </w:rPr>
              <w:t>施工期事故主要表现在施工人员不按规定操作和麻痹大意引起的人为意外事故，施工单位应加强管理和监督；注意行人，特别是儿童的安全，应在施工点设置明显的警示标志，严格按照施工作业规范行为操作，可有效预防和避免不必要的事故发生。</w:t>
            </w:r>
          </w:p>
        </w:tc>
      </w:tr>
      <w:tr w14:paraId="32CF14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96" w:type="dxa"/>
            <w:tcMar>
              <w:left w:w="28" w:type="dxa"/>
              <w:right w:w="28" w:type="dxa"/>
            </w:tcMar>
            <w:vAlign w:val="center"/>
          </w:tcPr>
          <w:p w14:paraId="193CAB77">
            <w:pPr>
              <w:jc w:val="center"/>
              <w:rPr>
                <w:bCs/>
                <w:szCs w:val="21"/>
                <w:highlight w:val="yellow"/>
              </w:rPr>
            </w:pPr>
            <w:r>
              <w:rPr>
                <w:bCs/>
                <w:szCs w:val="18"/>
              </w:rPr>
              <w:t>运营期</w:t>
            </w:r>
            <w:r>
              <w:rPr>
                <w:rFonts w:hint="eastAsia"/>
                <w:bCs/>
                <w:szCs w:val="18"/>
              </w:rPr>
              <w:t>生态</w:t>
            </w:r>
            <w:r>
              <w:rPr>
                <w:bCs/>
                <w:szCs w:val="18"/>
              </w:rPr>
              <w:t>环境影响和保护措施</w:t>
            </w:r>
          </w:p>
        </w:tc>
        <w:tc>
          <w:tcPr>
            <w:tcW w:w="8685" w:type="dxa"/>
            <w:vAlign w:val="center"/>
          </w:tcPr>
          <w:p w14:paraId="478AA59C">
            <w:pPr>
              <w:pStyle w:val="3"/>
            </w:pPr>
            <w:r>
              <w:rPr>
                <w:rFonts w:hint="eastAsia"/>
              </w:rPr>
              <w:t>营运期水环境影响分析</w:t>
            </w:r>
          </w:p>
          <w:p w14:paraId="151BC930">
            <w:pPr>
              <w:ind w:firstLine="420" w:firstLineChars="200"/>
              <w:rPr>
                <w:szCs w:val="21"/>
              </w:rPr>
            </w:pPr>
            <w:r>
              <w:rPr>
                <w:szCs w:val="21"/>
              </w:rPr>
              <w:t>由于采用28m一跨跨越河道主槽的布置方式，桥墩不布置在河道主槽内，对河道行洪的阻水影响较小，对河道行洪基本无影响</w:t>
            </w:r>
            <w:r>
              <w:rPr>
                <w:rFonts w:hint="eastAsia"/>
                <w:szCs w:val="21"/>
              </w:rPr>
              <w:t>，所以营运期对水环境的影响主要是由于降雨冲刷路面产生的路面径流汇水流入河道产生的污染，本项目雨水出路按就近、合理排入水体的原则，收集道路及两侧地块雨水，就近排入附近河道。雨水径流污染的因素主要包括车流量、大气污染、降雨强度、道路运输事故等。根据相关研究表明，雨水径流污染物含量随降雨时间而变化，通常在短期内较大，随降雨时间延长会逐渐减少。路面径流对汇入水体造成的影响，只是短时间的影响，随着降雨时段增加，这种影响会逐渐减弱。</w:t>
            </w:r>
          </w:p>
          <w:p w14:paraId="6601F9B9">
            <w:pPr>
              <w:pStyle w:val="3"/>
            </w:pPr>
            <w:r>
              <w:rPr>
                <w:rFonts w:hint="eastAsia"/>
              </w:rPr>
              <w:t>营运期环境大气环境影响分析</w:t>
            </w:r>
          </w:p>
          <w:p w14:paraId="4EB9B7F4">
            <w:pPr>
              <w:ind w:firstLine="420" w:firstLineChars="200"/>
              <w:rPr>
                <w:szCs w:val="21"/>
              </w:rPr>
            </w:pPr>
            <w:r>
              <w:rPr>
                <w:rFonts w:hint="eastAsia"/>
                <w:szCs w:val="21"/>
              </w:rPr>
              <w:t>道路运营期对空气环境的污染主要有两方面，一是汽车尾气，二是汽车行驶产生的路面扬尘。本项目沿线无服务区、车站等集中式大气排放源。运营期废气主要为过往车辆排放的汽车尾气NOX、CO等，影响区域局限在道路两侧，受影响区域人口密度不大。此外，随着我国执行单车排放标准的不断提高，以及新能源车比例不断增加，单车尾气的排放量将会不断降低，运输车种构成比例将更为优化，逐步减少高能耗、高排污的车种比例，汽车尾气排放将大大降低，城市道路工程对沿线空气质量带来的影响逐步减小。</w:t>
            </w:r>
          </w:p>
          <w:p w14:paraId="45D2EF98">
            <w:pPr>
              <w:ind w:firstLine="420" w:firstLineChars="200"/>
              <w:rPr>
                <w:szCs w:val="21"/>
              </w:rPr>
            </w:pPr>
            <w:r>
              <w:rPr>
                <w:rFonts w:hint="eastAsia"/>
                <w:szCs w:val="21"/>
              </w:rPr>
              <w:t>汽车行驶产生的路面扬尘呈无组织排放，粉尘的排放是属于短时间、无组织、无规律、不连续的排放。为减少扬尘对空气环境的影响，建议在大风、干燥天气采取洒水措施，增加道路的含水率，减少起尘量，将粉尘扩散对空气环境的影响降到最小。</w:t>
            </w:r>
          </w:p>
          <w:p w14:paraId="483E7FE5">
            <w:pPr>
              <w:pStyle w:val="3"/>
            </w:pPr>
            <w:r>
              <w:rPr>
                <w:rFonts w:hint="eastAsia"/>
              </w:rPr>
              <w:t>营运期声环境影响预测分析</w:t>
            </w:r>
          </w:p>
          <w:p w14:paraId="20BD60B1">
            <w:pPr>
              <w:ind w:firstLine="420" w:firstLineChars="200"/>
              <w:rPr>
                <w:szCs w:val="21"/>
              </w:rPr>
            </w:pPr>
            <w:r>
              <w:rPr>
                <w:rFonts w:hint="eastAsia"/>
                <w:szCs w:val="21"/>
              </w:rPr>
              <w:t>根据专项一分析结果：根据噪声预测，工程的建设后随着运营期逐渐拉长，昼夜间噪声的影响会不断提升，但是工程沿线不存在现状敏感点，工程近期对周边声环境的影响较小，中远期周边存在规划住宅用地，会受到周边交通噪声的影响，需采取一系列隔声降噪措施，降低对敏感目标的影响。在采取本次环评提出的噪声污染防治措施的基础上，工程对沿线声环境的影响是可以接受的。</w:t>
            </w:r>
          </w:p>
          <w:p w14:paraId="1C331A61">
            <w:pPr>
              <w:pStyle w:val="3"/>
            </w:pPr>
            <w:r>
              <w:t>运营期固体废物影响分析</w:t>
            </w:r>
          </w:p>
          <w:p w14:paraId="6F87B7ED">
            <w:pPr>
              <w:ind w:firstLine="420" w:firstLineChars="200"/>
              <w:rPr>
                <w:szCs w:val="21"/>
              </w:rPr>
            </w:pPr>
            <w:r>
              <w:rPr>
                <w:rFonts w:hint="eastAsia"/>
                <w:szCs w:val="21"/>
              </w:rPr>
              <w:t>运营期间，道路产生的固体废物主要来自路面磨损及坠落物等。固体废物由环卫部门定期清运，环境影响较小。</w:t>
            </w:r>
          </w:p>
          <w:p w14:paraId="44A8043F">
            <w:pPr>
              <w:pStyle w:val="3"/>
            </w:pPr>
            <w:r>
              <w:rPr>
                <w:rFonts w:hint="eastAsia"/>
              </w:rPr>
              <w:t>营运期生态环境影响分析</w:t>
            </w:r>
          </w:p>
          <w:p w14:paraId="7CB7B62E">
            <w:pPr>
              <w:pStyle w:val="4"/>
            </w:pPr>
            <w:bookmarkStart w:id="57" w:name="OLE_LINK6"/>
            <w:r>
              <w:rPr>
                <w:rFonts w:hint="eastAsia"/>
              </w:rPr>
              <w:t>水土流失影响</w:t>
            </w:r>
            <w:bookmarkEnd w:id="57"/>
            <w:r>
              <w:rPr>
                <w:rFonts w:hint="eastAsia"/>
              </w:rPr>
              <w:t>分析</w:t>
            </w:r>
          </w:p>
          <w:p w14:paraId="2ED505FD">
            <w:pPr>
              <w:ind w:firstLine="420" w:firstLineChars="200"/>
              <w:rPr>
                <w:szCs w:val="21"/>
              </w:rPr>
            </w:pPr>
            <w:r>
              <w:rPr>
                <w:rFonts w:hint="eastAsia"/>
                <w:szCs w:val="21"/>
              </w:rPr>
              <w:t>本项目运营期由于道路路面大面积硬化、边坡防护及绿化工程的实施，项目区整体水土流失强度较建设期和建设前均显著降低。运营期水土流失主要来源于绿化带植被恢复初期的局部面蚀及排水设施不畅导致的冲刷，在采取定期养护、排水系统清疏、边坡巡查等水土保持措施后，运营期水土流失可得到有效控制，整体而言工程运营期对水土的影响很小。</w:t>
            </w:r>
          </w:p>
          <w:p w14:paraId="3D537761">
            <w:pPr>
              <w:pStyle w:val="4"/>
            </w:pPr>
            <w:r>
              <w:rPr>
                <w:rFonts w:hint="eastAsia"/>
              </w:rPr>
              <w:t>对生物的影响分析</w:t>
            </w:r>
          </w:p>
          <w:p w14:paraId="46178E1E">
            <w:pPr>
              <w:ind w:firstLine="422" w:firstLineChars="200"/>
              <w:rPr>
                <w:b/>
                <w:bCs/>
                <w:szCs w:val="21"/>
              </w:rPr>
            </w:pPr>
            <w:r>
              <w:rPr>
                <w:rFonts w:hint="eastAsia"/>
                <w:b/>
                <w:bCs/>
                <w:szCs w:val="21"/>
              </w:rPr>
              <w:t>1、对植物的影响分析</w:t>
            </w:r>
          </w:p>
          <w:p w14:paraId="10B3F27D">
            <w:pPr>
              <w:ind w:firstLine="420" w:firstLineChars="200"/>
              <w:rPr>
                <w:szCs w:val="21"/>
              </w:rPr>
            </w:pPr>
            <w:r>
              <w:rPr>
                <w:rFonts w:hint="eastAsia"/>
                <w:szCs w:val="21"/>
              </w:rPr>
              <w:t>本项目道路建设区域现状用地类型主要为农田。主要以农业植被：水稻、小麦、蔬菜以及狗尾草、葎草等常见野生草本植物为主，间杂少量灌木，无</w:t>
            </w:r>
            <w:r>
              <w:rPr>
                <w:szCs w:val="21"/>
              </w:rPr>
              <w:t>珍稀保护植物分布</w:t>
            </w:r>
            <w:r>
              <w:rPr>
                <w:rFonts w:hint="eastAsia"/>
                <w:szCs w:val="21"/>
              </w:rPr>
              <w:t>。工程对施工区域植被的影响主要为永久占地导致的植被损失以及运营期污染对植物生理机能的影响。道路建成后，路基、路面及附属设施永久占用导致原有植被被完全清除，区域植被覆盖面积减少，造成一定的植被生物量损失和生态系统服务功能降低，但通过道路绿化带的建设，可实现一定程度上的生态补偿。同时，运营期间，车辆行驶排放的PM，NOx等污染物会对道路两侧绿化带植物产生部分不利影响，降雨冲刷路面产生的含油污水、泥沙等径流若进入绿化带，也会对绿化带土壤及植物根系造成不利影响。但作为城市次干道，车流量整体较小，项目设计有完善的雨水收集和排放系统，路面径流经收集后排入市政雨水管网，对绿化带植被影响可控，绿化带植物在建设时期多选用抗污染能力较强的树种，平时定期进行对绿化带的洒水喷淋除尘维护，在正常运营情况下，尾气排放对植被生长影响较小。总体而言，运营期对区域植物、植被的影响以负面影响为主，但程度有限</w:t>
            </w:r>
          </w:p>
          <w:p w14:paraId="626A53DD">
            <w:pPr>
              <w:ind w:firstLine="422" w:firstLineChars="200"/>
              <w:rPr>
                <w:b/>
                <w:bCs/>
                <w:szCs w:val="21"/>
              </w:rPr>
            </w:pPr>
            <w:r>
              <w:rPr>
                <w:rFonts w:hint="eastAsia"/>
                <w:b/>
                <w:bCs/>
                <w:szCs w:val="21"/>
              </w:rPr>
              <w:t>2、对动物的影响分析</w:t>
            </w:r>
          </w:p>
          <w:p w14:paraId="242036CE">
            <w:pPr>
              <w:ind w:firstLine="422" w:firstLineChars="200"/>
              <w:rPr>
                <w:b/>
                <w:bCs/>
                <w:szCs w:val="21"/>
              </w:rPr>
            </w:pPr>
            <w:r>
              <w:rPr>
                <w:rFonts w:hint="eastAsia"/>
                <w:b/>
                <w:bCs/>
                <w:szCs w:val="21"/>
              </w:rPr>
              <w:t>（1）对两栖类的影响</w:t>
            </w:r>
          </w:p>
          <w:p w14:paraId="02E3376F">
            <w:pPr>
              <w:ind w:firstLine="420" w:firstLineChars="200"/>
              <w:rPr>
                <w:szCs w:val="21"/>
              </w:rPr>
            </w:pPr>
            <w:r>
              <w:rPr>
                <w:rFonts w:hint="eastAsia"/>
                <w:szCs w:val="21"/>
              </w:rPr>
              <w:t>项目所在区域有两栖类动物主要以中华蟾蜍、泽陆蛙等常见无尾目蛙类为主，无国家级保护动物分布。主要分布于沿线农田、沟渠及河流。本项目仅占用少量以上生境，项目周边有较多类似生境，影响较小。项目营运期，动物可从桥梁、涵洞通过，不会对两栖类造成太大的阻隔影响。</w:t>
            </w:r>
          </w:p>
          <w:p w14:paraId="61D25272">
            <w:pPr>
              <w:ind w:firstLine="422" w:firstLineChars="200"/>
              <w:rPr>
                <w:b/>
                <w:bCs/>
                <w:szCs w:val="21"/>
              </w:rPr>
            </w:pPr>
            <w:r>
              <w:rPr>
                <w:rFonts w:hint="eastAsia"/>
                <w:b/>
                <w:bCs/>
                <w:szCs w:val="21"/>
              </w:rPr>
              <w:t>（2）对爬行类的影响</w:t>
            </w:r>
          </w:p>
          <w:p w14:paraId="5CB1D74D">
            <w:pPr>
              <w:ind w:firstLine="420" w:firstLineChars="200"/>
              <w:rPr>
                <w:szCs w:val="21"/>
                <w:highlight w:val="yellow"/>
              </w:rPr>
            </w:pPr>
            <w:r>
              <w:rPr>
                <w:rFonts w:hint="eastAsia"/>
                <w:szCs w:val="21"/>
              </w:rPr>
              <w:t>项目所在区域爬行类动物主要为常见的蛇类、壁虎、石龙子等动物，见于草丛、农田、水域周边等生境。生存生境在项目所在区域周边分布较为广泛，项目实际占用生境数量较少，受影响的物种可以通过主动移动在区域内找到合适的替代生境，继续生存。公路的建设对爬行动物主要影响为公路阻隔，本项目建设后，会导致局地生境连通性下降，但是整体来说工程区域生活的动物较少，不少动物已经深度适应了城市生态系统，河流等生态廊道的存在也能在一定程度上降低生态连通性降低对动物的影响。</w:t>
            </w:r>
          </w:p>
          <w:p w14:paraId="2D9D876E">
            <w:pPr>
              <w:ind w:firstLine="422" w:firstLineChars="200"/>
              <w:rPr>
                <w:b/>
                <w:bCs/>
                <w:szCs w:val="21"/>
              </w:rPr>
            </w:pPr>
            <w:r>
              <w:rPr>
                <w:rFonts w:hint="eastAsia"/>
                <w:b/>
                <w:bCs/>
                <w:szCs w:val="21"/>
              </w:rPr>
              <w:t>（3）对鸟类影响分析</w:t>
            </w:r>
          </w:p>
          <w:p w14:paraId="0F61545D">
            <w:pPr>
              <w:ind w:firstLine="420" w:firstLineChars="200"/>
              <w:rPr>
                <w:szCs w:val="21"/>
              </w:rPr>
            </w:pPr>
            <w:r>
              <w:rPr>
                <w:rFonts w:hint="eastAsia"/>
                <w:szCs w:val="21"/>
              </w:rPr>
              <w:t>项目所在区域主要分布有麻雀、珠颈斑鸠、白鹡鸰、八哥等城市常见鸟类，无重点保护鸟类栖息地分布。项目建成通车后，人类活动强度的增加可能会在一定程度上对鸟类形成惊扰，此外由于建设后农田、湿地、草地等生态系统会向城镇生态系统转变，鸟类进行捕食、活动的区域会减少，但是鸟类飞行能力较强，可以灵活进行迁移活动，并且所分布的物种多为高度适应城市化生活的物种，不容易受到人类交通等活动的影响，公路营运期对这些鸟类的影响较小。</w:t>
            </w:r>
          </w:p>
          <w:p w14:paraId="23EE3F9D">
            <w:pPr>
              <w:ind w:firstLine="422" w:firstLineChars="200"/>
              <w:rPr>
                <w:b/>
                <w:bCs/>
                <w:szCs w:val="21"/>
              </w:rPr>
            </w:pPr>
            <w:r>
              <w:rPr>
                <w:rFonts w:hint="eastAsia"/>
                <w:b/>
                <w:bCs/>
                <w:szCs w:val="21"/>
              </w:rPr>
              <w:t>（4）对兽类影响</w:t>
            </w:r>
          </w:p>
          <w:p w14:paraId="060B3CFC">
            <w:pPr>
              <w:ind w:firstLine="420" w:firstLineChars="200"/>
              <w:rPr>
                <w:szCs w:val="21"/>
              </w:rPr>
            </w:pPr>
            <w:r>
              <w:rPr>
                <w:rFonts w:hint="eastAsia"/>
                <w:szCs w:val="21"/>
              </w:rPr>
              <w:t>本项目评价区内兽类以鼠类、蝙蝠等小型哺乳动物为主，无保护野生动物或大型野生动物分布，该类物种生存能力较强，并且活动范围广泛，活动能力强，几乎不会受到工程运营的影响。当道路建成后，如果所在区域不适合它们生存、栖息或食物来源不足时，会主动迁移到其它更适宜的地方，项目建设对其基本无影响。</w:t>
            </w:r>
          </w:p>
          <w:p w14:paraId="782F45F1">
            <w:pPr>
              <w:ind w:firstLine="422" w:firstLineChars="200"/>
              <w:rPr>
                <w:b/>
                <w:bCs/>
                <w:szCs w:val="21"/>
              </w:rPr>
            </w:pPr>
            <w:r>
              <w:rPr>
                <w:rFonts w:hint="eastAsia"/>
                <w:b/>
                <w:bCs/>
                <w:szCs w:val="21"/>
              </w:rPr>
              <w:t>3、对水生生态的影响分析</w:t>
            </w:r>
          </w:p>
          <w:p w14:paraId="489B29CF">
            <w:pPr>
              <w:ind w:firstLine="420" w:firstLineChars="200"/>
              <w:rPr>
                <w:szCs w:val="21"/>
              </w:rPr>
            </w:pPr>
            <w:r>
              <w:rPr>
                <w:rFonts w:hint="eastAsia"/>
                <w:szCs w:val="21"/>
              </w:rPr>
              <w:t>工程营运期对水生生态的影响主要体现在对地表水环境的污染，进而产生对水体中浮游生物、底栖生物以及鱼类的影响。污染途径主要通过路基材料产生的污染物随天然降雨形成的径流而进入河流中，将影响受纳水体的水质。由于路面径流在工程设计中已采取了相应的工程措施，如排水沟等，路面径流通过排水沟时，水中的悬浮物、泥沙等经过降解或沉积后，其浓度对水体的影响较小，不会改变目前的水质类别，因此对水生生物的影响很小。</w:t>
            </w:r>
          </w:p>
          <w:p w14:paraId="039FBC66">
            <w:pPr>
              <w:pStyle w:val="4"/>
            </w:pPr>
            <w:r>
              <w:rPr>
                <w:rFonts w:hint="eastAsia"/>
              </w:rPr>
              <w:t>环境风险影响分析</w:t>
            </w:r>
          </w:p>
          <w:p w14:paraId="220B527F">
            <w:pPr>
              <w:ind w:firstLine="422" w:firstLineChars="200"/>
              <w:rPr>
                <w:b/>
                <w:bCs/>
                <w:szCs w:val="21"/>
              </w:rPr>
            </w:pPr>
            <w:r>
              <w:rPr>
                <w:rFonts w:hint="eastAsia"/>
                <w:b/>
                <w:bCs/>
                <w:szCs w:val="21"/>
              </w:rPr>
              <w:t>1、环境风险类型</w:t>
            </w:r>
          </w:p>
          <w:p w14:paraId="2768A9E1">
            <w:pPr>
              <w:ind w:firstLine="420" w:firstLineChars="200"/>
              <w:rPr>
                <w:szCs w:val="21"/>
              </w:rPr>
            </w:pPr>
            <w:r>
              <w:rPr>
                <w:rFonts w:hint="eastAsia"/>
                <w:szCs w:val="21"/>
              </w:rPr>
              <w:t>交通运输不可避免会带来交通事故，一般交通事故可分为以下几类：</w:t>
            </w:r>
          </w:p>
          <w:p w14:paraId="7549EB1C">
            <w:pPr>
              <w:ind w:firstLine="420" w:firstLineChars="200"/>
              <w:rPr>
                <w:szCs w:val="21"/>
              </w:rPr>
            </w:pPr>
            <w:r>
              <w:rPr>
                <w:rFonts w:hint="eastAsia"/>
                <w:szCs w:val="21"/>
              </w:rPr>
              <w:t>（1）一般交通事故。由于交通量的增加，加上一些驾驶员缺乏经验、常识、法规意识淡薄，时有超载、疲劳驾驶、超速驾驶、占道行驶、违章停车等行为，致使发生交通事故的概率大增；</w:t>
            </w:r>
          </w:p>
          <w:p w14:paraId="2FCD913A">
            <w:pPr>
              <w:ind w:firstLine="420" w:firstLineChars="200"/>
              <w:rPr>
                <w:szCs w:val="21"/>
              </w:rPr>
            </w:pPr>
            <w:r>
              <w:rPr>
                <w:rFonts w:hint="eastAsia"/>
                <w:szCs w:val="21"/>
              </w:rPr>
              <w:t>（2）恶劣天气交通事故。暴雨、台风、大雾和路面积雪等恶劣天气及塌方等特殊情况，易发生交通事故；</w:t>
            </w:r>
          </w:p>
          <w:p w14:paraId="7C4921E1">
            <w:pPr>
              <w:ind w:firstLine="420" w:firstLineChars="200"/>
              <w:rPr>
                <w:szCs w:val="21"/>
              </w:rPr>
            </w:pPr>
            <w:r>
              <w:rPr>
                <w:rFonts w:hint="eastAsia"/>
                <w:szCs w:val="21"/>
              </w:rPr>
              <w:t>（3）车辆本身携带的汽油（柴油）和机油泄漏，并排入附近水体，将会污染沿线河流；</w:t>
            </w:r>
          </w:p>
          <w:p w14:paraId="1CA59D57">
            <w:pPr>
              <w:ind w:firstLine="420" w:firstLineChars="200"/>
              <w:rPr>
                <w:szCs w:val="21"/>
              </w:rPr>
            </w:pPr>
            <w:r>
              <w:rPr>
                <w:rFonts w:hint="eastAsia"/>
                <w:szCs w:val="21"/>
              </w:rPr>
              <w:t>（4）在桥面发生交通事故，汽车坠入河流。</w:t>
            </w:r>
          </w:p>
          <w:p w14:paraId="1891DBF7">
            <w:pPr>
              <w:ind w:firstLine="420" w:firstLineChars="200"/>
              <w:rPr>
                <w:szCs w:val="21"/>
              </w:rPr>
            </w:pPr>
            <w:r>
              <w:rPr>
                <w:rFonts w:hint="eastAsia"/>
                <w:szCs w:val="21"/>
              </w:rPr>
              <w:t>道路运输过程中的环境风险，主要来自化学危险品（主要为油料汽油（柴油）、机油等）的泄漏，除了对水环境的影响外，泄漏对陆域生态系统和大气环境也会有一定的影响。</w:t>
            </w:r>
          </w:p>
          <w:p w14:paraId="2EB03F8A">
            <w:pPr>
              <w:ind w:firstLine="422" w:firstLineChars="200"/>
              <w:rPr>
                <w:b/>
                <w:bCs/>
                <w:szCs w:val="21"/>
              </w:rPr>
            </w:pPr>
            <w:r>
              <w:rPr>
                <w:rFonts w:hint="eastAsia"/>
                <w:b/>
                <w:bCs/>
                <w:szCs w:val="21"/>
              </w:rPr>
              <w:t>2、环境风险识别结果</w:t>
            </w:r>
          </w:p>
          <w:p w14:paraId="3A825C70">
            <w:pPr>
              <w:ind w:firstLine="420" w:firstLineChars="200"/>
              <w:rPr>
                <w:szCs w:val="21"/>
              </w:rPr>
            </w:pPr>
            <w:r>
              <w:rPr>
                <w:rFonts w:hint="eastAsia"/>
                <w:szCs w:val="21"/>
              </w:rPr>
              <w:t>桥面通车过程中车辆发生翻车或车祸，一般只有遇到明火时才能发生火灾和爆炸，因此，本工程主要环境风险为车辆发生翻车或撞车事故，造成化学危险品（主要为燃油、机油等），进入环境空气或进入水体，对本工程沿线的交叉的河道水体造成污染，对沿线的环境空气特别是邻近住宅区等敏感保护目标环境空气造成影响。只有遇到明火发生火灾爆炸的事故为次要环境风险事故。</w:t>
            </w:r>
          </w:p>
          <w:p w14:paraId="3620FD38">
            <w:pPr>
              <w:ind w:firstLine="422" w:firstLineChars="200"/>
              <w:rPr>
                <w:b/>
                <w:bCs/>
                <w:szCs w:val="21"/>
              </w:rPr>
            </w:pPr>
            <w:r>
              <w:rPr>
                <w:rFonts w:hint="eastAsia"/>
                <w:b/>
                <w:bCs/>
                <w:szCs w:val="21"/>
              </w:rPr>
              <w:t>3、环境风险影响分析</w:t>
            </w:r>
          </w:p>
          <w:p w14:paraId="2A9F2097">
            <w:pPr>
              <w:ind w:firstLine="420" w:firstLineChars="200"/>
              <w:rPr>
                <w:szCs w:val="21"/>
              </w:rPr>
            </w:pPr>
            <w:r>
              <w:rPr>
                <w:rFonts w:hint="eastAsia"/>
                <w:szCs w:val="21"/>
              </w:rPr>
              <w:t>交通运输车辆量发生事故较多，事故发生地所处环境的敏感程度不一，因此危险程度也不一样。一般说来，交通事故中一般事故占多数，重大事故次之，特大事故较少。就车辆的交通事故而言，危害程度较大的主要有两种，一是车辆自燃的事故，引起爆炸，导致部分有毒有害气体污染环境空气；二是因翻车油料（汽柴油、机油等）泄漏而进入水体，污染水体水质。</w:t>
            </w:r>
          </w:p>
          <w:p w14:paraId="35B21321">
            <w:pPr>
              <w:ind w:firstLine="422" w:firstLineChars="200"/>
              <w:rPr>
                <w:b/>
                <w:bCs/>
                <w:szCs w:val="21"/>
              </w:rPr>
            </w:pPr>
            <w:r>
              <w:rPr>
                <w:rFonts w:hint="eastAsia"/>
                <w:b/>
                <w:bCs/>
                <w:szCs w:val="21"/>
              </w:rPr>
              <w:t>4、风险防范措施及应急预案</w:t>
            </w:r>
          </w:p>
          <w:p w14:paraId="0B949D67">
            <w:pPr>
              <w:ind w:firstLine="420" w:firstLineChars="200"/>
              <w:rPr>
                <w:szCs w:val="21"/>
              </w:rPr>
            </w:pPr>
            <w:r>
              <w:rPr>
                <w:rFonts w:hint="eastAsia"/>
                <w:szCs w:val="21"/>
              </w:rPr>
              <w:t>（1）风险事故防范措施</w:t>
            </w:r>
          </w:p>
          <w:p w14:paraId="5F6725AC">
            <w:pPr>
              <w:ind w:firstLine="420" w:firstLineChars="200"/>
              <w:rPr>
                <w:szCs w:val="21"/>
              </w:rPr>
            </w:pPr>
            <w:r>
              <w:rPr>
                <w:rFonts w:hint="eastAsia"/>
                <w:szCs w:val="21"/>
              </w:rPr>
              <w:t>根据</w:t>
            </w:r>
            <w:r>
              <w:rPr>
                <w:szCs w:val="21"/>
              </w:rPr>
              <w:t>《中华人民共和国环境保护法》第四十七条规定：企业事业单位应当按照国家有关规定制定突发</w:t>
            </w:r>
            <w:r>
              <w:rPr>
                <w:rFonts w:hint="eastAsia"/>
                <w:szCs w:val="21"/>
              </w:rPr>
              <w:t>生态</w:t>
            </w:r>
            <w:r>
              <w:rPr>
                <w:szCs w:val="21"/>
              </w:rPr>
              <w:t>环境事件应急预案，报</w:t>
            </w:r>
            <w:r>
              <w:rPr>
                <w:rFonts w:hint="eastAsia"/>
                <w:szCs w:val="21"/>
              </w:rPr>
              <w:t>生态</w:t>
            </w:r>
            <w:r>
              <w:rPr>
                <w:szCs w:val="21"/>
              </w:rPr>
              <w:t>环境保护主管部门和有关部门备案。</w:t>
            </w:r>
            <w:r>
              <w:rPr>
                <w:rFonts w:hint="eastAsia"/>
                <w:szCs w:val="21"/>
              </w:rPr>
              <w:t>本项目应及时编制应急预案，并在杭州市生态环境局备案。根据</w:t>
            </w:r>
            <w:r>
              <w:rPr>
                <w:szCs w:val="21"/>
              </w:rPr>
              <w:t>《浙江省突发事件应急预案管理实施办法》，全省应急预案体系包含企事业单位应急预案，与总体应急预案、专项应急预案、部门应急预案共同构成完整体系，单位预案需服从属地政府应急管理的统一框架。</w:t>
            </w:r>
            <w:r>
              <w:rPr>
                <w:rFonts w:hint="eastAsia"/>
                <w:szCs w:val="21"/>
              </w:rPr>
              <w:t>本项目的应急预案应纳入杭州市突发公共事件总体应急预案。</w:t>
            </w:r>
          </w:p>
          <w:p w14:paraId="131D2C9A">
            <w:pPr>
              <w:ind w:firstLine="420" w:firstLineChars="200"/>
              <w:rPr>
                <w:szCs w:val="21"/>
              </w:rPr>
            </w:pPr>
            <w:r>
              <w:rPr>
                <w:rFonts w:hint="eastAsia"/>
                <w:szCs w:val="21"/>
              </w:rPr>
              <w:t>（2）建议该项目营运管理部门编制有关本路段道路交通风险事故应急计划，配备必要的资金、人员和器材（包括通讯器材、防护器材和处理、处置器材），并对人员进行必要的培训和演练。</w:t>
            </w:r>
          </w:p>
          <w:p w14:paraId="6144BFBF">
            <w:pPr>
              <w:ind w:firstLine="420" w:firstLineChars="200"/>
              <w:rPr>
                <w:szCs w:val="21"/>
              </w:rPr>
            </w:pPr>
            <w:r>
              <w:rPr>
                <w:rFonts w:hint="eastAsia"/>
                <w:szCs w:val="21"/>
              </w:rPr>
              <w:t>（3）设警示标志，加强道路的安全设施设计，在道路拐角、靠近河流路段设置“谨慎驾驶”警示牌，提醒运输危险品的车辆司机注意安全和控制车速。在敏感路段设警示标志，提醒司机注意安全。对于梅雨季节等交通事故多发期，尤其要加强监控。</w:t>
            </w:r>
          </w:p>
          <w:p w14:paraId="257CFE3F">
            <w:pPr>
              <w:ind w:firstLine="420" w:firstLineChars="200"/>
              <w:rPr>
                <w:szCs w:val="21"/>
              </w:rPr>
            </w:pPr>
            <w:r>
              <w:rPr>
                <w:rFonts w:hint="eastAsia"/>
                <w:szCs w:val="21"/>
              </w:rPr>
              <w:t>（4）严格控制危险品运输车辆通行。</w:t>
            </w:r>
          </w:p>
          <w:p w14:paraId="759A12C5">
            <w:pPr>
              <w:ind w:firstLine="420" w:firstLineChars="200"/>
              <w:rPr>
                <w:szCs w:val="21"/>
                <w:highlight w:val="yellow"/>
              </w:rPr>
            </w:pPr>
            <w:r>
              <w:rPr>
                <w:rFonts w:hint="eastAsia"/>
                <w:szCs w:val="21"/>
              </w:rPr>
              <w:t>（5）一旦事故发生，应及时迅速报警，及时通知有关交警、消防、生态环境部门、水利等部门，立即启动项目应急预案，采取应急措施，通过闸站切断与外部河道联系，减少风险事故影响。</w:t>
            </w:r>
          </w:p>
        </w:tc>
      </w:tr>
      <w:tr w14:paraId="00896F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4" w:hRule="atLeast"/>
          <w:jc w:val="center"/>
        </w:trPr>
        <w:tc>
          <w:tcPr>
            <w:tcW w:w="296" w:type="dxa"/>
            <w:tcMar>
              <w:left w:w="28" w:type="dxa"/>
              <w:right w:w="28" w:type="dxa"/>
            </w:tcMar>
            <w:vAlign w:val="center"/>
          </w:tcPr>
          <w:p w14:paraId="4D5D61B9">
            <w:pPr>
              <w:jc w:val="center"/>
              <w:rPr>
                <w:bCs/>
                <w:szCs w:val="18"/>
              </w:rPr>
            </w:pPr>
            <w:r>
              <w:rPr>
                <w:rFonts w:hint="eastAsia"/>
                <w:bCs/>
                <w:szCs w:val="18"/>
              </w:rPr>
              <w:t>选址选线生态环境合理性分析</w:t>
            </w:r>
          </w:p>
        </w:tc>
        <w:tc>
          <w:tcPr>
            <w:tcW w:w="8685" w:type="dxa"/>
            <w:vAlign w:val="center"/>
          </w:tcPr>
          <w:p w14:paraId="127AD5F8">
            <w:pPr>
              <w:ind w:firstLine="420" w:firstLineChars="200"/>
            </w:pPr>
            <w:r>
              <w:rPr>
                <w:rFonts w:hint="eastAsia"/>
              </w:rPr>
              <w:t>青西二路（江东大道—河景路）位于杭州市钱塘区江海之城单元内，道路呈南北走向，北起江东大道，南至河景路，全长约868m，其中新建长度约853m，标准段宽24m，道路等级为城市次干路。本项目选址选线已纳入《杭州市钱塘区江海之城单元（QT08）详细规划》，是区域“五横五纵”交通主导型道路体系的重要组成部分，符合区域国土空间详细规划要求。经调查，项目路线沿规划路径铺设，起止点明确且唯一，项目不涉及路线备选方案。</w:t>
            </w:r>
          </w:p>
          <w:p w14:paraId="0D6F43D1">
            <w:pPr>
              <w:ind w:firstLine="420" w:firstLineChars="200"/>
            </w:pPr>
            <w:r>
              <w:rPr>
                <w:rFonts w:hint="eastAsia"/>
              </w:rPr>
              <w:t>本项目不涉及占用生态保护红线，不涉及占用永久基本农田，不涉及各级自然保护区，也不在已批准公布的生态保护红线范围内，符合“三区三线”管控要求。根据杭州市钱塘区民政和文化旅游体育局出具的考古前置意见书，本项目无须进行考古勘探，项目选址沿线无重大生态环境制约因素。项目施工期和运营期的主要生态环境影响可通过采取相应的环保措施得到有效控制。从生态环境保护角度分析，本项目选址选线合理。</w:t>
            </w:r>
          </w:p>
        </w:tc>
      </w:tr>
    </w:tbl>
    <w:p w14:paraId="338D6BDB">
      <w:pPr>
        <w:rPr>
          <w:b/>
          <w:kern w:val="0"/>
          <w:sz w:val="28"/>
          <w:szCs w:val="28"/>
          <w:highlight w:val="yellow"/>
        </w:rPr>
      </w:pPr>
    </w:p>
    <w:p w14:paraId="536F72A5">
      <w:pPr>
        <w:pStyle w:val="2"/>
        <w:numPr>
          <w:ilvl w:val="0"/>
          <w:numId w:val="0"/>
        </w:numPr>
        <w:ind w:left="360"/>
        <w:jc w:val="both"/>
        <w:rPr>
          <w:snapToGrid w:val="0"/>
          <w:highlight w:val="yellow"/>
        </w:rPr>
        <w:sectPr>
          <w:pgSz w:w="11907" w:h="16840"/>
          <w:pgMar w:top="2126" w:right="1531" w:bottom="1701" w:left="1531" w:header="851" w:footer="851" w:gutter="0"/>
          <w:cols w:space="720" w:num="1"/>
          <w:docGrid w:linePitch="312" w:charSpace="0"/>
        </w:sectPr>
      </w:pPr>
    </w:p>
    <w:p w14:paraId="758E1139">
      <w:pPr>
        <w:pStyle w:val="2"/>
      </w:pPr>
      <w:bookmarkStart w:id="58" w:name="_Toc238129008"/>
      <w:r>
        <w:t>主要生态环境保护措施</w:t>
      </w:r>
      <w:bookmarkEnd w:id="58"/>
    </w:p>
    <w:tbl>
      <w:tblPr>
        <w:tblStyle w:val="30"/>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8457"/>
      </w:tblGrid>
      <w:tr w14:paraId="6E588A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6637A1CE">
            <w:pPr>
              <w:widowControl/>
              <w:kinsoku w:val="0"/>
              <w:autoSpaceDE w:val="0"/>
              <w:autoSpaceDN w:val="0"/>
              <w:spacing w:line="240" w:lineRule="auto"/>
              <w:jc w:val="center"/>
              <w:textAlignment w:val="baseline"/>
              <w:rPr>
                <w:bCs/>
                <w:color w:val="000000"/>
                <w:kern w:val="0"/>
                <w:szCs w:val="21"/>
              </w:rPr>
            </w:pPr>
            <w:r>
              <w:rPr>
                <w:rFonts w:ascii="宋体" w:hAnsi="宋体"/>
                <w:bCs/>
                <w:color w:val="000000"/>
                <w:spacing w:val="10"/>
                <w:kern w:val="0"/>
                <w:szCs w:val="21"/>
              </w:rPr>
              <w:t>施工期生态环境保护措施</w:t>
            </w:r>
          </w:p>
        </w:tc>
        <w:tc>
          <w:tcPr>
            <w:tcW w:w="8457" w:type="dxa"/>
            <w:tcBorders>
              <w:top w:val="single" w:color="auto" w:sz="8" w:space="0"/>
              <w:left w:val="single" w:color="auto" w:sz="4" w:space="0"/>
              <w:bottom w:val="single" w:color="auto" w:sz="4" w:space="0"/>
              <w:right w:val="single" w:color="auto" w:sz="8" w:space="0"/>
            </w:tcBorders>
          </w:tcPr>
          <w:p w14:paraId="7F473D77">
            <w:pPr>
              <w:pStyle w:val="3"/>
            </w:pPr>
            <w:r>
              <w:t>施工期水污染防治措施</w:t>
            </w:r>
          </w:p>
          <w:p w14:paraId="6B0DF211">
            <w:pPr>
              <w:pStyle w:val="4"/>
            </w:pPr>
            <w:r>
              <w:rPr>
                <w:rFonts w:hint="eastAsia"/>
              </w:rPr>
              <w:t>施工废水防治措施</w:t>
            </w:r>
          </w:p>
          <w:p w14:paraId="110C6F7D">
            <w:pPr>
              <w:widowControl/>
              <w:kinsoku w:val="0"/>
              <w:autoSpaceDE w:val="0"/>
              <w:autoSpaceDN w:val="0"/>
              <w:ind w:firstLine="422" w:firstLineChars="200"/>
              <w:textAlignment w:val="baseline"/>
              <w:rPr>
                <w:rFonts w:hint="eastAsia" w:ascii="宋体" w:hAnsi="宋体"/>
                <w:b/>
                <w:color w:val="000000"/>
                <w:kern w:val="0"/>
                <w:szCs w:val="21"/>
              </w:rPr>
            </w:pPr>
            <w:r>
              <w:rPr>
                <w:rFonts w:hint="eastAsia" w:ascii="宋体" w:hAnsi="宋体"/>
                <w:b/>
                <w:color w:val="000000"/>
                <w:kern w:val="0"/>
                <w:szCs w:val="21"/>
              </w:rPr>
              <w:t>1、</w:t>
            </w:r>
            <w:r>
              <w:rPr>
                <w:rFonts w:ascii="宋体" w:hAnsi="宋体"/>
                <w:b/>
                <w:color w:val="000000"/>
                <w:kern w:val="0"/>
                <w:szCs w:val="21"/>
              </w:rPr>
              <w:t>施工机械设备冲洗废水</w:t>
            </w:r>
          </w:p>
          <w:p w14:paraId="251DC4E3">
            <w:pPr>
              <w:widowControl/>
              <w:kinsoku w:val="0"/>
              <w:autoSpaceDE w:val="0"/>
              <w:autoSpaceDN w:val="0"/>
              <w:ind w:firstLine="420" w:firstLineChars="200"/>
              <w:textAlignment w:val="baseline"/>
              <w:rPr>
                <w:color w:val="000000"/>
                <w:kern w:val="0"/>
                <w:szCs w:val="21"/>
              </w:rPr>
            </w:pPr>
            <w:r>
              <w:rPr>
                <w:rFonts w:hint="eastAsia" w:ascii="宋体" w:hAnsi="宋体"/>
                <w:color w:val="000000"/>
                <w:kern w:val="0"/>
                <w:szCs w:val="21"/>
              </w:rPr>
              <w:t>工程施工方应</w:t>
            </w:r>
            <w:r>
              <w:rPr>
                <w:rFonts w:ascii="宋体" w:hAnsi="宋体"/>
                <w:color w:val="000000"/>
                <w:kern w:val="0"/>
                <w:szCs w:val="21"/>
              </w:rPr>
              <w:t>对施工机械、车辆维修</w:t>
            </w:r>
            <w:r>
              <w:rPr>
                <w:rFonts w:hint="eastAsia" w:ascii="宋体" w:hAnsi="宋体"/>
                <w:color w:val="000000"/>
                <w:kern w:val="0"/>
                <w:szCs w:val="21"/>
              </w:rPr>
              <w:t>所产生的</w:t>
            </w:r>
            <w:r>
              <w:rPr>
                <w:rFonts w:ascii="宋体" w:hAnsi="宋体"/>
                <w:color w:val="000000"/>
                <w:kern w:val="0"/>
                <w:szCs w:val="21"/>
              </w:rPr>
              <w:t>冲洗含油废水</w:t>
            </w:r>
            <w:r>
              <w:rPr>
                <w:rFonts w:hint="eastAsia" w:ascii="宋体" w:hAnsi="宋体"/>
                <w:color w:val="000000"/>
                <w:kern w:val="0"/>
                <w:szCs w:val="21"/>
              </w:rPr>
              <w:t>按</w:t>
            </w:r>
            <w:r>
              <w:rPr>
                <w:rFonts w:ascii="宋体" w:hAnsi="宋体"/>
                <w:color w:val="000000"/>
                <w:kern w:val="0"/>
                <w:szCs w:val="21"/>
              </w:rPr>
              <w:t>要求设置隔油池处理后回用至施工场地，严禁随意处置。从源头上控制施工机械的油污污染，加强设备维护，保证物料运输车辆工况，减少油污的跑、冒、滴、漏。施工机械严格检查，防止油料泄漏。因机械维修、维护产生的少量残油全部分类回收并存储，</w:t>
            </w:r>
            <w:r>
              <w:rPr>
                <w:rFonts w:hint="eastAsia" w:ascii="宋体" w:hAnsi="宋体"/>
                <w:color w:val="000000"/>
                <w:kern w:val="0"/>
                <w:szCs w:val="21"/>
              </w:rPr>
              <w:t>按照危废</w:t>
            </w:r>
            <w:r>
              <w:rPr>
                <w:rFonts w:ascii="宋体" w:hAnsi="宋体"/>
                <w:color w:val="000000"/>
                <w:kern w:val="0"/>
                <w:szCs w:val="21"/>
              </w:rPr>
              <w:t>交由有相关资质的单位进行处理。</w:t>
            </w:r>
          </w:p>
          <w:p w14:paraId="0216EDF8">
            <w:pPr>
              <w:widowControl/>
              <w:kinsoku w:val="0"/>
              <w:autoSpaceDE w:val="0"/>
              <w:autoSpaceDN w:val="0"/>
              <w:ind w:firstLine="422" w:firstLineChars="200"/>
              <w:textAlignment w:val="baseline"/>
              <w:rPr>
                <w:b/>
                <w:color w:val="000000"/>
                <w:kern w:val="0"/>
                <w:szCs w:val="21"/>
              </w:rPr>
            </w:pPr>
            <w:r>
              <w:rPr>
                <w:rFonts w:hint="eastAsia"/>
                <w:b/>
                <w:color w:val="000000"/>
                <w:kern w:val="0"/>
                <w:szCs w:val="21"/>
              </w:rPr>
              <w:t>2</w:t>
            </w:r>
            <w:r>
              <w:rPr>
                <w:rFonts w:ascii="宋体" w:hAnsi="宋体"/>
                <w:b/>
                <w:color w:val="000000"/>
                <w:kern w:val="0"/>
                <w:szCs w:val="21"/>
              </w:rPr>
              <w:t>、</w:t>
            </w:r>
            <w:r>
              <w:rPr>
                <w:rFonts w:hint="eastAsia" w:ascii="宋体" w:hAnsi="宋体"/>
                <w:b/>
                <w:color w:val="000000"/>
                <w:kern w:val="0"/>
                <w:szCs w:val="21"/>
              </w:rPr>
              <w:t>桥梁施工泥浆水</w:t>
            </w:r>
          </w:p>
          <w:p w14:paraId="44B3EABB">
            <w:pPr>
              <w:widowControl/>
              <w:kinsoku w:val="0"/>
              <w:autoSpaceDE w:val="0"/>
              <w:autoSpaceDN w:val="0"/>
              <w:ind w:firstLine="420" w:firstLineChars="200"/>
              <w:textAlignment w:val="baseline"/>
              <w:rPr>
                <w:rFonts w:hint="eastAsia" w:ascii="宋体" w:hAnsi="宋体"/>
                <w:bCs/>
                <w:color w:val="000000"/>
                <w:kern w:val="0"/>
                <w:szCs w:val="21"/>
              </w:rPr>
            </w:pPr>
            <w:r>
              <w:rPr>
                <w:rFonts w:hint="eastAsia" w:ascii="宋体" w:hAnsi="宋体"/>
                <w:bCs/>
                <w:color w:val="000000"/>
                <w:kern w:val="0"/>
                <w:szCs w:val="21"/>
              </w:rPr>
              <w:t>桥梁桩基施工首先应该控制施工强度，在工艺上优先采用钢护筒跟进施工工艺，护筒底端深入不透水</w:t>
            </w:r>
            <w:r>
              <w:rPr>
                <w:rFonts w:hint="eastAsia"/>
              </w:rPr>
              <w:t>层不小于1m，</w:t>
            </w:r>
            <w:r>
              <w:rPr>
                <w:rFonts w:hint="eastAsia" w:ascii="宋体" w:hAnsi="宋体"/>
                <w:bCs/>
                <w:color w:val="000000"/>
                <w:kern w:val="0"/>
                <w:szCs w:val="21"/>
              </w:rPr>
              <w:t>将钻孔作业面与河体有效隔离，从物理上阻断泥浆向河道扩散的路径。施工现场应该设置专职环保管理人员，制定突发生态环境事件应急预案，防止桥梁施工对自然河道水体的影响，控制污染扩散。桥梁施工期间，在围堰下游</w:t>
            </w:r>
            <w:r>
              <w:rPr>
                <w:rFonts w:hint="eastAsia"/>
              </w:rPr>
              <w:t>100m、300m、500m处设置水质监测断面，定期监测SS浓</w:t>
            </w:r>
            <w:r>
              <w:rPr>
                <w:rFonts w:hint="eastAsia" w:ascii="宋体" w:hAnsi="宋体"/>
                <w:bCs/>
                <w:color w:val="000000"/>
                <w:kern w:val="0"/>
                <w:szCs w:val="21"/>
              </w:rPr>
              <w:t>度，一旦发现水质异常，立即停工整改，直至水质恢复正常后方可复工。</w:t>
            </w:r>
          </w:p>
          <w:p w14:paraId="3AA6FC85">
            <w:pPr>
              <w:widowControl/>
              <w:kinsoku w:val="0"/>
              <w:autoSpaceDE w:val="0"/>
              <w:autoSpaceDN w:val="0"/>
              <w:ind w:firstLine="420" w:firstLineChars="200"/>
              <w:textAlignment w:val="baseline"/>
              <w:rPr>
                <w:bCs/>
                <w:color w:val="000000"/>
                <w:kern w:val="0"/>
                <w:szCs w:val="21"/>
              </w:rPr>
            </w:pPr>
            <w:r>
              <w:rPr>
                <w:rFonts w:hint="eastAsia" w:ascii="宋体" w:hAnsi="宋体"/>
                <w:bCs/>
                <w:color w:val="000000"/>
                <w:kern w:val="0"/>
                <w:szCs w:val="21"/>
              </w:rPr>
              <w:t>本工程桩基</w:t>
            </w:r>
            <w:r>
              <w:rPr>
                <w:rFonts w:ascii="宋体" w:hAnsi="宋体"/>
                <w:bCs/>
                <w:color w:val="000000"/>
                <w:kern w:val="0"/>
                <w:szCs w:val="21"/>
              </w:rPr>
              <w:t>施工过程中</w:t>
            </w:r>
            <w:r>
              <w:rPr>
                <w:rFonts w:hint="eastAsia" w:ascii="宋体" w:hAnsi="宋体"/>
                <w:bCs/>
                <w:color w:val="000000"/>
                <w:kern w:val="0"/>
                <w:szCs w:val="21"/>
              </w:rPr>
              <w:t>将会产生</w:t>
            </w:r>
            <w:r>
              <w:rPr>
                <w:rFonts w:ascii="宋体" w:hAnsi="宋体"/>
                <w:bCs/>
                <w:color w:val="000000"/>
                <w:kern w:val="0"/>
                <w:szCs w:val="21"/>
              </w:rPr>
              <w:t>泥浆</w:t>
            </w:r>
            <w:r>
              <w:rPr>
                <w:rFonts w:hint="eastAsia"/>
                <w:bCs/>
                <w:color w:val="000000"/>
                <w:kern w:val="0"/>
                <w:szCs w:val="21"/>
              </w:rPr>
              <w:t>，所产生的泥浆水不得直接排放，一部分将在现场固化处理后进行回填，另外不适合利用的部分</w:t>
            </w:r>
            <w:r>
              <w:rPr>
                <w:rFonts w:hint="eastAsia" w:ascii="宋体" w:hAnsi="宋体"/>
                <w:bCs/>
                <w:color w:val="000000"/>
                <w:kern w:val="0"/>
                <w:szCs w:val="21"/>
              </w:rPr>
              <w:t>约</w:t>
            </w:r>
            <w:r>
              <w:rPr>
                <w:bCs/>
                <w:color w:val="000000"/>
                <w:kern w:val="0"/>
                <w:szCs w:val="21"/>
              </w:rPr>
              <w:t>248.5</w:t>
            </w:r>
            <w:r>
              <w:rPr>
                <w:rFonts w:hint="eastAsia"/>
                <w:bCs/>
                <w:color w:val="000000"/>
                <w:kern w:val="0"/>
                <w:szCs w:val="21"/>
              </w:rPr>
              <w:t xml:space="preserve"> </w:t>
            </w:r>
            <w:r>
              <w:rPr>
                <w:bCs/>
                <w:color w:val="000000"/>
                <w:kern w:val="0"/>
                <w:szCs w:val="21"/>
              </w:rPr>
              <w:t>m</w:t>
            </w:r>
            <w:r>
              <w:rPr>
                <w:bCs/>
                <w:color w:val="000000"/>
                <w:kern w:val="0"/>
                <w:szCs w:val="21"/>
                <w:vertAlign w:val="superscript"/>
              </w:rPr>
              <w:t>3</w:t>
            </w:r>
            <w:commentRangeStart w:id="69"/>
            <w:commentRangeStart w:id="70"/>
            <w:r>
              <w:rPr>
                <w:rFonts w:hint="eastAsia"/>
                <w:bCs/>
                <w:color w:val="000000"/>
                <w:kern w:val="0"/>
                <w:szCs w:val="21"/>
              </w:rPr>
              <w:t>将收集后外运至弃渣场进行集中处理</w:t>
            </w:r>
            <w:r>
              <w:rPr>
                <w:bCs/>
                <w:color w:val="000000"/>
                <w:kern w:val="0"/>
                <w:szCs w:val="21"/>
              </w:rPr>
              <w:t>。</w:t>
            </w:r>
            <w:commentRangeEnd w:id="69"/>
            <w:r>
              <w:rPr>
                <w:rStyle w:val="38"/>
                <w:bCs/>
                <w:color w:val="000000"/>
                <w:kern w:val="0"/>
                <w:szCs w:val="21"/>
              </w:rPr>
              <w:commentReference w:id="69"/>
            </w:r>
            <w:commentRangeEnd w:id="70"/>
            <w:r>
              <w:rPr>
                <w:rStyle w:val="38"/>
                <w:bCs/>
                <w:color w:val="000000"/>
                <w:kern w:val="0"/>
                <w:szCs w:val="21"/>
              </w:rPr>
              <w:commentReference w:id="70"/>
            </w:r>
          </w:p>
          <w:p w14:paraId="4540E526">
            <w:pPr>
              <w:widowControl/>
              <w:kinsoku w:val="0"/>
              <w:autoSpaceDE w:val="0"/>
              <w:autoSpaceDN w:val="0"/>
              <w:ind w:firstLine="422" w:firstLineChars="200"/>
              <w:textAlignment w:val="baseline"/>
              <w:rPr>
                <w:b/>
                <w:color w:val="000000"/>
                <w:kern w:val="0"/>
                <w:szCs w:val="21"/>
              </w:rPr>
            </w:pPr>
            <w:r>
              <w:rPr>
                <w:rFonts w:hint="eastAsia"/>
                <w:b/>
                <w:color w:val="000000"/>
                <w:kern w:val="0"/>
                <w:szCs w:val="21"/>
              </w:rPr>
              <w:t>3</w:t>
            </w:r>
            <w:r>
              <w:rPr>
                <w:rFonts w:ascii="宋体" w:hAnsi="宋体"/>
                <w:b/>
                <w:color w:val="000000"/>
                <w:kern w:val="0"/>
                <w:szCs w:val="21"/>
              </w:rPr>
              <w:t>、施工场地、</w:t>
            </w:r>
            <w:r>
              <w:rPr>
                <w:rFonts w:hint="eastAsia" w:ascii="宋体" w:hAnsi="宋体"/>
                <w:b/>
                <w:color w:val="000000"/>
                <w:kern w:val="0"/>
                <w:szCs w:val="21"/>
              </w:rPr>
              <w:t>临时</w:t>
            </w:r>
            <w:r>
              <w:rPr>
                <w:rFonts w:ascii="宋体" w:hAnsi="宋体"/>
                <w:b/>
                <w:color w:val="000000"/>
                <w:kern w:val="0"/>
                <w:szCs w:val="21"/>
              </w:rPr>
              <w:t>堆场</w:t>
            </w:r>
            <w:r>
              <w:rPr>
                <w:rFonts w:hint="eastAsia" w:ascii="宋体" w:hAnsi="宋体"/>
                <w:b/>
                <w:color w:val="000000"/>
                <w:kern w:val="0"/>
                <w:szCs w:val="21"/>
              </w:rPr>
              <w:t>物料流失</w:t>
            </w:r>
            <w:r>
              <w:rPr>
                <w:rFonts w:ascii="宋体" w:hAnsi="宋体"/>
                <w:b/>
                <w:color w:val="000000"/>
                <w:kern w:val="0"/>
                <w:szCs w:val="21"/>
              </w:rPr>
              <w:t>废水</w:t>
            </w:r>
          </w:p>
          <w:p w14:paraId="65A3ABC8">
            <w:pPr>
              <w:ind w:firstLine="420" w:firstLineChars="200"/>
            </w:pPr>
            <w:r>
              <w:t>（1）对各类材料堆场、施工区域等场地应进行硬化，防止水土流失。施工结束后，对上述场地及时清理并复绿。</w:t>
            </w:r>
          </w:p>
          <w:p w14:paraId="530214B6">
            <w:pPr>
              <w:ind w:firstLine="420" w:firstLineChars="200"/>
            </w:pPr>
            <w:r>
              <w:t>（2）施工中产生的废油、废沥青和其他固体废物不得随意堆放，应及时清运。</w:t>
            </w:r>
          </w:p>
          <w:p w14:paraId="11E16A07">
            <w:pPr>
              <w:ind w:firstLine="420" w:firstLineChars="200"/>
              <w:rPr>
                <w:b/>
              </w:rPr>
            </w:pPr>
            <w:r>
              <w:t>（3）各类涂料、油类等含有害物质的建材等应设篷盖，防止雨水进入雨水管网后污染水体。</w:t>
            </w:r>
          </w:p>
          <w:p w14:paraId="0FAD5534">
            <w:pPr>
              <w:pStyle w:val="4"/>
            </w:pPr>
            <w:r>
              <w:t>工程施工人员生活污水</w:t>
            </w:r>
          </w:p>
          <w:p w14:paraId="07AA6A62">
            <w:pPr>
              <w:widowControl/>
              <w:kinsoku w:val="0"/>
              <w:autoSpaceDE w:val="0"/>
              <w:autoSpaceDN w:val="0"/>
              <w:ind w:firstLine="420" w:firstLineChars="200"/>
              <w:textAlignment w:val="baseline"/>
              <w:rPr>
                <w:rFonts w:hint="eastAsia" w:ascii="宋体" w:hAnsi="宋体"/>
                <w:bCs/>
                <w:color w:val="000000"/>
                <w:kern w:val="0"/>
                <w:szCs w:val="21"/>
              </w:rPr>
            </w:pPr>
            <w:r>
              <w:rPr>
                <w:rFonts w:hint="eastAsia" w:ascii="宋体" w:hAnsi="宋体"/>
                <w:bCs/>
                <w:color w:val="000000"/>
                <w:kern w:val="0"/>
                <w:szCs w:val="21"/>
              </w:rPr>
              <w:t>本工程在工程周边设置有工程临时驻地，施工人员和管理人员在施工期间将居住于工程周边的临时板房，营地设置有食堂和厕所，工程施工方应做好</w:t>
            </w:r>
            <w:r>
              <w:rPr>
                <w:rFonts w:ascii="宋体" w:hAnsi="宋体"/>
                <w:bCs/>
                <w:color w:val="000000"/>
                <w:kern w:val="0"/>
                <w:szCs w:val="21"/>
              </w:rPr>
              <w:t>对粪便污水和洗漱、餐饮等生活杂用水</w:t>
            </w:r>
            <w:r>
              <w:rPr>
                <w:rFonts w:hint="eastAsia" w:ascii="宋体" w:hAnsi="宋体"/>
                <w:bCs/>
                <w:color w:val="000000"/>
                <w:kern w:val="0"/>
                <w:szCs w:val="21"/>
              </w:rPr>
              <w:t>的</w:t>
            </w:r>
            <w:r>
              <w:rPr>
                <w:rFonts w:ascii="宋体" w:hAnsi="宋体"/>
                <w:bCs/>
                <w:color w:val="000000"/>
                <w:kern w:val="0"/>
                <w:szCs w:val="21"/>
              </w:rPr>
              <w:t>分类收集</w:t>
            </w:r>
            <w:r>
              <w:rPr>
                <w:rFonts w:hint="eastAsia" w:ascii="宋体" w:hAnsi="宋体"/>
                <w:bCs/>
                <w:color w:val="000000"/>
                <w:kern w:val="0"/>
                <w:szCs w:val="21"/>
              </w:rPr>
              <w:t>工作</w:t>
            </w:r>
            <w:r>
              <w:rPr>
                <w:rFonts w:ascii="宋体" w:hAnsi="宋体"/>
                <w:bCs/>
                <w:color w:val="000000"/>
                <w:kern w:val="0"/>
                <w:szCs w:val="21"/>
              </w:rPr>
              <w:t>，</w:t>
            </w:r>
            <w:r>
              <w:rPr>
                <w:rFonts w:hint="eastAsia" w:ascii="宋体" w:hAnsi="宋体"/>
                <w:bCs/>
                <w:color w:val="000000"/>
                <w:kern w:val="0"/>
                <w:szCs w:val="21"/>
              </w:rPr>
              <w:t>严禁将未经处理的生活污水排入任何周边地表和水体，</w:t>
            </w:r>
            <w:r>
              <w:rPr>
                <w:rFonts w:ascii="宋体" w:hAnsi="宋体"/>
                <w:bCs/>
                <w:color w:val="000000"/>
                <w:kern w:val="0"/>
                <w:szCs w:val="21"/>
              </w:rPr>
              <w:t>以便后续</w:t>
            </w:r>
            <w:r>
              <w:rPr>
                <w:rFonts w:hint="eastAsia" w:ascii="宋体" w:hAnsi="宋体"/>
                <w:bCs/>
                <w:color w:val="000000"/>
                <w:kern w:val="0"/>
                <w:szCs w:val="21"/>
              </w:rPr>
              <w:t>进行对废水的收集处理工作</w:t>
            </w:r>
            <w:r>
              <w:rPr>
                <w:rFonts w:ascii="宋体" w:hAnsi="宋体"/>
                <w:bCs/>
                <w:color w:val="000000"/>
                <w:kern w:val="0"/>
                <w:szCs w:val="21"/>
              </w:rPr>
              <w:t>。</w:t>
            </w:r>
            <w:r>
              <w:rPr>
                <w:rFonts w:hint="eastAsia" w:ascii="宋体" w:hAnsi="宋体"/>
                <w:bCs/>
                <w:color w:val="000000"/>
                <w:kern w:val="0"/>
                <w:szCs w:val="21"/>
              </w:rPr>
              <w:t>本工程生活区的废水计划将委托</w:t>
            </w:r>
            <w:r>
              <w:rPr>
                <w:rFonts w:ascii="宋体" w:hAnsi="宋体"/>
                <w:bCs/>
                <w:color w:val="000000"/>
                <w:kern w:val="0"/>
                <w:szCs w:val="21"/>
              </w:rPr>
              <w:t>洁洁城市管理有限公司</w:t>
            </w:r>
            <w:r>
              <w:rPr>
                <w:rFonts w:hint="eastAsia" w:ascii="宋体" w:hAnsi="宋体"/>
                <w:bCs/>
                <w:color w:val="000000"/>
                <w:kern w:val="0"/>
                <w:szCs w:val="21"/>
              </w:rPr>
              <w:t>定期进行收集清运，不外排。</w:t>
            </w:r>
            <w:r>
              <w:rPr>
                <w:rFonts w:ascii="宋体" w:hAnsi="宋体"/>
                <w:bCs/>
                <w:color w:val="000000"/>
                <w:kern w:val="0"/>
                <w:szCs w:val="21"/>
              </w:rPr>
              <w:t xml:space="preserve"> </w:t>
            </w:r>
          </w:p>
          <w:p w14:paraId="2FBFF7D0">
            <w:pPr>
              <w:pStyle w:val="3"/>
            </w:pPr>
            <w:r>
              <w:t>施工期大气污染防治措施</w:t>
            </w:r>
          </w:p>
          <w:p w14:paraId="7292A19A">
            <w:pPr>
              <w:ind w:firstLine="420" w:firstLineChars="200"/>
            </w:pPr>
            <w:r>
              <w:t>（1）建设工地应实施封闭作业，落实“八个100%”长效机制（“八个100%”为：施工现场100%围挡、工地裸土100%覆盖、土方开挖100%湿法作业、工地主干道100%硬化、出工地运输车100%冲净且密闭、外脚手架密目式安全网100%安装、拆除工地100%洒水、暂不开发场地100%覆盖）。并在施工场地使用自动冲洗、雾炮等扬尘防控新技术。</w:t>
            </w:r>
          </w:p>
          <w:p w14:paraId="7E4E963D">
            <w:pPr>
              <w:ind w:firstLine="420" w:firstLineChars="200"/>
            </w:pPr>
            <w:r>
              <w:t>（2）建设单位对建设工程扬尘污染防治管理负总责。施工单位应当制定扬尘污染防治方案和应急预案（或</w:t>
            </w:r>
            <w:r>
              <w:rPr>
                <w:rFonts w:hint="eastAsia"/>
              </w:rPr>
              <w:t>生态</w:t>
            </w:r>
            <w:r>
              <w:t>环境保护管理体系），落实扬尘污染防治措施。施工工地安装扬尘在线监测和视频监控，并与当地主管部门联网。重污染应急响应期间，停止各类建设工程土石方作业施工。</w:t>
            </w:r>
          </w:p>
          <w:p w14:paraId="27E6A7C2">
            <w:pPr>
              <w:ind w:firstLine="420" w:firstLineChars="200"/>
            </w:pPr>
            <w:r>
              <w:t>（3）施工场地应设置围挡，施工现场主要道路硬化并保持清洁；施工现场应设专人负责保洁，及时洒水清扫。工地运输车辆出口处设冲洗水槽、冲洗设备。出口外车辆行驶方向30m范围内，须进行冲洗保洁。</w:t>
            </w:r>
          </w:p>
          <w:p w14:paraId="56BE9238">
            <w:pPr>
              <w:ind w:firstLine="420" w:firstLineChars="200"/>
            </w:pPr>
            <w:r>
              <w:t>（4）粉尘类建筑材料应当密闭存放或覆盖防尘网，严禁露天放置。做好施工期场地环境空气防治措施和环境管理。细颗粒材料及土方全部苫盖。</w:t>
            </w:r>
          </w:p>
          <w:p w14:paraId="67FC58E4">
            <w:pPr>
              <w:ind w:firstLine="420" w:firstLineChars="200"/>
            </w:pPr>
            <w:r>
              <w:t>（5）制定文明施工方案，选用符合标准的施工机械。运输车辆和各类燃油施工机械应优先使用低含硫量的汽油或柴油，机动车辆排放的尾气应满足标准要求。运输垃圾、渣土、砂石的车辆应实行密闭式运输；车辆驶离施工现场时，必须进行冲洗，不得带泥上路，不得沿途泄漏、遗撒。渣土运输车辆应安装GPS定位系统。</w:t>
            </w:r>
          </w:p>
          <w:p w14:paraId="56EB07E8">
            <w:pPr>
              <w:ind w:firstLine="420" w:firstLineChars="200"/>
            </w:pPr>
            <w:r>
              <w:t>（6）施工现场除砼硬化过的道路、加工场地、材料堆放场等外，其他场地均需用安全网覆盖并定期浇水湿润或进行绿化。砼硬化过的道路、加工场地、材料堆放场等应定时进行冲洗保洁。</w:t>
            </w:r>
          </w:p>
          <w:p w14:paraId="119B2A66">
            <w:pPr>
              <w:ind w:firstLine="420" w:firstLineChars="200"/>
            </w:pPr>
            <w:r>
              <w:t>（7）在重污染天气作业时，加强施工期扬尘管理，根据不同响应等级，增加施工工地洒水降尘频次，减少土石方开挖规模或停止土石方作业和建筑拆除等措施；</w:t>
            </w:r>
          </w:p>
          <w:p w14:paraId="08B639BD">
            <w:pPr>
              <w:ind w:firstLine="420" w:firstLineChars="200"/>
            </w:pPr>
            <w:r>
              <w:t>（8）沥青铺浇及防锈处理时避开风向针对</w:t>
            </w:r>
            <w:r>
              <w:rPr>
                <w:rFonts w:hint="eastAsia"/>
              </w:rPr>
              <w:t>生态</w:t>
            </w:r>
            <w:r>
              <w:t>环境敏感点的时段，作业时间避开人群上下班高峰期，同时加强对施工人员的防护。</w:t>
            </w:r>
          </w:p>
          <w:p w14:paraId="51D1C15B">
            <w:pPr>
              <w:ind w:firstLine="420" w:firstLineChars="200"/>
            </w:pPr>
            <w:r>
              <w:t>（9）临时堆场需采用防尘网覆盖，如长期堆放在土方上植草防护，同时在干燥少雨季节进行采取洒水措施。</w:t>
            </w:r>
          </w:p>
          <w:p w14:paraId="799AA747">
            <w:pPr>
              <w:pStyle w:val="3"/>
            </w:pPr>
            <w:r>
              <w:t>施工期噪声污染防治措施</w:t>
            </w:r>
          </w:p>
          <w:p w14:paraId="3D103C1D">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施工期要合理安排施工时间，</w:t>
            </w:r>
            <w:r>
              <w:rPr>
                <w:rFonts w:hint="eastAsia" w:ascii="宋体" w:hAnsi="宋体"/>
                <w:color w:val="000000"/>
                <w:kern w:val="0"/>
                <w:szCs w:val="21"/>
              </w:rPr>
              <w:t>如非必需禁止夜间施工；</w:t>
            </w:r>
            <w:r>
              <w:rPr>
                <w:rFonts w:ascii="宋体" w:hAnsi="宋体"/>
                <w:color w:val="000000"/>
                <w:kern w:val="0"/>
                <w:szCs w:val="21"/>
              </w:rPr>
              <w:t>做好施工期隔声降噪等措施，</w:t>
            </w:r>
            <w:r>
              <w:rPr>
                <w:rFonts w:hint="eastAsia" w:ascii="宋体" w:hAnsi="宋体"/>
                <w:color w:val="000000"/>
                <w:kern w:val="0"/>
                <w:szCs w:val="21"/>
              </w:rPr>
              <w:t>在工地周边设置噪声围挡，</w:t>
            </w:r>
            <w:r>
              <w:rPr>
                <w:rFonts w:ascii="宋体" w:hAnsi="宋体"/>
                <w:color w:val="000000"/>
                <w:kern w:val="0"/>
                <w:szCs w:val="21"/>
              </w:rPr>
              <w:t>具体详见专项一。</w:t>
            </w:r>
          </w:p>
          <w:p w14:paraId="32DEFEFA">
            <w:pPr>
              <w:pStyle w:val="3"/>
            </w:pPr>
            <w:r>
              <w:t>施工期固体废物污染防治措施</w:t>
            </w:r>
          </w:p>
          <w:p w14:paraId="2FE87983">
            <w:pPr>
              <w:ind w:firstLine="420" w:firstLineChars="200"/>
            </w:pPr>
            <w:r>
              <w:rPr>
                <w:rFonts w:hint="eastAsia"/>
              </w:rPr>
              <w:t>1.建设单位应按照《杭州市建筑工程文明施工管理规定》、《杭州市建设工程渣土管理办法》的要求，进行规范管理和处置，包括：</w:t>
            </w:r>
          </w:p>
          <w:p w14:paraId="048A7561">
            <w:pPr>
              <w:ind w:firstLine="420" w:firstLineChars="200"/>
            </w:pPr>
            <w:r>
              <w:rPr>
                <w:rFonts w:hint="eastAsia"/>
              </w:rPr>
              <w:t>（</w:t>
            </w:r>
            <w:r>
              <w:t>1</w:t>
            </w:r>
            <w:r>
              <w:rPr>
                <w:rFonts w:hint="eastAsia"/>
              </w:rPr>
              <w:t>）建设单位应在办理工程施工安全质量监督手续前，向杭州市钱塘区综合行政执法局申请杭州市建筑垃圾处理方案。</w:t>
            </w:r>
          </w:p>
          <w:p w14:paraId="4EC5B519">
            <w:pPr>
              <w:ind w:firstLine="420" w:firstLineChars="200"/>
            </w:pPr>
            <w:r>
              <w:rPr>
                <w:rFonts w:hint="eastAsia"/>
              </w:rPr>
              <w:t>（</w:t>
            </w:r>
            <w:r>
              <w:t>2</w:t>
            </w:r>
            <w:r>
              <w:rPr>
                <w:rFonts w:hint="eastAsia"/>
              </w:rPr>
              <w:t>）建设工程施工现场堆放工程渣土的，堆放高度应当低于围挡高度，并且不得影响周边建筑物、构筑物和各类管线、设施的安全。</w:t>
            </w:r>
          </w:p>
          <w:p w14:paraId="11C15607">
            <w:pPr>
              <w:ind w:firstLine="420" w:firstLineChars="200"/>
            </w:pPr>
            <w:r>
              <w:rPr>
                <w:rFonts w:hint="eastAsia"/>
              </w:rPr>
              <w:t>（</w:t>
            </w:r>
            <w:r>
              <w:t>3</w:t>
            </w:r>
            <w:r>
              <w:rPr>
                <w:rFonts w:hint="eastAsia"/>
              </w:rPr>
              <w:t>）渣土处置或者建筑物、构筑物拆除作业时，应当遵循以下规定：</w:t>
            </w:r>
          </w:p>
          <w:p w14:paraId="410E0B22">
            <w:pPr>
              <w:ind w:firstLine="420" w:firstLineChars="200"/>
            </w:pPr>
            <w:r>
              <w:rPr>
                <w:rFonts w:hint="eastAsia"/>
              </w:rPr>
              <w:t>①对建筑垃圾在当日不能完成清运的，采取遮盖、洒水等防尘措施。</w:t>
            </w:r>
          </w:p>
          <w:p w14:paraId="52CDE0DB">
            <w:pPr>
              <w:ind w:firstLine="420" w:firstLineChars="200"/>
            </w:pPr>
            <w:r>
              <w:rPr>
                <w:rFonts w:hint="eastAsia"/>
              </w:rPr>
              <w:t>②在施工工地内，设置车辆清洗设施以及配套的排水、泥浆沉淀设施；运输车辆在除泥、冲洗干净后，方可驶出施工工地。</w:t>
            </w:r>
          </w:p>
          <w:p w14:paraId="3F3812AB">
            <w:pPr>
              <w:ind w:firstLine="420" w:firstLineChars="200"/>
            </w:pPr>
            <w:r>
              <w:rPr>
                <w:rFonts w:hint="eastAsia"/>
              </w:rPr>
              <w:t>（</w:t>
            </w:r>
            <w:r>
              <w:t>4</w:t>
            </w:r>
            <w:r>
              <w:rPr>
                <w:rFonts w:hint="eastAsia"/>
              </w:rPr>
              <w:t>）施工期内建筑垃圾必须及时清除，废弃的泥土等应及时处置，建筑垃圾不能及时清运的，应当在施工工地内设置临时堆放场，临时堆放场应当采取围挡、遮盖等防尘措施。不能随意堆放，更不能影响周围生态环境。</w:t>
            </w:r>
          </w:p>
          <w:p w14:paraId="6530ED2E">
            <w:pPr>
              <w:ind w:firstLine="420" w:firstLineChars="200"/>
            </w:pPr>
            <w:r>
              <w:rPr>
                <w:rFonts w:hint="eastAsia"/>
              </w:rPr>
              <w:t>（</w:t>
            </w:r>
            <w:r>
              <w:t>5</w:t>
            </w:r>
            <w:r>
              <w:rPr>
                <w:rFonts w:hint="eastAsia"/>
              </w:rPr>
              <w:t>）施工人员产生的生活垃圾应设置密闭式垃圾容器，生活垃圾应当放置于垃圾容器内并做到日产日清。</w:t>
            </w:r>
          </w:p>
          <w:p w14:paraId="2107ED5B">
            <w:pPr>
              <w:ind w:firstLine="420" w:firstLineChars="200"/>
            </w:pPr>
            <w:r>
              <w:rPr>
                <w:rFonts w:hint="eastAsia"/>
              </w:rPr>
              <w:t>（</w:t>
            </w:r>
            <w:r>
              <w:t>6</w:t>
            </w:r>
            <w:r>
              <w:rPr>
                <w:rFonts w:hint="eastAsia"/>
              </w:rPr>
              <w:t>）施工单位应当配备施工现场建筑垃圾和工程渣土排放管理人员，监督施工现场建筑垃圾和工程渣土的规范装运，确保运输车辆冲洗干净后驶离。运输车辆应当实行密闭运输。运输途中的建筑垃圾和工程渣土不得泄露、撒落或者飞扬。</w:t>
            </w:r>
          </w:p>
          <w:p w14:paraId="48298843">
            <w:pPr>
              <w:ind w:firstLine="420" w:firstLineChars="200"/>
            </w:pPr>
            <w:r>
              <w:rPr>
                <w:rFonts w:hint="eastAsia"/>
              </w:rPr>
              <w:t>（7）对施工人员进行文明施工管理，施工中产生的各类垃圾应当堆置在规定的地点；施工中不得随意抛掷建筑材料、残土、旧料和其他杂物。</w:t>
            </w:r>
          </w:p>
          <w:p w14:paraId="7C5D41C3">
            <w:pPr>
              <w:ind w:firstLine="420" w:firstLineChars="200"/>
            </w:pPr>
            <w:r>
              <w:rPr>
                <w:rFonts w:hint="eastAsia"/>
              </w:rPr>
              <w:t>（8）建设工程竣工备案前，施工单位应当按照规定，及时拆除施工现场围挡和其他施工临时设施，平整施工场地，清除建筑垃圾、工程渣土及其他废弃物。</w:t>
            </w:r>
          </w:p>
          <w:p w14:paraId="20B0C45C">
            <w:pPr>
              <w:ind w:firstLine="420" w:firstLineChars="200"/>
            </w:pPr>
            <w:r>
              <w:rPr>
                <w:rFonts w:hint="eastAsia"/>
              </w:rPr>
              <w:t>2.建筑垃圾纳入钱塘区建筑垃圾回收系统进行处理；</w:t>
            </w:r>
          </w:p>
          <w:p w14:paraId="3869D444">
            <w:pPr>
              <w:ind w:firstLine="420" w:firstLineChars="200"/>
            </w:pPr>
            <w:r>
              <w:rPr>
                <w:rFonts w:hint="eastAsia"/>
              </w:rPr>
              <w:t>3.沉淀池污泥委托具有污泥处置能力的单位统一清运。</w:t>
            </w:r>
          </w:p>
          <w:p w14:paraId="4F00FC2F">
            <w:pPr>
              <w:ind w:firstLine="420" w:firstLineChars="200"/>
              <w:rPr>
                <w:kern w:val="0"/>
              </w:rPr>
            </w:pPr>
            <w:r>
              <w:rPr>
                <w:rFonts w:hint="eastAsia"/>
              </w:rPr>
              <w:t>4.各施工场地、营地产生的生活垃圾，设垃圾箱分类收集后，委托环卫部门统一清运处理。施工过程产生的废油、废机油、废手套应作为危险废物交资质单位集中处置</w:t>
            </w:r>
            <w:r>
              <w:rPr>
                <w:kern w:val="0"/>
              </w:rPr>
              <w:t>。</w:t>
            </w:r>
          </w:p>
          <w:p w14:paraId="73D77BDA">
            <w:pPr>
              <w:pStyle w:val="3"/>
            </w:pPr>
            <w:r>
              <w:t>生态环境保护及恢复措施</w:t>
            </w:r>
          </w:p>
          <w:p w14:paraId="2CB73FCD">
            <w:pPr>
              <w:widowControl/>
              <w:kinsoku w:val="0"/>
              <w:autoSpaceDE w:val="0"/>
              <w:autoSpaceDN w:val="0"/>
              <w:ind w:firstLine="462" w:firstLineChars="200"/>
              <w:textAlignment w:val="baseline"/>
              <w:rPr>
                <w:b/>
                <w:bCs/>
                <w:color w:val="000000"/>
                <w:spacing w:val="10"/>
                <w:kern w:val="0"/>
                <w:szCs w:val="21"/>
              </w:rPr>
            </w:pPr>
            <w:r>
              <w:rPr>
                <w:b/>
                <w:bCs/>
                <w:color w:val="000000"/>
                <w:spacing w:val="10"/>
                <w:kern w:val="0"/>
                <w:szCs w:val="21"/>
              </w:rPr>
              <w:t>1</w:t>
            </w:r>
            <w:r>
              <w:rPr>
                <w:rFonts w:ascii="宋体" w:hAnsi="宋体"/>
                <w:b/>
                <w:bCs/>
                <w:color w:val="000000"/>
                <w:spacing w:val="10"/>
                <w:kern w:val="0"/>
                <w:szCs w:val="21"/>
              </w:rPr>
              <w:t>、</w:t>
            </w:r>
            <w:r>
              <w:rPr>
                <w:rFonts w:hint="eastAsia" w:ascii="宋体" w:hAnsi="宋体"/>
                <w:b/>
                <w:bCs/>
                <w:color w:val="000000"/>
                <w:spacing w:val="10"/>
                <w:kern w:val="0"/>
                <w:szCs w:val="21"/>
              </w:rPr>
              <w:t>植物保护措施</w:t>
            </w:r>
          </w:p>
          <w:p w14:paraId="0D175AA4">
            <w:pPr>
              <w:widowControl/>
              <w:kinsoku w:val="0"/>
              <w:autoSpaceDE w:val="0"/>
              <w:autoSpaceDN w:val="0"/>
              <w:ind w:firstLine="460" w:firstLineChars="200"/>
              <w:textAlignment w:val="baseline"/>
            </w:pPr>
            <w:r>
              <w:rPr>
                <w:rFonts w:hint="eastAsia" w:ascii="宋体" w:hAnsi="宋体"/>
                <w:bCs/>
                <w:color w:val="000000"/>
                <w:spacing w:val="10"/>
                <w:kern w:val="0"/>
                <w:szCs w:val="21"/>
              </w:rPr>
              <w:t>在工程建设前应该</w:t>
            </w:r>
            <w:r>
              <w:rPr>
                <w:rFonts w:ascii="宋体" w:hAnsi="宋体"/>
                <w:bCs/>
                <w:color w:val="000000"/>
                <w:spacing w:val="10"/>
                <w:kern w:val="0"/>
                <w:szCs w:val="21"/>
              </w:rPr>
              <w:t>优化施工方案，合理安排建设用地，节约土地资源，缩小用地规模，减少占用地，</w:t>
            </w:r>
            <w:r>
              <w:rPr>
                <w:rFonts w:hint="eastAsia" w:ascii="宋体" w:hAnsi="宋体"/>
                <w:bCs/>
                <w:color w:val="000000"/>
                <w:spacing w:val="10"/>
                <w:kern w:val="0"/>
                <w:szCs w:val="21"/>
              </w:rPr>
              <w:t>并且划定施工红线和施工便道范围，严禁超范围开挖和碾压，减少对周边植被的破坏。施工机械和运输车辆严格按照既定路线行驶，禁止随意碾压沿</w:t>
            </w:r>
            <w:r>
              <w:rPr>
                <w:rFonts w:hint="eastAsia"/>
              </w:rPr>
              <w:t>线未经征用的绿地。施工临时占用的土地（如临时堆土场、施工便道等），施工结束后应及时拆除临时设施、清理场地、翻松土壤，按照原有植被类型或规划绿化要求进行恢复。恢复植被优先选择乡土物种（如香樟、榉树、珊瑚朴等），避免引入外来入侵物种。对于本项目红线范围内</w:t>
            </w:r>
            <w:r>
              <w:t>青西二路与河景路平交口</w:t>
            </w:r>
            <w:r>
              <w:rPr>
                <w:rFonts w:hint="eastAsia"/>
              </w:rPr>
              <w:t>，涉及人行道、侧分带绿化迁移朴树4株、黄杨4株、紫薇18株（胸径均小于 10cm）、金叶女贞36平方、草皮51平方，以“关于钱塘中企国际港市政配套项目道路临时开口事宜会议备忘录”为依据，经与产权单位中电建大江东公司等相关管养单位确认，朴树、黄杨先由施工单位中交二航局移栽并保管，保管期限为2年，后期用于钱塘中企国际港项目中央生态公园一期；紫薇（胸径均小于 10cm）、金叶女贞、草皮则直接废弃。其余</w:t>
            </w:r>
            <w:r>
              <w:t>除平交口范围</w:t>
            </w:r>
            <w:r>
              <w:rPr>
                <w:rFonts w:hint="eastAsia"/>
              </w:rPr>
              <w:t>内，经探明存在</w:t>
            </w:r>
            <w:r>
              <w:t>27</w:t>
            </w:r>
            <w:r>
              <w:rPr>
                <w:rFonts w:hint="eastAsia"/>
              </w:rPr>
              <w:t>株</w:t>
            </w:r>
            <w:commentRangeStart w:id="71"/>
            <w:commentRangeStart w:id="72"/>
            <w:r>
              <w:rPr>
                <w:rFonts w:hint="eastAsia"/>
              </w:rPr>
              <w:t>香樟（胸径均大于</w:t>
            </w:r>
            <w:r>
              <w:t>10cm</w:t>
            </w:r>
            <w:r>
              <w:rPr>
                <w:rFonts w:hint="eastAsia"/>
              </w:rPr>
              <w:t>），将先由施工单位中交二航局移栽并保管，保管期限为2年，后期用于钱塘中企国际港项目中央生态公园一期。</w:t>
            </w:r>
            <w:commentRangeEnd w:id="71"/>
            <w:r>
              <w:rPr>
                <w:rStyle w:val="38"/>
                <w:rFonts w:hint="eastAsia"/>
              </w:rPr>
              <w:commentReference w:id="71"/>
            </w:r>
            <w:commentRangeEnd w:id="72"/>
            <w:r>
              <w:rPr>
                <w:rStyle w:val="38"/>
                <w:rFonts w:hint="eastAsia"/>
              </w:rPr>
              <w:commentReference w:id="72"/>
            </w:r>
            <w:r>
              <w:rPr>
                <w:rFonts w:hint="eastAsia"/>
              </w:rPr>
              <w:t>对于所占用的部分耕地，应严格按照《中华人民共和国土地管理法》的要求，落实耕地占补平衡制度，按照“先补后占、占优补优、占水田补水田”的原则，补充数量相等、质量相当的耕地。</w:t>
            </w:r>
          </w:p>
          <w:p w14:paraId="53FCFDC6">
            <w:pPr>
              <w:widowControl/>
              <w:kinsoku w:val="0"/>
              <w:autoSpaceDE w:val="0"/>
              <w:autoSpaceDN w:val="0"/>
              <w:ind w:firstLine="462" w:firstLineChars="200"/>
              <w:textAlignment w:val="baseline"/>
              <w:rPr>
                <w:rFonts w:hint="eastAsia" w:ascii="宋体" w:hAnsi="宋体"/>
                <w:b/>
                <w:color w:val="000000"/>
                <w:spacing w:val="10"/>
                <w:kern w:val="0"/>
                <w:szCs w:val="21"/>
              </w:rPr>
            </w:pPr>
            <w:r>
              <w:rPr>
                <w:rFonts w:hint="eastAsia" w:ascii="宋体" w:hAnsi="宋体"/>
                <w:b/>
                <w:color w:val="000000"/>
                <w:spacing w:val="10"/>
                <w:kern w:val="0"/>
                <w:szCs w:val="21"/>
              </w:rPr>
              <w:t>2、动物保护措施</w:t>
            </w:r>
          </w:p>
          <w:p w14:paraId="2BA0779D">
            <w:pPr>
              <w:ind w:firstLine="420" w:firstLineChars="200"/>
            </w:pPr>
            <w:r>
              <w:rPr>
                <w:rFonts w:hint="eastAsia"/>
              </w:rPr>
              <w:t>（1）施工应避开野生动物集中繁殖季节（一般为每年3月至6月），减少对其繁殖活动的干扰。如需在繁殖季节施工，应提前对施工区域进行驱赶，避免伤害巢穴和幼体。</w:t>
            </w:r>
          </w:p>
          <w:p w14:paraId="46197DFA">
            <w:pPr>
              <w:ind w:firstLine="420" w:firstLineChars="200"/>
            </w:pPr>
            <w:r>
              <w:rPr>
                <w:rFonts w:hint="eastAsia"/>
              </w:rPr>
              <w:t>（2）施工时尽量选用低噪声施工设备，合理安排高噪声作业时间，避免在夜间（22:00~6:00） 进行强噪声施工。在居民区及可能分布野生动物的区域设置隔声围挡，减小噪声对周边动物的惊扰。同时加强对施工人员的野生动物保护教育与知识培训，严禁施工人员捕猎、驱赶、伤害野生动物及其幼体，严禁掏取鸟蛋、破坏巢穴。</w:t>
            </w:r>
          </w:p>
          <w:p w14:paraId="5B02C5A6">
            <w:pPr>
              <w:ind w:firstLine="420" w:firstLineChars="200"/>
            </w:pPr>
            <w:r>
              <w:rPr>
                <w:rFonts w:hint="eastAsia"/>
              </w:rPr>
              <w:t>（3）夜间施工照明应限制灯光照射范围，避免强光直射周边林地、绿地等野生动物栖息区域，减少对夜行性动物（如鼠类、刺猬、夜行性鸟类等）活动和觅食的干扰。</w:t>
            </w:r>
          </w:p>
          <w:p w14:paraId="14654561">
            <w:pPr>
              <w:ind w:firstLine="420" w:firstLineChars="200"/>
            </w:pPr>
            <w:r>
              <w:rPr>
                <w:rFonts w:hint="eastAsia"/>
              </w:rPr>
              <w:t>（4）施工期间保持沿线河沟、灌丛等自然通道的连通性，避免施工物料和弃渣阻断动物迁移通道，确需临时阻断的，应设置动物通道或临时绕行路径。</w:t>
            </w:r>
          </w:p>
          <w:p w14:paraId="0C234613">
            <w:pPr>
              <w:ind w:firstLine="420" w:firstLineChars="200"/>
              <w:rPr>
                <w:highlight w:val="yellow"/>
              </w:rPr>
            </w:pPr>
            <w:r>
              <w:rPr>
                <w:rFonts w:hint="eastAsia"/>
              </w:rPr>
              <w:t>（5）应急救护机制。 施工现场配备野生动物救护笼具和简易药品，一旦发现受伤或受困的野生动物，应立即联系当地林业主管部门或野生动物救护机构进行处置。</w:t>
            </w:r>
          </w:p>
          <w:p w14:paraId="40440458">
            <w:pPr>
              <w:widowControl/>
              <w:kinsoku w:val="0"/>
              <w:autoSpaceDE w:val="0"/>
              <w:autoSpaceDN w:val="0"/>
              <w:ind w:firstLine="462" w:firstLineChars="200"/>
              <w:textAlignment w:val="baseline"/>
              <w:rPr>
                <w:b/>
                <w:bCs/>
                <w:color w:val="000000"/>
                <w:spacing w:val="10"/>
                <w:kern w:val="0"/>
                <w:szCs w:val="21"/>
              </w:rPr>
            </w:pPr>
            <w:r>
              <w:rPr>
                <w:b/>
                <w:bCs/>
                <w:color w:val="000000"/>
                <w:spacing w:val="10"/>
                <w:kern w:val="0"/>
                <w:szCs w:val="21"/>
              </w:rPr>
              <w:t>3</w:t>
            </w:r>
            <w:r>
              <w:rPr>
                <w:rFonts w:ascii="宋体" w:hAnsi="宋体"/>
                <w:b/>
                <w:bCs/>
                <w:color w:val="000000"/>
                <w:spacing w:val="10"/>
                <w:kern w:val="0"/>
                <w:szCs w:val="21"/>
              </w:rPr>
              <w:t>、水生生态环境保护措施</w:t>
            </w:r>
          </w:p>
          <w:p w14:paraId="0C677BB7">
            <w:pPr>
              <w:ind w:firstLine="460" w:firstLineChars="200"/>
              <w:rPr>
                <w:bCs/>
                <w:color w:val="000000"/>
                <w:spacing w:val="10"/>
                <w:kern w:val="0"/>
                <w:szCs w:val="21"/>
              </w:rPr>
            </w:pPr>
            <w:r>
              <w:rPr>
                <w:rFonts w:ascii="宋体" w:hAnsi="宋体"/>
                <w:bCs/>
                <w:color w:val="000000"/>
                <w:spacing w:val="10"/>
                <w:kern w:val="0"/>
                <w:szCs w:val="21"/>
              </w:rPr>
              <w:t>（</w:t>
            </w:r>
            <w:r>
              <w:rPr>
                <w:bCs/>
                <w:color w:val="000000"/>
                <w:spacing w:val="10"/>
                <w:kern w:val="0"/>
                <w:szCs w:val="21"/>
              </w:rPr>
              <w:t>1</w:t>
            </w:r>
            <w:r>
              <w:rPr>
                <w:rFonts w:ascii="宋体" w:hAnsi="宋体"/>
                <w:bCs/>
                <w:color w:val="000000"/>
                <w:spacing w:val="10"/>
                <w:kern w:val="0"/>
                <w:szCs w:val="21"/>
              </w:rPr>
              <w:t>）优化施工方案，合理安排施工工期，制定科学合理的施工计划</w:t>
            </w:r>
            <w:r>
              <w:rPr>
                <w:rFonts w:hint="eastAsia" w:ascii="宋体" w:hAnsi="宋体"/>
                <w:bCs/>
                <w:color w:val="000000"/>
                <w:spacing w:val="10"/>
                <w:kern w:val="0"/>
                <w:szCs w:val="21"/>
              </w:rPr>
              <w:t>，</w:t>
            </w:r>
            <w:r>
              <w:rPr>
                <w:rFonts w:hint="eastAsia"/>
              </w:rPr>
              <w:t>桥梁涉水施工严格控制在围堰范围内，严禁向河道倾倒土石方、建筑垃圾、施工废弃物等，减少悬浮物扩散范围，保护河庄横河浮游动植物的生境。</w:t>
            </w:r>
          </w:p>
          <w:p w14:paraId="7901C37D">
            <w:pPr>
              <w:ind w:firstLine="460" w:firstLineChars="200"/>
              <w:rPr>
                <w:rFonts w:hint="eastAsia" w:ascii="宋体" w:hAnsi="宋体"/>
                <w:bCs/>
                <w:color w:val="000000"/>
                <w:spacing w:val="10"/>
                <w:kern w:val="0"/>
                <w:szCs w:val="21"/>
              </w:rPr>
            </w:pPr>
            <w:r>
              <w:rPr>
                <w:rFonts w:ascii="宋体" w:hAnsi="宋体"/>
                <w:bCs/>
                <w:color w:val="000000"/>
                <w:spacing w:val="10"/>
                <w:kern w:val="0"/>
                <w:szCs w:val="21"/>
              </w:rPr>
              <w:t>（</w:t>
            </w:r>
            <w:r>
              <w:rPr>
                <w:bCs/>
                <w:color w:val="000000"/>
                <w:spacing w:val="10"/>
                <w:kern w:val="0"/>
                <w:szCs w:val="21"/>
              </w:rPr>
              <w:t>2</w:t>
            </w:r>
            <w:r>
              <w:rPr>
                <w:rFonts w:ascii="宋体" w:hAnsi="宋体"/>
                <w:bCs/>
                <w:color w:val="000000"/>
                <w:spacing w:val="10"/>
                <w:kern w:val="0"/>
                <w:szCs w:val="21"/>
              </w:rPr>
              <w:t>）</w:t>
            </w:r>
            <w:r>
              <w:rPr>
                <w:rFonts w:hint="eastAsia" w:ascii="宋体" w:hAnsi="宋体"/>
                <w:bCs/>
                <w:color w:val="000000"/>
                <w:spacing w:val="10"/>
                <w:kern w:val="0"/>
                <w:szCs w:val="21"/>
              </w:rPr>
              <w:t>桥梁桩基涉水施工尽量避开鱼类繁殖期，减少施工噪音和悬浮物对鱼类产卵、孵化和幼鱼生长的干扰。</w:t>
            </w:r>
          </w:p>
          <w:p w14:paraId="53B59276">
            <w:pPr>
              <w:ind w:firstLine="460" w:firstLineChars="200"/>
              <w:rPr>
                <w:rFonts w:hint="eastAsia" w:ascii="宋体" w:hAnsi="宋体"/>
                <w:bCs/>
                <w:color w:val="000000"/>
                <w:spacing w:val="10"/>
                <w:kern w:val="0"/>
                <w:szCs w:val="21"/>
              </w:rPr>
            </w:pPr>
            <w:r>
              <w:rPr>
                <w:rFonts w:hint="eastAsia" w:ascii="宋体" w:hAnsi="宋体"/>
                <w:bCs/>
                <w:color w:val="000000"/>
                <w:spacing w:val="10"/>
                <w:kern w:val="0"/>
                <w:szCs w:val="21"/>
              </w:rPr>
              <w:t>（3）严禁电鱼炸鱼。 严禁施工人员利用施工便利进行电鱼、炸鱼、毒鱼等非法捕捞行为。在施工区域设置警示标识，公布举报电话，纳入施工合同环保条款并明确违约责任。</w:t>
            </w:r>
          </w:p>
          <w:p w14:paraId="77C0A30A">
            <w:pPr>
              <w:ind w:firstLine="460" w:firstLineChars="200"/>
              <w:rPr>
                <w:rFonts w:hint="eastAsia" w:ascii="宋体" w:hAnsi="宋体"/>
                <w:bCs/>
                <w:color w:val="000000"/>
                <w:spacing w:val="10"/>
                <w:kern w:val="0"/>
                <w:szCs w:val="21"/>
              </w:rPr>
            </w:pPr>
            <w:r>
              <w:rPr>
                <w:rFonts w:hint="eastAsia" w:ascii="宋体" w:hAnsi="宋体"/>
                <w:bCs/>
                <w:color w:val="000000"/>
                <w:spacing w:val="10"/>
                <w:kern w:val="0"/>
                <w:szCs w:val="21"/>
              </w:rPr>
              <w:t>（4）严格控制废水排放，禁止将高悬浮物废水排入河道，避免因水体浊度升高影响水生生物生存繁殖。</w:t>
            </w:r>
          </w:p>
          <w:p w14:paraId="343B9F3C">
            <w:pPr>
              <w:ind w:firstLine="420" w:firstLineChars="200"/>
            </w:pPr>
            <w:r>
              <w:rPr>
                <w:rFonts w:hint="eastAsia"/>
              </w:rPr>
              <w:t>（5）施工结束后，及时拆除围堰和临时设施，清理河道内残留的钢构件、木桩、混凝土块等障碍物，恢复河床的平整度和底质结构，为底栖动物种群恢复创造条件。</w:t>
            </w:r>
          </w:p>
        </w:tc>
      </w:tr>
      <w:tr w14:paraId="59F2A0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53"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5B8CD56">
            <w:pPr>
              <w:widowControl/>
              <w:kinsoku w:val="0"/>
              <w:autoSpaceDE w:val="0"/>
              <w:autoSpaceDN w:val="0"/>
              <w:spacing w:line="240" w:lineRule="auto"/>
              <w:jc w:val="center"/>
              <w:textAlignment w:val="baseline"/>
              <w:rPr>
                <w:bCs/>
                <w:color w:val="000000"/>
                <w:spacing w:val="10"/>
                <w:kern w:val="0"/>
                <w:szCs w:val="21"/>
              </w:rPr>
            </w:pPr>
            <w:r>
              <w:rPr>
                <w:rFonts w:ascii="宋体" w:hAnsi="宋体"/>
                <w:bCs/>
                <w:color w:val="000000"/>
                <w:spacing w:val="10"/>
                <w:kern w:val="0"/>
                <w:szCs w:val="21"/>
              </w:rPr>
              <w:t>运营期生态环境保护措施</w:t>
            </w:r>
          </w:p>
        </w:tc>
        <w:tc>
          <w:tcPr>
            <w:tcW w:w="8457" w:type="dxa"/>
            <w:tcBorders>
              <w:top w:val="single" w:color="auto" w:sz="4" w:space="0"/>
              <w:left w:val="single" w:color="auto" w:sz="4" w:space="0"/>
              <w:bottom w:val="single" w:color="auto" w:sz="4" w:space="0"/>
              <w:right w:val="single" w:color="auto" w:sz="8" w:space="0"/>
            </w:tcBorders>
          </w:tcPr>
          <w:p w14:paraId="2DAA4E0F">
            <w:pPr>
              <w:pStyle w:val="3"/>
            </w:pPr>
            <w:r>
              <w:t>运营期水污染防治措施</w:t>
            </w:r>
          </w:p>
          <w:p w14:paraId="79816BEA">
            <w:pPr>
              <w:widowControl/>
              <w:kinsoku w:val="0"/>
              <w:autoSpaceDE w:val="0"/>
              <w:autoSpaceDN w:val="0"/>
              <w:ind w:firstLine="420" w:firstLineChars="200"/>
              <w:textAlignment w:val="baseline"/>
              <w:rPr>
                <w:bCs/>
                <w:color w:val="000000"/>
                <w:kern w:val="0"/>
                <w:szCs w:val="21"/>
              </w:rPr>
            </w:pPr>
            <w:r>
              <w:rPr>
                <w:rFonts w:ascii="宋体" w:hAnsi="宋体"/>
                <w:bCs/>
                <w:color w:val="000000"/>
                <w:kern w:val="0"/>
                <w:szCs w:val="21"/>
              </w:rPr>
              <w:t>（</w:t>
            </w:r>
            <w:r>
              <w:rPr>
                <w:bCs/>
                <w:color w:val="000000"/>
                <w:kern w:val="0"/>
                <w:szCs w:val="21"/>
              </w:rPr>
              <w:t>1</w:t>
            </w:r>
            <w:r>
              <w:rPr>
                <w:rFonts w:ascii="宋体" w:hAnsi="宋体"/>
                <w:bCs/>
                <w:color w:val="000000"/>
                <w:kern w:val="0"/>
                <w:szCs w:val="21"/>
              </w:rPr>
              <w:t>）</w:t>
            </w:r>
            <w:r>
              <w:rPr>
                <w:rFonts w:hint="eastAsia" w:ascii="宋体" w:hAnsi="宋体"/>
                <w:bCs/>
                <w:color w:val="000000"/>
                <w:kern w:val="0"/>
                <w:szCs w:val="21"/>
              </w:rPr>
              <w:t>由杭州公安交通警察支队制定交通管制措施并定期派交通警察进行巡查，在青西二路</w:t>
            </w:r>
            <w:r>
              <w:rPr>
                <w:rFonts w:ascii="宋体" w:hAnsi="宋体"/>
                <w:bCs/>
                <w:color w:val="000000"/>
                <w:kern w:val="0"/>
                <w:szCs w:val="21"/>
              </w:rPr>
              <w:t>严禁各种</w:t>
            </w:r>
            <w:r>
              <w:rPr>
                <w:rFonts w:hint="eastAsia" w:ascii="宋体" w:hAnsi="宋体"/>
                <w:bCs/>
                <w:color w:val="000000"/>
                <w:kern w:val="0"/>
                <w:szCs w:val="21"/>
              </w:rPr>
              <w:t>泄漏</w:t>
            </w:r>
            <w:r>
              <w:rPr>
                <w:rFonts w:ascii="宋体" w:hAnsi="宋体"/>
                <w:bCs/>
                <w:color w:val="000000"/>
                <w:kern w:val="0"/>
                <w:szCs w:val="21"/>
              </w:rPr>
              <w:t>、散装超载的车辆上路行驶，防止洒落的材料经雨水冲刷后造成水体污染；严格执行危险品运输的有关规定。</w:t>
            </w:r>
          </w:p>
          <w:p w14:paraId="7515E15F">
            <w:pPr>
              <w:widowControl/>
              <w:kinsoku w:val="0"/>
              <w:autoSpaceDE w:val="0"/>
              <w:autoSpaceDN w:val="0"/>
              <w:ind w:firstLine="420" w:firstLineChars="200"/>
              <w:textAlignment w:val="baseline"/>
              <w:rPr>
                <w:bCs/>
                <w:color w:val="000000"/>
                <w:kern w:val="0"/>
                <w:szCs w:val="21"/>
              </w:rPr>
            </w:pPr>
            <w:r>
              <w:rPr>
                <w:rFonts w:ascii="宋体" w:hAnsi="宋体"/>
                <w:bCs/>
                <w:color w:val="000000"/>
                <w:kern w:val="0"/>
                <w:szCs w:val="21"/>
              </w:rPr>
              <w:t>（</w:t>
            </w:r>
            <w:r>
              <w:rPr>
                <w:bCs/>
                <w:color w:val="000000"/>
                <w:kern w:val="0"/>
                <w:szCs w:val="21"/>
              </w:rPr>
              <w:t>2</w:t>
            </w:r>
            <w:r>
              <w:rPr>
                <w:rFonts w:ascii="宋体" w:hAnsi="宋体"/>
                <w:bCs/>
                <w:color w:val="000000"/>
                <w:kern w:val="0"/>
                <w:szCs w:val="21"/>
              </w:rPr>
              <w:t>）</w:t>
            </w:r>
            <w:r>
              <w:rPr>
                <w:rFonts w:hint="eastAsia" w:ascii="宋体" w:hAnsi="宋体"/>
                <w:bCs/>
                <w:color w:val="000000"/>
                <w:kern w:val="0"/>
                <w:szCs w:val="21"/>
              </w:rPr>
              <w:t>由</w:t>
            </w:r>
            <w:r>
              <w:rPr>
                <w:rFonts w:ascii="宋体" w:hAnsi="宋体"/>
                <w:bCs/>
                <w:color w:val="000000"/>
                <w:kern w:val="0"/>
                <w:szCs w:val="21"/>
              </w:rPr>
              <w:t>杭州市钱塘区综合行政执法局</w:t>
            </w:r>
            <w:r>
              <w:rPr>
                <w:rFonts w:hint="eastAsia" w:ascii="宋体" w:hAnsi="宋体"/>
                <w:bCs/>
                <w:color w:val="000000"/>
                <w:kern w:val="0"/>
                <w:szCs w:val="21"/>
              </w:rPr>
              <w:t>负责委派相关环卫人员</w:t>
            </w:r>
            <w:r>
              <w:rPr>
                <w:rFonts w:ascii="宋体" w:hAnsi="宋体"/>
                <w:bCs/>
                <w:color w:val="000000"/>
                <w:kern w:val="0"/>
                <w:szCs w:val="21"/>
              </w:rPr>
              <w:t>加强对路面的日常维护和管理，保持路面清洁，及时清理路面上累积的尘土、碎屑、油污和吸附物等，减少随初期雨水冲刷而进入到路面径流污水中的</w:t>
            </w:r>
            <w:r>
              <w:rPr>
                <w:bCs/>
                <w:color w:val="000000"/>
                <w:kern w:val="0"/>
                <w:szCs w:val="21"/>
              </w:rPr>
              <w:t>SS</w:t>
            </w:r>
            <w:r>
              <w:rPr>
                <w:rFonts w:ascii="宋体" w:hAnsi="宋体"/>
                <w:bCs/>
                <w:color w:val="000000"/>
                <w:kern w:val="0"/>
                <w:szCs w:val="21"/>
              </w:rPr>
              <w:t>和石油类等污染物量，最大程度地保护水环境。</w:t>
            </w:r>
          </w:p>
          <w:p w14:paraId="6373F2F8">
            <w:pPr>
              <w:widowControl/>
              <w:kinsoku w:val="0"/>
              <w:autoSpaceDE w:val="0"/>
              <w:autoSpaceDN w:val="0"/>
              <w:ind w:firstLine="420" w:firstLineChars="200"/>
              <w:textAlignment w:val="baseline"/>
              <w:rPr>
                <w:bCs/>
                <w:color w:val="000000"/>
                <w:spacing w:val="10"/>
                <w:kern w:val="0"/>
                <w:szCs w:val="21"/>
              </w:rPr>
            </w:pPr>
            <w:r>
              <w:rPr>
                <w:rFonts w:ascii="宋体" w:hAnsi="宋体"/>
                <w:bCs/>
                <w:color w:val="000000"/>
                <w:kern w:val="0"/>
                <w:szCs w:val="21"/>
              </w:rPr>
              <w:t>（</w:t>
            </w:r>
            <w:r>
              <w:rPr>
                <w:bCs/>
                <w:color w:val="000000"/>
                <w:kern w:val="0"/>
                <w:szCs w:val="21"/>
              </w:rPr>
              <w:t>3</w:t>
            </w:r>
            <w:r>
              <w:rPr>
                <w:rFonts w:ascii="宋体" w:hAnsi="宋体"/>
                <w:bCs/>
                <w:color w:val="000000"/>
                <w:kern w:val="0"/>
                <w:szCs w:val="21"/>
              </w:rPr>
              <w:t>）</w:t>
            </w:r>
            <w:r>
              <w:rPr>
                <w:rFonts w:ascii="宋体" w:hAnsi="宋体"/>
                <w:bCs/>
                <w:color w:val="000000"/>
                <w:spacing w:val="10"/>
                <w:kern w:val="0"/>
                <w:szCs w:val="21"/>
              </w:rPr>
              <w:t>建议该项目营运管理部门编制有关本路段危险化学品输风事故应急预案，配备必要的资金预案，配备必要的资金、人员和器材（包括通讯器、防护和处理器材（包括通讯器、防护和处理器材，并对人员进行必要的培训和演练；</w:t>
            </w:r>
          </w:p>
          <w:p w14:paraId="723CFEDD">
            <w:pPr>
              <w:widowControl/>
              <w:kinsoku w:val="0"/>
              <w:autoSpaceDE w:val="0"/>
              <w:autoSpaceDN w:val="0"/>
              <w:ind w:firstLine="460" w:firstLineChars="200"/>
              <w:textAlignment w:val="baseline"/>
              <w:rPr>
                <w:bCs/>
                <w:color w:val="000000"/>
                <w:spacing w:val="10"/>
                <w:kern w:val="0"/>
                <w:szCs w:val="21"/>
              </w:rPr>
            </w:pPr>
            <w:r>
              <w:rPr>
                <w:rFonts w:ascii="宋体" w:hAnsi="宋体"/>
                <w:bCs/>
                <w:color w:val="000000"/>
                <w:spacing w:val="10"/>
                <w:kern w:val="0"/>
                <w:szCs w:val="21"/>
              </w:rPr>
              <w:t>（</w:t>
            </w:r>
            <w:r>
              <w:rPr>
                <w:rFonts w:hint="eastAsia"/>
                <w:bCs/>
                <w:color w:val="000000"/>
                <w:spacing w:val="10"/>
                <w:kern w:val="0"/>
                <w:szCs w:val="21"/>
              </w:rPr>
              <w:t>4</w:t>
            </w:r>
            <w:r>
              <w:rPr>
                <w:rFonts w:ascii="宋体" w:hAnsi="宋体"/>
                <w:bCs/>
                <w:color w:val="000000"/>
                <w:spacing w:val="10"/>
                <w:kern w:val="0"/>
                <w:szCs w:val="21"/>
              </w:rPr>
              <w:t>）一旦发生事故，应及时迅速报警通知有关路政、消防、生态环境部门，立即启动应急预案，采取应急措施。</w:t>
            </w:r>
          </w:p>
          <w:p w14:paraId="290A5E45">
            <w:pPr>
              <w:pStyle w:val="3"/>
            </w:pPr>
            <w:r>
              <w:t>运营期大气污染防治措施</w:t>
            </w:r>
          </w:p>
          <w:p w14:paraId="0DCF4BD2">
            <w:pPr>
              <w:widowControl/>
              <w:kinsoku w:val="0"/>
              <w:autoSpaceDE w:val="0"/>
              <w:autoSpaceDN w:val="0"/>
              <w:ind w:firstLine="460" w:firstLineChars="200"/>
              <w:textAlignment w:val="baseline"/>
              <w:rPr>
                <w:bCs/>
                <w:color w:val="000000"/>
                <w:spacing w:val="10"/>
                <w:kern w:val="0"/>
                <w:szCs w:val="21"/>
              </w:rPr>
            </w:pPr>
            <w:r>
              <w:rPr>
                <w:rFonts w:ascii="宋体" w:hAnsi="宋体"/>
                <w:bCs/>
                <w:color w:val="000000"/>
                <w:spacing w:val="10"/>
                <w:kern w:val="0"/>
                <w:szCs w:val="21"/>
              </w:rPr>
              <w:t>在营运时汽车尾气对沿线环境空气产生污染，并直接影响沿线附近居民生活、身体健康和农作物的生长。采取措施如下：</w:t>
            </w:r>
          </w:p>
          <w:p w14:paraId="649C6717">
            <w:pPr>
              <w:ind w:firstLine="420" w:firstLineChars="200"/>
            </w:pPr>
            <w:r>
              <w:t>（1）加强道路管理及路面养护，保持道路良好运营状态，减少和避免塞车现象发生</w:t>
            </w:r>
            <w:r>
              <w:rPr>
                <w:rFonts w:hint="eastAsia"/>
              </w:rPr>
              <w:t>，</w:t>
            </w:r>
            <w:r>
              <w:t>严格控制车况不符合规定、超载车辆上路；</w:t>
            </w:r>
          </w:p>
          <w:p w14:paraId="5F2BD936">
            <w:pPr>
              <w:ind w:firstLine="420" w:firstLineChars="200"/>
            </w:pPr>
            <w:r>
              <w:t>（2）</w:t>
            </w:r>
            <w:r>
              <w:rPr>
                <w:rFonts w:hint="eastAsia"/>
              </w:rPr>
              <w:t>对道路</w:t>
            </w:r>
            <w:r>
              <w:t>沿线进行绿化，并做好绿化工程的维护工作。</w:t>
            </w:r>
          </w:p>
          <w:p w14:paraId="3038D020">
            <w:pPr>
              <w:ind w:firstLine="420" w:firstLineChars="200"/>
            </w:pPr>
            <w:r>
              <w:rPr>
                <w:rFonts w:hint="eastAsia"/>
              </w:rPr>
              <w:t>（3）禁止在道路沿线进行焚烧垃圾、落叶等行为。</w:t>
            </w:r>
          </w:p>
          <w:p w14:paraId="0E95177F">
            <w:pPr>
              <w:ind w:firstLine="420" w:firstLineChars="200"/>
            </w:pPr>
            <w:r>
              <w:rPr>
                <w:rFonts w:hint="eastAsia"/>
              </w:rPr>
              <w:t>（4）禁止大型超规超标货车、渣土车或不符合排放标准的小客车通行。</w:t>
            </w:r>
          </w:p>
          <w:p w14:paraId="08B31BA3">
            <w:pPr>
              <w:widowControl/>
              <w:kinsoku w:val="0"/>
              <w:autoSpaceDE w:val="0"/>
              <w:autoSpaceDN w:val="0"/>
              <w:ind w:firstLine="460" w:firstLineChars="200"/>
              <w:textAlignment w:val="baseline"/>
              <w:rPr>
                <w:bCs/>
                <w:color w:val="000000"/>
                <w:spacing w:val="10"/>
                <w:kern w:val="0"/>
                <w:szCs w:val="21"/>
              </w:rPr>
            </w:pPr>
            <w:r>
              <w:rPr>
                <w:rFonts w:hint="eastAsia" w:ascii="宋体" w:hAnsi="宋体"/>
                <w:bCs/>
                <w:color w:val="000000"/>
                <w:spacing w:val="10"/>
                <w:kern w:val="0"/>
                <w:szCs w:val="21"/>
              </w:rPr>
              <w:t>上述措施主要由交通警察以及城市综合行政执法部门负责制定和管理，</w:t>
            </w:r>
            <w:r>
              <w:rPr>
                <w:rFonts w:ascii="宋体" w:hAnsi="宋体"/>
                <w:bCs/>
                <w:color w:val="000000"/>
                <w:spacing w:val="10"/>
                <w:kern w:val="0"/>
                <w:szCs w:val="21"/>
              </w:rPr>
              <w:t>经上述措施后，营运期产生的废气，对敏感点的影响较小。</w:t>
            </w:r>
          </w:p>
          <w:p w14:paraId="5A37EE0A">
            <w:pPr>
              <w:pStyle w:val="3"/>
            </w:pPr>
            <w:r>
              <w:t>运营期噪声污染防治措施</w:t>
            </w:r>
          </w:p>
          <w:p w14:paraId="2EB3EDD2">
            <w:pPr>
              <w:widowControl/>
              <w:kinsoku w:val="0"/>
              <w:autoSpaceDE w:val="0"/>
              <w:autoSpaceDN w:val="0"/>
              <w:ind w:firstLine="460" w:firstLineChars="200"/>
              <w:textAlignment w:val="baseline"/>
              <w:rPr>
                <w:bCs/>
                <w:color w:val="000000"/>
                <w:spacing w:val="10"/>
                <w:kern w:val="0"/>
                <w:szCs w:val="21"/>
              </w:rPr>
            </w:pPr>
            <w:r>
              <w:rPr>
                <w:rFonts w:hint="eastAsia" w:ascii="宋体" w:hAnsi="宋体"/>
                <w:bCs/>
                <w:color w:val="000000"/>
                <w:spacing w:val="10"/>
                <w:kern w:val="0"/>
                <w:szCs w:val="21"/>
              </w:rPr>
              <w:t>运营期噪声主要为交通噪声，短期内由于工程周边不存在噪声保护目标，所以交通噪声不会对周边生态环境产生不利影响，中远期道路周边存在规划敏感点，根据预测模拟，规划住宅区会受到交通噪声的影响从而噪声超标，在进行住宅用地规划设计时，应</w:t>
            </w:r>
            <w:r>
              <w:rPr>
                <w:rFonts w:ascii="宋体" w:hAnsi="宋体"/>
                <w:bCs/>
                <w:color w:val="000000"/>
                <w:spacing w:val="10"/>
                <w:kern w:val="0"/>
                <w:szCs w:val="21"/>
              </w:rPr>
              <w:t>通过</w:t>
            </w:r>
            <w:r>
              <w:rPr>
                <w:rFonts w:hint="eastAsia" w:ascii="宋体" w:hAnsi="宋体"/>
                <w:bCs/>
                <w:color w:val="000000"/>
                <w:spacing w:val="10"/>
                <w:kern w:val="0"/>
                <w:szCs w:val="21"/>
              </w:rPr>
              <w:t>设计绿化、围墙等隔</w:t>
            </w:r>
            <w:r>
              <w:rPr>
                <w:rFonts w:ascii="宋体" w:hAnsi="宋体"/>
                <w:bCs/>
                <w:color w:val="000000"/>
                <w:spacing w:val="10"/>
                <w:kern w:val="0"/>
                <w:szCs w:val="21"/>
              </w:rPr>
              <w:t>声屏障、</w:t>
            </w:r>
            <w:r>
              <w:rPr>
                <w:rFonts w:hint="eastAsia" w:ascii="宋体" w:hAnsi="宋体"/>
                <w:bCs/>
                <w:color w:val="000000"/>
                <w:spacing w:val="10"/>
                <w:kern w:val="0"/>
                <w:szCs w:val="21"/>
              </w:rPr>
              <w:t>采用</w:t>
            </w:r>
            <w:r>
              <w:rPr>
                <w:rFonts w:ascii="宋体" w:hAnsi="宋体"/>
                <w:bCs/>
                <w:color w:val="000000"/>
                <w:spacing w:val="10"/>
                <w:kern w:val="0"/>
                <w:szCs w:val="21"/>
              </w:rPr>
              <w:t>隔声窗</w:t>
            </w:r>
            <w:r>
              <w:rPr>
                <w:rFonts w:hint="eastAsia" w:ascii="宋体" w:hAnsi="宋体"/>
                <w:bCs/>
                <w:color w:val="000000"/>
                <w:spacing w:val="10"/>
                <w:kern w:val="0"/>
                <w:szCs w:val="21"/>
              </w:rPr>
              <w:t>，保持足够的建筑退让距离等措施降低道路对规划住宅用地的影响，该措施由负责开发住宅用地的房地产开发商进行负责，委托专门的景观、建筑设计单位进行优化和设计，由杭州市规划和自然资源局进行审批，通过采用以上的措施，可以将运营期交通噪声对规划住宅用地的影响降至最低，具体详见专项一</w:t>
            </w:r>
            <w:r>
              <w:rPr>
                <w:rFonts w:ascii="宋体" w:hAnsi="宋体"/>
                <w:bCs/>
                <w:color w:val="000000"/>
                <w:spacing w:val="10"/>
                <w:kern w:val="0"/>
                <w:szCs w:val="21"/>
              </w:rPr>
              <w:t>。</w:t>
            </w:r>
          </w:p>
          <w:p w14:paraId="47B75240">
            <w:pPr>
              <w:pStyle w:val="3"/>
            </w:pPr>
            <w:r>
              <w:t>运营期固体废物污染防治措施</w:t>
            </w:r>
          </w:p>
          <w:p w14:paraId="5EDB4D98">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）对固体废物的处置原则是</w:t>
            </w:r>
            <w:r>
              <w:rPr>
                <w:color w:val="000000"/>
                <w:kern w:val="0"/>
                <w:szCs w:val="21"/>
              </w:rPr>
              <w:t>“</w:t>
            </w:r>
            <w:r>
              <w:rPr>
                <w:rFonts w:ascii="宋体" w:hAnsi="宋体"/>
                <w:color w:val="000000"/>
                <w:kern w:val="0"/>
                <w:szCs w:val="21"/>
              </w:rPr>
              <w:t>减量化、资源化、无害化</w:t>
            </w:r>
            <w:r>
              <w:rPr>
                <w:color w:val="000000"/>
                <w:kern w:val="0"/>
                <w:szCs w:val="21"/>
              </w:rPr>
              <w:t>”</w:t>
            </w:r>
            <w:r>
              <w:rPr>
                <w:rFonts w:ascii="宋体" w:hAnsi="宋体"/>
                <w:color w:val="000000"/>
                <w:kern w:val="0"/>
                <w:szCs w:val="21"/>
              </w:rPr>
              <w:t>，在加强自身利用的基础上，做好防雨、防渗等措施，避免造成二次污染。</w:t>
            </w:r>
          </w:p>
          <w:p w14:paraId="1E3CB316">
            <w:pPr>
              <w:widowControl/>
              <w:kinsoku w:val="0"/>
              <w:autoSpaceDE w:val="0"/>
              <w:autoSpaceDN w:val="0"/>
              <w:ind w:firstLine="420" w:firstLineChars="200"/>
              <w:textAlignment w:val="baseline"/>
              <w:rPr>
                <w:rFonts w:hint="eastAsia" w:ascii="宋体" w:hAnsi="宋体"/>
                <w:color w:val="000000"/>
                <w:kern w:val="0"/>
                <w:szCs w:val="21"/>
              </w:rPr>
            </w:pPr>
            <w:r>
              <w:rPr>
                <w:rFonts w:ascii="宋体" w:hAnsi="宋体"/>
                <w:color w:val="000000"/>
                <w:kern w:val="0"/>
                <w:szCs w:val="21"/>
              </w:rPr>
              <w:t>（</w:t>
            </w:r>
            <w:r>
              <w:rPr>
                <w:color w:val="000000"/>
                <w:kern w:val="0"/>
                <w:szCs w:val="21"/>
              </w:rPr>
              <w:t>2</w:t>
            </w:r>
            <w:r>
              <w:rPr>
                <w:rFonts w:ascii="宋体" w:hAnsi="宋体"/>
                <w:color w:val="000000"/>
                <w:kern w:val="0"/>
                <w:szCs w:val="21"/>
              </w:rPr>
              <w:t>）</w:t>
            </w:r>
            <w:r>
              <w:rPr>
                <w:rFonts w:hint="eastAsia" w:ascii="宋体" w:hAnsi="宋体"/>
                <w:color w:val="000000"/>
                <w:kern w:val="0"/>
                <w:szCs w:val="21"/>
              </w:rPr>
              <w:t>城市</w:t>
            </w:r>
            <w:r>
              <w:rPr>
                <w:rFonts w:ascii="宋体" w:hAnsi="宋体"/>
                <w:color w:val="000000"/>
                <w:kern w:val="0"/>
                <w:szCs w:val="21"/>
              </w:rPr>
              <w:t>在道路两侧人行道上的合理位置设置分类</w:t>
            </w:r>
            <w:r>
              <w:rPr>
                <w:rFonts w:hint="eastAsia" w:ascii="宋体" w:hAnsi="宋体"/>
                <w:color w:val="000000"/>
                <w:kern w:val="0"/>
                <w:szCs w:val="21"/>
              </w:rPr>
              <w:t>垃圾桶</w:t>
            </w:r>
            <w:r>
              <w:rPr>
                <w:rFonts w:ascii="宋体" w:hAnsi="宋体"/>
                <w:color w:val="000000"/>
                <w:kern w:val="0"/>
                <w:szCs w:val="21"/>
              </w:rPr>
              <w:t>，收集日常生活垃圾，由环卫部门定期清运，对于道路路面翻修时产生的废弃物，应当加以综合利用，不能利用的作为建筑垃圾合理处置。</w:t>
            </w:r>
          </w:p>
          <w:p w14:paraId="19AF17EE">
            <w:pPr>
              <w:pStyle w:val="3"/>
            </w:pPr>
            <w:r>
              <w:rPr>
                <w:rFonts w:hint="eastAsia"/>
              </w:rPr>
              <w:t>运营期生态保护措施</w:t>
            </w:r>
          </w:p>
          <w:p w14:paraId="6D35BD21">
            <w:pPr>
              <w:ind w:firstLine="420" w:firstLineChars="200"/>
            </w:pPr>
            <w:r>
              <w:rPr>
                <w:rFonts w:hint="eastAsia"/>
              </w:rPr>
              <w:t>（1）项目建成后，在道路两侧人行道树带种植行道树（推荐香樟等树种），并实施侧分带绿化和节点景观绿化，形成线状绿色廊道，补偿施工造成的植被损失。并建立绿化养护管理制度，定期对行道树和绿化带进行浇水、施肥、修剪、病虫害防治，确保绿化植被健康生长，充分发挥其生态功能。</w:t>
            </w:r>
          </w:p>
          <w:p w14:paraId="41A5999E">
            <w:pPr>
              <w:ind w:firstLine="420" w:firstLineChars="200"/>
            </w:pPr>
            <w:r>
              <w:rPr>
                <w:rFonts w:hint="eastAsia"/>
              </w:rPr>
              <w:t>（2）通过设置禁鸣标志、限速标志以及道路两侧绿化隔声带，降低交通噪声对道路两侧动物栖息环境的长期干扰。</w:t>
            </w:r>
          </w:p>
          <w:p w14:paraId="09031B58">
            <w:pPr>
              <w:ind w:firstLine="420" w:firstLineChars="200"/>
            </w:pPr>
            <w:r>
              <w:rPr>
                <w:rFonts w:hint="eastAsia"/>
              </w:rPr>
              <w:t>（3）道路沿线保留的河流、沟渠等地表水体以及路侧绿化带，可作为生态廊道维持区域生态连通性，减少道路切割效应对动物迁移的阻隔影响。</w:t>
            </w:r>
          </w:p>
          <w:p w14:paraId="573CA362">
            <w:pPr>
              <w:ind w:firstLine="420" w:firstLineChars="200"/>
            </w:pPr>
            <w:r>
              <w:rPr>
                <w:rFonts w:hint="eastAsia"/>
              </w:rPr>
              <w:t>（4）运营期路面径流经雨水管道收集后排入河庄横河和小泗埠直河。环卫部门应定期清扫路面，减少路面沉积物中的重金属和有机物随径流进入水体，保护水生生物生境。</w:t>
            </w:r>
          </w:p>
          <w:p w14:paraId="4C54CB14">
            <w:pPr>
              <w:ind w:firstLine="420" w:firstLineChars="200"/>
            </w:pPr>
            <w:r>
              <w:rPr>
                <w:rFonts w:hint="eastAsia"/>
              </w:rPr>
              <w:t>（5）制定危险化学品运输事故应急预案，防止有毒有害物质泄漏进入河道，避免对水生生物造成毁灭性损害。</w:t>
            </w:r>
          </w:p>
          <w:p w14:paraId="6BFFAE5B">
            <w:pPr>
              <w:pStyle w:val="3"/>
            </w:pPr>
            <w:r>
              <w:t>环境风险</w:t>
            </w:r>
          </w:p>
          <w:p w14:paraId="4AD0CF12">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）建议该项目营运管理部门编制有关本路段道路交通风险事故应急计划，配备必要的资金、人员和器材（包括通讯器材、防护器材和处理、处置器材），并对人员进行必要的培训和演练；</w:t>
            </w:r>
          </w:p>
          <w:p w14:paraId="47A4C2AD">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2</w:t>
            </w:r>
            <w:r>
              <w:rPr>
                <w:rFonts w:ascii="宋体" w:hAnsi="宋体"/>
                <w:color w:val="000000"/>
                <w:kern w:val="0"/>
                <w:szCs w:val="21"/>
              </w:rPr>
              <w:t>）设立警示标志，加强道路的安全设施设计。在敏感路段设警示标志，提醒司机注意安全。对于梅雨季节等交通事故多发期，尤其要加强监控；</w:t>
            </w:r>
          </w:p>
          <w:p w14:paraId="16CD3839">
            <w:pPr>
              <w:widowControl/>
              <w:kinsoku w:val="0"/>
              <w:autoSpaceDE w:val="0"/>
              <w:autoSpaceDN w:val="0"/>
              <w:ind w:firstLine="420" w:firstLineChars="200"/>
              <w:textAlignment w:val="baseline"/>
              <w:rPr>
                <w:rFonts w:ascii="Arial" w:hAnsi="Arial" w:cs="Arial"/>
                <w:color w:val="000000"/>
                <w:kern w:val="0"/>
                <w:szCs w:val="21"/>
              </w:rPr>
            </w:pPr>
            <w:r>
              <w:rPr>
                <w:rFonts w:ascii="宋体" w:hAnsi="宋体"/>
                <w:color w:val="000000"/>
                <w:kern w:val="0"/>
                <w:szCs w:val="21"/>
              </w:rPr>
              <w:t>（</w:t>
            </w:r>
            <w:r>
              <w:rPr>
                <w:rFonts w:hint="eastAsia"/>
                <w:color w:val="000000"/>
                <w:kern w:val="0"/>
                <w:szCs w:val="21"/>
              </w:rPr>
              <w:t>3</w:t>
            </w:r>
            <w:r>
              <w:rPr>
                <w:rFonts w:ascii="宋体" w:hAnsi="宋体"/>
                <w:color w:val="000000"/>
                <w:kern w:val="0"/>
                <w:szCs w:val="21"/>
              </w:rPr>
              <w:t>）一旦事故发生，应及时迅速报警，及时通知有关交警、消防、生态环境部门，立即启动项目应急预案，采取应急措施。</w:t>
            </w:r>
          </w:p>
        </w:tc>
      </w:tr>
      <w:tr w14:paraId="342103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tcBorders>
              <w:top w:val="single" w:color="auto" w:sz="4" w:space="0"/>
              <w:left w:val="single" w:color="auto" w:sz="8" w:space="0"/>
              <w:bottom w:val="single" w:color="auto" w:sz="4" w:space="0"/>
              <w:right w:val="single" w:color="auto" w:sz="4" w:space="0"/>
            </w:tcBorders>
            <w:vAlign w:val="center"/>
          </w:tcPr>
          <w:p w14:paraId="4BF9896A">
            <w:pPr>
              <w:widowControl/>
              <w:kinsoku w:val="0"/>
              <w:autoSpaceDE w:val="0"/>
              <w:autoSpaceDN w:val="0"/>
              <w:spacing w:line="240" w:lineRule="auto"/>
              <w:jc w:val="center"/>
              <w:textAlignment w:val="baseline"/>
              <w:rPr>
                <w:bCs/>
                <w:color w:val="000000"/>
                <w:spacing w:val="10"/>
                <w:kern w:val="0"/>
                <w:szCs w:val="21"/>
              </w:rPr>
            </w:pPr>
            <w:r>
              <w:rPr>
                <w:rFonts w:ascii="宋体" w:hAnsi="宋体"/>
                <w:bCs/>
                <w:color w:val="000000"/>
                <w:kern w:val="0"/>
                <w:szCs w:val="21"/>
              </w:rPr>
              <w:t>其他</w:t>
            </w:r>
          </w:p>
        </w:tc>
        <w:tc>
          <w:tcPr>
            <w:tcW w:w="8457" w:type="dxa"/>
            <w:tcBorders>
              <w:top w:val="single" w:color="auto" w:sz="4" w:space="0"/>
              <w:left w:val="single" w:color="auto" w:sz="4" w:space="0"/>
              <w:bottom w:val="single" w:color="auto" w:sz="4" w:space="0"/>
              <w:right w:val="single" w:color="auto" w:sz="8" w:space="0"/>
            </w:tcBorders>
          </w:tcPr>
          <w:p w14:paraId="3F199820">
            <w:pPr>
              <w:pStyle w:val="3"/>
            </w:pPr>
            <w:r>
              <w:t>施工阶段的</w:t>
            </w:r>
            <w:r>
              <w:rPr>
                <w:rFonts w:hint="eastAsia"/>
              </w:rPr>
              <w:t>生态</w:t>
            </w:r>
            <w:r>
              <w:t>环境监控计划</w:t>
            </w:r>
          </w:p>
          <w:p w14:paraId="53EDDDB0">
            <w:pPr>
              <w:widowControl/>
              <w:kinsoku w:val="0"/>
              <w:autoSpaceDE w:val="0"/>
              <w:autoSpaceDN w:val="0"/>
              <w:ind w:firstLine="422" w:firstLineChars="200"/>
              <w:textAlignment w:val="baseline"/>
              <w:rPr>
                <w:b/>
                <w:color w:val="000000"/>
                <w:kern w:val="0"/>
                <w:szCs w:val="21"/>
              </w:rPr>
            </w:pPr>
            <w:r>
              <w:rPr>
                <w:b/>
                <w:color w:val="000000"/>
                <w:kern w:val="0"/>
                <w:szCs w:val="21"/>
              </w:rPr>
              <w:t>1</w:t>
            </w:r>
            <w:r>
              <w:rPr>
                <w:rFonts w:ascii="宋体" w:hAnsi="宋体"/>
                <w:b/>
                <w:color w:val="000000"/>
                <w:kern w:val="0"/>
                <w:szCs w:val="21"/>
              </w:rPr>
              <w:t>、工程招标阶段</w:t>
            </w:r>
          </w:p>
          <w:p w14:paraId="675E8F83">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）指标说明中应包括有关环保条款和要求；</w:t>
            </w:r>
          </w:p>
          <w:p w14:paraId="31B487FB">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2</w:t>
            </w:r>
            <w:r>
              <w:rPr>
                <w:rFonts w:ascii="宋体" w:hAnsi="宋体"/>
                <w:color w:val="000000"/>
                <w:kern w:val="0"/>
                <w:szCs w:val="21"/>
              </w:rPr>
              <w:t>）投标方案中应有详细的环保方案及实施方法；</w:t>
            </w:r>
          </w:p>
          <w:p w14:paraId="75D17788">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3</w:t>
            </w:r>
            <w:r>
              <w:rPr>
                <w:rFonts w:ascii="宋体" w:hAnsi="宋体"/>
                <w:color w:val="000000"/>
                <w:kern w:val="0"/>
                <w:szCs w:val="21"/>
              </w:rPr>
              <w:t>）分包合同中应包括有关环保考核目标和相应的奖惩办法。</w:t>
            </w:r>
          </w:p>
          <w:p w14:paraId="7FE383F4">
            <w:pPr>
              <w:widowControl/>
              <w:kinsoku w:val="0"/>
              <w:autoSpaceDE w:val="0"/>
              <w:autoSpaceDN w:val="0"/>
              <w:ind w:firstLine="422" w:firstLineChars="200"/>
              <w:textAlignment w:val="baseline"/>
              <w:rPr>
                <w:b/>
                <w:color w:val="000000"/>
                <w:kern w:val="0"/>
                <w:szCs w:val="21"/>
              </w:rPr>
            </w:pPr>
            <w:r>
              <w:rPr>
                <w:b/>
                <w:color w:val="000000"/>
                <w:kern w:val="0"/>
                <w:szCs w:val="21"/>
              </w:rPr>
              <w:t>2</w:t>
            </w:r>
            <w:r>
              <w:rPr>
                <w:rFonts w:ascii="宋体" w:hAnsi="宋体"/>
                <w:b/>
                <w:color w:val="000000"/>
                <w:kern w:val="0"/>
                <w:szCs w:val="21"/>
              </w:rPr>
              <w:t>、施工实施阶段</w:t>
            </w:r>
          </w:p>
          <w:p w14:paraId="564A290A">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工程建设指挥部（或单独委托独立的监理或咨询公司）应定期或不定期对各施工点的环保措施执行情况进行监督检查，并写出相应的检查报告（至少一月一次）。监督检查的重点可放在施工扬尘、噪声的控制、水土流失的防治和各施工阶段的生活污水及垃圾的处理和处置等方面问题。</w:t>
            </w:r>
          </w:p>
          <w:p w14:paraId="76155925">
            <w:pPr>
              <w:widowControl/>
              <w:kinsoku w:val="0"/>
              <w:autoSpaceDE w:val="0"/>
              <w:autoSpaceDN w:val="0"/>
              <w:ind w:firstLine="422" w:firstLineChars="200"/>
              <w:textAlignment w:val="baseline"/>
              <w:rPr>
                <w:b/>
                <w:color w:val="000000"/>
                <w:kern w:val="0"/>
                <w:szCs w:val="21"/>
              </w:rPr>
            </w:pPr>
            <w:r>
              <w:rPr>
                <w:b/>
                <w:color w:val="000000"/>
                <w:kern w:val="0"/>
                <w:szCs w:val="21"/>
              </w:rPr>
              <w:t>3</w:t>
            </w:r>
            <w:r>
              <w:rPr>
                <w:rFonts w:ascii="宋体" w:hAnsi="宋体"/>
                <w:b/>
                <w:color w:val="000000"/>
                <w:kern w:val="0"/>
                <w:szCs w:val="21"/>
              </w:rPr>
              <w:t>、施工完成阶段</w:t>
            </w:r>
          </w:p>
          <w:p w14:paraId="2C09CB97">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）施工完成阶段应重点对各类临时性占地进行还原，建筑垃圾以及失衡土石方的清运及现场的清理进行监督检查；</w:t>
            </w:r>
          </w:p>
          <w:p w14:paraId="0ED4301B">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2</w:t>
            </w:r>
            <w:r>
              <w:rPr>
                <w:rFonts w:ascii="宋体" w:hAnsi="宋体"/>
                <w:color w:val="000000"/>
                <w:kern w:val="0"/>
                <w:szCs w:val="21"/>
              </w:rPr>
              <w:t>）建设指挥部（或咨询、监理公司）应对合同中所规定的有关环保条款进行完成和实施情况的评估，并写出最终报告；</w:t>
            </w:r>
          </w:p>
          <w:p w14:paraId="7D4643E3">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3</w:t>
            </w:r>
            <w:r>
              <w:rPr>
                <w:rFonts w:ascii="宋体" w:hAnsi="宋体"/>
                <w:color w:val="000000"/>
                <w:kern w:val="0"/>
                <w:szCs w:val="21"/>
              </w:rPr>
              <w:t>）只有在符合上述要求后，才能认为是完全履行了施工合同。</w:t>
            </w:r>
          </w:p>
          <w:p w14:paraId="0BA751A1">
            <w:pPr>
              <w:widowControl/>
              <w:kinsoku w:val="0"/>
              <w:autoSpaceDE w:val="0"/>
              <w:autoSpaceDN w:val="0"/>
              <w:ind w:firstLine="422" w:firstLineChars="200"/>
              <w:textAlignment w:val="baseline"/>
              <w:rPr>
                <w:b/>
                <w:color w:val="000000"/>
                <w:kern w:val="0"/>
                <w:szCs w:val="21"/>
              </w:rPr>
            </w:pPr>
            <w:r>
              <w:rPr>
                <w:b/>
                <w:color w:val="000000"/>
                <w:kern w:val="0"/>
                <w:szCs w:val="21"/>
              </w:rPr>
              <w:t>4</w:t>
            </w:r>
            <w:r>
              <w:rPr>
                <w:rFonts w:ascii="宋体" w:hAnsi="宋体"/>
                <w:b/>
                <w:color w:val="000000"/>
                <w:kern w:val="0"/>
                <w:szCs w:val="21"/>
              </w:rPr>
              <w:t>、职责和权力</w:t>
            </w:r>
          </w:p>
          <w:p w14:paraId="2CF35233">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）建设指挥部应对整个施工过程中的</w:t>
            </w:r>
            <w:r>
              <w:rPr>
                <w:rFonts w:hint="eastAsia" w:ascii="宋体" w:hAnsi="宋体"/>
                <w:color w:val="000000"/>
                <w:kern w:val="0"/>
                <w:szCs w:val="21"/>
              </w:rPr>
              <w:t>生态</w:t>
            </w:r>
            <w:r>
              <w:rPr>
                <w:rFonts w:ascii="宋体" w:hAnsi="宋体"/>
                <w:color w:val="000000"/>
                <w:kern w:val="0"/>
                <w:szCs w:val="21"/>
              </w:rPr>
              <w:t>环境问题负责；</w:t>
            </w:r>
          </w:p>
          <w:p w14:paraId="0DA537A9">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2</w:t>
            </w:r>
            <w:r>
              <w:rPr>
                <w:rFonts w:ascii="宋体" w:hAnsi="宋体"/>
                <w:color w:val="000000"/>
                <w:kern w:val="0"/>
                <w:szCs w:val="21"/>
              </w:rPr>
              <w:t>）施工建设单位负责实施和落实施工期的各项环保措施；</w:t>
            </w:r>
          </w:p>
          <w:p w14:paraId="16550CAA">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3</w:t>
            </w:r>
            <w:r>
              <w:rPr>
                <w:rFonts w:ascii="宋体" w:hAnsi="宋体"/>
                <w:color w:val="000000"/>
                <w:kern w:val="0"/>
                <w:szCs w:val="21"/>
              </w:rPr>
              <w:t>）各级政府有关部门（包括生态环境部门）代表公众对整个施工期的环保问题进行监督管理，并依法执行相关的法律政策。</w:t>
            </w:r>
          </w:p>
          <w:p w14:paraId="57D3870F">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4</w:t>
            </w:r>
            <w:r>
              <w:rPr>
                <w:rFonts w:ascii="宋体" w:hAnsi="宋体"/>
                <w:color w:val="000000"/>
                <w:kern w:val="0"/>
                <w:szCs w:val="21"/>
              </w:rPr>
              <w:t>）建设指挥部（或监理、咨询公司）负责施工期日常工作，并配合有关政府部门执行有关法律、政策；</w:t>
            </w:r>
          </w:p>
          <w:p w14:paraId="68F13838">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5</w:t>
            </w:r>
            <w:r>
              <w:rPr>
                <w:rFonts w:ascii="宋体" w:hAnsi="宋体"/>
                <w:color w:val="000000"/>
                <w:kern w:val="0"/>
                <w:szCs w:val="21"/>
              </w:rPr>
              <w:t>）任何公民对施工过程产生的</w:t>
            </w:r>
            <w:r>
              <w:rPr>
                <w:rFonts w:hint="eastAsia" w:ascii="宋体" w:hAnsi="宋体"/>
                <w:color w:val="000000"/>
                <w:kern w:val="0"/>
                <w:szCs w:val="21"/>
              </w:rPr>
              <w:t>生态</w:t>
            </w:r>
            <w:r>
              <w:rPr>
                <w:rFonts w:ascii="宋体" w:hAnsi="宋体"/>
                <w:color w:val="000000"/>
                <w:kern w:val="0"/>
                <w:szCs w:val="21"/>
              </w:rPr>
              <w:t>环境问题有监督和申告的权力。</w:t>
            </w:r>
          </w:p>
          <w:p w14:paraId="09069A28">
            <w:pPr>
              <w:pStyle w:val="3"/>
            </w:pPr>
            <w:r>
              <w:t>运营期的</w:t>
            </w:r>
            <w:r>
              <w:rPr>
                <w:rFonts w:hint="eastAsia"/>
              </w:rPr>
              <w:t>生态</w:t>
            </w:r>
            <w:r>
              <w:t>环境监</w:t>
            </w:r>
            <w:r>
              <w:rPr>
                <w:rFonts w:hint="eastAsia"/>
              </w:rPr>
              <w:t>测</w:t>
            </w:r>
            <w:r>
              <w:t>计划</w:t>
            </w:r>
          </w:p>
          <w:p w14:paraId="5D54B3E4">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）运营期的环保问题由专门机构负责；</w:t>
            </w:r>
          </w:p>
          <w:p w14:paraId="158616FC">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2</w:t>
            </w:r>
            <w:r>
              <w:rPr>
                <w:rFonts w:ascii="宋体" w:hAnsi="宋体"/>
                <w:color w:val="000000"/>
                <w:kern w:val="0"/>
                <w:szCs w:val="21"/>
              </w:rPr>
              <w:t>）制定</w:t>
            </w:r>
            <w:r>
              <w:rPr>
                <w:rFonts w:hint="eastAsia" w:ascii="宋体" w:hAnsi="宋体"/>
                <w:color w:val="000000"/>
                <w:kern w:val="0"/>
                <w:szCs w:val="21"/>
              </w:rPr>
              <w:t>监测</w:t>
            </w:r>
            <w:r>
              <w:rPr>
                <w:rFonts w:ascii="宋体" w:hAnsi="宋体"/>
                <w:color w:val="000000"/>
                <w:kern w:val="0"/>
                <w:szCs w:val="21"/>
              </w:rPr>
              <w:t>计划，根据工程特点，本工程</w:t>
            </w:r>
            <w:r>
              <w:rPr>
                <w:rFonts w:hint="eastAsia" w:ascii="宋体" w:hAnsi="宋体"/>
                <w:color w:val="000000"/>
                <w:kern w:val="0"/>
                <w:szCs w:val="21"/>
              </w:rPr>
              <w:t>监测</w:t>
            </w:r>
            <w:r>
              <w:rPr>
                <w:rFonts w:ascii="宋体" w:hAnsi="宋体"/>
                <w:color w:val="000000"/>
                <w:kern w:val="0"/>
                <w:szCs w:val="21"/>
              </w:rPr>
              <w:t>重点为环境噪声</w:t>
            </w:r>
            <w:r>
              <w:rPr>
                <w:rFonts w:hint="eastAsia" w:ascii="宋体" w:hAnsi="宋体"/>
                <w:color w:val="000000"/>
                <w:kern w:val="0"/>
                <w:szCs w:val="21"/>
              </w:rPr>
              <w:t>、地表水环境</w:t>
            </w:r>
            <w:r>
              <w:rPr>
                <w:rFonts w:ascii="宋体" w:hAnsi="宋体"/>
                <w:color w:val="000000"/>
                <w:kern w:val="0"/>
                <w:szCs w:val="21"/>
              </w:rPr>
              <w:t>和环境空气，具体</w:t>
            </w:r>
            <w:r>
              <w:rPr>
                <w:rFonts w:hint="eastAsia" w:ascii="宋体" w:hAnsi="宋体"/>
                <w:color w:val="000000"/>
                <w:kern w:val="0"/>
                <w:szCs w:val="21"/>
              </w:rPr>
              <w:t>监测</w:t>
            </w:r>
            <w:r>
              <w:rPr>
                <w:rFonts w:ascii="宋体" w:hAnsi="宋体"/>
                <w:color w:val="000000"/>
                <w:kern w:val="0"/>
                <w:szCs w:val="21"/>
              </w:rPr>
              <w:t>计划见下表。检测可委托有资质单位进行。</w:t>
            </w:r>
          </w:p>
          <w:p w14:paraId="542C7D44">
            <w:pPr>
              <w:pStyle w:val="9"/>
              <w:spacing w:before="120"/>
            </w:pPr>
            <w:r>
              <w:t xml:space="preserve">表5-1 </w:t>
            </w:r>
            <w:r>
              <w:rPr>
                <w:rFonts w:hint="eastAsia"/>
              </w:rPr>
              <w:t>生态</w:t>
            </w:r>
            <w:r>
              <w:t>环境监测计划</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509"/>
              <w:gridCol w:w="509"/>
              <w:gridCol w:w="1635"/>
              <w:gridCol w:w="2126"/>
              <w:gridCol w:w="3432"/>
            </w:tblGrid>
            <w:tr w14:paraId="1C7973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0" w:type="auto"/>
                  <w:gridSpan w:val="2"/>
                  <w:vAlign w:val="center"/>
                </w:tcPr>
                <w:p w14:paraId="49CE6AA0">
                  <w:pPr>
                    <w:widowControl/>
                    <w:kinsoku w:val="0"/>
                    <w:autoSpaceDE w:val="0"/>
                    <w:autoSpaceDN w:val="0"/>
                    <w:spacing w:line="240" w:lineRule="auto"/>
                    <w:jc w:val="center"/>
                    <w:textAlignment w:val="baseline"/>
                    <w:rPr>
                      <w:b/>
                      <w:bCs/>
                      <w:color w:val="000000"/>
                      <w:spacing w:val="10"/>
                      <w:kern w:val="0"/>
                      <w:sz w:val="18"/>
                      <w:szCs w:val="18"/>
                    </w:rPr>
                  </w:pPr>
                  <w:bookmarkStart w:id="59" w:name="_Toc139814206"/>
                  <w:r>
                    <w:rPr>
                      <w:rFonts w:hint="eastAsia" w:ascii="宋体" w:hAnsi="宋体"/>
                      <w:b/>
                      <w:bCs/>
                      <w:color w:val="000000"/>
                      <w:kern w:val="0"/>
                      <w:sz w:val="18"/>
                      <w:szCs w:val="18"/>
                    </w:rPr>
                    <w:t>监测</w:t>
                  </w:r>
                  <w:r>
                    <w:rPr>
                      <w:rFonts w:ascii="宋体" w:hAnsi="宋体"/>
                      <w:b/>
                      <w:bCs/>
                      <w:color w:val="000000"/>
                      <w:spacing w:val="10"/>
                      <w:kern w:val="0"/>
                      <w:sz w:val="18"/>
                      <w:szCs w:val="18"/>
                    </w:rPr>
                    <w:t>内容</w:t>
                  </w:r>
                  <w:bookmarkEnd w:id="59"/>
                </w:p>
              </w:tc>
              <w:tc>
                <w:tcPr>
                  <w:tcW w:w="996" w:type="pct"/>
                  <w:vAlign w:val="center"/>
                </w:tcPr>
                <w:p w14:paraId="0EDD5C90">
                  <w:pPr>
                    <w:widowControl/>
                    <w:kinsoku w:val="0"/>
                    <w:autoSpaceDE w:val="0"/>
                    <w:autoSpaceDN w:val="0"/>
                    <w:spacing w:line="240" w:lineRule="auto"/>
                    <w:jc w:val="center"/>
                    <w:textAlignment w:val="baseline"/>
                    <w:rPr>
                      <w:b/>
                      <w:bCs/>
                      <w:color w:val="000000"/>
                      <w:spacing w:val="10"/>
                      <w:kern w:val="0"/>
                      <w:sz w:val="18"/>
                      <w:szCs w:val="18"/>
                    </w:rPr>
                  </w:pPr>
                  <w:r>
                    <w:rPr>
                      <w:rFonts w:hint="eastAsia" w:ascii="宋体" w:hAnsi="宋体"/>
                      <w:b/>
                      <w:bCs/>
                      <w:color w:val="000000"/>
                      <w:kern w:val="0"/>
                      <w:sz w:val="18"/>
                      <w:szCs w:val="18"/>
                    </w:rPr>
                    <w:t>监测</w:t>
                  </w:r>
                  <w:r>
                    <w:rPr>
                      <w:rFonts w:ascii="宋体" w:hAnsi="宋体"/>
                      <w:b/>
                      <w:bCs/>
                      <w:color w:val="000000"/>
                      <w:spacing w:val="10"/>
                      <w:kern w:val="0"/>
                      <w:sz w:val="18"/>
                      <w:szCs w:val="18"/>
                    </w:rPr>
                    <w:t>地点</w:t>
                  </w:r>
                </w:p>
              </w:tc>
              <w:tc>
                <w:tcPr>
                  <w:tcW w:w="1295" w:type="pct"/>
                  <w:vAlign w:val="center"/>
                </w:tcPr>
                <w:p w14:paraId="5D34AB05">
                  <w:pPr>
                    <w:widowControl/>
                    <w:kinsoku w:val="0"/>
                    <w:autoSpaceDE w:val="0"/>
                    <w:autoSpaceDN w:val="0"/>
                    <w:spacing w:line="240" w:lineRule="auto"/>
                    <w:jc w:val="center"/>
                    <w:textAlignment w:val="baseline"/>
                    <w:rPr>
                      <w:b/>
                      <w:bCs/>
                      <w:color w:val="000000"/>
                      <w:spacing w:val="10"/>
                      <w:kern w:val="0"/>
                      <w:sz w:val="18"/>
                      <w:szCs w:val="18"/>
                    </w:rPr>
                  </w:pPr>
                  <w:r>
                    <w:rPr>
                      <w:rFonts w:hint="eastAsia" w:ascii="宋体" w:hAnsi="宋体"/>
                      <w:b/>
                      <w:bCs/>
                      <w:color w:val="000000"/>
                      <w:kern w:val="0"/>
                      <w:sz w:val="18"/>
                      <w:szCs w:val="18"/>
                    </w:rPr>
                    <w:t>监测</w:t>
                  </w:r>
                  <w:r>
                    <w:rPr>
                      <w:rFonts w:ascii="宋体" w:hAnsi="宋体"/>
                      <w:b/>
                      <w:bCs/>
                      <w:color w:val="000000"/>
                      <w:spacing w:val="10"/>
                      <w:kern w:val="0"/>
                      <w:sz w:val="18"/>
                      <w:szCs w:val="18"/>
                    </w:rPr>
                    <w:t>项目</w:t>
                  </w:r>
                </w:p>
              </w:tc>
              <w:tc>
                <w:tcPr>
                  <w:tcW w:w="2090" w:type="pct"/>
                  <w:vAlign w:val="center"/>
                </w:tcPr>
                <w:p w14:paraId="4891CD30">
                  <w:pPr>
                    <w:widowControl/>
                    <w:kinsoku w:val="0"/>
                    <w:autoSpaceDE w:val="0"/>
                    <w:autoSpaceDN w:val="0"/>
                    <w:spacing w:line="240" w:lineRule="auto"/>
                    <w:jc w:val="center"/>
                    <w:textAlignment w:val="baseline"/>
                    <w:rPr>
                      <w:b/>
                      <w:bCs/>
                      <w:color w:val="000000"/>
                      <w:spacing w:val="10"/>
                      <w:kern w:val="0"/>
                      <w:sz w:val="18"/>
                      <w:szCs w:val="18"/>
                    </w:rPr>
                  </w:pPr>
                  <w:r>
                    <w:rPr>
                      <w:rFonts w:hint="eastAsia" w:ascii="宋体" w:hAnsi="宋体"/>
                      <w:b/>
                      <w:bCs/>
                      <w:color w:val="000000"/>
                      <w:kern w:val="0"/>
                      <w:sz w:val="18"/>
                      <w:szCs w:val="18"/>
                    </w:rPr>
                    <w:t>监测</w:t>
                  </w:r>
                  <w:r>
                    <w:rPr>
                      <w:rFonts w:ascii="宋体" w:hAnsi="宋体"/>
                      <w:b/>
                      <w:bCs/>
                      <w:color w:val="000000"/>
                      <w:spacing w:val="10"/>
                      <w:kern w:val="0"/>
                      <w:sz w:val="18"/>
                      <w:szCs w:val="18"/>
                    </w:rPr>
                    <w:t>频率</w:t>
                  </w:r>
                </w:p>
              </w:tc>
            </w:tr>
            <w:tr w14:paraId="5F3FE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0" w:type="auto"/>
                  <w:vMerge w:val="restart"/>
                  <w:vAlign w:val="center"/>
                </w:tcPr>
                <w:p w14:paraId="7A47E6D2">
                  <w:pPr>
                    <w:widowControl/>
                    <w:kinsoku w:val="0"/>
                    <w:autoSpaceDE w:val="0"/>
                    <w:autoSpaceDN w:val="0"/>
                    <w:spacing w:line="240" w:lineRule="auto"/>
                    <w:jc w:val="center"/>
                    <w:textAlignment w:val="baseline"/>
                    <w:rPr>
                      <w:bCs/>
                      <w:color w:val="000000"/>
                      <w:spacing w:val="10"/>
                      <w:kern w:val="0"/>
                      <w:sz w:val="18"/>
                      <w:szCs w:val="18"/>
                    </w:rPr>
                  </w:pPr>
                  <w:commentRangeStart w:id="73"/>
                  <w:commentRangeStart w:id="74"/>
                  <w:r>
                    <w:rPr>
                      <w:rFonts w:ascii="宋体" w:hAnsi="宋体"/>
                      <w:bCs/>
                      <w:color w:val="000000"/>
                      <w:spacing w:val="10"/>
                      <w:kern w:val="0"/>
                      <w:sz w:val="18"/>
                      <w:szCs w:val="18"/>
                    </w:rPr>
                    <w:t>施工期</w:t>
                  </w:r>
                  <w:commentRangeEnd w:id="73"/>
                  <w:r>
                    <w:rPr>
                      <w:rStyle w:val="38"/>
                      <w:bCs/>
                      <w:color w:val="000000"/>
                      <w:spacing w:val="10"/>
                      <w:kern w:val="0"/>
                      <w:sz w:val="18"/>
                      <w:szCs w:val="18"/>
                    </w:rPr>
                    <w:commentReference w:id="73"/>
                  </w:r>
                  <w:commentRangeEnd w:id="74"/>
                  <w:r>
                    <w:rPr>
                      <w:rStyle w:val="38"/>
                      <w:bCs/>
                      <w:color w:val="000000"/>
                      <w:spacing w:val="10"/>
                      <w:kern w:val="0"/>
                      <w:sz w:val="18"/>
                      <w:szCs w:val="18"/>
                    </w:rPr>
                    <w:commentReference w:id="74"/>
                  </w:r>
                </w:p>
              </w:tc>
              <w:tc>
                <w:tcPr>
                  <w:tcW w:w="0" w:type="auto"/>
                  <w:vAlign w:val="center"/>
                </w:tcPr>
                <w:p w14:paraId="336EEE71">
                  <w:pPr>
                    <w:widowControl/>
                    <w:kinsoku w:val="0"/>
                    <w:autoSpaceDE w:val="0"/>
                    <w:autoSpaceDN w:val="0"/>
                    <w:spacing w:line="240" w:lineRule="auto"/>
                    <w:jc w:val="center"/>
                    <w:textAlignment w:val="baseline"/>
                    <w:rPr>
                      <w:bCs/>
                      <w:color w:val="000000"/>
                      <w:spacing w:val="10"/>
                      <w:kern w:val="0"/>
                      <w:sz w:val="18"/>
                      <w:szCs w:val="18"/>
                    </w:rPr>
                  </w:pPr>
                  <w:r>
                    <w:rPr>
                      <w:rFonts w:ascii="宋体" w:hAnsi="宋体"/>
                      <w:bCs/>
                      <w:color w:val="000000"/>
                      <w:spacing w:val="10"/>
                      <w:kern w:val="0"/>
                      <w:sz w:val="18"/>
                      <w:szCs w:val="18"/>
                    </w:rPr>
                    <w:t>噪声</w:t>
                  </w:r>
                </w:p>
              </w:tc>
              <w:tc>
                <w:tcPr>
                  <w:tcW w:w="996" w:type="pct"/>
                  <w:vAlign w:val="center"/>
                </w:tcPr>
                <w:p w14:paraId="41BE2B1C">
                  <w:pPr>
                    <w:widowControl/>
                    <w:kinsoku w:val="0"/>
                    <w:autoSpaceDE w:val="0"/>
                    <w:autoSpaceDN w:val="0"/>
                    <w:spacing w:line="240" w:lineRule="auto"/>
                    <w:jc w:val="center"/>
                    <w:textAlignment w:val="baseline"/>
                    <w:rPr>
                      <w:bCs/>
                      <w:color w:val="000000"/>
                      <w:spacing w:val="10"/>
                      <w:kern w:val="0"/>
                      <w:sz w:val="18"/>
                      <w:szCs w:val="18"/>
                    </w:rPr>
                  </w:pPr>
                  <w:r>
                    <w:rPr>
                      <w:rFonts w:hint="eastAsia"/>
                      <w:bCs/>
                      <w:color w:val="000000"/>
                      <w:spacing w:val="10"/>
                      <w:kern w:val="0"/>
                      <w:sz w:val="18"/>
                      <w:szCs w:val="18"/>
                    </w:rPr>
                    <w:t>道路工程沿线范围内平均布数个点位</w:t>
                  </w:r>
                </w:p>
              </w:tc>
              <w:tc>
                <w:tcPr>
                  <w:tcW w:w="1295" w:type="pct"/>
                  <w:vAlign w:val="center"/>
                </w:tcPr>
                <w:p w14:paraId="3788A4A5">
                  <w:pPr>
                    <w:widowControl/>
                    <w:kinsoku w:val="0"/>
                    <w:autoSpaceDE w:val="0"/>
                    <w:autoSpaceDN w:val="0"/>
                    <w:spacing w:line="240" w:lineRule="auto"/>
                    <w:jc w:val="center"/>
                    <w:textAlignment w:val="baseline"/>
                    <w:rPr>
                      <w:bCs/>
                      <w:color w:val="000000"/>
                      <w:spacing w:val="10"/>
                      <w:kern w:val="0"/>
                      <w:sz w:val="18"/>
                      <w:szCs w:val="18"/>
                    </w:rPr>
                  </w:pPr>
                  <w:r>
                    <w:rPr>
                      <w:bCs/>
                      <w:color w:val="000000"/>
                      <w:spacing w:val="10"/>
                      <w:kern w:val="0"/>
                      <w:sz w:val="18"/>
                      <w:szCs w:val="18"/>
                    </w:rPr>
                    <w:t>L</w:t>
                  </w:r>
                  <w:r>
                    <w:rPr>
                      <w:bCs/>
                      <w:color w:val="000000"/>
                      <w:spacing w:val="10"/>
                      <w:kern w:val="0"/>
                      <w:sz w:val="18"/>
                      <w:szCs w:val="18"/>
                      <w:vertAlign w:val="subscript"/>
                    </w:rPr>
                    <w:t>Aeq</w:t>
                  </w:r>
                </w:p>
              </w:tc>
              <w:tc>
                <w:tcPr>
                  <w:tcW w:w="2090" w:type="pct"/>
                  <w:vAlign w:val="center"/>
                </w:tcPr>
                <w:p w14:paraId="10210EC2">
                  <w:pPr>
                    <w:widowControl/>
                    <w:kinsoku w:val="0"/>
                    <w:autoSpaceDE w:val="0"/>
                    <w:autoSpaceDN w:val="0"/>
                    <w:spacing w:line="240" w:lineRule="auto"/>
                    <w:jc w:val="center"/>
                    <w:textAlignment w:val="baseline"/>
                    <w:rPr>
                      <w:bCs/>
                      <w:color w:val="000000"/>
                      <w:spacing w:val="10"/>
                      <w:kern w:val="0"/>
                      <w:sz w:val="18"/>
                      <w:szCs w:val="18"/>
                    </w:rPr>
                  </w:pPr>
                  <w:r>
                    <w:rPr>
                      <w:rFonts w:hint="eastAsia" w:ascii="宋体" w:hAnsi="宋体"/>
                      <w:bCs/>
                      <w:color w:val="000000"/>
                      <w:spacing w:val="10"/>
                      <w:kern w:val="0"/>
                      <w:sz w:val="18"/>
                      <w:szCs w:val="18"/>
                    </w:rPr>
                    <w:t>施工高峰期昼夜各一次</w:t>
                  </w:r>
                </w:p>
              </w:tc>
            </w:tr>
            <w:tr w14:paraId="657B8C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0" w:type="auto"/>
                  <w:vMerge w:val="continue"/>
                  <w:vAlign w:val="center"/>
                </w:tcPr>
                <w:p w14:paraId="3095496D">
                  <w:pPr>
                    <w:widowControl/>
                    <w:adjustRightInd/>
                    <w:snapToGrid/>
                    <w:spacing w:line="240" w:lineRule="auto"/>
                    <w:jc w:val="left"/>
                    <w:rPr>
                      <w:bCs/>
                      <w:color w:val="000000"/>
                      <w:spacing w:val="10"/>
                      <w:kern w:val="0"/>
                      <w:sz w:val="18"/>
                      <w:szCs w:val="18"/>
                    </w:rPr>
                  </w:pPr>
                </w:p>
              </w:tc>
              <w:tc>
                <w:tcPr>
                  <w:tcW w:w="0" w:type="auto"/>
                  <w:vAlign w:val="center"/>
                </w:tcPr>
                <w:p w14:paraId="6A2E9EC8">
                  <w:pPr>
                    <w:widowControl/>
                    <w:kinsoku w:val="0"/>
                    <w:autoSpaceDE w:val="0"/>
                    <w:autoSpaceDN w:val="0"/>
                    <w:spacing w:line="240" w:lineRule="auto"/>
                    <w:jc w:val="center"/>
                    <w:textAlignment w:val="baseline"/>
                    <w:rPr>
                      <w:bCs/>
                      <w:color w:val="000000"/>
                      <w:spacing w:val="10"/>
                      <w:kern w:val="0"/>
                      <w:sz w:val="18"/>
                      <w:szCs w:val="18"/>
                    </w:rPr>
                  </w:pPr>
                  <w:r>
                    <w:rPr>
                      <w:rFonts w:ascii="宋体" w:hAnsi="宋体"/>
                      <w:bCs/>
                      <w:color w:val="000000"/>
                      <w:spacing w:val="10"/>
                      <w:kern w:val="0"/>
                      <w:sz w:val="18"/>
                      <w:szCs w:val="18"/>
                    </w:rPr>
                    <w:t>大气</w:t>
                  </w:r>
                </w:p>
              </w:tc>
              <w:tc>
                <w:tcPr>
                  <w:tcW w:w="996" w:type="pct"/>
                  <w:vAlign w:val="center"/>
                </w:tcPr>
                <w:p w14:paraId="198E43BD">
                  <w:pPr>
                    <w:widowControl/>
                    <w:kinsoku w:val="0"/>
                    <w:autoSpaceDE w:val="0"/>
                    <w:autoSpaceDN w:val="0"/>
                    <w:spacing w:line="240" w:lineRule="auto"/>
                    <w:jc w:val="center"/>
                    <w:textAlignment w:val="baseline"/>
                    <w:rPr>
                      <w:bCs/>
                      <w:color w:val="000000"/>
                      <w:spacing w:val="10"/>
                      <w:kern w:val="0"/>
                      <w:sz w:val="18"/>
                      <w:szCs w:val="18"/>
                    </w:rPr>
                  </w:pPr>
                  <w:r>
                    <w:rPr>
                      <w:rFonts w:hint="eastAsia"/>
                      <w:bCs/>
                      <w:color w:val="000000"/>
                      <w:spacing w:val="10"/>
                      <w:kern w:val="0"/>
                      <w:sz w:val="18"/>
                      <w:szCs w:val="18"/>
                    </w:rPr>
                    <w:t>道路工程沿线范围内平均布数个点位</w:t>
                  </w:r>
                </w:p>
              </w:tc>
              <w:tc>
                <w:tcPr>
                  <w:tcW w:w="1295" w:type="pct"/>
                  <w:vAlign w:val="center"/>
                </w:tcPr>
                <w:p w14:paraId="01C95E6A">
                  <w:pPr>
                    <w:widowControl/>
                    <w:kinsoku w:val="0"/>
                    <w:autoSpaceDE w:val="0"/>
                    <w:autoSpaceDN w:val="0"/>
                    <w:spacing w:line="240" w:lineRule="auto"/>
                    <w:jc w:val="center"/>
                    <w:textAlignment w:val="baseline"/>
                    <w:rPr>
                      <w:bCs/>
                      <w:color w:val="000000"/>
                      <w:spacing w:val="10"/>
                      <w:kern w:val="0"/>
                      <w:sz w:val="18"/>
                      <w:szCs w:val="18"/>
                    </w:rPr>
                  </w:pPr>
                  <w:r>
                    <w:rPr>
                      <w:bCs/>
                      <w:color w:val="000000"/>
                      <w:spacing w:val="10"/>
                      <w:kern w:val="0"/>
                      <w:sz w:val="18"/>
                      <w:szCs w:val="18"/>
                    </w:rPr>
                    <w:t>TSP</w:t>
                  </w:r>
                </w:p>
              </w:tc>
              <w:tc>
                <w:tcPr>
                  <w:tcW w:w="2090" w:type="pct"/>
                  <w:vAlign w:val="center"/>
                </w:tcPr>
                <w:p w14:paraId="2537B731">
                  <w:pPr>
                    <w:widowControl/>
                    <w:kinsoku w:val="0"/>
                    <w:autoSpaceDE w:val="0"/>
                    <w:autoSpaceDN w:val="0"/>
                    <w:spacing w:line="240" w:lineRule="auto"/>
                    <w:jc w:val="center"/>
                    <w:textAlignment w:val="baseline"/>
                    <w:rPr>
                      <w:bCs/>
                      <w:color w:val="000000"/>
                      <w:spacing w:val="10"/>
                      <w:kern w:val="0"/>
                      <w:sz w:val="18"/>
                      <w:szCs w:val="18"/>
                    </w:rPr>
                  </w:pPr>
                  <w:r>
                    <w:rPr>
                      <w:rFonts w:hint="eastAsia" w:ascii="宋体" w:hAnsi="宋体"/>
                      <w:bCs/>
                      <w:color w:val="000000"/>
                      <w:spacing w:val="10"/>
                      <w:kern w:val="0"/>
                      <w:sz w:val="18"/>
                      <w:szCs w:val="18"/>
                    </w:rPr>
                    <w:t>施工高峰期连续监测</w:t>
                  </w:r>
                  <w:r>
                    <w:rPr>
                      <w:rFonts w:hint="eastAsia"/>
                      <w:bCs/>
                      <w:color w:val="000000"/>
                      <w:spacing w:val="10"/>
                      <w:kern w:val="0"/>
                      <w:sz w:val="18"/>
                      <w:szCs w:val="18"/>
                    </w:rPr>
                    <w:t>7</w:t>
                  </w:r>
                  <w:r>
                    <w:rPr>
                      <w:rFonts w:hint="eastAsia" w:ascii="宋体" w:hAnsi="宋体"/>
                      <w:bCs/>
                      <w:color w:val="000000"/>
                      <w:spacing w:val="10"/>
                      <w:kern w:val="0"/>
                      <w:sz w:val="18"/>
                      <w:szCs w:val="18"/>
                    </w:rPr>
                    <w:t>天</w:t>
                  </w:r>
                </w:p>
              </w:tc>
            </w:tr>
            <w:tr w14:paraId="7DF11B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0" w:type="auto"/>
                  <w:vMerge w:val="continue"/>
                  <w:vAlign w:val="center"/>
                </w:tcPr>
                <w:p w14:paraId="62B499E6">
                  <w:pPr>
                    <w:widowControl/>
                    <w:adjustRightInd/>
                    <w:snapToGrid/>
                    <w:spacing w:line="240" w:lineRule="auto"/>
                    <w:jc w:val="left"/>
                    <w:rPr>
                      <w:bCs/>
                      <w:color w:val="000000"/>
                      <w:spacing w:val="10"/>
                      <w:kern w:val="0"/>
                      <w:sz w:val="18"/>
                      <w:szCs w:val="18"/>
                    </w:rPr>
                  </w:pPr>
                </w:p>
              </w:tc>
              <w:tc>
                <w:tcPr>
                  <w:tcW w:w="0" w:type="auto"/>
                  <w:vAlign w:val="center"/>
                </w:tcPr>
                <w:p w14:paraId="4581014B">
                  <w:pPr>
                    <w:widowControl/>
                    <w:kinsoku w:val="0"/>
                    <w:autoSpaceDE w:val="0"/>
                    <w:autoSpaceDN w:val="0"/>
                    <w:spacing w:line="240" w:lineRule="auto"/>
                    <w:jc w:val="center"/>
                    <w:textAlignment w:val="baseline"/>
                    <w:rPr>
                      <w:rFonts w:hint="eastAsia" w:ascii="宋体" w:hAnsi="宋体"/>
                      <w:bCs/>
                      <w:color w:val="000000"/>
                      <w:spacing w:val="10"/>
                      <w:kern w:val="0"/>
                      <w:sz w:val="18"/>
                      <w:szCs w:val="18"/>
                    </w:rPr>
                  </w:pPr>
                  <w:r>
                    <w:rPr>
                      <w:rFonts w:hint="eastAsia" w:ascii="宋体" w:hAnsi="宋体"/>
                      <w:bCs/>
                      <w:color w:val="000000"/>
                      <w:spacing w:val="10"/>
                      <w:kern w:val="0"/>
                      <w:sz w:val="18"/>
                      <w:szCs w:val="18"/>
                    </w:rPr>
                    <w:t>地表水</w:t>
                  </w:r>
                </w:p>
              </w:tc>
              <w:tc>
                <w:tcPr>
                  <w:tcW w:w="996" w:type="pct"/>
                  <w:vAlign w:val="center"/>
                </w:tcPr>
                <w:p w14:paraId="011B73F0">
                  <w:pPr>
                    <w:widowControl/>
                    <w:kinsoku w:val="0"/>
                    <w:autoSpaceDE w:val="0"/>
                    <w:autoSpaceDN w:val="0"/>
                    <w:spacing w:line="240" w:lineRule="auto"/>
                    <w:jc w:val="center"/>
                    <w:textAlignment w:val="baseline"/>
                    <w:rPr>
                      <w:bCs/>
                      <w:color w:val="000000"/>
                      <w:spacing w:val="10"/>
                      <w:kern w:val="0"/>
                      <w:sz w:val="18"/>
                      <w:szCs w:val="18"/>
                    </w:rPr>
                  </w:pPr>
                  <w:r>
                    <w:rPr>
                      <w:rFonts w:hint="eastAsia"/>
                      <w:bCs/>
                      <w:color w:val="000000"/>
                      <w:spacing w:val="10"/>
                      <w:kern w:val="0"/>
                      <w:sz w:val="18"/>
                      <w:szCs w:val="18"/>
                    </w:rPr>
                    <w:t>桥梁施工段水域的上下游河道</w:t>
                  </w:r>
                </w:p>
              </w:tc>
              <w:tc>
                <w:tcPr>
                  <w:tcW w:w="1295" w:type="pct"/>
                  <w:vAlign w:val="center"/>
                </w:tcPr>
                <w:p w14:paraId="153B81ED">
                  <w:pPr>
                    <w:widowControl/>
                    <w:kinsoku w:val="0"/>
                    <w:autoSpaceDE w:val="0"/>
                    <w:autoSpaceDN w:val="0"/>
                    <w:spacing w:line="240" w:lineRule="auto"/>
                    <w:jc w:val="center"/>
                    <w:textAlignment w:val="baseline"/>
                    <w:rPr>
                      <w:bCs/>
                      <w:color w:val="000000"/>
                      <w:spacing w:val="10"/>
                      <w:kern w:val="0"/>
                      <w:sz w:val="18"/>
                      <w:szCs w:val="18"/>
                    </w:rPr>
                  </w:pPr>
                  <w:r>
                    <w:rPr>
                      <w:bCs/>
                      <w:color w:val="000000"/>
                      <w:spacing w:val="10"/>
                      <w:kern w:val="0"/>
                      <w:sz w:val="18"/>
                      <w:szCs w:val="18"/>
                    </w:rPr>
                    <w:t>水温、pH值、DO、COD、BOD₅、高锰酸盐指数、NH₃-N、TP</w:t>
                  </w:r>
                  <w:r>
                    <w:rPr>
                      <w:rFonts w:hint="eastAsia"/>
                      <w:bCs/>
                      <w:color w:val="000000"/>
                      <w:spacing w:val="10"/>
                      <w:kern w:val="0"/>
                      <w:sz w:val="18"/>
                      <w:szCs w:val="18"/>
                    </w:rPr>
                    <w:t>、SS、石油类</w:t>
                  </w:r>
                </w:p>
              </w:tc>
              <w:tc>
                <w:tcPr>
                  <w:tcW w:w="2090" w:type="pct"/>
                  <w:vAlign w:val="center"/>
                </w:tcPr>
                <w:p w14:paraId="26F41C5E">
                  <w:pPr>
                    <w:widowControl/>
                    <w:kinsoku w:val="0"/>
                    <w:autoSpaceDE w:val="0"/>
                    <w:autoSpaceDN w:val="0"/>
                    <w:spacing w:line="240" w:lineRule="auto"/>
                    <w:jc w:val="center"/>
                    <w:textAlignment w:val="baseline"/>
                    <w:rPr>
                      <w:rFonts w:hint="eastAsia" w:ascii="宋体" w:hAnsi="宋体"/>
                      <w:bCs/>
                      <w:color w:val="000000"/>
                      <w:spacing w:val="10"/>
                      <w:kern w:val="0"/>
                      <w:sz w:val="18"/>
                      <w:szCs w:val="18"/>
                    </w:rPr>
                  </w:pPr>
                  <w:r>
                    <w:rPr>
                      <w:rFonts w:hint="eastAsia" w:ascii="宋体" w:hAnsi="宋体"/>
                      <w:bCs/>
                      <w:color w:val="000000"/>
                      <w:spacing w:val="10"/>
                      <w:kern w:val="0"/>
                      <w:sz w:val="18"/>
                      <w:szCs w:val="18"/>
                    </w:rPr>
                    <w:t>施工高峰期每月监测一次</w:t>
                  </w:r>
                </w:p>
              </w:tc>
            </w:tr>
            <w:tr w14:paraId="033C5E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cantSplit/>
                <w:trHeight w:val="340" w:hRule="atLeast"/>
                <w:jc w:val="center"/>
              </w:trPr>
              <w:tc>
                <w:tcPr>
                  <w:tcW w:w="0" w:type="auto"/>
                  <w:vAlign w:val="center"/>
                </w:tcPr>
                <w:p w14:paraId="4FC9CFBC">
                  <w:pPr>
                    <w:widowControl/>
                    <w:kinsoku w:val="0"/>
                    <w:autoSpaceDE w:val="0"/>
                    <w:autoSpaceDN w:val="0"/>
                    <w:spacing w:line="240" w:lineRule="auto"/>
                    <w:jc w:val="center"/>
                    <w:textAlignment w:val="baseline"/>
                    <w:rPr>
                      <w:bCs/>
                      <w:color w:val="000000"/>
                      <w:spacing w:val="10"/>
                      <w:kern w:val="0"/>
                      <w:sz w:val="18"/>
                      <w:szCs w:val="18"/>
                    </w:rPr>
                  </w:pPr>
                  <w:r>
                    <w:rPr>
                      <w:rFonts w:ascii="宋体" w:hAnsi="宋体"/>
                      <w:bCs/>
                      <w:color w:val="000000"/>
                      <w:spacing w:val="10"/>
                      <w:kern w:val="0"/>
                      <w:sz w:val="18"/>
                      <w:szCs w:val="18"/>
                    </w:rPr>
                    <w:t>营运期</w:t>
                  </w:r>
                </w:p>
              </w:tc>
              <w:tc>
                <w:tcPr>
                  <w:tcW w:w="0" w:type="auto"/>
                  <w:vAlign w:val="center"/>
                </w:tcPr>
                <w:p w14:paraId="0C3332D8">
                  <w:pPr>
                    <w:widowControl/>
                    <w:kinsoku w:val="0"/>
                    <w:autoSpaceDE w:val="0"/>
                    <w:autoSpaceDN w:val="0"/>
                    <w:spacing w:line="240" w:lineRule="auto"/>
                    <w:jc w:val="center"/>
                    <w:textAlignment w:val="baseline"/>
                    <w:rPr>
                      <w:bCs/>
                      <w:color w:val="000000"/>
                      <w:spacing w:val="10"/>
                      <w:kern w:val="0"/>
                      <w:sz w:val="18"/>
                      <w:szCs w:val="18"/>
                    </w:rPr>
                  </w:pPr>
                  <w:r>
                    <w:rPr>
                      <w:rFonts w:ascii="宋体" w:hAnsi="宋体"/>
                      <w:bCs/>
                      <w:color w:val="000000"/>
                      <w:spacing w:val="10"/>
                      <w:kern w:val="0"/>
                      <w:sz w:val="18"/>
                      <w:szCs w:val="18"/>
                    </w:rPr>
                    <w:t>噪声</w:t>
                  </w:r>
                </w:p>
              </w:tc>
              <w:tc>
                <w:tcPr>
                  <w:tcW w:w="996" w:type="pct"/>
                  <w:vAlign w:val="center"/>
                </w:tcPr>
                <w:p w14:paraId="23325041">
                  <w:pPr>
                    <w:widowControl/>
                    <w:kinsoku w:val="0"/>
                    <w:autoSpaceDE w:val="0"/>
                    <w:autoSpaceDN w:val="0"/>
                    <w:spacing w:line="240" w:lineRule="auto"/>
                    <w:jc w:val="center"/>
                    <w:textAlignment w:val="baseline"/>
                    <w:rPr>
                      <w:bCs/>
                      <w:color w:val="000000"/>
                      <w:spacing w:val="10"/>
                      <w:kern w:val="0"/>
                      <w:sz w:val="18"/>
                      <w:szCs w:val="18"/>
                    </w:rPr>
                  </w:pPr>
                  <w:r>
                    <w:rPr>
                      <w:rFonts w:hint="eastAsia"/>
                      <w:bCs/>
                      <w:color w:val="000000"/>
                      <w:spacing w:val="10"/>
                      <w:kern w:val="0"/>
                      <w:sz w:val="18"/>
                      <w:szCs w:val="18"/>
                    </w:rPr>
                    <w:t>道路沿线平均布数个点位或在未来新建的住宅等敏感点周边监测</w:t>
                  </w:r>
                </w:p>
              </w:tc>
              <w:tc>
                <w:tcPr>
                  <w:tcW w:w="1295" w:type="pct"/>
                  <w:vAlign w:val="center"/>
                </w:tcPr>
                <w:p w14:paraId="5C3D818A">
                  <w:pPr>
                    <w:widowControl/>
                    <w:kinsoku w:val="0"/>
                    <w:autoSpaceDE w:val="0"/>
                    <w:autoSpaceDN w:val="0"/>
                    <w:spacing w:line="240" w:lineRule="auto"/>
                    <w:jc w:val="center"/>
                    <w:textAlignment w:val="baseline"/>
                    <w:rPr>
                      <w:bCs/>
                      <w:color w:val="000000"/>
                      <w:spacing w:val="10"/>
                      <w:kern w:val="0"/>
                      <w:sz w:val="18"/>
                      <w:szCs w:val="18"/>
                    </w:rPr>
                  </w:pPr>
                  <w:r>
                    <w:rPr>
                      <w:bCs/>
                      <w:color w:val="000000"/>
                      <w:spacing w:val="10"/>
                      <w:kern w:val="0"/>
                      <w:sz w:val="18"/>
                      <w:szCs w:val="18"/>
                    </w:rPr>
                    <w:t>L</w:t>
                  </w:r>
                  <w:r>
                    <w:rPr>
                      <w:bCs/>
                      <w:color w:val="000000"/>
                      <w:spacing w:val="10"/>
                      <w:kern w:val="0"/>
                      <w:sz w:val="18"/>
                      <w:szCs w:val="18"/>
                      <w:vertAlign w:val="subscript"/>
                    </w:rPr>
                    <w:t>Aeq</w:t>
                  </w:r>
                </w:p>
              </w:tc>
              <w:tc>
                <w:tcPr>
                  <w:tcW w:w="2090" w:type="pct"/>
                  <w:vAlign w:val="center"/>
                </w:tcPr>
                <w:p w14:paraId="3E9F6040">
                  <w:pPr>
                    <w:widowControl/>
                    <w:kinsoku w:val="0"/>
                    <w:autoSpaceDE w:val="0"/>
                    <w:autoSpaceDN w:val="0"/>
                    <w:spacing w:line="240" w:lineRule="auto"/>
                    <w:jc w:val="center"/>
                    <w:textAlignment w:val="baseline"/>
                    <w:rPr>
                      <w:bCs/>
                      <w:color w:val="000000"/>
                      <w:spacing w:val="10"/>
                      <w:kern w:val="0"/>
                      <w:sz w:val="18"/>
                      <w:szCs w:val="18"/>
                    </w:rPr>
                  </w:pPr>
                  <w:r>
                    <w:rPr>
                      <w:rFonts w:ascii="宋体" w:hAnsi="宋体"/>
                      <w:bCs/>
                      <w:color w:val="000000"/>
                      <w:spacing w:val="10"/>
                      <w:kern w:val="0"/>
                      <w:sz w:val="18"/>
                      <w:szCs w:val="18"/>
                    </w:rPr>
                    <w:t>近中远期各监测一次；若有居民提出，增加监测；每次监测昼夜各一次</w:t>
                  </w:r>
                </w:p>
              </w:tc>
            </w:tr>
          </w:tbl>
          <w:p w14:paraId="3DF99A44">
            <w:pPr>
              <w:pStyle w:val="3"/>
            </w:pPr>
            <w:r>
              <w:t>竣工验收监测</w:t>
            </w:r>
          </w:p>
          <w:p w14:paraId="2B9FFFB1">
            <w:pPr>
              <w:widowControl/>
              <w:kinsoku w:val="0"/>
              <w:autoSpaceDE w:val="0"/>
              <w:autoSpaceDN w:val="0"/>
              <w:ind w:firstLine="420" w:firstLineChars="200"/>
              <w:textAlignment w:val="baseline"/>
              <w:rPr>
                <w:bCs/>
                <w:color w:val="000000"/>
                <w:spacing w:val="10"/>
                <w:kern w:val="0"/>
                <w:szCs w:val="21"/>
              </w:rPr>
            </w:pPr>
            <w:r>
              <w:rPr>
                <w:rFonts w:ascii="宋体" w:hAnsi="宋体"/>
                <w:color w:val="000000"/>
                <w:kern w:val="0"/>
                <w:szCs w:val="21"/>
              </w:rPr>
              <w:t>建设项目完工运行后建设单位应当进行竣工环境保护验收。建设单位应当参照《建设项目竣工环境保护验收技术规范</w:t>
            </w:r>
            <w:r>
              <w:rPr>
                <w:color w:val="000000"/>
                <w:kern w:val="0"/>
                <w:szCs w:val="21"/>
              </w:rPr>
              <w:t xml:space="preserve"> </w:t>
            </w:r>
            <w:r>
              <w:rPr>
                <w:rFonts w:ascii="宋体" w:hAnsi="宋体"/>
                <w:color w:val="000000"/>
                <w:kern w:val="0"/>
                <w:szCs w:val="21"/>
              </w:rPr>
              <w:t>生态影响类》（</w:t>
            </w:r>
            <w:r>
              <w:rPr>
                <w:color w:val="000000"/>
                <w:kern w:val="0"/>
                <w:szCs w:val="21"/>
              </w:rPr>
              <w:t>HJ/T394-2007</w:t>
            </w:r>
            <w:r>
              <w:rPr>
                <w:rFonts w:ascii="宋体" w:hAnsi="宋体"/>
                <w:color w:val="000000"/>
                <w:kern w:val="0"/>
                <w:szCs w:val="21"/>
              </w:rPr>
              <w:t>）中的相关要求，对项目进行验收监测。</w:t>
            </w:r>
          </w:p>
        </w:tc>
      </w:tr>
      <w:tr w14:paraId="165297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753" w:type="dxa"/>
            <w:tcBorders>
              <w:top w:val="single" w:color="auto" w:sz="4" w:space="0"/>
              <w:left w:val="single" w:color="auto" w:sz="8" w:space="0"/>
              <w:bottom w:val="single" w:color="auto" w:sz="8" w:space="0"/>
              <w:right w:val="single" w:color="auto" w:sz="4" w:space="0"/>
            </w:tcBorders>
            <w:vAlign w:val="center"/>
          </w:tcPr>
          <w:p w14:paraId="71994CB6">
            <w:pPr>
              <w:widowControl/>
              <w:kinsoku w:val="0"/>
              <w:autoSpaceDE w:val="0"/>
              <w:autoSpaceDN w:val="0"/>
              <w:spacing w:line="240" w:lineRule="auto"/>
              <w:jc w:val="center"/>
              <w:textAlignment w:val="baseline"/>
              <w:rPr>
                <w:bCs/>
                <w:color w:val="000000"/>
                <w:spacing w:val="10"/>
                <w:kern w:val="0"/>
                <w:szCs w:val="21"/>
              </w:rPr>
            </w:pPr>
            <w:r>
              <w:rPr>
                <w:rFonts w:ascii="宋体" w:hAnsi="宋体"/>
                <w:bCs/>
                <w:color w:val="000000"/>
                <w:kern w:val="0"/>
                <w:szCs w:val="21"/>
              </w:rPr>
              <w:t>环保投资</w:t>
            </w:r>
          </w:p>
        </w:tc>
        <w:tc>
          <w:tcPr>
            <w:tcW w:w="8457" w:type="dxa"/>
            <w:tcBorders>
              <w:top w:val="single" w:color="auto" w:sz="4" w:space="0"/>
              <w:left w:val="single" w:color="auto" w:sz="4" w:space="0"/>
              <w:bottom w:val="single" w:color="auto" w:sz="8" w:space="0"/>
              <w:right w:val="single" w:color="auto" w:sz="8" w:space="0"/>
            </w:tcBorders>
          </w:tcPr>
          <w:p w14:paraId="2120E744">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根据本项目</w:t>
            </w:r>
            <w:r>
              <w:rPr>
                <w:rFonts w:hint="eastAsia" w:ascii="宋体" w:hAnsi="宋体"/>
                <w:color w:val="000000"/>
                <w:kern w:val="0"/>
                <w:szCs w:val="21"/>
              </w:rPr>
              <w:t>生态</w:t>
            </w:r>
            <w:r>
              <w:rPr>
                <w:rFonts w:ascii="宋体" w:hAnsi="宋体"/>
                <w:color w:val="000000"/>
                <w:kern w:val="0"/>
                <w:szCs w:val="21"/>
              </w:rPr>
              <w:t>环境影响评价的情况结合道路环保设施投资措施，估算出项目环保总投资约</w:t>
            </w:r>
            <w:r>
              <w:rPr>
                <w:rFonts w:hint="eastAsia"/>
                <w:color w:val="000000"/>
                <w:kern w:val="0"/>
                <w:szCs w:val="21"/>
              </w:rPr>
              <w:t>65</w:t>
            </w:r>
            <w:r>
              <w:rPr>
                <w:rFonts w:ascii="宋体" w:hAnsi="宋体"/>
                <w:color w:val="000000"/>
                <w:kern w:val="0"/>
                <w:szCs w:val="21"/>
              </w:rPr>
              <w:t>万元；水土保持投资另行计费，不计入环保投资，费用估算见下表。直接环保投资包括噪声治理、废水、环境空气污染防治及施工期、营运期的</w:t>
            </w:r>
            <w:r>
              <w:rPr>
                <w:rFonts w:hint="eastAsia" w:ascii="宋体" w:hAnsi="宋体"/>
                <w:color w:val="000000"/>
                <w:kern w:val="0"/>
                <w:szCs w:val="21"/>
              </w:rPr>
              <w:t>生态</w:t>
            </w:r>
            <w:r>
              <w:rPr>
                <w:rFonts w:ascii="宋体" w:hAnsi="宋体"/>
                <w:color w:val="000000"/>
                <w:kern w:val="0"/>
                <w:szCs w:val="21"/>
              </w:rPr>
              <w:t>环境</w:t>
            </w:r>
            <w:r>
              <w:rPr>
                <w:rFonts w:hint="eastAsia" w:ascii="宋体" w:hAnsi="宋体"/>
                <w:color w:val="000000"/>
                <w:kern w:val="0"/>
                <w:szCs w:val="21"/>
              </w:rPr>
              <w:t>监测</w:t>
            </w:r>
            <w:r>
              <w:rPr>
                <w:rFonts w:ascii="宋体" w:hAnsi="宋体"/>
                <w:color w:val="000000"/>
                <w:kern w:val="0"/>
                <w:szCs w:val="21"/>
              </w:rPr>
              <w:t>等。本项目全线总投资</w:t>
            </w:r>
            <w:r>
              <w:rPr>
                <w:color w:val="000000"/>
                <w:kern w:val="0"/>
                <w:szCs w:val="21"/>
              </w:rPr>
              <w:t>8674.92</w:t>
            </w:r>
            <w:r>
              <w:rPr>
                <w:rFonts w:ascii="宋体" w:hAnsi="宋体"/>
                <w:color w:val="000000"/>
                <w:kern w:val="0"/>
                <w:szCs w:val="21"/>
              </w:rPr>
              <w:t>万元，环保总投资为</w:t>
            </w:r>
            <w:r>
              <w:rPr>
                <w:rFonts w:hint="eastAsia"/>
                <w:color w:val="000000"/>
                <w:kern w:val="0"/>
                <w:szCs w:val="21"/>
              </w:rPr>
              <w:t>65</w:t>
            </w:r>
            <w:r>
              <w:rPr>
                <w:rFonts w:ascii="宋体" w:hAnsi="宋体"/>
                <w:color w:val="000000"/>
                <w:kern w:val="0"/>
                <w:szCs w:val="21"/>
              </w:rPr>
              <w:t>万元，占总投资的</w:t>
            </w:r>
            <w:r>
              <w:rPr>
                <w:rFonts w:hint="eastAsia"/>
                <w:color w:val="000000"/>
                <w:kern w:val="0"/>
                <w:szCs w:val="21"/>
              </w:rPr>
              <w:t>0.75</w:t>
            </w:r>
            <w:r>
              <w:rPr>
                <w:color w:val="000000"/>
                <w:kern w:val="0"/>
                <w:szCs w:val="21"/>
              </w:rPr>
              <w:t>%</w:t>
            </w:r>
            <w:r>
              <w:rPr>
                <w:rFonts w:ascii="宋体" w:hAnsi="宋体"/>
                <w:color w:val="000000"/>
                <w:kern w:val="0"/>
                <w:szCs w:val="21"/>
              </w:rPr>
              <w:t>。</w:t>
            </w:r>
          </w:p>
          <w:p w14:paraId="0654ED01">
            <w:pPr>
              <w:pStyle w:val="9"/>
              <w:spacing w:before="120"/>
            </w:pPr>
            <w:r>
              <w:t xml:space="preserve">表 </w:t>
            </w:r>
            <w:r>
              <w:fldChar w:fldCharType="begin"/>
            </w:r>
            <w:r>
              <w:instrText xml:space="preserve"> STYLEREF 1 \s </w:instrText>
            </w:r>
            <w:r>
              <w:fldChar w:fldCharType="separate"/>
            </w:r>
            <w:r>
              <w:t>5</w:t>
            </w:r>
            <w:r>
              <w:fldChar w:fldCharType="end"/>
            </w:r>
            <w:r>
              <w:noBreakHyphen/>
            </w:r>
            <w:r>
              <w:fldChar w:fldCharType="begin"/>
            </w:r>
            <w:r>
              <w:instrText xml:space="preserve"> SEQ 表 \* ARABIC \s 1 </w:instrText>
            </w:r>
            <w:r>
              <w:fldChar w:fldCharType="separate"/>
            </w:r>
            <w:r>
              <w:t>1</w:t>
            </w:r>
            <w:r>
              <w:fldChar w:fldCharType="end"/>
            </w:r>
            <w:r>
              <w:t>环保投资费用估算一览表</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680"/>
              <w:gridCol w:w="1034"/>
              <w:gridCol w:w="3531"/>
              <w:gridCol w:w="851"/>
              <w:gridCol w:w="566"/>
              <w:gridCol w:w="1549"/>
            </w:tblGrid>
            <w:tr w14:paraId="160A5D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1714" w:type="dxa"/>
                  <w:gridSpan w:val="2"/>
                  <w:vAlign w:val="center"/>
                </w:tcPr>
                <w:p w14:paraId="0314F5EA">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环保项目</w:t>
                  </w:r>
                </w:p>
              </w:tc>
              <w:tc>
                <w:tcPr>
                  <w:tcW w:w="3531" w:type="dxa"/>
                  <w:vAlign w:val="center"/>
                </w:tcPr>
                <w:p w14:paraId="562ACE79">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具体措施</w:t>
                  </w:r>
                </w:p>
              </w:tc>
              <w:tc>
                <w:tcPr>
                  <w:tcW w:w="851" w:type="dxa"/>
                  <w:vAlign w:val="center"/>
                </w:tcPr>
                <w:p w14:paraId="433FE834">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数量</w:t>
                  </w:r>
                </w:p>
              </w:tc>
              <w:tc>
                <w:tcPr>
                  <w:tcW w:w="566" w:type="dxa"/>
                  <w:vAlign w:val="center"/>
                </w:tcPr>
                <w:p w14:paraId="05BBE11F">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万元</w:t>
                  </w:r>
                </w:p>
              </w:tc>
              <w:tc>
                <w:tcPr>
                  <w:tcW w:w="1549" w:type="dxa"/>
                  <w:vAlign w:val="center"/>
                </w:tcPr>
                <w:p w14:paraId="13B807A7">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备注</w:t>
                  </w:r>
                </w:p>
              </w:tc>
            </w:tr>
            <w:tr w14:paraId="34A426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0" w:type="dxa"/>
                  <w:vMerge w:val="restart"/>
                  <w:vAlign w:val="center"/>
                </w:tcPr>
                <w:p w14:paraId="26B763D3">
                  <w:pPr>
                    <w:widowControl/>
                    <w:kinsoku w:val="0"/>
                    <w:autoSpaceDE w:val="0"/>
                    <w:autoSpaceDN w:val="0"/>
                    <w:spacing w:line="240" w:lineRule="auto"/>
                    <w:contextualSpacing/>
                    <w:jc w:val="center"/>
                    <w:textAlignment w:val="baseline"/>
                    <w:rPr>
                      <w:color w:val="000000"/>
                      <w:kern w:val="0"/>
                      <w:sz w:val="18"/>
                      <w:szCs w:val="18"/>
                    </w:rPr>
                  </w:pPr>
                  <w:bookmarkStart w:id="60" w:name="_Hlk500769188"/>
                  <w:r>
                    <w:rPr>
                      <w:rFonts w:ascii="宋体" w:hAnsi="宋体"/>
                      <w:color w:val="000000"/>
                      <w:kern w:val="0"/>
                      <w:sz w:val="18"/>
                      <w:szCs w:val="18"/>
                    </w:rPr>
                    <w:t>施工期</w:t>
                  </w:r>
                  <w:bookmarkEnd w:id="60"/>
                </w:p>
              </w:tc>
              <w:tc>
                <w:tcPr>
                  <w:tcW w:w="1034" w:type="dxa"/>
                  <w:vAlign w:val="center"/>
                </w:tcPr>
                <w:p w14:paraId="647D6A2B">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噪声防治</w:t>
                  </w:r>
                </w:p>
              </w:tc>
              <w:tc>
                <w:tcPr>
                  <w:tcW w:w="3531" w:type="dxa"/>
                  <w:vAlign w:val="center"/>
                </w:tcPr>
                <w:p w14:paraId="3A5EEFA1">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临时隔声围护</w:t>
                  </w:r>
                </w:p>
              </w:tc>
              <w:tc>
                <w:tcPr>
                  <w:tcW w:w="851" w:type="dxa"/>
                  <w:vAlign w:val="center"/>
                </w:tcPr>
                <w:p w14:paraId="671BBE90">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约</w:t>
                  </w:r>
                  <w:r>
                    <w:rPr>
                      <w:rFonts w:hint="eastAsia"/>
                      <w:color w:val="000000"/>
                      <w:kern w:val="0"/>
                      <w:sz w:val="18"/>
                      <w:szCs w:val="18"/>
                    </w:rPr>
                    <w:t>2.3k</w:t>
                  </w:r>
                  <w:r>
                    <w:rPr>
                      <w:color w:val="000000"/>
                      <w:kern w:val="0"/>
                      <w:sz w:val="18"/>
                      <w:szCs w:val="18"/>
                    </w:rPr>
                    <w:t>m</w:t>
                  </w:r>
                </w:p>
              </w:tc>
              <w:tc>
                <w:tcPr>
                  <w:tcW w:w="566" w:type="dxa"/>
                  <w:vAlign w:val="center"/>
                </w:tcPr>
                <w:p w14:paraId="2E6A9AAB">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7</w:t>
                  </w:r>
                </w:p>
              </w:tc>
              <w:tc>
                <w:tcPr>
                  <w:tcW w:w="1549" w:type="dxa"/>
                  <w:vAlign w:val="center"/>
                </w:tcPr>
                <w:p w14:paraId="4ABC4B5E">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w:t>
                  </w:r>
                </w:p>
              </w:tc>
            </w:tr>
            <w:tr w14:paraId="1A9675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0" w:type="dxa"/>
                  <w:vMerge w:val="continue"/>
                  <w:vAlign w:val="center"/>
                </w:tcPr>
                <w:p w14:paraId="6FBCD699">
                  <w:pPr>
                    <w:widowControl/>
                    <w:adjustRightInd/>
                    <w:snapToGrid/>
                    <w:spacing w:line="240" w:lineRule="auto"/>
                    <w:jc w:val="left"/>
                    <w:rPr>
                      <w:color w:val="000000"/>
                      <w:kern w:val="0"/>
                      <w:sz w:val="18"/>
                      <w:szCs w:val="18"/>
                    </w:rPr>
                  </w:pPr>
                </w:p>
              </w:tc>
              <w:tc>
                <w:tcPr>
                  <w:tcW w:w="1034" w:type="dxa"/>
                  <w:vMerge w:val="restart"/>
                  <w:vAlign w:val="center"/>
                </w:tcPr>
                <w:p w14:paraId="3A818ECA">
                  <w:pPr>
                    <w:kinsoku w:val="0"/>
                    <w:autoSpaceDE w:val="0"/>
                    <w:autoSpaceDN w:val="0"/>
                    <w:spacing w:line="240" w:lineRule="auto"/>
                    <w:contextualSpacing/>
                    <w:jc w:val="center"/>
                    <w:textAlignment w:val="baseline"/>
                    <w:rPr>
                      <w:rFonts w:hint="eastAsia" w:ascii="宋体" w:hAnsi="宋体"/>
                      <w:color w:val="000000"/>
                      <w:kern w:val="0"/>
                      <w:sz w:val="18"/>
                      <w:szCs w:val="18"/>
                    </w:rPr>
                  </w:pPr>
                  <w:r>
                    <w:rPr>
                      <w:rFonts w:ascii="宋体" w:hAnsi="宋体"/>
                      <w:color w:val="000000"/>
                      <w:kern w:val="0"/>
                      <w:sz w:val="18"/>
                      <w:szCs w:val="18"/>
                    </w:rPr>
                    <w:t>水污染防治</w:t>
                  </w:r>
                </w:p>
              </w:tc>
              <w:tc>
                <w:tcPr>
                  <w:tcW w:w="3531" w:type="dxa"/>
                  <w:vAlign w:val="center"/>
                </w:tcPr>
                <w:p w14:paraId="174FA1BE">
                  <w:pPr>
                    <w:widowControl/>
                    <w:kinsoku w:val="0"/>
                    <w:autoSpaceDE w:val="0"/>
                    <w:autoSpaceDN w:val="0"/>
                    <w:spacing w:line="240" w:lineRule="auto"/>
                    <w:contextualSpacing/>
                    <w:jc w:val="center"/>
                    <w:textAlignment w:val="baseline"/>
                    <w:rPr>
                      <w:rFonts w:hint="eastAsia" w:ascii="宋体" w:hAnsi="宋体"/>
                      <w:color w:val="000000"/>
                      <w:kern w:val="0"/>
                      <w:sz w:val="18"/>
                      <w:szCs w:val="18"/>
                    </w:rPr>
                  </w:pPr>
                  <w:r>
                    <w:rPr>
                      <w:rFonts w:hint="eastAsia" w:ascii="宋体" w:hAnsi="宋体"/>
                      <w:color w:val="000000"/>
                      <w:kern w:val="0"/>
                      <w:sz w:val="18"/>
                      <w:szCs w:val="18"/>
                    </w:rPr>
                    <w:t>临时</w:t>
                  </w:r>
                  <w:r>
                    <w:rPr>
                      <w:rFonts w:ascii="宋体" w:hAnsi="宋体"/>
                      <w:color w:val="000000"/>
                      <w:kern w:val="0"/>
                      <w:sz w:val="18"/>
                      <w:szCs w:val="18"/>
                    </w:rPr>
                    <w:t>沉淀池</w:t>
                  </w:r>
                </w:p>
              </w:tc>
              <w:tc>
                <w:tcPr>
                  <w:tcW w:w="851" w:type="dxa"/>
                  <w:vAlign w:val="center"/>
                </w:tcPr>
                <w:p w14:paraId="64FCBF00">
                  <w:pPr>
                    <w:spacing w:line="240" w:lineRule="auto"/>
                    <w:jc w:val="center"/>
                    <w:rPr>
                      <w:sz w:val="18"/>
                      <w:szCs w:val="18"/>
                    </w:rPr>
                  </w:pPr>
                  <w:r>
                    <w:rPr>
                      <w:rFonts w:hint="eastAsia"/>
                      <w:sz w:val="18"/>
                      <w:szCs w:val="18"/>
                    </w:rPr>
                    <w:t>1</w:t>
                  </w:r>
                  <w:r>
                    <w:rPr>
                      <w:sz w:val="18"/>
                      <w:szCs w:val="18"/>
                    </w:rPr>
                    <w:t>处</w:t>
                  </w:r>
                </w:p>
              </w:tc>
              <w:tc>
                <w:tcPr>
                  <w:tcW w:w="566" w:type="dxa"/>
                  <w:vAlign w:val="center"/>
                </w:tcPr>
                <w:p w14:paraId="4F38600E">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w:t>
                  </w:r>
                </w:p>
              </w:tc>
              <w:tc>
                <w:tcPr>
                  <w:tcW w:w="1549" w:type="dxa"/>
                  <w:vAlign w:val="center"/>
                </w:tcPr>
                <w:p w14:paraId="40C9D8FF">
                  <w:pPr>
                    <w:widowControl/>
                    <w:kinsoku w:val="0"/>
                    <w:autoSpaceDE w:val="0"/>
                    <w:autoSpaceDN w:val="0"/>
                    <w:spacing w:line="240" w:lineRule="auto"/>
                    <w:contextualSpacing/>
                    <w:jc w:val="center"/>
                    <w:textAlignment w:val="baseline"/>
                    <w:rPr>
                      <w:rFonts w:hint="eastAsia" w:ascii="宋体" w:hAnsi="宋体"/>
                      <w:color w:val="000000"/>
                      <w:kern w:val="0"/>
                      <w:sz w:val="18"/>
                      <w:szCs w:val="18"/>
                    </w:rPr>
                  </w:pPr>
                  <w:r>
                    <w:rPr>
                      <w:rFonts w:ascii="宋体" w:hAnsi="宋体"/>
                      <w:color w:val="000000"/>
                      <w:kern w:val="0"/>
                      <w:sz w:val="18"/>
                      <w:szCs w:val="18"/>
                    </w:rPr>
                    <w:t>计入水保投资</w:t>
                  </w:r>
                </w:p>
              </w:tc>
            </w:tr>
            <w:tr w14:paraId="2FAE49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0" w:type="dxa"/>
                  <w:vMerge w:val="continue"/>
                  <w:vAlign w:val="center"/>
                </w:tcPr>
                <w:p w14:paraId="012C8C92">
                  <w:pPr>
                    <w:widowControl/>
                    <w:adjustRightInd/>
                    <w:snapToGrid/>
                    <w:spacing w:line="240" w:lineRule="auto"/>
                    <w:jc w:val="left"/>
                    <w:rPr>
                      <w:color w:val="000000"/>
                      <w:kern w:val="0"/>
                      <w:sz w:val="18"/>
                      <w:szCs w:val="18"/>
                    </w:rPr>
                  </w:pPr>
                </w:p>
              </w:tc>
              <w:tc>
                <w:tcPr>
                  <w:tcW w:w="1034" w:type="dxa"/>
                  <w:vMerge w:val="continue"/>
                  <w:vAlign w:val="center"/>
                </w:tcPr>
                <w:p w14:paraId="25196CC5">
                  <w:pPr>
                    <w:widowControl/>
                    <w:kinsoku w:val="0"/>
                    <w:autoSpaceDE w:val="0"/>
                    <w:autoSpaceDN w:val="0"/>
                    <w:spacing w:line="240" w:lineRule="auto"/>
                    <w:contextualSpacing/>
                    <w:jc w:val="center"/>
                    <w:textAlignment w:val="baseline"/>
                    <w:rPr>
                      <w:color w:val="000000"/>
                      <w:kern w:val="0"/>
                      <w:sz w:val="18"/>
                      <w:szCs w:val="18"/>
                    </w:rPr>
                  </w:pPr>
                </w:p>
              </w:tc>
              <w:tc>
                <w:tcPr>
                  <w:tcW w:w="3531" w:type="dxa"/>
                  <w:vAlign w:val="center"/>
                </w:tcPr>
                <w:p w14:paraId="5B6E9017">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临时厕所</w:t>
                  </w:r>
                </w:p>
              </w:tc>
              <w:tc>
                <w:tcPr>
                  <w:tcW w:w="851" w:type="dxa"/>
                  <w:vAlign w:val="center"/>
                </w:tcPr>
                <w:p w14:paraId="3B9AB57C">
                  <w:pPr>
                    <w:spacing w:line="240" w:lineRule="auto"/>
                    <w:jc w:val="center"/>
                    <w:rPr>
                      <w:sz w:val="18"/>
                      <w:szCs w:val="18"/>
                    </w:rPr>
                  </w:pPr>
                  <w:r>
                    <w:rPr>
                      <w:rFonts w:hint="eastAsia"/>
                      <w:sz w:val="18"/>
                      <w:szCs w:val="18"/>
                    </w:rPr>
                    <w:t>2处</w:t>
                  </w:r>
                </w:p>
              </w:tc>
              <w:tc>
                <w:tcPr>
                  <w:tcW w:w="566" w:type="dxa"/>
                  <w:vAlign w:val="center"/>
                </w:tcPr>
                <w:p w14:paraId="3931203A">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5</w:t>
                  </w:r>
                </w:p>
              </w:tc>
              <w:tc>
                <w:tcPr>
                  <w:tcW w:w="1549" w:type="dxa"/>
                  <w:vAlign w:val="center"/>
                </w:tcPr>
                <w:p w14:paraId="2CAE242B">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w:t>
                  </w:r>
                </w:p>
              </w:tc>
            </w:tr>
            <w:tr w14:paraId="29AA5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0" w:type="dxa"/>
                  <w:vMerge w:val="continue"/>
                  <w:vAlign w:val="center"/>
                </w:tcPr>
                <w:p w14:paraId="1FB03506">
                  <w:pPr>
                    <w:widowControl/>
                    <w:adjustRightInd/>
                    <w:snapToGrid/>
                    <w:spacing w:line="240" w:lineRule="auto"/>
                    <w:jc w:val="left"/>
                    <w:rPr>
                      <w:color w:val="000000"/>
                      <w:kern w:val="0"/>
                      <w:sz w:val="18"/>
                      <w:szCs w:val="18"/>
                    </w:rPr>
                  </w:pPr>
                </w:p>
              </w:tc>
              <w:tc>
                <w:tcPr>
                  <w:tcW w:w="1034" w:type="dxa"/>
                  <w:vMerge w:val="restart"/>
                  <w:vAlign w:val="center"/>
                </w:tcPr>
                <w:p w14:paraId="45EEF40E">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空气污染防治</w:t>
                  </w:r>
                </w:p>
              </w:tc>
              <w:tc>
                <w:tcPr>
                  <w:tcW w:w="3531" w:type="dxa"/>
                  <w:vAlign w:val="center"/>
                </w:tcPr>
                <w:p w14:paraId="7B15A4DC">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施工期洒水车</w:t>
                  </w:r>
                </w:p>
              </w:tc>
              <w:tc>
                <w:tcPr>
                  <w:tcW w:w="851" w:type="dxa"/>
                  <w:vAlign w:val="center"/>
                </w:tcPr>
                <w:p w14:paraId="08627BB8">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w:t>
                  </w:r>
                  <w:r>
                    <w:rPr>
                      <w:rFonts w:ascii="宋体" w:hAnsi="宋体"/>
                      <w:color w:val="000000"/>
                      <w:kern w:val="0"/>
                      <w:sz w:val="18"/>
                      <w:szCs w:val="18"/>
                    </w:rPr>
                    <w:t>辆</w:t>
                  </w:r>
                </w:p>
              </w:tc>
              <w:tc>
                <w:tcPr>
                  <w:tcW w:w="566" w:type="dxa"/>
                  <w:vAlign w:val="center"/>
                </w:tcPr>
                <w:p w14:paraId="4530F59F">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15</w:t>
                  </w:r>
                </w:p>
              </w:tc>
              <w:tc>
                <w:tcPr>
                  <w:tcW w:w="1549" w:type="dxa"/>
                  <w:vAlign w:val="center"/>
                </w:tcPr>
                <w:p w14:paraId="024B9BF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w:t>
                  </w:r>
                </w:p>
              </w:tc>
            </w:tr>
            <w:tr w14:paraId="38128C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0" w:type="dxa"/>
                  <w:vMerge w:val="continue"/>
                  <w:vAlign w:val="center"/>
                </w:tcPr>
                <w:p w14:paraId="07915705">
                  <w:pPr>
                    <w:widowControl/>
                    <w:adjustRightInd/>
                    <w:snapToGrid/>
                    <w:spacing w:line="240" w:lineRule="auto"/>
                    <w:jc w:val="left"/>
                    <w:rPr>
                      <w:color w:val="000000"/>
                      <w:kern w:val="0"/>
                      <w:sz w:val="18"/>
                      <w:szCs w:val="18"/>
                    </w:rPr>
                  </w:pPr>
                </w:p>
              </w:tc>
              <w:tc>
                <w:tcPr>
                  <w:tcW w:w="1034" w:type="dxa"/>
                  <w:vMerge w:val="continue"/>
                  <w:vAlign w:val="center"/>
                </w:tcPr>
                <w:p w14:paraId="6DC4091F">
                  <w:pPr>
                    <w:widowControl/>
                    <w:adjustRightInd/>
                    <w:snapToGrid/>
                    <w:spacing w:line="240" w:lineRule="auto"/>
                    <w:jc w:val="left"/>
                    <w:rPr>
                      <w:color w:val="000000"/>
                      <w:kern w:val="0"/>
                      <w:sz w:val="18"/>
                      <w:szCs w:val="18"/>
                    </w:rPr>
                  </w:pPr>
                </w:p>
              </w:tc>
              <w:tc>
                <w:tcPr>
                  <w:tcW w:w="3531" w:type="dxa"/>
                  <w:vAlign w:val="center"/>
                </w:tcPr>
                <w:p w14:paraId="149ECDD8">
                  <w:pPr>
                    <w:widowControl/>
                    <w:kinsoku w:val="0"/>
                    <w:autoSpaceDE w:val="0"/>
                    <w:autoSpaceDN w:val="0"/>
                    <w:spacing w:line="240" w:lineRule="auto"/>
                    <w:contextualSpacing/>
                    <w:jc w:val="center"/>
                    <w:textAlignment w:val="baseline"/>
                    <w:rPr>
                      <w:color w:val="000000"/>
                      <w:kern w:val="0"/>
                      <w:sz w:val="18"/>
                      <w:szCs w:val="18"/>
                    </w:rPr>
                  </w:pPr>
                  <w:r>
                    <w:rPr>
                      <w:rFonts w:hint="eastAsia" w:ascii="宋体" w:hAnsi="宋体"/>
                      <w:color w:val="000000"/>
                      <w:kern w:val="0"/>
                      <w:sz w:val="18"/>
                      <w:szCs w:val="18"/>
                    </w:rPr>
                    <w:t>水雾喷淋系统</w:t>
                  </w:r>
                </w:p>
              </w:tc>
              <w:tc>
                <w:tcPr>
                  <w:tcW w:w="851" w:type="dxa"/>
                  <w:vAlign w:val="center"/>
                </w:tcPr>
                <w:p w14:paraId="2B4B9A62">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1套</w:t>
                  </w:r>
                </w:p>
              </w:tc>
              <w:tc>
                <w:tcPr>
                  <w:tcW w:w="566" w:type="dxa"/>
                  <w:vAlign w:val="center"/>
                </w:tcPr>
                <w:p w14:paraId="0E6E5CF3">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15</w:t>
                  </w:r>
                </w:p>
              </w:tc>
              <w:tc>
                <w:tcPr>
                  <w:tcW w:w="1549" w:type="dxa"/>
                  <w:vAlign w:val="center"/>
                </w:tcPr>
                <w:p w14:paraId="3AF0845C">
                  <w:pPr>
                    <w:widowControl/>
                    <w:kinsoku w:val="0"/>
                    <w:autoSpaceDE w:val="0"/>
                    <w:autoSpaceDN w:val="0"/>
                    <w:spacing w:line="240" w:lineRule="auto"/>
                    <w:contextualSpacing/>
                    <w:jc w:val="center"/>
                    <w:textAlignment w:val="baseline"/>
                    <w:rPr>
                      <w:color w:val="000000"/>
                      <w:kern w:val="0"/>
                      <w:sz w:val="18"/>
                      <w:szCs w:val="18"/>
                    </w:rPr>
                  </w:pPr>
                </w:p>
              </w:tc>
            </w:tr>
            <w:tr w14:paraId="5C849D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0" w:type="dxa"/>
                  <w:vMerge w:val="continue"/>
                  <w:vAlign w:val="center"/>
                </w:tcPr>
                <w:p w14:paraId="3A956A48">
                  <w:pPr>
                    <w:widowControl/>
                    <w:adjustRightInd/>
                    <w:snapToGrid/>
                    <w:spacing w:line="240" w:lineRule="auto"/>
                    <w:jc w:val="left"/>
                    <w:rPr>
                      <w:color w:val="000000"/>
                      <w:kern w:val="0"/>
                      <w:sz w:val="18"/>
                      <w:szCs w:val="18"/>
                    </w:rPr>
                  </w:pPr>
                </w:p>
              </w:tc>
              <w:tc>
                <w:tcPr>
                  <w:tcW w:w="1034" w:type="dxa"/>
                  <w:vMerge w:val="restart"/>
                  <w:vAlign w:val="center"/>
                </w:tcPr>
                <w:p w14:paraId="111B25C6">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固体废物防治</w:t>
                  </w:r>
                </w:p>
              </w:tc>
              <w:tc>
                <w:tcPr>
                  <w:tcW w:w="3531" w:type="dxa"/>
                  <w:vAlign w:val="center"/>
                </w:tcPr>
                <w:p w14:paraId="5984D9B2">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建筑垃圾运输和临时垃圾堆场、堆放加蓬盖</w:t>
                  </w:r>
                </w:p>
              </w:tc>
              <w:tc>
                <w:tcPr>
                  <w:tcW w:w="851" w:type="dxa"/>
                  <w:vAlign w:val="center"/>
                </w:tcPr>
                <w:p w14:paraId="58A0676A">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1</w:t>
                  </w:r>
                </w:p>
              </w:tc>
              <w:tc>
                <w:tcPr>
                  <w:tcW w:w="566" w:type="dxa"/>
                  <w:vAlign w:val="center"/>
                </w:tcPr>
                <w:p w14:paraId="1CAC40FA">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2</w:t>
                  </w:r>
                </w:p>
              </w:tc>
              <w:tc>
                <w:tcPr>
                  <w:tcW w:w="1549" w:type="dxa"/>
                  <w:vAlign w:val="center"/>
                </w:tcPr>
                <w:p w14:paraId="174566C7">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w:t>
                  </w:r>
                </w:p>
              </w:tc>
            </w:tr>
            <w:tr w14:paraId="51C08D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680" w:type="dxa"/>
                  <w:vMerge w:val="continue"/>
                  <w:vAlign w:val="center"/>
                </w:tcPr>
                <w:p w14:paraId="6695ADAF">
                  <w:pPr>
                    <w:widowControl/>
                    <w:adjustRightInd/>
                    <w:snapToGrid/>
                    <w:spacing w:line="240" w:lineRule="auto"/>
                    <w:jc w:val="left"/>
                    <w:rPr>
                      <w:color w:val="000000"/>
                      <w:kern w:val="0"/>
                      <w:sz w:val="18"/>
                      <w:szCs w:val="18"/>
                    </w:rPr>
                  </w:pPr>
                </w:p>
              </w:tc>
              <w:tc>
                <w:tcPr>
                  <w:tcW w:w="1034" w:type="dxa"/>
                  <w:vMerge w:val="continue"/>
                  <w:vAlign w:val="center"/>
                </w:tcPr>
                <w:p w14:paraId="1734F58F">
                  <w:pPr>
                    <w:widowControl/>
                    <w:adjustRightInd/>
                    <w:snapToGrid/>
                    <w:spacing w:line="240" w:lineRule="auto"/>
                    <w:jc w:val="left"/>
                    <w:rPr>
                      <w:color w:val="000000"/>
                      <w:kern w:val="0"/>
                      <w:sz w:val="18"/>
                      <w:szCs w:val="18"/>
                    </w:rPr>
                  </w:pPr>
                </w:p>
              </w:tc>
              <w:tc>
                <w:tcPr>
                  <w:tcW w:w="3531" w:type="dxa"/>
                  <w:vAlign w:val="center"/>
                </w:tcPr>
                <w:p w14:paraId="65BD2066">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生活垃圾临时收集点</w:t>
                  </w:r>
                </w:p>
              </w:tc>
              <w:tc>
                <w:tcPr>
                  <w:tcW w:w="851" w:type="dxa"/>
                  <w:vAlign w:val="center"/>
                </w:tcPr>
                <w:p w14:paraId="2390E4C3">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1</w:t>
                  </w:r>
                </w:p>
              </w:tc>
              <w:tc>
                <w:tcPr>
                  <w:tcW w:w="566" w:type="dxa"/>
                  <w:vAlign w:val="center"/>
                </w:tcPr>
                <w:p w14:paraId="08A4E269">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4</w:t>
                  </w:r>
                </w:p>
              </w:tc>
              <w:tc>
                <w:tcPr>
                  <w:tcW w:w="1549" w:type="dxa"/>
                  <w:vAlign w:val="center"/>
                </w:tcPr>
                <w:p w14:paraId="388E9A4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w:t>
                  </w:r>
                </w:p>
              </w:tc>
            </w:tr>
            <w:tr w14:paraId="7DA3C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0" w:type="dxa"/>
                  <w:vMerge w:val="continue"/>
                  <w:vAlign w:val="center"/>
                </w:tcPr>
                <w:p w14:paraId="6309D170">
                  <w:pPr>
                    <w:widowControl/>
                    <w:adjustRightInd/>
                    <w:snapToGrid/>
                    <w:spacing w:line="240" w:lineRule="auto"/>
                    <w:jc w:val="left"/>
                    <w:rPr>
                      <w:color w:val="000000"/>
                      <w:kern w:val="0"/>
                      <w:sz w:val="18"/>
                      <w:szCs w:val="18"/>
                    </w:rPr>
                  </w:pPr>
                </w:p>
              </w:tc>
              <w:tc>
                <w:tcPr>
                  <w:tcW w:w="1034" w:type="dxa"/>
                  <w:vAlign w:val="center"/>
                </w:tcPr>
                <w:p w14:paraId="0AB4B0B9">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环境管理、监理</w:t>
                  </w:r>
                </w:p>
              </w:tc>
              <w:tc>
                <w:tcPr>
                  <w:tcW w:w="3531" w:type="dxa"/>
                  <w:vAlign w:val="center"/>
                </w:tcPr>
                <w:p w14:paraId="50EC666C">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施工期环境计划实施、施工机械日常维护等和环境监理</w:t>
                  </w:r>
                </w:p>
              </w:tc>
              <w:tc>
                <w:tcPr>
                  <w:tcW w:w="851" w:type="dxa"/>
                  <w:vAlign w:val="center"/>
                </w:tcPr>
                <w:p w14:paraId="1822267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w:t>
                  </w:r>
                </w:p>
              </w:tc>
              <w:tc>
                <w:tcPr>
                  <w:tcW w:w="566" w:type="dxa"/>
                  <w:vAlign w:val="center"/>
                </w:tcPr>
                <w:p w14:paraId="71294B0F">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10</w:t>
                  </w:r>
                </w:p>
              </w:tc>
              <w:tc>
                <w:tcPr>
                  <w:tcW w:w="1549" w:type="dxa"/>
                  <w:vAlign w:val="center"/>
                </w:tcPr>
                <w:p w14:paraId="58317D6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w:t>
                  </w:r>
                </w:p>
              </w:tc>
            </w:tr>
            <w:tr w14:paraId="60213A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0" w:type="dxa"/>
                  <w:vMerge w:val="restart"/>
                  <w:vAlign w:val="center"/>
                </w:tcPr>
                <w:p w14:paraId="0E240099">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运营期</w:t>
                  </w:r>
                </w:p>
              </w:tc>
              <w:tc>
                <w:tcPr>
                  <w:tcW w:w="1034" w:type="dxa"/>
                  <w:vAlign w:val="center"/>
                </w:tcPr>
                <w:p w14:paraId="1637AD59">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噪声防治</w:t>
                  </w:r>
                </w:p>
              </w:tc>
              <w:tc>
                <w:tcPr>
                  <w:tcW w:w="3531" w:type="dxa"/>
                  <w:vAlign w:val="center"/>
                </w:tcPr>
                <w:p w14:paraId="7101F8E9">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限速、禁鸣等标志牌</w:t>
                  </w:r>
                </w:p>
              </w:tc>
              <w:tc>
                <w:tcPr>
                  <w:tcW w:w="851" w:type="dxa"/>
                  <w:vAlign w:val="center"/>
                </w:tcPr>
                <w:p w14:paraId="73B6EAB8">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w:t>
                  </w:r>
                </w:p>
              </w:tc>
              <w:tc>
                <w:tcPr>
                  <w:tcW w:w="566" w:type="dxa"/>
                  <w:vAlign w:val="center"/>
                </w:tcPr>
                <w:p w14:paraId="4B577A39">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5</w:t>
                  </w:r>
                </w:p>
              </w:tc>
              <w:tc>
                <w:tcPr>
                  <w:tcW w:w="1549" w:type="dxa"/>
                  <w:vAlign w:val="center"/>
                </w:tcPr>
                <w:p w14:paraId="75F8AD67">
                  <w:pPr>
                    <w:widowControl/>
                    <w:kinsoku w:val="0"/>
                    <w:autoSpaceDE w:val="0"/>
                    <w:autoSpaceDN w:val="0"/>
                    <w:spacing w:line="240" w:lineRule="auto"/>
                    <w:contextualSpacing/>
                    <w:jc w:val="center"/>
                    <w:textAlignment w:val="baseline"/>
                    <w:rPr>
                      <w:color w:val="000000"/>
                      <w:kern w:val="0"/>
                      <w:sz w:val="18"/>
                      <w:szCs w:val="18"/>
                    </w:rPr>
                  </w:pPr>
                </w:p>
              </w:tc>
            </w:tr>
            <w:tr w14:paraId="5523DD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680" w:type="dxa"/>
                  <w:vMerge w:val="continue"/>
                  <w:vAlign w:val="center"/>
                </w:tcPr>
                <w:p w14:paraId="75C6C622">
                  <w:pPr>
                    <w:widowControl/>
                    <w:adjustRightInd/>
                    <w:snapToGrid/>
                    <w:spacing w:line="240" w:lineRule="auto"/>
                    <w:jc w:val="left"/>
                    <w:rPr>
                      <w:color w:val="000000"/>
                      <w:kern w:val="0"/>
                      <w:sz w:val="18"/>
                      <w:szCs w:val="18"/>
                    </w:rPr>
                  </w:pPr>
                </w:p>
              </w:tc>
              <w:tc>
                <w:tcPr>
                  <w:tcW w:w="1034" w:type="dxa"/>
                  <w:vAlign w:val="center"/>
                </w:tcPr>
                <w:p w14:paraId="65ABF398">
                  <w:pPr>
                    <w:widowControl/>
                    <w:kinsoku w:val="0"/>
                    <w:autoSpaceDE w:val="0"/>
                    <w:autoSpaceDN w:val="0"/>
                    <w:spacing w:line="240" w:lineRule="auto"/>
                    <w:contextualSpacing/>
                    <w:jc w:val="center"/>
                    <w:textAlignment w:val="baseline"/>
                    <w:rPr>
                      <w:color w:val="000000"/>
                      <w:kern w:val="0"/>
                      <w:sz w:val="18"/>
                      <w:szCs w:val="18"/>
                    </w:rPr>
                  </w:pPr>
                  <w:r>
                    <w:rPr>
                      <w:rFonts w:hint="eastAsia" w:ascii="宋体" w:hAnsi="宋体"/>
                      <w:color w:val="000000"/>
                      <w:kern w:val="0"/>
                      <w:sz w:val="18"/>
                      <w:szCs w:val="18"/>
                    </w:rPr>
                    <w:t>生态</w:t>
                  </w:r>
                  <w:r>
                    <w:rPr>
                      <w:rFonts w:ascii="宋体" w:hAnsi="宋体"/>
                      <w:color w:val="000000"/>
                      <w:kern w:val="0"/>
                      <w:sz w:val="18"/>
                      <w:szCs w:val="18"/>
                    </w:rPr>
                    <w:t>环境</w:t>
                  </w:r>
                  <w:r>
                    <w:rPr>
                      <w:rFonts w:hint="eastAsia" w:ascii="宋体" w:hAnsi="宋体"/>
                      <w:color w:val="000000"/>
                      <w:kern w:val="0"/>
                      <w:sz w:val="18"/>
                      <w:szCs w:val="18"/>
                    </w:rPr>
                    <w:t>监测</w:t>
                  </w:r>
                </w:p>
              </w:tc>
              <w:tc>
                <w:tcPr>
                  <w:tcW w:w="3531" w:type="dxa"/>
                  <w:vAlign w:val="center"/>
                </w:tcPr>
                <w:p w14:paraId="10AD0821">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噪声</w:t>
                  </w:r>
                </w:p>
              </w:tc>
              <w:tc>
                <w:tcPr>
                  <w:tcW w:w="851" w:type="dxa"/>
                  <w:vAlign w:val="center"/>
                </w:tcPr>
                <w:p w14:paraId="591DA1C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w:t>
                  </w:r>
                </w:p>
              </w:tc>
              <w:tc>
                <w:tcPr>
                  <w:tcW w:w="566" w:type="dxa"/>
                  <w:vAlign w:val="center"/>
                </w:tcPr>
                <w:p w14:paraId="60D3DCDA">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2</w:t>
                  </w:r>
                </w:p>
              </w:tc>
              <w:tc>
                <w:tcPr>
                  <w:tcW w:w="1549" w:type="dxa"/>
                  <w:vAlign w:val="center"/>
                </w:tcPr>
                <w:p w14:paraId="3ACC92AE">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按现行收费标准估算</w:t>
                  </w:r>
                </w:p>
              </w:tc>
            </w:tr>
            <w:tr w14:paraId="38753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245" w:type="dxa"/>
                  <w:gridSpan w:val="3"/>
                  <w:vAlign w:val="center"/>
                </w:tcPr>
                <w:p w14:paraId="07C6BA80">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总计</w:t>
                  </w:r>
                </w:p>
              </w:tc>
              <w:tc>
                <w:tcPr>
                  <w:tcW w:w="851" w:type="dxa"/>
                  <w:vAlign w:val="center"/>
                </w:tcPr>
                <w:p w14:paraId="6DED6DAE">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w:t>
                  </w:r>
                </w:p>
              </w:tc>
              <w:tc>
                <w:tcPr>
                  <w:tcW w:w="566" w:type="dxa"/>
                  <w:vAlign w:val="center"/>
                </w:tcPr>
                <w:p w14:paraId="48959A5B">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65</w:t>
                  </w:r>
                </w:p>
              </w:tc>
              <w:tc>
                <w:tcPr>
                  <w:tcW w:w="1549" w:type="dxa"/>
                  <w:vAlign w:val="center"/>
                </w:tcPr>
                <w:p w14:paraId="2E4F6F8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w:t>
                  </w:r>
                </w:p>
              </w:tc>
            </w:tr>
          </w:tbl>
          <w:p w14:paraId="04DFBC97">
            <w:pPr>
              <w:widowControl/>
              <w:kinsoku w:val="0"/>
              <w:autoSpaceDE w:val="0"/>
              <w:autoSpaceDN w:val="0"/>
              <w:ind w:firstLine="460" w:firstLineChars="200"/>
              <w:jc w:val="left"/>
              <w:textAlignment w:val="baseline"/>
              <w:rPr>
                <w:bCs/>
                <w:color w:val="000000"/>
                <w:spacing w:val="10"/>
                <w:kern w:val="0"/>
                <w:szCs w:val="21"/>
              </w:rPr>
            </w:pPr>
          </w:p>
        </w:tc>
      </w:tr>
    </w:tbl>
    <w:p w14:paraId="79931D6C">
      <w:pPr>
        <w:rPr>
          <w:snapToGrid w:val="0"/>
        </w:rPr>
      </w:pPr>
      <w:r>
        <w:rPr>
          <w:snapToGrid w:val="0"/>
        </w:rPr>
        <w:br w:type="page"/>
      </w:r>
      <w:bookmarkStart w:id="61" w:name="_Hlk54167917"/>
    </w:p>
    <w:p w14:paraId="1BDC9F30">
      <w:pPr>
        <w:pStyle w:val="2"/>
      </w:pPr>
      <w:bookmarkStart w:id="62" w:name="_Toc238129009"/>
      <w:r>
        <w:rPr>
          <w:rFonts w:hint="eastAsia"/>
        </w:rPr>
        <w:t>生态环境保护措施监督检查清单</w:t>
      </w:r>
      <w:bookmarkEnd w:id="61"/>
      <w:bookmarkEnd w:id="62"/>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692"/>
        <w:gridCol w:w="2290"/>
        <w:gridCol w:w="1841"/>
        <w:gridCol w:w="2295"/>
        <w:gridCol w:w="1841"/>
      </w:tblGrid>
      <w:tr w14:paraId="277563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555" w:type="pct"/>
            <w:vMerge w:val="restart"/>
            <w:tcBorders>
              <w:top w:val="single" w:color="auto" w:sz="12" w:space="0"/>
              <w:left w:val="single" w:color="auto" w:sz="12" w:space="0"/>
              <w:bottom w:val="single" w:color="auto" w:sz="4" w:space="0"/>
              <w:right w:val="single" w:color="auto" w:sz="4" w:space="0"/>
              <w:tl2br w:val="single" w:color="auto" w:sz="4" w:space="0"/>
            </w:tcBorders>
            <w:vAlign w:val="center"/>
          </w:tcPr>
          <w:p w14:paraId="79D3BE17">
            <w:pPr>
              <w:spacing w:line="276" w:lineRule="auto"/>
              <w:jc w:val="right"/>
              <w:rPr>
                <w:b/>
                <w:bCs/>
              </w:rPr>
            </w:pPr>
            <w:bookmarkStart w:id="63" w:name="_Toc69300283"/>
            <w:r>
              <w:rPr>
                <w:b/>
                <w:bCs/>
              </w:rPr>
              <w:t>内容</w:t>
            </w:r>
            <w:bookmarkEnd w:id="63"/>
          </w:p>
          <w:p w14:paraId="4B306766">
            <w:pPr>
              <w:spacing w:line="276" w:lineRule="auto"/>
              <w:rPr>
                <w:b/>
                <w:bCs/>
              </w:rPr>
            </w:pPr>
            <w:bookmarkStart w:id="64" w:name="_Toc68630239"/>
            <w:r>
              <w:rPr>
                <w:b/>
                <w:bCs/>
              </w:rPr>
              <w:t>要素</w:t>
            </w:r>
            <w:bookmarkEnd w:id="64"/>
          </w:p>
        </w:tc>
        <w:tc>
          <w:tcPr>
            <w:tcW w:w="2331" w:type="pct"/>
            <w:gridSpan w:val="2"/>
            <w:tcBorders>
              <w:top w:val="single" w:color="auto" w:sz="12" w:space="0"/>
              <w:left w:val="single" w:color="auto" w:sz="4" w:space="0"/>
              <w:bottom w:val="single" w:color="auto" w:sz="4" w:space="0"/>
              <w:right w:val="single" w:color="auto" w:sz="4" w:space="0"/>
            </w:tcBorders>
            <w:vAlign w:val="center"/>
          </w:tcPr>
          <w:p w14:paraId="1AFB9564">
            <w:pPr>
              <w:spacing w:line="276" w:lineRule="auto"/>
              <w:jc w:val="center"/>
              <w:rPr>
                <w:b/>
                <w:bCs/>
              </w:rPr>
            </w:pPr>
            <w:bookmarkStart w:id="65" w:name="_Toc69300285"/>
            <w:r>
              <w:rPr>
                <w:b/>
                <w:bCs/>
              </w:rPr>
              <w:t>施工期</w:t>
            </w:r>
            <w:bookmarkEnd w:id="65"/>
          </w:p>
        </w:tc>
        <w:tc>
          <w:tcPr>
            <w:tcW w:w="2114" w:type="pct"/>
            <w:gridSpan w:val="2"/>
            <w:tcBorders>
              <w:top w:val="single" w:color="auto" w:sz="12" w:space="0"/>
              <w:left w:val="single" w:color="auto" w:sz="4" w:space="0"/>
              <w:bottom w:val="single" w:color="auto" w:sz="4" w:space="0"/>
              <w:right w:val="single" w:color="auto" w:sz="12" w:space="0"/>
            </w:tcBorders>
            <w:vAlign w:val="center"/>
          </w:tcPr>
          <w:p w14:paraId="409ECEEE">
            <w:pPr>
              <w:spacing w:line="276" w:lineRule="auto"/>
              <w:jc w:val="center"/>
              <w:rPr>
                <w:b/>
                <w:bCs/>
              </w:rPr>
            </w:pPr>
            <w:bookmarkStart w:id="66" w:name="_Toc70005149"/>
            <w:r>
              <w:rPr>
                <w:b/>
                <w:bCs/>
              </w:rPr>
              <w:t>运营期</w:t>
            </w:r>
            <w:bookmarkEnd w:id="66"/>
          </w:p>
        </w:tc>
      </w:tr>
      <w:tr w14:paraId="39E1DD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vMerge w:val="continue"/>
            <w:tcBorders>
              <w:top w:val="single" w:color="auto" w:sz="8" w:space="0"/>
              <w:left w:val="single" w:color="auto" w:sz="12" w:space="0"/>
              <w:bottom w:val="single" w:color="auto" w:sz="4" w:space="0"/>
              <w:right w:val="single" w:color="auto" w:sz="4" w:space="0"/>
            </w:tcBorders>
            <w:vAlign w:val="center"/>
          </w:tcPr>
          <w:p w14:paraId="5D803D59">
            <w:pPr>
              <w:widowControl/>
              <w:adjustRightInd/>
              <w:snapToGrid/>
              <w:spacing w:beforeAutospacing="1" w:line="276" w:lineRule="auto"/>
              <w:jc w:val="left"/>
              <w:rPr>
                <w:b/>
                <w:bCs/>
                <w:color w:val="000000"/>
                <w:szCs w:val="21"/>
              </w:rPr>
            </w:pPr>
          </w:p>
        </w:tc>
        <w:tc>
          <w:tcPr>
            <w:tcW w:w="1446" w:type="pct"/>
            <w:tcBorders>
              <w:top w:val="single" w:color="auto" w:sz="4" w:space="0"/>
              <w:left w:val="single" w:color="auto" w:sz="4" w:space="0"/>
              <w:bottom w:val="single" w:color="auto" w:sz="4" w:space="0"/>
              <w:right w:val="single" w:color="auto" w:sz="4" w:space="0"/>
            </w:tcBorders>
            <w:vAlign w:val="center"/>
          </w:tcPr>
          <w:p w14:paraId="1BBE6A8F">
            <w:pPr>
              <w:spacing w:line="276" w:lineRule="auto"/>
              <w:jc w:val="center"/>
              <w:rPr>
                <w:b/>
                <w:bCs/>
              </w:rPr>
            </w:pPr>
            <w:bookmarkStart w:id="67" w:name="_Toc68630242"/>
            <w:r>
              <w:rPr>
                <w:b/>
                <w:bCs/>
              </w:rPr>
              <w:t>环境保护措施</w:t>
            </w:r>
            <w:bookmarkEnd w:id="67"/>
          </w:p>
        </w:tc>
        <w:tc>
          <w:tcPr>
            <w:tcW w:w="885" w:type="pct"/>
            <w:tcBorders>
              <w:top w:val="single" w:color="auto" w:sz="4" w:space="0"/>
              <w:left w:val="single" w:color="auto" w:sz="4" w:space="0"/>
              <w:bottom w:val="single" w:color="auto" w:sz="4" w:space="0"/>
              <w:right w:val="single" w:color="auto" w:sz="4" w:space="0"/>
            </w:tcBorders>
            <w:vAlign w:val="center"/>
          </w:tcPr>
          <w:p w14:paraId="730AA0A6">
            <w:pPr>
              <w:spacing w:line="276" w:lineRule="auto"/>
              <w:jc w:val="center"/>
              <w:rPr>
                <w:b/>
                <w:bCs/>
              </w:rPr>
            </w:pPr>
            <w:bookmarkStart w:id="68" w:name="_Toc70005151"/>
            <w:r>
              <w:rPr>
                <w:b/>
                <w:bCs/>
              </w:rPr>
              <w:t>验收要求</w:t>
            </w:r>
            <w:bookmarkEnd w:id="68"/>
          </w:p>
        </w:tc>
        <w:tc>
          <w:tcPr>
            <w:tcW w:w="1449" w:type="pct"/>
            <w:tcBorders>
              <w:top w:val="single" w:color="auto" w:sz="4" w:space="0"/>
              <w:left w:val="single" w:color="auto" w:sz="4" w:space="0"/>
              <w:bottom w:val="single" w:color="auto" w:sz="4" w:space="0"/>
              <w:right w:val="single" w:color="auto" w:sz="4" w:space="0"/>
            </w:tcBorders>
            <w:vAlign w:val="center"/>
          </w:tcPr>
          <w:p w14:paraId="79C2030D">
            <w:pPr>
              <w:spacing w:line="276" w:lineRule="auto"/>
              <w:jc w:val="center"/>
              <w:rPr>
                <w:b/>
                <w:bCs/>
              </w:rPr>
            </w:pPr>
            <w:bookmarkStart w:id="69" w:name="_Toc68630244"/>
            <w:r>
              <w:rPr>
                <w:b/>
                <w:bCs/>
              </w:rPr>
              <w:t>环境保护措施</w:t>
            </w:r>
            <w:bookmarkEnd w:id="69"/>
          </w:p>
        </w:tc>
        <w:tc>
          <w:tcPr>
            <w:tcW w:w="665" w:type="pct"/>
            <w:tcBorders>
              <w:top w:val="single" w:color="auto" w:sz="4" w:space="0"/>
              <w:left w:val="single" w:color="auto" w:sz="4" w:space="0"/>
              <w:bottom w:val="single" w:color="auto" w:sz="4" w:space="0"/>
              <w:right w:val="single" w:color="auto" w:sz="12" w:space="0"/>
            </w:tcBorders>
            <w:vAlign w:val="center"/>
          </w:tcPr>
          <w:p w14:paraId="22FC0894">
            <w:pPr>
              <w:spacing w:line="276" w:lineRule="auto"/>
              <w:jc w:val="center"/>
              <w:rPr>
                <w:b/>
                <w:bCs/>
              </w:rPr>
            </w:pPr>
            <w:bookmarkStart w:id="70" w:name="_Toc70005153"/>
            <w:r>
              <w:rPr>
                <w:b/>
                <w:bCs/>
              </w:rPr>
              <w:t>验收要求</w:t>
            </w:r>
            <w:bookmarkEnd w:id="70"/>
          </w:p>
        </w:tc>
      </w:tr>
      <w:tr w14:paraId="66A7D4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28EEBECC">
            <w:pPr>
              <w:widowControl/>
              <w:kinsoku w:val="0"/>
              <w:autoSpaceDE w:val="0"/>
              <w:autoSpaceDN w:val="0"/>
              <w:spacing w:line="276" w:lineRule="auto"/>
              <w:jc w:val="center"/>
              <w:textAlignment w:val="baseline"/>
              <w:rPr>
                <w:color w:val="000000"/>
                <w:kern w:val="0"/>
                <w:szCs w:val="21"/>
              </w:rPr>
            </w:pPr>
            <w:r>
              <w:rPr>
                <w:rFonts w:hint="eastAsia"/>
                <w:color w:val="000000"/>
                <w:kern w:val="0"/>
                <w:szCs w:val="21"/>
              </w:rPr>
              <w:t>陆生生态</w:t>
            </w:r>
          </w:p>
        </w:tc>
        <w:tc>
          <w:tcPr>
            <w:tcW w:w="1446" w:type="pct"/>
            <w:tcBorders>
              <w:top w:val="single" w:color="auto" w:sz="4" w:space="0"/>
              <w:left w:val="single" w:color="auto" w:sz="4" w:space="0"/>
              <w:bottom w:val="single" w:color="auto" w:sz="4" w:space="0"/>
              <w:right w:val="single" w:color="auto" w:sz="4" w:space="0"/>
            </w:tcBorders>
            <w:vAlign w:val="center"/>
          </w:tcPr>
          <w:p w14:paraId="6A1A5B78">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1、优化方案，划定红线，严禁超范围开挖碾压；</w:t>
            </w:r>
          </w:p>
          <w:p w14:paraId="1033EFC0">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2、临时占地施工后及时恢复；</w:t>
            </w:r>
          </w:p>
          <w:p w14:paraId="33815478">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3、占用耕地落实“先补后占、占优补优”；</w:t>
            </w:r>
          </w:p>
          <w:p w14:paraId="03925085">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4、施工避开野生动物繁殖期（3~6月）；</w:t>
            </w:r>
          </w:p>
          <w:p w14:paraId="1F27B863">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5、选低噪设备，</w:t>
            </w:r>
            <w:commentRangeStart w:id="75"/>
            <w:commentRangeStart w:id="76"/>
            <w:r>
              <w:rPr>
                <w:rFonts w:hint="eastAsia"/>
                <w:color w:val="000000"/>
                <w:kern w:val="0"/>
                <w:szCs w:val="21"/>
              </w:rPr>
              <w:t>避免夜</w:t>
            </w:r>
            <w:commentRangeEnd w:id="75"/>
            <w:r>
              <w:rPr>
                <w:rStyle w:val="38"/>
                <w:rFonts w:hint="eastAsia"/>
                <w:color w:val="000000"/>
                <w:kern w:val="0"/>
                <w:szCs w:val="21"/>
              </w:rPr>
              <w:commentReference w:id="75"/>
            </w:r>
            <w:commentRangeEnd w:id="76"/>
            <w:r>
              <w:rPr>
                <w:rStyle w:val="38"/>
                <w:rFonts w:hint="eastAsia"/>
                <w:color w:val="000000"/>
                <w:kern w:val="0"/>
                <w:szCs w:val="21"/>
              </w:rPr>
              <w:commentReference w:id="76"/>
            </w:r>
            <w:r>
              <w:rPr>
                <w:rFonts w:hint="eastAsia"/>
                <w:color w:val="000000"/>
                <w:kern w:val="0"/>
                <w:szCs w:val="21"/>
              </w:rPr>
              <w:t>间强噪声，设隔声围挡；</w:t>
            </w:r>
          </w:p>
          <w:p w14:paraId="51D97F09">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6、夜间照明限光，避免直射栖息地；</w:t>
            </w:r>
          </w:p>
          <w:p w14:paraId="1FEB6AA4">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7、保持河沟、灌丛等通道连通，设动物通道；</w:t>
            </w:r>
          </w:p>
          <w:p w14:paraId="2566DE69">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8、制定预案，发现受伤动物及时联系林业部门。</w:t>
            </w:r>
          </w:p>
        </w:tc>
        <w:tc>
          <w:tcPr>
            <w:tcW w:w="885" w:type="pct"/>
            <w:tcBorders>
              <w:top w:val="single" w:color="auto" w:sz="4" w:space="0"/>
              <w:left w:val="single" w:color="auto" w:sz="4" w:space="0"/>
              <w:bottom w:val="single" w:color="auto" w:sz="4" w:space="0"/>
              <w:right w:val="single" w:color="auto" w:sz="4" w:space="0"/>
            </w:tcBorders>
            <w:vAlign w:val="center"/>
          </w:tcPr>
          <w:p w14:paraId="766F2AE6">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1. 检查施工临时占地植被恢复效果；</w:t>
            </w:r>
          </w:p>
          <w:p w14:paraId="21CDA1B5">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2. 检查耕地占用、补偿落实情况；</w:t>
            </w:r>
          </w:p>
          <w:p w14:paraId="68C162CF">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3.</w:t>
            </w:r>
            <w:r>
              <w:rPr>
                <w:rFonts w:hint="eastAsia"/>
              </w:rPr>
              <w:t xml:space="preserve"> </w:t>
            </w:r>
            <w:r>
              <w:rPr>
                <w:rFonts w:hint="eastAsia"/>
                <w:color w:val="000000"/>
                <w:kern w:val="0"/>
                <w:szCs w:val="21"/>
              </w:rPr>
              <w:t>表土覆盖在原地表。</w:t>
            </w:r>
          </w:p>
        </w:tc>
        <w:tc>
          <w:tcPr>
            <w:tcW w:w="1449" w:type="pct"/>
            <w:tcBorders>
              <w:top w:val="single" w:color="auto" w:sz="4" w:space="0"/>
              <w:left w:val="single" w:color="auto" w:sz="4" w:space="0"/>
              <w:bottom w:val="single" w:color="auto" w:sz="4" w:space="0"/>
              <w:right w:val="single" w:color="auto" w:sz="4" w:space="0"/>
            </w:tcBorders>
            <w:vAlign w:val="center"/>
          </w:tcPr>
          <w:p w14:paraId="5DF89908">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1、道路两侧设置行道树（香樟等）和绿化带；</w:t>
            </w:r>
          </w:p>
          <w:p w14:paraId="2513AF16">
            <w:pPr>
              <w:widowControl/>
              <w:kinsoku w:val="0"/>
              <w:autoSpaceDE w:val="0"/>
              <w:autoSpaceDN w:val="0"/>
              <w:spacing w:line="276" w:lineRule="auto"/>
              <w:jc w:val="left"/>
              <w:textAlignment w:val="baseline"/>
              <w:rPr>
                <w:color w:val="000000"/>
                <w:kern w:val="0"/>
                <w:szCs w:val="21"/>
              </w:rPr>
            </w:pPr>
            <w:r>
              <w:rPr>
                <w:rFonts w:hint="eastAsia"/>
              </w:rPr>
              <w:t>2、制定绿化养护管理</w:t>
            </w:r>
            <w:r>
              <w:rPr>
                <w:rFonts w:hint="eastAsia"/>
                <w:color w:val="000000"/>
                <w:kern w:val="0"/>
                <w:szCs w:val="21"/>
              </w:rPr>
              <w:t>制度，定期浇水施肥修剪病虫害防治；</w:t>
            </w:r>
          </w:p>
          <w:p w14:paraId="7F309709">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3. 设禁鸣、限速标志降低噪声的影响；</w:t>
            </w:r>
          </w:p>
          <w:p w14:paraId="061F2F61">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4、保留生态廊道。</w:t>
            </w:r>
          </w:p>
        </w:tc>
        <w:tc>
          <w:tcPr>
            <w:tcW w:w="665" w:type="pct"/>
            <w:tcBorders>
              <w:top w:val="single" w:color="auto" w:sz="4" w:space="0"/>
              <w:left w:val="single" w:color="auto" w:sz="4" w:space="0"/>
              <w:bottom w:val="single" w:color="auto" w:sz="4" w:space="0"/>
              <w:right w:val="single" w:color="auto" w:sz="12" w:space="0"/>
            </w:tcBorders>
            <w:vAlign w:val="center"/>
          </w:tcPr>
          <w:p w14:paraId="7569607F">
            <w:pPr>
              <w:widowControl/>
              <w:kinsoku w:val="0"/>
              <w:autoSpaceDE w:val="0"/>
              <w:autoSpaceDN w:val="0"/>
              <w:spacing w:line="276" w:lineRule="auto"/>
              <w:jc w:val="center"/>
              <w:textAlignment w:val="baseline"/>
              <w:rPr>
                <w:color w:val="000000"/>
                <w:kern w:val="0"/>
                <w:szCs w:val="21"/>
                <w:highlight w:val="yellow"/>
              </w:rPr>
            </w:pPr>
            <w:r>
              <w:rPr>
                <w:color w:val="000000"/>
                <w:kern w:val="0"/>
                <w:szCs w:val="21"/>
              </w:rPr>
              <w:t>/</w:t>
            </w:r>
          </w:p>
        </w:tc>
      </w:tr>
      <w:tr w14:paraId="05F1AF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4F83E637">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水生生态</w:t>
            </w:r>
          </w:p>
        </w:tc>
        <w:tc>
          <w:tcPr>
            <w:tcW w:w="1446" w:type="pct"/>
            <w:tcBorders>
              <w:top w:val="single" w:color="auto" w:sz="4" w:space="0"/>
              <w:left w:val="single" w:color="auto" w:sz="4" w:space="0"/>
              <w:bottom w:val="single" w:color="auto" w:sz="4" w:space="0"/>
              <w:right w:val="single" w:color="auto" w:sz="4" w:space="0"/>
            </w:tcBorders>
            <w:vAlign w:val="center"/>
          </w:tcPr>
          <w:p w14:paraId="1223AF57">
            <w:pPr>
              <w:widowControl/>
              <w:kinsoku w:val="0"/>
              <w:autoSpaceDE w:val="0"/>
              <w:autoSpaceDN w:val="0"/>
              <w:spacing w:line="276" w:lineRule="auto"/>
              <w:jc w:val="left"/>
              <w:textAlignment w:val="baseline"/>
              <w:rPr>
                <w:color w:val="000000"/>
                <w:kern w:val="0"/>
                <w:szCs w:val="21"/>
              </w:rPr>
            </w:pPr>
            <w:r>
              <w:rPr>
                <w:color w:val="000000"/>
                <w:kern w:val="0"/>
                <w:szCs w:val="21"/>
              </w:rPr>
              <w:t>1、加强施工人员的环保教育</w:t>
            </w:r>
            <w:r>
              <w:rPr>
                <w:rFonts w:hint="eastAsia"/>
                <w:color w:val="000000"/>
                <w:kern w:val="0"/>
                <w:szCs w:val="21"/>
              </w:rPr>
              <w:t>，禁止施工和生活废水随意排放入河道</w:t>
            </w:r>
            <w:r>
              <w:rPr>
                <w:color w:val="000000"/>
                <w:kern w:val="0"/>
                <w:szCs w:val="21"/>
              </w:rPr>
              <w:t>；</w:t>
            </w:r>
          </w:p>
          <w:p w14:paraId="7E0A4A88">
            <w:pPr>
              <w:widowControl/>
              <w:kinsoku w:val="0"/>
              <w:autoSpaceDE w:val="0"/>
              <w:autoSpaceDN w:val="0"/>
              <w:spacing w:line="276" w:lineRule="auto"/>
              <w:jc w:val="left"/>
              <w:textAlignment w:val="baseline"/>
              <w:rPr>
                <w:color w:val="000000"/>
                <w:kern w:val="0"/>
                <w:szCs w:val="21"/>
              </w:rPr>
            </w:pPr>
            <w:r>
              <w:rPr>
                <w:color w:val="000000"/>
                <w:kern w:val="0"/>
                <w:szCs w:val="21"/>
              </w:rPr>
              <w:t>2、在施工阶段场站合理布局，堆场上覆盖防尘网，做好水土流失防护措施</w:t>
            </w:r>
            <w:r>
              <w:rPr>
                <w:rFonts w:hint="eastAsia"/>
                <w:color w:val="000000"/>
                <w:kern w:val="0"/>
                <w:szCs w:val="21"/>
              </w:rPr>
              <w:t>；</w:t>
            </w:r>
          </w:p>
          <w:p w14:paraId="6BDA50DE">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3、施工结束及时拆除围堰及临时设施，清理河道障碍物，恢复河床。</w:t>
            </w:r>
          </w:p>
        </w:tc>
        <w:tc>
          <w:tcPr>
            <w:tcW w:w="885" w:type="pct"/>
            <w:tcBorders>
              <w:top w:val="single" w:color="auto" w:sz="4" w:space="0"/>
              <w:left w:val="single" w:color="auto" w:sz="4" w:space="0"/>
              <w:bottom w:val="single" w:color="auto" w:sz="4" w:space="0"/>
              <w:right w:val="single" w:color="auto" w:sz="4" w:space="0"/>
            </w:tcBorders>
            <w:vAlign w:val="center"/>
          </w:tcPr>
          <w:p w14:paraId="315D5274">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1、</w:t>
            </w:r>
            <w:r>
              <w:rPr>
                <w:rFonts w:hint="eastAsia"/>
                <w:color w:val="000000"/>
              </w:rPr>
              <w:t>河道</w:t>
            </w:r>
            <w:r>
              <w:rPr>
                <w:rFonts w:hint="eastAsia"/>
              </w:rPr>
              <w:t>SS监测数据无超标；</w:t>
            </w:r>
          </w:p>
          <w:p w14:paraId="64310514">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2、河道、河床平整度恢复。</w:t>
            </w:r>
          </w:p>
        </w:tc>
        <w:tc>
          <w:tcPr>
            <w:tcW w:w="1449" w:type="pct"/>
            <w:tcBorders>
              <w:top w:val="single" w:color="auto" w:sz="4" w:space="0"/>
              <w:left w:val="single" w:color="auto" w:sz="4" w:space="0"/>
              <w:bottom w:val="single" w:color="auto" w:sz="4" w:space="0"/>
              <w:right w:val="single" w:color="auto" w:sz="4" w:space="0"/>
            </w:tcBorders>
            <w:vAlign w:val="center"/>
          </w:tcPr>
          <w:p w14:paraId="479CC168">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1、路面径流经雨水管道收集后排入周边河道。</w:t>
            </w:r>
          </w:p>
          <w:p w14:paraId="63B49742">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2、定期清扫路面，减少沉积物。</w:t>
            </w:r>
          </w:p>
          <w:p w14:paraId="221BAF12">
            <w:pPr>
              <w:widowControl/>
              <w:kinsoku w:val="0"/>
              <w:autoSpaceDE w:val="0"/>
              <w:autoSpaceDN w:val="0"/>
              <w:spacing w:line="276" w:lineRule="auto"/>
              <w:jc w:val="left"/>
              <w:textAlignment w:val="baseline"/>
              <w:rPr>
                <w:color w:val="000000"/>
                <w:kern w:val="0"/>
                <w:szCs w:val="21"/>
                <w:highlight w:val="yellow"/>
              </w:rPr>
            </w:pPr>
            <w:r>
              <w:rPr>
                <w:rFonts w:hint="eastAsia"/>
                <w:color w:val="000000"/>
                <w:kern w:val="0"/>
                <w:szCs w:val="21"/>
              </w:rPr>
              <w:t>3、制定危险化学品运输事故应急预案，防止泄漏入河。</w:t>
            </w:r>
          </w:p>
        </w:tc>
        <w:tc>
          <w:tcPr>
            <w:tcW w:w="665" w:type="pct"/>
            <w:tcBorders>
              <w:top w:val="single" w:color="auto" w:sz="4" w:space="0"/>
              <w:left w:val="single" w:color="auto" w:sz="4" w:space="0"/>
              <w:bottom w:val="single" w:color="auto" w:sz="4" w:space="0"/>
              <w:right w:val="single" w:color="auto" w:sz="12" w:space="0"/>
            </w:tcBorders>
            <w:vAlign w:val="center"/>
          </w:tcPr>
          <w:p w14:paraId="1B181531">
            <w:pPr>
              <w:widowControl/>
              <w:kinsoku w:val="0"/>
              <w:autoSpaceDE w:val="0"/>
              <w:autoSpaceDN w:val="0"/>
              <w:spacing w:line="276" w:lineRule="auto"/>
              <w:jc w:val="center"/>
              <w:textAlignment w:val="baseline"/>
              <w:rPr>
                <w:color w:val="000000"/>
                <w:kern w:val="0"/>
                <w:szCs w:val="21"/>
                <w:highlight w:val="yellow"/>
              </w:rPr>
            </w:pPr>
            <w:r>
              <w:rPr>
                <w:color w:val="000000"/>
                <w:kern w:val="0"/>
                <w:szCs w:val="21"/>
              </w:rPr>
              <w:t>/</w:t>
            </w:r>
          </w:p>
        </w:tc>
      </w:tr>
      <w:tr w14:paraId="54124C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23E68BE8">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地表水环境</w:t>
            </w:r>
          </w:p>
        </w:tc>
        <w:tc>
          <w:tcPr>
            <w:tcW w:w="1446" w:type="pct"/>
            <w:tcBorders>
              <w:top w:val="single" w:color="auto" w:sz="4" w:space="0"/>
              <w:left w:val="single" w:color="auto" w:sz="4" w:space="0"/>
              <w:bottom w:val="single" w:color="auto" w:sz="4" w:space="0"/>
              <w:right w:val="single" w:color="auto" w:sz="4" w:space="0"/>
            </w:tcBorders>
            <w:vAlign w:val="center"/>
          </w:tcPr>
          <w:p w14:paraId="5E9204EB">
            <w:pPr>
              <w:autoSpaceDE w:val="0"/>
              <w:autoSpaceDN w:val="0"/>
              <w:snapToGrid/>
              <w:spacing w:line="276" w:lineRule="auto"/>
              <w:jc w:val="left"/>
              <w:rPr>
                <w:color w:val="000000"/>
                <w:kern w:val="0"/>
                <w:szCs w:val="21"/>
              </w:rPr>
            </w:pPr>
            <w:r>
              <w:rPr>
                <w:color w:val="000000"/>
                <w:kern w:val="0"/>
                <w:szCs w:val="21"/>
              </w:rPr>
              <w:t>1、</w:t>
            </w:r>
            <w:r>
              <w:rPr>
                <w:rFonts w:hint="eastAsia"/>
                <w:color w:val="000000"/>
                <w:kern w:val="0"/>
                <w:szCs w:val="21"/>
              </w:rPr>
              <w:t>本工程</w:t>
            </w:r>
            <w:r>
              <w:rPr>
                <w:color w:val="000000"/>
                <w:kern w:val="0"/>
                <w:szCs w:val="21"/>
              </w:rPr>
              <w:t>在生活区东北面围栏外侧设置</w:t>
            </w:r>
            <w:r>
              <w:rPr>
                <w:rFonts w:hint="eastAsia"/>
                <w:color w:val="000000"/>
                <w:kern w:val="0"/>
                <w:szCs w:val="21"/>
              </w:rPr>
              <w:t>临时三级</w:t>
            </w:r>
            <w:r>
              <w:rPr>
                <w:color w:val="000000"/>
                <w:kern w:val="0"/>
                <w:szCs w:val="21"/>
              </w:rPr>
              <w:t>沉淀池</w:t>
            </w:r>
            <w:r>
              <w:rPr>
                <w:rFonts w:hint="eastAsia"/>
                <w:color w:val="000000"/>
                <w:kern w:val="0"/>
                <w:szCs w:val="21"/>
              </w:rPr>
              <w:t>1个</w:t>
            </w:r>
            <w:r>
              <w:rPr>
                <w:color w:val="000000"/>
                <w:kern w:val="0"/>
                <w:szCs w:val="21"/>
              </w:rPr>
              <w:t>，施工产生的冲洗废水等经沉淀分离后</w:t>
            </w:r>
            <w:r>
              <w:rPr>
                <w:rFonts w:hint="eastAsia"/>
                <w:color w:val="000000"/>
                <w:kern w:val="0"/>
                <w:szCs w:val="21"/>
              </w:rPr>
              <w:t>集中</w:t>
            </w:r>
            <w:r>
              <w:rPr>
                <w:color w:val="000000"/>
                <w:kern w:val="0"/>
                <w:szCs w:val="21"/>
              </w:rPr>
              <w:t>处理；</w:t>
            </w:r>
          </w:p>
          <w:p w14:paraId="22D389B5">
            <w:pPr>
              <w:autoSpaceDE w:val="0"/>
              <w:autoSpaceDN w:val="0"/>
              <w:snapToGrid/>
              <w:spacing w:line="276" w:lineRule="auto"/>
              <w:jc w:val="left"/>
              <w:rPr>
                <w:color w:val="000000"/>
                <w:kern w:val="0"/>
                <w:szCs w:val="21"/>
              </w:rPr>
            </w:pPr>
            <w:r>
              <w:rPr>
                <w:color w:val="000000"/>
                <w:kern w:val="0"/>
                <w:szCs w:val="21"/>
              </w:rPr>
              <w:t>2、物料堆场</w:t>
            </w:r>
            <w:r>
              <w:rPr>
                <w:rFonts w:hint="eastAsia"/>
                <w:color w:val="000000"/>
                <w:kern w:val="0"/>
                <w:szCs w:val="21"/>
              </w:rPr>
              <w:t>位于</w:t>
            </w:r>
            <w:r>
              <w:rPr>
                <w:color w:val="000000"/>
                <w:kern w:val="0"/>
                <w:szCs w:val="21"/>
              </w:rPr>
              <w:t>生活区西南侧围栏外棚内</w:t>
            </w:r>
            <w:r>
              <w:rPr>
                <w:rFonts w:hint="eastAsia"/>
                <w:color w:val="000000"/>
                <w:kern w:val="0"/>
                <w:szCs w:val="21"/>
              </w:rPr>
              <w:t>，</w:t>
            </w:r>
            <w:r>
              <w:rPr>
                <w:color w:val="000000"/>
                <w:kern w:val="0"/>
                <w:szCs w:val="21"/>
              </w:rPr>
              <w:t>配备遮盖措施，防止雨水冲刷进入地表水体；</w:t>
            </w:r>
          </w:p>
          <w:p w14:paraId="117C9475">
            <w:pPr>
              <w:autoSpaceDE w:val="0"/>
              <w:autoSpaceDN w:val="0"/>
              <w:snapToGrid/>
              <w:spacing w:line="276" w:lineRule="auto"/>
              <w:jc w:val="left"/>
              <w:rPr>
                <w:color w:val="000000"/>
                <w:kern w:val="0"/>
                <w:szCs w:val="21"/>
              </w:rPr>
            </w:pPr>
            <w:r>
              <w:rPr>
                <w:color w:val="000000"/>
                <w:kern w:val="0"/>
                <w:szCs w:val="21"/>
              </w:rPr>
              <w:t>3、建材、弃渣、生活垃圾的堆放、弃置</w:t>
            </w:r>
            <w:r>
              <w:rPr>
                <w:rFonts w:hint="eastAsia"/>
                <w:color w:val="000000"/>
                <w:kern w:val="0"/>
                <w:szCs w:val="21"/>
              </w:rPr>
              <w:t>需集中堆放于</w:t>
            </w:r>
            <w:r>
              <w:rPr>
                <w:color w:val="000000"/>
                <w:kern w:val="0"/>
                <w:szCs w:val="21"/>
              </w:rPr>
              <w:t>生活区西北面</w:t>
            </w:r>
            <w:r>
              <w:rPr>
                <w:rFonts w:hint="eastAsia"/>
                <w:color w:val="000000"/>
                <w:kern w:val="0"/>
                <w:szCs w:val="21"/>
              </w:rPr>
              <w:t>的生活垃圾堆放点，</w:t>
            </w:r>
            <w:r>
              <w:rPr>
                <w:color w:val="000000"/>
                <w:kern w:val="0"/>
                <w:szCs w:val="21"/>
              </w:rPr>
              <w:t>严禁乱堆、乱弃</w:t>
            </w:r>
            <w:r>
              <w:rPr>
                <w:rFonts w:hint="eastAsia"/>
                <w:color w:val="000000"/>
                <w:kern w:val="0"/>
                <w:szCs w:val="21"/>
              </w:rPr>
              <w:t>；</w:t>
            </w:r>
          </w:p>
          <w:p w14:paraId="2856B288">
            <w:pPr>
              <w:autoSpaceDE w:val="0"/>
              <w:autoSpaceDN w:val="0"/>
              <w:snapToGrid/>
              <w:spacing w:line="276" w:lineRule="auto"/>
              <w:jc w:val="left"/>
              <w:rPr>
                <w:color w:val="000000"/>
                <w:kern w:val="0"/>
                <w:szCs w:val="21"/>
              </w:rPr>
            </w:pPr>
            <w:r>
              <w:rPr>
                <w:rFonts w:hint="eastAsia"/>
                <w:color w:val="000000"/>
                <w:kern w:val="0"/>
                <w:szCs w:val="21"/>
              </w:rPr>
              <w:t>4、施工人员生活废水将委托第三方处理单位外运，不外排。</w:t>
            </w:r>
          </w:p>
        </w:tc>
        <w:tc>
          <w:tcPr>
            <w:tcW w:w="885" w:type="pct"/>
            <w:tcBorders>
              <w:top w:val="single" w:color="auto" w:sz="4" w:space="0"/>
              <w:left w:val="single" w:color="auto" w:sz="4" w:space="0"/>
              <w:bottom w:val="single" w:color="auto" w:sz="4" w:space="0"/>
              <w:right w:val="single" w:color="auto" w:sz="4" w:space="0"/>
            </w:tcBorders>
            <w:vAlign w:val="center"/>
          </w:tcPr>
          <w:p w14:paraId="210BD3B7">
            <w:pPr>
              <w:widowControl/>
              <w:kinsoku w:val="0"/>
              <w:autoSpaceDE w:val="0"/>
              <w:autoSpaceDN w:val="0"/>
              <w:spacing w:line="276" w:lineRule="auto"/>
              <w:jc w:val="left"/>
              <w:textAlignment w:val="baseline"/>
              <w:rPr>
                <w:color w:val="000000"/>
                <w:kern w:val="0"/>
                <w:szCs w:val="21"/>
                <w:highlight w:val="yellow"/>
              </w:rPr>
            </w:pPr>
            <w:r>
              <w:rPr>
                <w:color w:val="000000"/>
                <w:kern w:val="0"/>
                <w:szCs w:val="21"/>
              </w:rPr>
              <w:t>废水不外排，</w:t>
            </w:r>
            <w:r>
              <w:rPr>
                <w:rFonts w:hint="eastAsia"/>
                <w:color w:val="000000"/>
                <w:kern w:val="0"/>
                <w:szCs w:val="21"/>
              </w:rPr>
              <w:t>无</w:t>
            </w:r>
            <w:r>
              <w:rPr>
                <w:color w:val="000000"/>
                <w:kern w:val="0"/>
                <w:szCs w:val="21"/>
              </w:rPr>
              <w:t>施工废水</w:t>
            </w:r>
            <w:r>
              <w:rPr>
                <w:rFonts w:hint="eastAsia"/>
                <w:color w:val="000000"/>
                <w:kern w:val="0"/>
                <w:szCs w:val="21"/>
              </w:rPr>
              <w:t>不利</w:t>
            </w:r>
            <w:r>
              <w:rPr>
                <w:color w:val="000000"/>
                <w:kern w:val="0"/>
                <w:szCs w:val="21"/>
              </w:rPr>
              <w:t>影响</w:t>
            </w:r>
          </w:p>
        </w:tc>
        <w:tc>
          <w:tcPr>
            <w:tcW w:w="1449" w:type="pct"/>
            <w:tcBorders>
              <w:top w:val="single" w:color="auto" w:sz="4" w:space="0"/>
              <w:left w:val="single" w:color="auto" w:sz="4" w:space="0"/>
              <w:bottom w:val="single" w:color="auto" w:sz="4" w:space="0"/>
              <w:right w:val="single" w:color="auto" w:sz="4" w:space="0"/>
            </w:tcBorders>
            <w:vAlign w:val="center"/>
          </w:tcPr>
          <w:p w14:paraId="5DC5D1D2">
            <w:pPr>
              <w:widowControl/>
              <w:kinsoku w:val="0"/>
              <w:autoSpaceDE w:val="0"/>
              <w:autoSpaceDN w:val="0"/>
              <w:spacing w:line="276" w:lineRule="auto"/>
              <w:jc w:val="left"/>
              <w:textAlignment w:val="baseline"/>
              <w:rPr>
                <w:color w:val="000000"/>
                <w:kern w:val="0"/>
                <w:szCs w:val="21"/>
              </w:rPr>
            </w:pPr>
            <w:r>
              <w:rPr>
                <w:color w:val="000000"/>
                <w:kern w:val="0"/>
                <w:szCs w:val="21"/>
              </w:rPr>
              <w:t>1、加强对路面的日常维护与管理，保持路面清洁，及时清理路面上累积的尘土、碎屑、油污等；</w:t>
            </w:r>
          </w:p>
          <w:p w14:paraId="090F43ED">
            <w:pPr>
              <w:widowControl/>
              <w:kinsoku w:val="0"/>
              <w:autoSpaceDE w:val="0"/>
              <w:autoSpaceDN w:val="0"/>
              <w:spacing w:line="276" w:lineRule="auto"/>
              <w:jc w:val="left"/>
              <w:textAlignment w:val="baseline"/>
              <w:rPr>
                <w:color w:val="000000"/>
                <w:kern w:val="0"/>
                <w:szCs w:val="21"/>
              </w:rPr>
            </w:pPr>
            <w:r>
              <w:rPr>
                <w:color w:val="000000"/>
                <w:kern w:val="0"/>
                <w:szCs w:val="21"/>
              </w:rPr>
              <w:t>2、加强车辆运输管理，降低交通事故的发生</w:t>
            </w:r>
            <w:r>
              <w:rPr>
                <w:rFonts w:hint="eastAsia"/>
                <w:color w:val="000000"/>
                <w:kern w:val="0"/>
                <w:szCs w:val="21"/>
              </w:rPr>
              <w:t>概率；</w:t>
            </w:r>
          </w:p>
          <w:p w14:paraId="29AD9E63">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3、编制危险化学品运输事故应急预案，配备器材人员。</w:t>
            </w:r>
          </w:p>
        </w:tc>
        <w:tc>
          <w:tcPr>
            <w:tcW w:w="665" w:type="pct"/>
            <w:tcBorders>
              <w:top w:val="single" w:color="auto" w:sz="4" w:space="0"/>
              <w:left w:val="single" w:color="auto" w:sz="4" w:space="0"/>
              <w:bottom w:val="single" w:color="auto" w:sz="4" w:space="0"/>
              <w:right w:val="single" w:color="auto" w:sz="12" w:space="0"/>
            </w:tcBorders>
            <w:vAlign w:val="center"/>
          </w:tcPr>
          <w:p w14:paraId="04A1F3CA">
            <w:pPr>
              <w:widowControl/>
              <w:kinsoku w:val="0"/>
              <w:autoSpaceDE w:val="0"/>
              <w:autoSpaceDN w:val="0"/>
              <w:spacing w:line="276" w:lineRule="auto"/>
              <w:jc w:val="center"/>
              <w:textAlignment w:val="baseline"/>
              <w:rPr>
                <w:color w:val="000000"/>
                <w:kern w:val="0"/>
                <w:szCs w:val="21"/>
              </w:rPr>
            </w:pPr>
            <w:r>
              <w:rPr>
                <w:rFonts w:hint="eastAsia"/>
                <w:color w:val="000000"/>
                <w:kern w:val="0"/>
                <w:szCs w:val="21"/>
              </w:rPr>
              <w:t>/</w:t>
            </w:r>
          </w:p>
        </w:tc>
      </w:tr>
      <w:tr w14:paraId="0729DE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5D02F741">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地下水及土壤环境</w:t>
            </w:r>
          </w:p>
        </w:tc>
        <w:tc>
          <w:tcPr>
            <w:tcW w:w="1446" w:type="pct"/>
            <w:tcBorders>
              <w:top w:val="single" w:color="auto" w:sz="4" w:space="0"/>
              <w:left w:val="single" w:color="auto" w:sz="4" w:space="0"/>
              <w:bottom w:val="single" w:color="auto" w:sz="4" w:space="0"/>
              <w:right w:val="single" w:color="auto" w:sz="4" w:space="0"/>
            </w:tcBorders>
            <w:vAlign w:val="center"/>
          </w:tcPr>
          <w:p w14:paraId="55D45C91">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885" w:type="pct"/>
            <w:tcBorders>
              <w:top w:val="single" w:color="auto" w:sz="4" w:space="0"/>
              <w:left w:val="single" w:color="auto" w:sz="4" w:space="0"/>
              <w:bottom w:val="single" w:color="auto" w:sz="4" w:space="0"/>
              <w:right w:val="single" w:color="auto" w:sz="4" w:space="0"/>
            </w:tcBorders>
            <w:vAlign w:val="center"/>
          </w:tcPr>
          <w:p w14:paraId="4EF00C5A">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1449" w:type="pct"/>
            <w:tcBorders>
              <w:top w:val="single" w:color="auto" w:sz="4" w:space="0"/>
              <w:left w:val="single" w:color="auto" w:sz="4" w:space="0"/>
              <w:bottom w:val="single" w:color="auto" w:sz="4" w:space="0"/>
              <w:right w:val="single" w:color="auto" w:sz="4" w:space="0"/>
            </w:tcBorders>
            <w:vAlign w:val="center"/>
          </w:tcPr>
          <w:p w14:paraId="6A16C530">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665" w:type="pct"/>
            <w:tcBorders>
              <w:top w:val="single" w:color="auto" w:sz="4" w:space="0"/>
              <w:left w:val="single" w:color="auto" w:sz="4" w:space="0"/>
              <w:bottom w:val="single" w:color="auto" w:sz="4" w:space="0"/>
              <w:right w:val="single" w:color="auto" w:sz="12" w:space="0"/>
            </w:tcBorders>
            <w:vAlign w:val="center"/>
          </w:tcPr>
          <w:p w14:paraId="0697C33E">
            <w:pPr>
              <w:widowControl/>
              <w:kinsoku w:val="0"/>
              <w:autoSpaceDE w:val="0"/>
              <w:autoSpaceDN w:val="0"/>
              <w:spacing w:line="276" w:lineRule="auto"/>
              <w:jc w:val="center"/>
              <w:textAlignment w:val="baseline"/>
              <w:rPr>
                <w:color w:val="000000"/>
                <w:kern w:val="0"/>
                <w:szCs w:val="21"/>
              </w:rPr>
            </w:pPr>
            <w:r>
              <w:rPr>
                <w:color w:val="000000"/>
                <w:kern w:val="0"/>
                <w:szCs w:val="21"/>
              </w:rPr>
              <w:t>/</w:t>
            </w:r>
          </w:p>
        </w:tc>
      </w:tr>
      <w:tr w14:paraId="7CB422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6C3EC2C3">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声环境</w:t>
            </w:r>
          </w:p>
        </w:tc>
        <w:tc>
          <w:tcPr>
            <w:tcW w:w="1446" w:type="pct"/>
            <w:tcBorders>
              <w:top w:val="single" w:color="auto" w:sz="4" w:space="0"/>
              <w:left w:val="single" w:color="auto" w:sz="4" w:space="0"/>
              <w:bottom w:val="single" w:color="auto" w:sz="4" w:space="0"/>
              <w:right w:val="single" w:color="auto" w:sz="4" w:space="0"/>
            </w:tcBorders>
            <w:vAlign w:val="center"/>
          </w:tcPr>
          <w:p w14:paraId="3EC2AA6D">
            <w:pPr>
              <w:widowControl/>
              <w:kinsoku w:val="0"/>
              <w:autoSpaceDE w:val="0"/>
              <w:autoSpaceDN w:val="0"/>
              <w:spacing w:line="276" w:lineRule="auto"/>
              <w:jc w:val="left"/>
              <w:textAlignment w:val="baseline"/>
              <w:rPr>
                <w:color w:val="000000"/>
                <w:kern w:val="0"/>
                <w:szCs w:val="21"/>
              </w:rPr>
            </w:pPr>
            <w:r>
              <w:rPr>
                <w:color w:val="000000"/>
                <w:kern w:val="0"/>
                <w:szCs w:val="21"/>
              </w:rPr>
              <w:t>1、合理安排施工计划，施工机械在远离保护目标的位置；禁止夜间施工，如需夜间施工，需申领夜间作业证明；</w:t>
            </w:r>
          </w:p>
          <w:p w14:paraId="4D10ED8A">
            <w:pPr>
              <w:widowControl/>
              <w:kinsoku w:val="0"/>
              <w:autoSpaceDE w:val="0"/>
              <w:autoSpaceDN w:val="0"/>
              <w:spacing w:line="276" w:lineRule="auto"/>
              <w:jc w:val="left"/>
              <w:textAlignment w:val="baseline"/>
              <w:rPr>
                <w:color w:val="000000"/>
                <w:kern w:val="0"/>
                <w:szCs w:val="21"/>
              </w:rPr>
            </w:pPr>
            <w:r>
              <w:rPr>
                <w:color w:val="000000"/>
                <w:kern w:val="0"/>
                <w:szCs w:val="21"/>
              </w:rPr>
              <w:t>2、选用低噪设备，同时合理安排设备位置；</w:t>
            </w:r>
          </w:p>
          <w:p w14:paraId="1D75AE16">
            <w:pPr>
              <w:widowControl/>
              <w:kinsoku w:val="0"/>
              <w:autoSpaceDE w:val="0"/>
              <w:autoSpaceDN w:val="0"/>
              <w:spacing w:line="276" w:lineRule="auto"/>
              <w:jc w:val="left"/>
              <w:textAlignment w:val="baseline"/>
              <w:rPr>
                <w:color w:val="000000"/>
                <w:kern w:val="0"/>
                <w:szCs w:val="21"/>
              </w:rPr>
            </w:pPr>
            <w:r>
              <w:rPr>
                <w:color w:val="000000"/>
                <w:kern w:val="0"/>
                <w:szCs w:val="21"/>
              </w:rPr>
              <w:t>3、施工区域周边设置固定式硬质围栏。</w:t>
            </w:r>
          </w:p>
        </w:tc>
        <w:tc>
          <w:tcPr>
            <w:tcW w:w="885" w:type="pct"/>
            <w:tcBorders>
              <w:top w:val="single" w:color="auto" w:sz="4" w:space="0"/>
              <w:left w:val="single" w:color="auto" w:sz="4" w:space="0"/>
              <w:bottom w:val="single" w:color="auto" w:sz="4" w:space="0"/>
              <w:right w:val="single" w:color="auto" w:sz="4" w:space="0"/>
            </w:tcBorders>
            <w:vAlign w:val="center"/>
          </w:tcPr>
          <w:p w14:paraId="21FC017D">
            <w:pPr>
              <w:widowControl/>
              <w:kinsoku w:val="0"/>
              <w:autoSpaceDE w:val="0"/>
              <w:autoSpaceDN w:val="0"/>
              <w:spacing w:line="276" w:lineRule="auto"/>
              <w:jc w:val="center"/>
              <w:textAlignment w:val="baseline"/>
              <w:rPr>
                <w:color w:val="000000"/>
                <w:kern w:val="0"/>
                <w:szCs w:val="21"/>
              </w:rPr>
            </w:pPr>
            <w:r>
              <w:rPr>
                <w:color w:val="000000"/>
                <w:kern w:val="0"/>
                <w:szCs w:val="21"/>
              </w:rPr>
              <w:t>满足《建筑施工噪声排放标准》</w:t>
            </w:r>
          </w:p>
          <w:p w14:paraId="46A44B7F">
            <w:pPr>
              <w:widowControl/>
              <w:kinsoku w:val="0"/>
              <w:autoSpaceDE w:val="0"/>
              <w:autoSpaceDN w:val="0"/>
              <w:spacing w:line="276" w:lineRule="auto"/>
              <w:jc w:val="center"/>
              <w:textAlignment w:val="baseline"/>
              <w:rPr>
                <w:color w:val="000000"/>
                <w:kern w:val="0"/>
                <w:szCs w:val="21"/>
                <w:highlight w:val="yellow"/>
              </w:rPr>
            </w:pPr>
            <w:r>
              <w:rPr>
                <w:color w:val="000000"/>
                <w:kern w:val="0"/>
                <w:szCs w:val="21"/>
              </w:rPr>
              <w:t>（GB12523-20</w:t>
            </w:r>
            <w:r>
              <w:rPr>
                <w:rFonts w:hint="eastAsia"/>
                <w:color w:val="000000"/>
                <w:kern w:val="0"/>
                <w:szCs w:val="21"/>
              </w:rPr>
              <w:t>25</w:t>
            </w:r>
            <w:r>
              <w:rPr>
                <w:color w:val="000000"/>
                <w:kern w:val="0"/>
                <w:szCs w:val="21"/>
              </w:rPr>
              <w:t>）</w:t>
            </w:r>
          </w:p>
        </w:tc>
        <w:tc>
          <w:tcPr>
            <w:tcW w:w="1449" w:type="pct"/>
            <w:tcBorders>
              <w:top w:val="single" w:color="auto" w:sz="4" w:space="0"/>
              <w:left w:val="single" w:color="auto" w:sz="4" w:space="0"/>
              <w:bottom w:val="single" w:color="auto" w:sz="4" w:space="0"/>
              <w:right w:val="single" w:color="auto" w:sz="4" w:space="0"/>
            </w:tcBorders>
            <w:vAlign w:val="center"/>
          </w:tcPr>
          <w:p w14:paraId="54E97502">
            <w:pPr>
              <w:widowControl/>
              <w:kinsoku w:val="0"/>
              <w:autoSpaceDE w:val="0"/>
              <w:autoSpaceDN w:val="0"/>
              <w:spacing w:line="276" w:lineRule="auto"/>
              <w:jc w:val="left"/>
              <w:textAlignment w:val="baseline"/>
              <w:rPr>
                <w:color w:val="000000"/>
                <w:kern w:val="0"/>
                <w:szCs w:val="21"/>
              </w:rPr>
            </w:pPr>
            <w:r>
              <w:rPr>
                <w:color w:val="000000"/>
                <w:kern w:val="0"/>
                <w:szCs w:val="21"/>
              </w:rPr>
              <w:t>1、设置</w:t>
            </w:r>
            <w:r>
              <w:rPr>
                <w:rFonts w:hint="eastAsia"/>
                <w:color w:val="000000"/>
                <w:kern w:val="0"/>
                <w:szCs w:val="21"/>
              </w:rPr>
              <w:t>绿化带、</w:t>
            </w:r>
            <w:r>
              <w:rPr>
                <w:color w:val="000000"/>
                <w:kern w:val="0"/>
                <w:szCs w:val="21"/>
              </w:rPr>
              <w:t>隔声窗等</w:t>
            </w:r>
            <w:r>
              <w:rPr>
                <w:rFonts w:hint="eastAsia"/>
                <w:color w:val="000000"/>
                <w:kern w:val="0"/>
                <w:szCs w:val="21"/>
              </w:rPr>
              <w:t>隔声设施；</w:t>
            </w:r>
          </w:p>
          <w:p w14:paraId="27F1283F">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2、保证规划建筑回退距离满足法规要求。</w:t>
            </w:r>
          </w:p>
        </w:tc>
        <w:tc>
          <w:tcPr>
            <w:tcW w:w="665" w:type="pct"/>
            <w:tcBorders>
              <w:top w:val="single" w:color="auto" w:sz="4" w:space="0"/>
              <w:left w:val="single" w:color="auto" w:sz="4" w:space="0"/>
              <w:bottom w:val="single" w:color="auto" w:sz="4" w:space="0"/>
              <w:right w:val="single" w:color="auto" w:sz="12" w:space="0"/>
            </w:tcBorders>
            <w:vAlign w:val="center"/>
          </w:tcPr>
          <w:p w14:paraId="69A1BBF2">
            <w:pPr>
              <w:widowControl/>
              <w:kinsoku w:val="0"/>
              <w:autoSpaceDE w:val="0"/>
              <w:autoSpaceDN w:val="0"/>
              <w:spacing w:line="276" w:lineRule="auto"/>
              <w:jc w:val="center"/>
              <w:textAlignment w:val="baseline"/>
              <w:rPr>
                <w:color w:val="000000"/>
                <w:kern w:val="0"/>
                <w:szCs w:val="21"/>
              </w:rPr>
            </w:pPr>
            <w:r>
              <w:rPr>
                <w:color w:val="000000"/>
                <w:kern w:val="0"/>
                <w:szCs w:val="21"/>
              </w:rPr>
              <w:t>沿线敏感点达到《声环境质量标准》（GB3096-2008）2类及4a类标准项目所在区域室内声环境执行《建筑环境通用规范》（GB55016-2021）中建筑物外部噪声源传播至主要功能房间室内的噪声限值。</w:t>
            </w:r>
          </w:p>
        </w:tc>
      </w:tr>
      <w:tr w14:paraId="7F415B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259E9427">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振动</w:t>
            </w:r>
          </w:p>
        </w:tc>
        <w:tc>
          <w:tcPr>
            <w:tcW w:w="1446" w:type="pct"/>
            <w:tcBorders>
              <w:top w:val="single" w:color="auto" w:sz="4" w:space="0"/>
              <w:left w:val="single" w:color="auto" w:sz="4" w:space="0"/>
              <w:bottom w:val="single" w:color="auto" w:sz="4" w:space="0"/>
              <w:right w:val="single" w:color="auto" w:sz="4" w:space="0"/>
            </w:tcBorders>
            <w:vAlign w:val="center"/>
          </w:tcPr>
          <w:p w14:paraId="4FA66BAB">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885" w:type="pct"/>
            <w:tcBorders>
              <w:top w:val="single" w:color="auto" w:sz="4" w:space="0"/>
              <w:left w:val="single" w:color="auto" w:sz="4" w:space="0"/>
              <w:bottom w:val="single" w:color="auto" w:sz="4" w:space="0"/>
              <w:right w:val="single" w:color="auto" w:sz="4" w:space="0"/>
            </w:tcBorders>
            <w:vAlign w:val="center"/>
          </w:tcPr>
          <w:p w14:paraId="3E7D4E3F">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1449" w:type="pct"/>
            <w:tcBorders>
              <w:top w:val="single" w:color="auto" w:sz="4" w:space="0"/>
              <w:left w:val="single" w:color="auto" w:sz="4" w:space="0"/>
              <w:bottom w:val="single" w:color="auto" w:sz="4" w:space="0"/>
              <w:right w:val="single" w:color="auto" w:sz="4" w:space="0"/>
            </w:tcBorders>
            <w:vAlign w:val="center"/>
          </w:tcPr>
          <w:p w14:paraId="682F9988">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665" w:type="pct"/>
            <w:tcBorders>
              <w:top w:val="single" w:color="auto" w:sz="4" w:space="0"/>
              <w:left w:val="single" w:color="auto" w:sz="4" w:space="0"/>
              <w:bottom w:val="single" w:color="auto" w:sz="4" w:space="0"/>
              <w:right w:val="single" w:color="auto" w:sz="12" w:space="0"/>
            </w:tcBorders>
            <w:vAlign w:val="center"/>
          </w:tcPr>
          <w:p w14:paraId="0521DDA9">
            <w:pPr>
              <w:widowControl/>
              <w:kinsoku w:val="0"/>
              <w:autoSpaceDE w:val="0"/>
              <w:autoSpaceDN w:val="0"/>
              <w:spacing w:line="276" w:lineRule="auto"/>
              <w:jc w:val="center"/>
              <w:textAlignment w:val="baseline"/>
              <w:rPr>
                <w:color w:val="000000"/>
                <w:kern w:val="0"/>
                <w:szCs w:val="21"/>
              </w:rPr>
            </w:pPr>
            <w:r>
              <w:rPr>
                <w:color w:val="000000"/>
                <w:kern w:val="0"/>
                <w:szCs w:val="21"/>
              </w:rPr>
              <w:t>/</w:t>
            </w:r>
          </w:p>
        </w:tc>
      </w:tr>
      <w:tr w14:paraId="7E37CA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095C9BC5">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大气环境</w:t>
            </w:r>
          </w:p>
        </w:tc>
        <w:tc>
          <w:tcPr>
            <w:tcW w:w="1446" w:type="pct"/>
            <w:tcBorders>
              <w:top w:val="single" w:color="auto" w:sz="4" w:space="0"/>
              <w:left w:val="single" w:color="auto" w:sz="4" w:space="0"/>
              <w:bottom w:val="single" w:color="auto" w:sz="4" w:space="0"/>
              <w:right w:val="single" w:color="auto" w:sz="4" w:space="0"/>
            </w:tcBorders>
            <w:vAlign w:val="center"/>
          </w:tcPr>
          <w:p w14:paraId="40D09920">
            <w:pPr>
              <w:widowControl/>
              <w:kinsoku w:val="0"/>
              <w:autoSpaceDE w:val="0"/>
              <w:autoSpaceDN w:val="0"/>
              <w:spacing w:line="276" w:lineRule="auto"/>
              <w:jc w:val="left"/>
              <w:textAlignment w:val="baseline"/>
              <w:rPr>
                <w:color w:val="000000"/>
                <w:kern w:val="0"/>
                <w:szCs w:val="21"/>
              </w:rPr>
            </w:pPr>
            <w:r>
              <w:rPr>
                <w:color w:val="000000"/>
                <w:kern w:val="0"/>
                <w:szCs w:val="21"/>
              </w:rPr>
              <w:t>1、建设工地封闭作业,落实“八个100%”长效机制；</w:t>
            </w:r>
          </w:p>
          <w:p w14:paraId="1D8F422F">
            <w:pPr>
              <w:widowControl/>
              <w:kinsoku w:val="0"/>
              <w:autoSpaceDE w:val="0"/>
              <w:autoSpaceDN w:val="0"/>
              <w:spacing w:line="276" w:lineRule="auto"/>
              <w:jc w:val="left"/>
              <w:textAlignment w:val="baseline"/>
              <w:rPr>
                <w:color w:val="000000"/>
                <w:kern w:val="0"/>
                <w:szCs w:val="21"/>
              </w:rPr>
            </w:pPr>
            <w:r>
              <w:rPr>
                <w:color w:val="000000"/>
                <w:kern w:val="0"/>
                <w:szCs w:val="21"/>
              </w:rPr>
              <w:t>2、渣土运输、工地起尘、道路扬尘等采用洒水、车辆冲洗等措施；</w:t>
            </w:r>
          </w:p>
          <w:p w14:paraId="1BEACB96">
            <w:pPr>
              <w:widowControl/>
              <w:kinsoku w:val="0"/>
              <w:autoSpaceDE w:val="0"/>
              <w:autoSpaceDN w:val="0"/>
              <w:spacing w:line="276" w:lineRule="auto"/>
              <w:jc w:val="left"/>
              <w:textAlignment w:val="baseline"/>
              <w:rPr>
                <w:color w:val="000000"/>
                <w:kern w:val="0"/>
                <w:szCs w:val="21"/>
              </w:rPr>
            </w:pPr>
            <w:r>
              <w:rPr>
                <w:color w:val="000000"/>
                <w:kern w:val="0"/>
                <w:szCs w:val="21"/>
              </w:rPr>
              <w:t>3、弃渣设置毡布或塑料薄膜覆盖；</w:t>
            </w:r>
          </w:p>
          <w:p w14:paraId="1990EA0C">
            <w:pPr>
              <w:widowControl/>
              <w:kinsoku w:val="0"/>
              <w:autoSpaceDE w:val="0"/>
              <w:autoSpaceDN w:val="0"/>
              <w:spacing w:line="276" w:lineRule="auto"/>
              <w:jc w:val="left"/>
              <w:textAlignment w:val="baseline"/>
              <w:rPr>
                <w:color w:val="000000"/>
                <w:kern w:val="0"/>
                <w:szCs w:val="21"/>
              </w:rPr>
            </w:pPr>
            <w:r>
              <w:rPr>
                <w:color w:val="000000"/>
                <w:kern w:val="0"/>
                <w:szCs w:val="21"/>
              </w:rPr>
              <w:t>4、物料堆场合理布局，并采用覆盖等措施；</w:t>
            </w:r>
          </w:p>
          <w:p w14:paraId="676F9CCF">
            <w:pPr>
              <w:widowControl/>
              <w:kinsoku w:val="0"/>
              <w:autoSpaceDE w:val="0"/>
              <w:autoSpaceDN w:val="0"/>
              <w:spacing w:line="276" w:lineRule="auto"/>
              <w:jc w:val="left"/>
              <w:textAlignment w:val="baseline"/>
              <w:rPr>
                <w:color w:val="000000"/>
                <w:kern w:val="0"/>
                <w:szCs w:val="21"/>
              </w:rPr>
            </w:pPr>
            <w:r>
              <w:rPr>
                <w:color w:val="000000"/>
                <w:kern w:val="0"/>
                <w:szCs w:val="21"/>
              </w:rPr>
              <w:t>5、工地安装扬尘</w:t>
            </w:r>
            <w:r>
              <w:rPr>
                <w:rFonts w:hint="eastAsia"/>
                <w:color w:val="000000"/>
                <w:kern w:val="0"/>
                <w:szCs w:val="21"/>
              </w:rPr>
              <w:t>在线监测</w:t>
            </w:r>
            <w:r>
              <w:rPr>
                <w:color w:val="000000"/>
                <w:kern w:val="0"/>
                <w:szCs w:val="21"/>
              </w:rPr>
              <w:t>系统。</w:t>
            </w:r>
          </w:p>
        </w:tc>
        <w:tc>
          <w:tcPr>
            <w:tcW w:w="885" w:type="pct"/>
            <w:tcBorders>
              <w:top w:val="single" w:color="auto" w:sz="4" w:space="0"/>
              <w:left w:val="single" w:color="auto" w:sz="4" w:space="0"/>
              <w:bottom w:val="single" w:color="auto" w:sz="4" w:space="0"/>
              <w:right w:val="single" w:color="auto" w:sz="4" w:space="0"/>
            </w:tcBorders>
            <w:vAlign w:val="center"/>
          </w:tcPr>
          <w:p w14:paraId="3FDF91DB">
            <w:pPr>
              <w:widowControl/>
              <w:kinsoku w:val="0"/>
              <w:autoSpaceDE w:val="0"/>
              <w:autoSpaceDN w:val="0"/>
              <w:spacing w:line="276" w:lineRule="auto"/>
              <w:jc w:val="center"/>
              <w:textAlignment w:val="baseline"/>
              <w:rPr>
                <w:color w:val="000000"/>
                <w:kern w:val="0"/>
                <w:szCs w:val="21"/>
              </w:rPr>
            </w:pPr>
            <w:r>
              <w:rPr>
                <w:color w:val="000000"/>
                <w:kern w:val="0"/>
                <w:szCs w:val="21"/>
              </w:rPr>
              <w:t>对周边环境影响较小</w:t>
            </w:r>
          </w:p>
        </w:tc>
        <w:tc>
          <w:tcPr>
            <w:tcW w:w="1449" w:type="pct"/>
            <w:tcBorders>
              <w:top w:val="single" w:color="auto" w:sz="4" w:space="0"/>
              <w:left w:val="single" w:color="auto" w:sz="4" w:space="0"/>
              <w:bottom w:val="single" w:color="auto" w:sz="4" w:space="0"/>
              <w:right w:val="single" w:color="auto" w:sz="4" w:space="0"/>
            </w:tcBorders>
            <w:vAlign w:val="center"/>
          </w:tcPr>
          <w:p w14:paraId="7EEB6488">
            <w:pPr>
              <w:widowControl/>
              <w:kinsoku w:val="0"/>
              <w:autoSpaceDE w:val="0"/>
              <w:autoSpaceDN w:val="0"/>
              <w:spacing w:line="276" w:lineRule="auto"/>
              <w:jc w:val="left"/>
              <w:textAlignment w:val="baseline"/>
              <w:rPr>
                <w:color w:val="000000"/>
                <w:kern w:val="0"/>
                <w:szCs w:val="21"/>
              </w:rPr>
            </w:pPr>
            <w:r>
              <w:rPr>
                <w:color w:val="000000"/>
                <w:kern w:val="0"/>
                <w:szCs w:val="21"/>
              </w:rPr>
              <w:t>1、结合杭州市《杭州市大气环境质量限期达标规划》，提高排放标准以及新能源车比例等；</w:t>
            </w:r>
          </w:p>
          <w:p w14:paraId="277CBDC7">
            <w:pPr>
              <w:widowControl/>
              <w:kinsoku w:val="0"/>
              <w:autoSpaceDE w:val="0"/>
              <w:autoSpaceDN w:val="0"/>
              <w:spacing w:line="276" w:lineRule="auto"/>
              <w:jc w:val="left"/>
              <w:textAlignment w:val="baseline"/>
              <w:rPr>
                <w:color w:val="000000"/>
                <w:kern w:val="0"/>
                <w:szCs w:val="21"/>
              </w:rPr>
            </w:pPr>
            <w:r>
              <w:rPr>
                <w:color w:val="000000"/>
                <w:kern w:val="0"/>
                <w:szCs w:val="21"/>
              </w:rPr>
              <w:t>2、加强道路清扫，保持路面整洁；</w:t>
            </w:r>
          </w:p>
          <w:p w14:paraId="7789453E">
            <w:pPr>
              <w:widowControl/>
              <w:kinsoku w:val="0"/>
              <w:autoSpaceDE w:val="0"/>
              <w:autoSpaceDN w:val="0"/>
              <w:spacing w:line="276" w:lineRule="auto"/>
              <w:jc w:val="left"/>
              <w:textAlignment w:val="baseline"/>
              <w:rPr>
                <w:color w:val="000000"/>
                <w:kern w:val="0"/>
                <w:szCs w:val="21"/>
              </w:rPr>
            </w:pPr>
            <w:r>
              <w:rPr>
                <w:color w:val="000000"/>
                <w:kern w:val="0"/>
                <w:szCs w:val="21"/>
              </w:rPr>
              <w:t>3、做好绿化防护工作；</w:t>
            </w:r>
          </w:p>
          <w:p w14:paraId="68326670">
            <w:pPr>
              <w:widowControl/>
              <w:kinsoku w:val="0"/>
              <w:autoSpaceDE w:val="0"/>
              <w:autoSpaceDN w:val="0"/>
              <w:spacing w:line="276" w:lineRule="auto"/>
              <w:jc w:val="left"/>
              <w:textAlignment w:val="baseline"/>
              <w:rPr>
                <w:color w:val="000000"/>
                <w:kern w:val="0"/>
                <w:szCs w:val="21"/>
              </w:rPr>
            </w:pPr>
            <w:r>
              <w:rPr>
                <w:rFonts w:hint="eastAsia"/>
                <w:color w:val="000000"/>
                <w:kern w:val="0"/>
                <w:szCs w:val="21"/>
              </w:rPr>
              <w:t>4、禁止尾气污染不达标的车辆通行。</w:t>
            </w:r>
          </w:p>
        </w:tc>
        <w:tc>
          <w:tcPr>
            <w:tcW w:w="665" w:type="pct"/>
            <w:tcBorders>
              <w:top w:val="single" w:color="auto" w:sz="4" w:space="0"/>
              <w:left w:val="single" w:color="auto" w:sz="4" w:space="0"/>
              <w:bottom w:val="single" w:color="auto" w:sz="4" w:space="0"/>
              <w:right w:val="single" w:color="auto" w:sz="12" w:space="0"/>
            </w:tcBorders>
            <w:vAlign w:val="center"/>
          </w:tcPr>
          <w:p w14:paraId="7090CDE5">
            <w:pPr>
              <w:widowControl/>
              <w:kinsoku w:val="0"/>
              <w:autoSpaceDE w:val="0"/>
              <w:autoSpaceDN w:val="0"/>
              <w:spacing w:line="276" w:lineRule="auto"/>
              <w:jc w:val="center"/>
              <w:textAlignment w:val="baseline"/>
              <w:rPr>
                <w:color w:val="000000"/>
                <w:kern w:val="0"/>
                <w:szCs w:val="21"/>
              </w:rPr>
            </w:pPr>
            <w:r>
              <w:rPr>
                <w:color w:val="000000"/>
                <w:kern w:val="0"/>
                <w:szCs w:val="21"/>
              </w:rPr>
              <w:t>对周边环境影响较小</w:t>
            </w:r>
          </w:p>
        </w:tc>
      </w:tr>
      <w:tr w14:paraId="1EA89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3D4DF729">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固体废物</w:t>
            </w:r>
          </w:p>
        </w:tc>
        <w:tc>
          <w:tcPr>
            <w:tcW w:w="1446" w:type="pct"/>
            <w:tcBorders>
              <w:top w:val="single" w:color="auto" w:sz="4" w:space="0"/>
              <w:left w:val="single" w:color="auto" w:sz="4" w:space="0"/>
              <w:bottom w:val="single" w:color="auto" w:sz="4" w:space="0"/>
              <w:right w:val="single" w:color="auto" w:sz="4" w:space="0"/>
            </w:tcBorders>
            <w:vAlign w:val="center"/>
          </w:tcPr>
          <w:p w14:paraId="730FB589">
            <w:pPr>
              <w:widowControl/>
              <w:kinsoku w:val="0"/>
              <w:autoSpaceDE w:val="0"/>
              <w:autoSpaceDN w:val="0"/>
              <w:spacing w:line="276" w:lineRule="auto"/>
              <w:jc w:val="left"/>
              <w:textAlignment w:val="baseline"/>
              <w:rPr>
                <w:color w:val="000000"/>
                <w:kern w:val="0"/>
                <w:szCs w:val="21"/>
              </w:rPr>
            </w:pPr>
            <w:r>
              <w:rPr>
                <w:color w:val="000000"/>
                <w:kern w:val="0"/>
                <w:szCs w:val="21"/>
              </w:rPr>
              <w:t>1、弃渣</w:t>
            </w:r>
            <w:r>
              <w:rPr>
                <w:rFonts w:hint="eastAsia"/>
                <w:color w:val="000000"/>
                <w:kern w:val="0"/>
                <w:szCs w:val="21"/>
              </w:rPr>
              <w:t>应</w:t>
            </w:r>
            <w:r>
              <w:rPr>
                <w:color w:val="000000"/>
                <w:kern w:val="0"/>
                <w:szCs w:val="21"/>
              </w:rPr>
              <w:t>及时清运</w:t>
            </w:r>
            <w:r>
              <w:rPr>
                <w:rFonts w:hint="eastAsia"/>
                <w:color w:val="000000"/>
                <w:kern w:val="0"/>
                <w:szCs w:val="21"/>
              </w:rPr>
              <w:t>至指定弃渣场</w:t>
            </w:r>
            <w:r>
              <w:rPr>
                <w:color w:val="000000"/>
                <w:kern w:val="0"/>
                <w:szCs w:val="21"/>
              </w:rPr>
              <w:t>；</w:t>
            </w:r>
          </w:p>
          <w:p w14:paraId="3CB43A36">
            <w:pPr>
              <w:widowControl/>
              <w:kinsoku w:val="0"/>
              <w:autoSpaceDE w:val="0"/>
              <w:autoSpaceDN w:val="0"/>
              <w:spacing w:line="276" w:lineRule="auto"/>
              <w:jc w:val="left"/>
              <w:textAlignment w:val="baseline"/>
              <w:rPr>
                <w:color w:val="000000"/>
                <w:kern w:val="0"/>
                <w:szCs w:val="21"/>
              </w:rPr>
            </w:pPr>
            <w:r>
              <w:rPr>
                <w:color w:val="000000"/>
                <w:kern w:val="0"/>
                <w:szCs w:val="21"/>
              </w:rPr>
              <w:t>2、临时堆放必须覆布遮盖，同时四周设置围挡；</w:t>
            </w:r>
          </w:p>
          <w:p w14:paraId="50CACAC9">
            <w:pPr>
              <w:widowControl/>
              <w:kinsoku w:val="0"/>
              <w:autoSpaceDE w:val="0"/>
              <w:autoSpaceDN w:val="0"/>
              <w:spacing w:line="276" w:lineRule="auto"/>
              <w:jc w:val="left"/>
              <w:textAlignment w:val="baseline"/>
              <w:rPr>
                <w:color w:val="000000"/>
                <w:kern w:val="0"/>
                <w:szCs w:val="21"/>
              </w:rPr>
            </w:pPr>
            <w:r>
              <w:rPr>
                <w:color w:val="000000"/>
                <w:kern w:val="0"/>
                <w:szCs w:val="21"/>
              </w:rPr>
              <w:t>3、生活垃圾由环卫部门统一收集处理</w:t>
            </w:r>
            <w:r>
              <w:rPr>
                <w:rFonts w:hint="eastAsia"/>
                <w:color w:val="000000"/>
                <w:kern w:val="0"/>
                <w:szCs w:val="21"/>
              </w:rPr>
              <w:t>；</w:t>
            </w:r>
          </w:p>
          <w:p w14:paraId="692A03C1">
            <w:pPr>
              <w:widowControl/>
              <w:kinsoku w:val="0"/>
              <w:autoSpaceDE w:val="0"/>
              <w:autoSpaceDN w:val="0"/>
              <w:spacing w:line="276" w:lineRule="auto"/>
              <w:jc w:val="left"/>
              <w:textAlignment w:val="baseline"/>
              <w:rPr>
                <w:color w:val="000000"/>
                <w:kern w:val="0"/>
                <w:szCs w:val="21"/>
              </w:rPr>
            </w:pPr>
            <w:r>
              <w:rPr>
                <w:color w:val="000000"/>
                <w:kern w:val="0"/>
                <w:szCs w:val="21"/>
              </w:rPr>
              <w:t>4</w:t>
            </w:r>
            <w:r>
              <w:rPr>
                <w:rFonts w:hint="eastAsia"/>
                <w:color w:val="000000"/>
                <w:kern w:val="0"/>
                <w:szCs w:val="21"/>
              </w:rPr>
              <w:t>、施工涉及的废油</w:t>
            </w:r>
            <w:r>
              <w:rPr>
                <w:color w:val="000000"/>
                <w:kern w:val="0"/>
                <w:szCs w:val="21"/>
              </w:rPr>
              <w:t>、废机油、废手套</w:t>
            </w:r>
            <w:r>
              <w:rPr>
                <w:rFonts w:hint="eastAsia"/>
                <w:color w:val="000000"/>
                <w:kern w:val="0"/>
                <w:szCs w:val="21"/>
              </w:rPr>
              <w:t>、油漆桶</w:t>
            </w:r>
            <w:r>
              <w:rPr>
                <w:color w:val="000000"/>
                <w:kern w:val="0"/>
                <w:szCs w:val="21"/>
              </w:rPr>
              <w:t>等危废</w:t>
            </w:r>
            <w:r>
              <w:rPr>
                <w:rFonts w:hint="eastAsia"/>
                <w:color w:val="000000"/>
                <w:kern w:val="0"/>
                <w:szCs w:val="21"/>
              </w:rPr>
              <w:t>委托</w:t>
            </w:r>
            <w:r>
              <w:rPr>
                <w:color w:val="000000"/>
                <w:kern w:val="0"/>
                <w:szCs w:val="21"/>
              </w:rPr>
              <w:t>有资质单位集中处置</w:t>
            </w:r>
            <w:r>
              <w:rPr>
                <w:rFonts w:hint="eastAsia"/>
                <w:color w:val="000000"/>
                <w:kern w:val="0"/>
                <w:szCs w:val="21"/>
              </w:rPr>
              <w:t>。</w:t>
            </w:r>
          </w:p>
        </w:tc>
        <w:tc>
          <w:tcPr>
            <w:tcW w:w="885" w:type="pct"/>
            <w:tcBorders>
              <w:top w:val="single" w:color="auto" w:sz="4" w:space="0"/>
              <w:left w:val="single" w:color="auto" w:sz="4" w:space="0"/>
              <w:bottom w:val="single" w:color="auto" w:sz="4" w:space="0"/>
              <w:right w:val="single" w:color="auto" w:sz="4" w:space="0"/>
            </w:tcBorders>
            <w:vAlign w:val="center"/>
          </w:tcPr>
          <w:p w14:paraId="0BDEF0A9">
            <w:pPr>
              <w:widowControl/>
              <w:kinsoku w:val="0"/>
              <w:autoSpaceDE w:val="0"/>
              <w:autoSpaceDN w:val="0"/>
              <w:spacing w:line="276" w:lineRule="auto"/>
              <w:jc w:val="center"/>
              <w:textAlignment w:val="baseline"/>
              <w:rPr>
                <w:color w:val="000000"/>
                <w:kern w:val="0"/>
                <w:szCs w:val="21"/>
              </w:rPr>
            </w:pPr>
            <w:r>
              <w:rPr>
                <w:color w:val="000000"/>
                <w:kern w:val="0"/>
                <w:szCs w:val="21"/>
              </w:rPr>
              <w:t>规范处置</w:t>
            </w:r>
          </w:p>
        </w:tc>
        <w:tc>
          <w:tcPr>
            <w:tcW w:w="1449" w:type="pct"/>
            <w:tcBorders>
              <w:top w:val="single" w:color="auto" w:sz="4" w:space="0"/>
              <w:left w:val="single" w:color="auto" w:sz="4" w:space="0"/>
              <w:bottom w:val="single" w:color="auto" w:sz="4" w:space="0"/>
              <w:right w:val="single" w:color="auto" w:sz="4" w:space="0"/>
            </w:tcBorders>
            <w:vAlign w:val="center"/>
          </w:tcPr>
          <w:p w14:paraId="02C34C4E">
            <w:pPr>
              <w:widowControl/>
              <w:kinsoku w:val="0"/>
              <w:autoSpaceDE w:val="0"/>
              <w:autoSpaceDN w:val="0"/>
              <w:spacing w:line="276" w:lineRule="auto"/>
              <w:jc w:val="center"/>
              <w:textAlignment w:val="baseline"/>
              <w:rPr>
                <w:color w:val="000000"/>
                <w:kern w:val="0"/>
                <w:szCs w:val="21"/>
              </w:rPr>
            </w:pPr>
            <w:r>
              <w:rPr>
                <w:color w:val="000000"/>
                <w:kern w:val="0"/>
                <w:szCs w:val="21"/>
              </w:rPr>
              <w:t>在道路两侧人行道上合理位置设置分类</w:t>
            </w:r>
            <w:r>
              <w:rPr>
                <w:rFonts w:hint="eastAsia"/>
                <w:color w:val="000000"/>
                <w:kern w:val="0"/>
                <w:szCs w:val="21"/>
              </w:rPr>
              <w:t>垃圾桶</w:t>
            </w:r>
            <w:r>
              <w:rPr>
                <w:color w:val="000000"/>
                <w:kern w:val="0"/>
                <w:szCs w:val="21"/>
              </w:rPr>
              <w:t>，收集日常生活垃圾，由环卫部门定期清运</w:t>
            </w:r>
            <w:r>
              <w:rPr>
                <w:rFonts w:hint="eastAsia"/>
                <w:color w:val="000000"/>
                <w:kern w:val="0"/>
                <w:szCs w:val="21"/>
              </w:rPr>
              <w:t>。</w:t>
            </w:r>
          </w:p>
        </w:tc>
        <w:tc>
          <w:tcPr>
            <w:tcW w:w="665" w:type="pct"/>
            <w:tcBorders>
              <w:top w:val="single" w:color="auto" w:sz="4" w:space="0"/>
              <w:left w:val="single" w:color="auto" w:sz="4" w:space="0"/>
              <w:bottom w:val="single" w:color="auto" w:sz="4" w:space="0"/>
              <w:right w:val="single" w:color="auto" w:sz="12" w:space="0"/>
            </w:tcBorders>
            <w:vAlign w:val="center"/>
          </w:tcPr>
          <w:p w14:paraId="1952F5B3">
            <w:pPr>
              <w:widowControl/>
              <w:kinsoku w:val="0"/>
              <w:autoSpaceDE w:val="0"/>
              <w:autoSpaceDN w:val="0"/>
              <w:spacing w:line="276" w:lineRule="auto"/>
              <w:jc w:val="center"/>
              <w:textAlignment w:val="baseline"/>
              <w:rPr>
                <w:color w:val="000000"/>
                <w:kern w:val="0"/>
                <w:szCs w:val="21"/>
              </w:rPr>
            </w:pPr>
            <w:r>
              <w:rPr>
                <w:color w:val="000000"/>
                <w:kern w:val="0"/>
                <w:szCs w:val="21"/>
              </w:rPr>
              <w:t>规范处置</w:t>
            </w:r>
          </w:p>
        </w:tc>
      </w:tr>
      <w:tr w14:paraId="000E65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43EA36F3">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电磁环境</w:t>
            </w:r>
          </w:p>
        </w:tc>
        <w:tc>
          <w:tcPr>
            <w:tcW w:w="1446" w:type="pct"/>
            <w:tcBorders>
              <w:top w:val="single" w:color="auto" w:sz="4" w:space="0"/>
              <w:left w:val="single" w:color="auto" w:sz="4" w:space="0"/>
              <w:bottom w:val="single" w:color="auto" w:sz="4" w:space="0"/>
              <w:right w:val="single" w:color="auto" w:sz="4" w:space="0"/>
            </w:tcBorders>
            <w:vAlign w:val="center"/>
          </w:tcPr>
          <w:p w14:paraId="0B4AE797">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885" w:type="pct"/>
            <w:tcBorders>
              <w:top w:val="single" w:color="auto" w:sz="4" w:space="0"/>
              <w:left w:val="single" w:color="auto" w:sz="4" w:space="0"/>
              <w:bottom w:val="single" w:color="auto" w:sz="4" w:space="0"/>
              <w:right w:val="single" w:color="auto" w:sz="4" w:space="0"/>
            </w:tcBorders>
            <w:vAlign w:val="center"/>
          </w:tcPr>
          <w:p w14:paraId="53A34121">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1449" w:type="pct"/>
            <w:tcBorders>
              <w:top w:val="single" w:color="auto" w:sz="4" w:space="0"/>
              <w:left w:val="single" w:color="auto" w:sz="4" w:space="0"/>
              <w:bottom w:val="single" w:color="auto" w:sz="4" w:space="0"/>
              <w:right w:val="single" w:color="auto" w:sz="4" w:space="0"/>
            </w:tcBorders>
            <w:vAlign w:val="center"/>
          </w:tcPr>
          <w:p w14:paraId="39066E73">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665" w:type="pct"/>
            <w:tcBorders>
              <w:top w:val="single" w:color="auto" w:sz="4" w:space="0"/>
              <w:left w:val="single" w:color="auto" w:sz="4" w:space="0"/>
              <w:bottom w:val="single" w:color="auto" w:sz="4" w:space="0"/>
              <w:right w:val="single" w:color="auto" w:sz="12" w:space="0"/>
            </w:tcBorders>
            <w:vAlign w:val="center"/>
          </w:tcPr>
          <w:p w14:paraId="46C7F4FD">
            <w:pPr>
              <w:widowControl/>
              <w:kinsoku w:val="0"/>
              <w:autoSpaceDE w:val="0"/>
              <w:autoSpaceDN w:val="0"/>
              <w:spacing w:line="276" w:lineRule="auto"/>
              <w:jc w:val="center"/>
              <w:textAlignment w:val="baseline"/>
              <w:rPr>
                <w:color w:val="000000"/>
                <w:kern w:val="0"/>
                <w:szCs w:val="21"/>
              </w:rPr>
            </w:pPr>
            <w:r>
              <w:rPr>
                <w:color w:val="000000"/>
                <w:kern w:val="0"/>
                <w:szCs w:val="21"/>
              </w:rPr>
              <w:t>/</w:t>
            </w:r>
          </w:p>
        </w:tc>
      </w:tr>
      <w:tr w14:paraId="4CB1E9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434A66F3">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环境风险</w:t>
            </w:r>
          </w:p>
        </w:tc>
        <w:tc>
          <w:tcPr>
            <w:tcW w:w="1446" w:type="pct"/>
            <w:tcBorders>
              <w:top w:val="single" w:color="auto" w:sz="4" w:space="0"/>
              <w:left w:val="single" w:color="auto" w:sz="4" w:space="0"/>
              <w:bottom w:val="single" w:color="auto" w:sz="4" w:space="0"/>
              <w:right w:val="single" w:color="auto" w:sz="4" w:space="0"/>
            </w:tcBorders>
            <w:vAlign w:val="center"/>
          </w:tcPr>
          <w:p w14:paraId="185C4874">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885" w:type="pct"/>
            <w:tcBorders>
              <w:top w:val="single" w:color="auto" w:sz="4" w:space="0"/>
              <w:left w:val="single" w:color="auto" w:sz="4" w:space="0"/>
              <w:bottom w:val="single" w:color="auto" w:sz="4" w:space="0"/>
              <w:right w:val="single" w:color="auto" w:sz="4" w:space="0"/>
            </w:tcBorders>
            <w:vAlign w:val="center"/>
          </w:tcPr>
          <w:p w14:paraId="275458E4">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1449" w:type="pct"/>
            <w:tcBorders>
              <w:top w:val="single" w:color="auto" w:sz="4" w:space="0"/>
              <w:left w:val="single" w:color="auto" w:sz="4" w:space="0"/>
              <w:bottom w:val="single" w:color="auto" w:sz="4" w:space="0"/>
              <w:right w:val="single" w:color="auto" w:sz="4" w:space="0"/>
            </w:tcBorders>
            <w:vAlign w:val="center"/>
          </w:tcPr>
          <w:p w14:paraId="69E2F8FE">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665" w:type="pct"/>
            <w:tcBorders>
              <w:top w:val="single" w:color="auto" w:sz="4" w:space="0"/>
              <w:left w:val="single" w:color="auto" w:sz="4" w:space="0"/>
              <w:bottom w:val="single" w:color="auto" w:sz="4" w:space="0"/>
              <w:right w:val="single" w:color="auto" w:sz="12" w:space="0"/>
            </w:tcBorders>
            <w:vAlign w:val="center"/>
          </w:tcPr>
          <w:p w14:paraId="43772421">
            <w:pPr>
              <w:widowControl/>
              <w:kinsoku w:val="0"/>
              <w:autoSpaceDE w:val="0"/>
              <w:autoSpaceDN w:val="0"/>
              <w:spacing w:line="276" w:lineRule="auto"/>
              <w:jc w:val="center"/>
              <w:textAlignment w:val="baseline"/>
              <w:rPr>
                <w:color w:val="000000"/>
                <w:kern w:val="0"/>
                <w:szCs w:val="21"/>
              </w:rPr>
            </w:pPr>
            <w:r>
              <w:rPr>
                <w:color w:val="000000"/>
                <w:kern w:val="0"/>
                <w:szCs w:val="21"/>
              </w:rPr>
              <w:t>/</w:t>
            </w:r>
          </w:p>
        </w:tc>
      </w:tr>
      <w:tr w14:paraId="6DA6F7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4" w:space="0"/>
              <w:right w:val="single" w:color="auto" w:sz="4" w:space="0"/>
            </w:tcBorders>
            <w:vAlign w:val="center"/>
          </w:tcPr>
          <w:p w14:paraId="60576901">
            <w:pPr>
              <w:widowControl/>
              <w:kinsoku w:val="0"/>
              <w:autoSpaceDE w:val="0"/>
              <w:autoSpaceDN w:val="0"/>
              <w:spacing w:line="276" w:lineRule="auto"/>
              <w:jc w:val="center"/>
              <w:textAlignment w:val="baseline"/>
              <w:rPr>
                <w:color w:val="000000"/>
                <w:kern w:val="0"/>
                <w:szCs w:val="21"/>
              </w:rPr>
            </w:pPr>
            <w:r>
              <w:rPr>
                <w:rFonts w:hint="eastAsia" w:ascii="宋体" w:hAnsi="宋体"/>
                <w:color w:val="000000"/>
                <w:kern w:val="0"/>
                <w:szCs w:val="21"/>
              </w:rPr>
              <w:t>生态</w:t>
            </w:r>
            <w:r>
              <w:rPr>
                <w:rFonts w:ascii="宋体" w:hAnsi="宋体"/>
                <w:color w:val="000000"/>
                <w:kern w:val="0"/>
                <w:szCs w:val="21"/>
              </w:rPr>
              <w:t>环境监测</w:t>
            </w:r>
          </w:p>
        </w:tc>
        <w:tc>
          <w:tcPr>
            <w:tcW w:w="1446" w:type="pct"/>
            <w:tcBorders>
              <w:top w:val="single" w:color="auto" w:sz="4" w:space="0"/>
              <w:left w:val="single" w:color="auto" w:sz="4" w:space="0"/>
              <w:bottom w:val="single" w:color="auto" w:sz="4" w:space="0"/>
              <w:right w:val="single" w:color="auto" w:sz="4" w:space="0"/>
            </w:tcBorders>
            <w:vAlign w:val="center"/>
          </w:tcPr>
          <w:p w14:paraId="14642A3A">
            <w:pPr>
              <w:widowControl/>
              <w:kinsoku w:val="0"/>
              <w:autoSpaceDE w:val="0"/>
              <w:autoSpaceDN w:val="0"/>
              <w:spacing w:line="276" w:lineRule="auto"/>
              <w:jc w:val="center"/>
              <w:textAlignment w:val="baseline"/>
              <w:rPr>
                <w:color w:val="000000"/>
                <w:kern w:val="0"/>
                <w:szCs w:val="21"/>
              </w:rPr>
            </w:pPr>
            <w:r>
              <w:rPr>
                <w:color w:val="000000"/>
                <w:kern w:val="0"/>
                <w:szCs w:val="21"/>
              </w:rPr>
              <w:t>进行施工期监测</w:t>
            </w:r>
          </w:p>
        </w:tc>
        <w:tc>
          <w:tcPr>
            <w:tcW w:w="885" w:type="pct"/>
            <w:tcBorders>
              <w:top w:val="single" w:color="auto" w:sz="4" w:space="0"/>
              <w:left w:val="single" w:color="auto" w:sz="4" w:space="0"/>
              <w:bottom w:val="single" w:color="auto" w:sz="4" w:space="0"/>
              <w:right w:val="single" w:color="auto" w:sz="4" w:space="0"/>
            </w:tcBorders>
            <w:vAlign w:val="center"/>
          </w:tcPr>
          <w:p w14:paraId="61B4A4E5">
            <w:pPr>
              <w:widowControl/>
              <w:kinsoku w:val="0"/>
              <w:autoSpaceDE w:val="0"/>
              <w:autoSpaceDN w:val="0"/>
              <w:spacing w:line="276" w:lineRule="auto"/>
              <w:jc w:val="center"/>
              <w:textAlignment w:val="baseline"/>
              <w:rPr>
                <w:color w:val="000000"/>
                <w:kern w:val="0"/>
                <w:szCs w:val="21"/>
              </w:rPr>
            </w:pPr>
            <w:r>
              <w:rPr>
                <w:color w:val="000000"/>
                <w:kern w:val="0"/>
                <w:szCs w:val="21"/>
              </w:rPr>
              <w:t>查看监测报告</w:t>
            </w:r>
          </w:p>
        </w:tc>
        <w:tc>
          <w:tcPr>
            <w:tcW w:w="1449" w:type="pct"/>
            <w:tcBorders>
              <w:top w:val="single" w:color="auto" w:sz="4" w:space="0"/>
              <w:left w:val="single" w:color="auto" w:sz="4" w:space="0"/>
              <w:bottom w:val="single" w:color="auto" w:sz="4" w:space="0"/>
              <w:right w:val="single" w:color="auto" w:sz="4" w:space="0"/>
            </w:tcBorders>
            <w:vAlign w:val="center"/>
          </w:tcPr>
          <w:p w14:paraId="6A26DD60">
            <w:pPr>
              <w:widowControl/>
              <w:kinsoku w:val="0"/>
              <w:autoSpaceDE w:val="0"/>
              <w:autoSpaceDN w:val="0"/>
              <w:spacing w:line="276" w:lineRule="auto"/>
              <w:jc w:val="center"/>
              <w:textAlignment w:val="baseline"/>
              <w:rPr>
                <w:color w:val="000000"/>
                <w:kern w:val="0"/>
                <w:szCs w:val="21"/>
              </w:rPr>
            </w:pPr>
            <w:r>
              <w:rPr>
                <w:color w:val="000000"/>
                <w:kern w:val="0"/>
                <w:szCs w:val="21"/>
              </w:rPr>
              <w:t>进行营运期跟踪监测</w:t>
            </w:r>
          </w:p>
        </w:tc>
        <w:tc>
          <w:tcPr>
            <w:tcW w:w="665" w:type="pct"/>
            <w:tcBorders>
              <w:top w:val="single" w:color="auto" w:sz="4" w:space="0"/>
              <w:left w:val="single" w:color="auto" w:sz="4" w:space="0"/>
              <w:bottom w:val="single" w:color="auto" w:sz="4" w:space="0"/>
              <w:right w:val="single" w:color="auto" w:sz="12" w:space="0"/>
            </w:tcBorders>
            <w:vAlign w:val="center"/>
          </w:tcPr>
          <w:p w14:paraId="70079333">
            <w:pPr>
              <w:widowControl/>
              <w:kinsoku w:val="0"/>
              <w:autoSpaceDE w:val="0"/>
              <w:autoSpaceDN w:val="0"/>
              <w:spacing w:line="276" w:lineRule="auto"/>
              <w:jc w:val="center"/>
              <w:textAlignment w:val="baseline"/>
              <w:rPr>
                <w:color w:val="000000"/>
                <w:kern w:val="0"/>
                <w:szCs w:val="21"/>
              </w:rPr>
            </w:pPr>
            <w:r>
              <w:rPr>
                <w:color w:val="000000"/>
                <w:kern w:val="0"/>
                <w:szCs w:val="21"/>
              </w:rPr>
              <w:t>查看监测报告</w:t>
            </w:r>
          </w:p>
        </w:tc>
      </w:tr>
      <w:tr w14:paraId="69370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55" w:type="pct"/>
            <w:tcBorders>
              <w:top w:val="single" w:color="auto" w:sz="4" w:space="0"/>
              <w:left w:val="single" w:color="auto" w:sz="12" w:space="0"/>
              <w:bottom w:val="single" w:color="auto" w:sz="12" w:space="0"/>
              <w:right w:val="single" w:color="auto" w:sz="4" w:space="0"/>
            </w:tcBorders>
            <w:vAlign w:val="center"/>
          </w:tcPr>
          <w:p w14:paraId="39801907">
            <w:pPr>
              <w:widowControl/>
              <w:kinsoku w:val="0"/>
              <w:autoSpaceDE w:val="0"/>
              <w:autoSpaceDN w:val="0"/>
              <w:spacing w:line="276" w:lineRule="auto"/>
              <w:jc w:val="center"/>
              <w:textAlignment w:val="baseline"/>
              <w:rPr>
                <w:color w:val="000000"/>
                <w:kern w:val="0"/>
                <w:szCs w:val="21"/>
              </w:rPr>
            </w:pPr>
            <w:r>
              <w:rPr>
                <w:rFonts w:ascii="宋体" w:hAnsi="宋体"/>
                <w:color w:val="000000"/>
                <w:kern w:val="0"/>
                <w:szCs w:val="21"/>
              </w:rPr>
              <w:t>其他</w:t>
            </w:r>
          </w:p>
        </w:tc>
        <w:tc>
          <w:tcPr>
            <w:tcW w:w="1446" w:type="pct"/>
            <w:tcBorders>
              <w:top w:val="single" w:color="auto" w:sz="4" w:space="0"/>
              <w:left w:val="single" w:color="auto" w:sz="4" w:space="0"/>
              <w:bottom w:val="single" w:color="auto" w:sz="12" w:space="0"/>
              <w:right w:val="single" w:color="auto" w:sz="4" w:space="0"/>
            </w:tcBorders>
            <w:vAlign w:val="center"/>
          </w:tcPr>
          <w:p w14:paraId="024CF47E">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885" w:type="pct"/>
            <w:tcBorders>
              <w:top w:val="single" w:color="auto" w:sz="4" w:space="0"/>
              <w:left w:val="single" w:color="auto" w:sz="4" w:space="0"/>
              <w:bottom w:val="single" w:color="auto" w:sz="12" w:space="0"/>
              <w:right w:val="single" w:color="auto" w:sz="4" w:space="0"/>
            </w:tcBorders>
            <w:vAlign w:val="center"/>
          </w:tcPr>
          <w:p w14:paraId="5D4C3C2B">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1449" w:type="pct"/>
            <w:tcBorders>
              <w:top w:val="single" w:color="auto" w:sz="4" w:space="0"/>
              <w:left w:val="single" w:color="auto" w:sz="4" w:space="0"/>
              <w:bottom w:val="single" w:color="auto" w:sz="12" w:space="0"/>
              <w:right w:val="single" w:color="auto" w:sz="4" w:space="0"/>
            </w:tcBorders>
            <w:vAlign w:val="center"/>
          </w:tcPr>
          <w:p w14:paraId="50AD38E1">
            <w:pPr>
              <w:widowControl/>
              <w:kinsoku w:val="0"/>
              <w:autoSpaceDE w:val="0"/>
              <w:autoSpaceDN w:val="0"/>
              <w:spacing w:line="276" w:lineRule="auto"/>
              <w:jc w:val="center"/>
              <w:textAlignment w:val="baseline"/>
              <w:rPr>
                <w:color w:val="000000"/>
                <w:kern w:val="0"/>
                <w:szCs w:val="21"/>
              </w:rPr>
            </w:pPr>
            <w:r>
              <w:rPr>
                <w:color w:val="000000"/>
                <w:kern w:val="0"/>
                <w:szCs w:val="21"/>
              </w:rPr>
              <w:t>/</w:t>
            </w:r>
          </w:p>
        </w:tc>
        <w:tc>
          <w:tcPr>
            <w:tcW w:w="665" w:type="pct"/>
            <w:tcBorders>
              <w:top w:val="single" w:color="auto" w:sz="4" w:space="0"/>
              <w:left w:val="single" w:color="auto" w:sz="4" w:space="0"/>
              <w:bottom w:val="single" w:color="auto" w:sz="12" w:space="0"/>
              <w:right w:val="single" w:color="auto" w:sz="12" w:space="0"/>
            </w:tcBorders>
            <w:vAlign w:val="center"/>
          </w:tcPr>
          <w:p w14:paraId="206BF8DD">
            <w:pPr>
              <w:widowControl/>
              <w:kinsoku w:val="0"/>
              <w:autoSpaceDE w:val="0"/>
              <w:autoSpaceDN w:val="0"/>
              <w:spacing w:line="276" w:lineRule="auto"/>
              <w:jc w:val="center"/>
              <w:textAlignment w:val="baseline"/>
              <w:rPr>
                <w:color w:val="000000"/>
                <w:kern w:val="0"/>
                <w:szCs w:val="21"/>
              </w:rPr>
            </w:pPr>
            <w:r>
              <w:rPr>
                <w:color w:val="000000"/>
                <w:kern w:val="0"/>
                <w:szCs w:val="21"/>
              </w:rPr>
              <w:t>/</w:t>
            </w:r>
          </w:p>
        </w:tc>
      </w:tr>
    </w:tbl>
    <w:p w14:paraId="7F8997C5">
      <w:pPr>
        <w:pStyle w:val="2"/>
        <w:rPr>
          <w:snapToGrid w:val="0"/>
        </w:rPr>
      </w:pPr>
      <w:r>
        <w:rPr>
          <w:snapToGrid w:val="0"/>
          <w:highlight w:val="yellow"/>
        </w:rPr>
        <w:br w:type="page"/>
      </w:r>
      <w:bookmarkStart w:id="71" w:name="_Toc238129010"/>
      <w:r>
        <w:rPr>
          <w:snapToGrid w:val="0"/>
        </w:rPr>
        <w:t>结论</w:t>
      </w:r>
      <w:bookmarkEnd w:id="71"/>
    </w:p>
    <w:tbl>
      <w:tblPr>
        <w:tblStyle w:val="3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65"/>
      </w:tblGrid>
      <w:tr w14:paraId="28142B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090" w:hRule="atLeast"/>
          <w:jc w:val="center"/>
        </w:trPr>
        <w:tc>
          <w:tcPr>
            <w:tcW w:w="8865" w:type="dxa"/>
          </w:tcPr>
          <w:p w14:paraId="06CCCD77">
            <w:pPr>
              <w:ind w:firstLine="420" w:firstLineChars="200"/>
              <w:rPr>
                <w:szCs w:val="21"/>
              </w:rPr>
            </w:pPr>
            <w:r>
              <w:rPr>
                <w:rFonts w:hint="eastAsia"/>
                <w:szCs w:val="21"/>
              </w:rPr>
              <w:t>青西二路（江东大道-河景路）位于杭州市钱塘区河庄街道，项目选址符合主体功能区划、国土空间规划及江海之城单元详细规划，其建设符合国家及地方的产业政策，同时工程符合钱塘区国土空间规划和生态环境功能动态更新要求。工程实施可以完善钱塘区江海之城单元路网建设，有效缓解区域交通压力，推进中企国际港基础配套建设，促进城市发展，具有显著的社会效益和经济效益。</w:t>
            </w:r>
          </w:p>
          <w:p w14:paraId="207F41D8">
            <w:pPr>
              <w:ind w:firstLine="420" w:firstLineChars="200"/>
              <w:rPr>
                <w:szCs w:val="21"/>
              </w:rPr>
            </w:pPr>
            <w:r>
              <w:rPr>
                <w:rFonts w:hint="eastAsia"/>
                <w:szCs w:val="21"/>
              </w:rPr>
              <w:t>根据本环评的预测分析，施工期和运营期对周边生态环境会产生部分影响，其中最主要的影响因子为大气和噪声，在严格落实各项污染防治措施后，项目污染对周边生态环境的影响总体较小且可控。施工期废水经隔油池、沉淀池处理后可回，生活污水经收集后将委托第三方进行清运；施工扬尘可以通过设置围挡、洒水降尘等措施得到有效控制；施工噪声通过合理安排作业时间、设置隔声围挡、交通管制等措施可满足标准要求；固体废物根据性状进行废弃外运或回收利用分类处置，危险废物将委托有资质的单位进行处理。运营期路面径流经雨水管道收集排放，生活垃圾由环卫部门定期清运，交通噪声通过设置禁鸣限速标志、设置绿化隔声带等措施进行减缓。本项目环保投资估算约65万元，约占总投资</w:t>
            </w:r>
            <w:r>
              <w:rPr>
                <w:szCs w:val="21"/>
              </w:rPr>
              <w:t>8674.92</w:t>
            </w:r>
            <w:r>
              <w:rPr>
                <w:rFonts w:hint="eastAsia"/>
                <w:szCs w:val="21"/>
              </w:rPr>
              <w:t>万元的0.75%，各项环保措施技术经济可行。造成的生态环境影响符合项目所在地环境功能区划确定的生态环境质量要求。</w:t>
            </w:r>
          </w:p>
          <w:p w14:paraId="5C9054DB">
            <w:pPr>
              <w:ind w:firstLine="420" w:firstLineChars="200"/>
              <w:rPr>
                <w:szCs w:val="21"/>
              </w:rPr>
            </w:pPr>
            <w:r>
              <w:rPr>
                <w:rFonts w:hint="eastAsia"/>
                <w:szCs w:val="21"/>
              </w:rPr>
              <w:t>因此，从环保角度论证，本项目的建设是可行的。</w:t>
            </w:r>
          </w:p>
        </w:tc>
      </w:tr>
    </w:tbl>
    <w:p w14:paraId="28E133F0">
      <w:pPr>
        <w:rPr>
          <w:highlight w:val="yellow"/>
        </w:rPr>
        <w:sectPr>
          <w:pgSz w:w="11907" w:h="16840"/>
          <w:pgMar w:top="2126" w:right="1531" w:bottom="1701" w:left="1531" w:header="851" w:footer="851" w:gutter="0"/>
          <w:cols w:space="720" w:num="1"/>
          <w:docGrid w:linePitch="312" w:charSpace="0"/>
        </w:sectPr>
      </w:pPr>
    </w:p>
    <w:p w14:paraId="62923735">
      <w:pPr>
        <w:pStyle w:val="2"/>
        <w:numPr>
          <w:ilvl w:val="0"/>
          <w:numId w:val="0"/>
        </w:numPr>
        <w:ind w:left="425" w:hanging="425"/>
      </w:pPr>
      <w:bookmarkStart w:id="72" w:name="_Toc68630247"/>
      <w:bookmarkEnd w:id="72"/>
      <w:bookmarkStart w:id="73" w:name="_Toc70005155"/>
      <w:bookmarkStart w:id="74" w:name="_Toc238129011"/>
      <w:r>
        <w:t>专项一、噪声专项</w:t>
      </w:r>
      <w:bookmarkEnd w:id="73"/>
      <w:bookmarkEnd w:id="74"/>
    </w:p>
    <w:p w14:paraId="1E5CCEDD">
      <w:pPr>
        <w:widowControl/>
        <w:kinsoku w:val="0"/>
        <w:autoSpaceDE w:val="0"/>
        <w:autoSpaceDN w:val="0"/>
        <w:jc w:val="left"/>
        <w:textAlignment w:val="baseline"/>
        <w:outlineLvl w:val="1"/>
        <w:rPr>
          <w:b/>
          <w:bCs/>
          <w:color w:val="000000"/>
          <w:kern w:val="0"/>
          <w:sz w:val="24"/>
          <w:szCs w:val="24"/>
        </w:rPr>
      </w:pPr>
      <w:r>
        <w:rPr>
          <w:rFonts w:ascii="宋体" w:hAnsi="宋体"/>
          <w:b/>
          <w:bCs/>
          <w:color w:val="000000"/>
          <w:kern w:val="0"/>
          <w:sz w:val="24"/>
          <w:szCs w:val="24"/>
        </w:rPr>
        <w:t>一、总则</w:t>
      </w:r>
    </w:p>
    <w:p w14:paraId="6978A942">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1</w:t>
      </w:r>
      <w:r>
        <w:rPr>
          <w:rFonts w:ascii="宋体" w:hAnsi="宋体"/>
          <w:b/>
          <w:bCs/>
          <w:color w:val="000000"/>
          <w:kern w:val="0"/>
          <w:szCs w:val="21"/>
        </w:rPr>
        <w:t>、评价等级</w:t>
      </w:r>
    </w:p>
    <w:p w14:paraId="550232ED">
      <w:pPr>
        <w:ind w:firstLine="420" w:firstLineChars="200"/>
        <w:rPr>
          <w:color w:val="000000"/>
          <w:kern w:val="0"/>
          <w:szCs w:val="21"/>
        </w:rPr>
      </w:pPr>
      <w:r>
        <w:t>本项目为城市道路工程，</w:t>
      </w:r>
      <w:r>
        <w:rPr>
          <w:rFonts w:hint="eastAsia"/>
        </w:rPr>
        <w:t>根据《杭州市钱塘区声环境功能区划分方案》可知</w:t>
      </w:r>
      <w:r>
        <w:t>工程沿线声环境功能区为</w:t>
      </w:r>
      <w:r>
        <w:rPr>
          <w:rFonts w:hint="eastAsia"/>
        </w:rPr>
        <w:t>2</w:t>
      </w:r>
      <w:r>
        <w:t>类声环境区域</w:t>
      </w:r>
      <w:r>
        <w:rPr>
          <w:rFonts w:hint="eastAsia"/>
        </w:rPr>
        <w:t>。根据《环境影响评价技术导则 声环境》（HJ2.4-2021）要求，</w:t>
      </w:r>
      <w:bookmarkStart w:id="75" w:name="OLE_LINK20"/>
      <w:r>
        <w:rPr>
          <w:rFonts w:hint="eastAsia"/>
        </w:rPr>
        <w:t>建设项目所处的声环境功能区为 GB 3096 规定的 1 类、2 类地区，或建设项目建设前后评价范围内声环境保护目标噪声级增量达 3 dB(A)～5 dB(A)，或受噪声影响人口数量增加较多时，按二级评</w:t>
      </w:r>
      <w:r>
        <w:rPr>
          <w:rFonts w:hint="eastAsia" w:ascii="宋体" w:hAnsi="宋体"/>
          <w:color w:val="000000"/>
          <w:kern w:val="0"/>
          <w:szCs w:val="21"/>
        </w:rPr>
        <w:t>价。本工程所处位置为声环境</w:t>
      </w:r>
      <w:r>
        <w:rPr>
          <w:color w:val="000000"/>
          <w:kern w:val="0"/>
          <w:szCs w:val="21"/>
        </w:rPr>
        <w:t>2</w:t>
      </w:r>
      <w:r>
        <w:rPr>
          <w:rFonts w:hint="eastAsia" w:ascii="宋体" w:hAnsi="宋体"/>
          <w:color w:val="000000"/>
          <w:kern w:val="0"/>
          <w:szCs w:val="21"/>
        </w:rPr>
        <w:t>类区，周边评价范围内不存在现状敏感点，</w:t>
      </w:r>
      <w:r>
        <w:rPr>
          <w:rFonts w:ascii="宋体" w:hAnsi="宋体"/>
          <w:color w:val="000000"/>
          <w:kern w:val="0"/>
          <w:szCs w:val="21"/>
        </w:rPr>
        <w:t>根据《环境影响评价技术导则声环境》（</w:t>
      </w:r>
      <w:r>
        <w:rPr>
          <w:color w:val="000000"/>
          <w:kern w:val="0"/>
          <w:szCs w:val="21"/>
        </w:rPr>
        <w:t>HJ2.4-2021</w:t>
      </w:r>
      <w:r>
        <w:rPr>
          <w:rFonts w:ascii="宋体" w:hAnsi="宋体"/>
          <w:color w:val="000000"/>
          <w:kern w:val="0"/>
          <w:szCs w:val="21"/>
        </w:rPr>
        <w:t>），确定本项目声环境影响评价等级为</w:t>
      </w:r>
      <w:r>
        <w:rPr>
          <w:rFonts w:hint="eastAsia" w:ascii="宋体" w:hAnsi="宋体"/>
          <w:color w:val="000000"/>
          <w:kern w:val="0"/>
          <w:szCs w:val="21"/>
        </w:rPr>
        <w:t>二</w:t>
      </w:r>
      <w:r>
        <w:rPr>
          <w:rFonts w:ascii="宋体" w:hAnsi="宋体"/>
          <w:color w:val="000000"/>
          <w:kern w:val="0"/>
          <w:szCs w:val="21"/>
        </w:rPr>
        <w:t>级。</w:t>
      </w:r>
      <w:bookmarkEnd w:id="75"/>
    </w:p>
    <w:p w14:paraId="506881CB">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2</w:t>
      </w:r>
      <w:r>
        <w:rPr>
          <w:rFonts w:ascii="宋体" w:hAnsi="宋体"/>
          <w:b/>
          <w:bCs/>
          <w:color w:val="000000"/>
          <w:kern w:val="0"/>
          <w:szCs w:val="21"/>
        </w:rPr>
        <w:t>、评价范围</w:t>
      </w:r>
    </w:p>
    <w:p w14:paraId="4DB83C8D">
      <w:pPr>
        <w:ind w:firstLine="420" w:firstLineChars="200"/>
        <w:jc w:val="left"/>
      </w:pPr>
      <w:r>
        <w:t>施工期</w:t>
      </w:r>
      <w:r>
        <w:rPr>
          <w:rFonts w:hint="eastAsia" w:asciiTheme="minorEastAsia" w:hAnsiTheme="minorEastAsia" w:eastAsiaTheme="minorEastAsia"/>
        </w:rPr>
        <w:t>：</w:t>
      </w:r>
      <w:r>
        <w:rPr>
          <w:rFonts w:hint="eastAsia"/>
        </w:rPr>
        <w:t>线路中心线</w:t>
      </w:r>
      <w:r>
        <w:t>向外200m范围；</w:t>
      </w:r>
    </w:p>
    <w:p w14:paraId="6DC58D46">
      <w:pPr>
        <w:ind w:firstLine="420" w:firstLineChars="200"/>
      </w:pPr>
      <w:r>
        <w:t>运营期</w:t>
      </w:r>
      <w:r>
        <w:rPr>
          <w:rFonts w:hint="eastAsia" w:asciiTheme="minorEastAsia" w:hAnsiTheme="minorEastAsia" w:eastAsiaTheme="minorEastAsia"/>
        </w:rPr>
        <w:t>：</w:t>
      </w:r>
      <w:r>
        <w:t>线路中心线向外200m范围，</w:t>
      </w:r>
      <w:r>
        <w:rPr>
          <w:rFonts w:hint="eastAsia"/>
        </w:rPr>
        <w:t>如依据建设项目声源计算得到的贡献值到200m处仍不能满足相应功能区标准值时，应将评价范围扩大到满足标准值的距离。</w:t>
      </w:r>
    </w:p>
    <w:p w14:paraId="4EC9B2A9">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3</w:t>
      </w:r>
      <w:r>
        <w:rPr>
          <w:rFonts w:ascii="宋体" w:hAnsi="宋体"/>
          <w:b/>
          <w:bCs/>
          <w:color w:val="000000"/>
          <w:kern w:val="0"/>
          <w:szCs w:val="21"/>
        </w:rPr>
        <w:t>、评价因子</w:t>
      </w:r>
    </w:p>
    <w:p w14:paraId="2AD7DD87">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等效连续</w:t>
      </w:r>
      <w:r>
        <w:rPr>
          <w:color w:val="000000"/>
          <w:kern w:val="0"/>
          <w:szCs w:val="21"/>
        </w:rPr>
        <w:t>A</w:t>
      </w:r>
      <w:r>
        <w:rPr>
          <w:rFonts w:ascii="宋体" w:hAnsi="宋体"/>
          <w:color w:val="000000"/>
          <w:kern w:val="0"/>
          <w:szCs w:val="21"/>
        </w:rPr>
        <w:t>声级</w:t>
      </w:r>
    </w:p>
    <w:p w14:paraId="365A5F9B">
      <w:pPr>
        <w:widowControl/>
        <w:kinsoku w:val="0"/>
        <w:autoSpaceDE w:val="0"/>
        <w:autoSpaceDN w:val="0"/>
        <w:ind w:firstLine="422" w:firstLineChars="200"/>
        <w:jc w:val="left"/>
        <w:textAlignment w:val="baseline"/>
        <w:outlineLvl w:val="2"/>
        <w:rPr>
          <w:b/>
          <w:color w:val="000000"/>
          <w:kern w:val="0"/>
          <w:szCs w:val="21"/>
        </w:rPr>
      </w:pPr>
      <w:r>
        <w:rPr>
          <w:b/>
          <w:color w:val="000000"/>
          <w:kern w:val="0"/>
          <w:szCs w:val="21"/>
        </w:rPr>
        <w:t>4</w:t>
      </w:r>
      <w:r>
        <w:rPr>
          <w:rFonts w:ascii="宋体" w:hAnsi="宋体"/>
          <w:b/>
          <w:color w:val="000000"/>
          <w:kern w:val="0"/>
          <w:szCs w:val="21"/>
        </w:rPr>
        <w:t>、声功能区划分和评价标准</w:t>
      </w:r>
    </w:p>
    <w:p w14:paraId="441295CD">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）室外声环境质量标准</w:t>
      </w:r>
    </w:p>
    <w:p w14:paraId="1809A0CF">
      <w:pPr>
        <w:widowControl/>
        <w:kinsoku w:val="0"/>
        <w:autoSpaceDE w:val="0"/>
        <w:autoSpaceDN w:val="0"/>
        <w:ind w:firstLine="420" w:firstLineChars="200"/>
        <w:textAlignment w:val="baseline"/>
        <w:rPr>
          <w:color w:val="000000"/>
          <w:kern w:val="0"/>
          <w:szCs w:val="21"/>
          <w:highlight w:val="yellow"/>
        </w:rPr>
      </w:pPr>
      <w:r>
        <w:rPr>
          <w:rFonts w:ascii="宋体" w:hAnsi="宋体"/>
          <w:color w:val="000000"/>
          <w:kern w:val="0"/>
          <w:szCs w:val="21"/>
        </w:rPr>
        <w:t>本项目位于杭州市</w:t>
      </w:r>
      <w:r>
        <w:rPr>
          <w:rFonts w:hint="eastAsia" w:ascii="宋体" w:hAnsi="宋体"/>
          <w:color w:val="000000"/>
          <w:kern w:val="0"/>
          <w:szCs w:val="21"/>
        </w:rPr>
        <w:t>钱塘区河庄街道</w:t>
      </w:r>
      <w:r>
        <w:rPr>
          <w:rFonts w:ascii="宋体" w:hAnsi="宋体"/>
          <w:color w:val="000000"/>
          <w:kern w:val="0"/>
          <w:szCs w:val="21"/>
        </w:rPr>
        <w:t>。根据杭州市钱塘区声环境功能区划分方案：本项目所在区域为</w:t>
      </w:r>
      <w:r>
        <w:rPr>
          <w:rFonts w:hint="eastAsia"/>
        </w:rPr>
        <w:t>2</w:t>
      </w:r>
      <w:r>
        <w:t>类声环境功能区，</w:t>
      </w:r>
      <w:r>
        <w:rPr>
          <w:rFonts w:hint="eastAsia"/>
        </w:rPr>
        <w:t>其中南北侧江东大道、河景路均为城市主干道，属于4a 类功能区，按照钱塘区声环境功能区划分方案中表7-4中4a 类功能区距离的划定，当相邻为2类区时，划分距离为35m，所以工程南侧与北侧距离江东大道与河景路边界线35m的距离范围内均以4a类进行判定。经过现场踏勘，工程区范围内不存在现状噪声敏感点，存在住宅区规划敏感点。</w:t>
      </w:r>
    </w:p>
    <w:p w14:paraId="446AD5AE">
      <w:pPr>
        <w:pStyle w:val="9"/>
        <w:spacing w:before="212"/>
      </w:pPr>
      <w:r>
        <w:t xml:space="preserve">专项表 </w:t>
      </w:r>
      <w:r>
        <w:fldChar w:fldCharType="begin"/>
      </w:r>
      <w:r>
        <w:instrText xml:space="preserve"> SEQ 专项表 \* ARABIC </w:instrText>
      </w:r>
      <w:r>
        <w:fldChar w:fldCharType="separate"/>
      </w:r>
      <w:r>
        <w:t>1</w:t>
      </w:r>
      <w:r>
        <w:fldChar w:fldCharType="end"/>
      </w:r>
      <w:r>
        <w:t>声环境质量标准：dB（A）</w:t>
      </w:r>
    </w:p>
    <w:tbl>
      <w:tblPr>
        <w:tblStyle w:val="20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872"/>
        <w:gridCol w:w="2825"/>
        <w:gridCol w:w="2825"/>
      </w:tblGrid>
      <w:tr w14:paraId="13BB28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0" w:type="dxa"/>
            <w:vAlign w:val="center"/>
          </w:tcPr>
          <w:p w14:paraId="51943BB1">
            <w:pPr>
              <w:widowControl/>
              <w:kinsoku w:val="0"/>
              <w:autoSpaceDE w:val="0"/>
              <w:autoSpaceDN w:val="0"/>
              <w:spacing w:line="240" w:lineRule="auto"/>
              <w:jc w:val="center"/>
              <w:textAlignment w:val="baseline"/>
              <w:outlineLvl w:val="1"/>
              <w:rPr>
                <w:rFonts w:eastAsia="Times New Roman"/>
                <w:b/>
                <w:color w:val="000000"/>
                <w:kern w:val="28"/>
                <w:sz w:val="18"/>
                <w:szCs w:val="18"/>
              </w:rPr>
            </w:pPr>
            <w:r>
              <w:rPr>
                <w:rFonts w:hint="eastAsia" w:ascii="宋体" w:hAnsi="宋体" w:eastAsia="Times New Roman"/>
                <w:b/>
                <w:color w:val="000000"/>
                <w:kern w:val="28"/>
                <w:sz w:val="18"/>
                <w:szCs w:val="18"/>
              </w:rPr>
              <w:t>声环境功能区类别</w:t>
            </w:r>
          </w:p>
        </w:tc>
        <w:tc>
          <w:tcPr>
            <w:tcW w:w="2743" w:type="dxa"/>
            <w:vAlign w:val="center"/>
          </w:tcPr>
          <w:p w14:paraId="3EC2DA14">
            <w:pPr>
              <w:widowControl/>
              <w:kinsoku w:val="0"/>
              <w:autoSpaceDE w:val="0"/>
              <w:autoSpaceDN w:val="0"/>
              <w:spacing w:line="240" w:lineRule="auto"/>
              <w:jc w:val="center"/>
              <w:textAlignment w:val="baseline"/>
              <w:outlineLvl w:val="1"/>
              <w:rPr>
                <w:rFonts w:eastAsia="Times New Roman"/>
                <w:b/>
                <w:color w:val="000000"/>
                <w:kern w:val="28"/>
                <w:sz w:val="18"/>
                <w:szCs w:val="18"/>
              </w:rPr>
            </w:pPr>
            <w:r>
              <w:rPr>
                <w:rFonts w:hint="eastAsia" w:ascii="宋体" w:hAnsi="宋体" w:eastAsia="Times New Roman"/>
                <w:b/>
                <w:color w:val="000000"/>
                <w:kern w:val="28"/>
                <w:sz w:val="18"/>
                <w:szCs w:val="18"/>
              </w:rPr>
              <w:t>昼间</w:t>
            </w:r>
          </w:p>
        </w:tc>
        <w:tc>
          <w:tcPr>
            <w:tcW w:w="2743" w:type="dxa"/>
            <w:vAlign w:val="center"/>
          </w:tcPr>
          <w:p w14:paraId="543516DE">
            <w:pPr>
              <w:widowControl/>
              <w:kinsoku w:val="0"/>
              <w:autoSpaceDE w:val="0"/>
              <w:autoSpaceDN w:val="0"/>
              <w:spacing w:line="240" w:lineRule="auto"/>
              <w:jc w:val="center"/>
              <w:textAlignment w:val="baseline"/>
              <w:outlineLvl w:val="1"/>
              <w:rPr>
                <w:rFonts w:eastAsia="Times New Roman"/>
                <w:b/>
                <w:color w:val="000000"/>
                <w:kern w:val="28"/>
                <w:sz w:val="18"/>
                <w:szCs w:val="18"/>
              </w:rPr>
            </w:pPr>
            <w:r>
              <w:rPr>
                <w:rFonts w:hint="eastAsia" w:ascii="宋体" w:hAnsi="宋体" w:eastAsia="Times New Roman"/>
                <w:b/>
                <w:color w:val="000000"/>
                <w:kern w:val="28"/>
                <w:sz w:val="18"/>
                <w:szCs w:val="18"/>
              </w:rPr>
              <w:t>夜间</w:t>
            </w:r>
          </w:p>
        </w:tc>
      </w:tr>
      <w:tr w14:paraId="14B019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0" w:type="dxa"/>
            <w:vAlign w:val="center"/>
          </w:tcPr>
          <w:p w14:paraId="0E0124E9">
            <w:pPr>
              <w:widowControl/>
              <w:kinsoku w:val="0"/>
              <w:autoSpaceDE w:val="0"/>
              <w:autoSpaceDN w:val="0"/>
              <w:spacing w:line="240" w:lineRule="auto"/>
              <w:jc w:val="center"/>
              <w:textAlignment w:val="baseline"/>
              <w:outlineLvl w:val="1"/>
              <w:rPr>
                <w:rFonts w:eastAsia="Times New Roman"/>
                <w:bCs/>
                <w:color w:val="000000"/>
                <w:kern w:val="28"/>
                <w:sz w:val="18"/>
                <w:szCs w:val="18"/>
              </w:rPr>
            </w:pPr>
            <w:r>
              <w:rPr>
                <w:rFonts w:hint="eastAsia" w:eastAsia="Times New Roman"/>
                <w:bCs/>
                <w:color w:val="000000"/>
                <w:kern w:val="28"/>
                <w:sz w:val="18"/>
                <w:szCs w:val="18"/>
              </w:rPr>
              <w:t>2</w:t>
            </w:r>
            <w:r>
              <w:rPr>
                <w:rFonts w:hint="eastAsia" w:ascii="宋体" w:hAnsi="宋体" w:eastAsia="Times New Roman"/>
                <w:bCs/>
                <w:color w:val="000000"/>
                <w:kern w:val="28"/>
                <w:sz w:val="18"/>
                <w:szCs w:val="18"/>
              </w:rPr>
              <w:t>类</w:t>
            </w:r>
          </w:p>
        </w:tc>
        <w:tc>
          <w:tcPr>
            <w:tcW w:w="2743" w:type="dxa"/>
            <w:vAlign w:val="center"/>
          </w:tcPr>
          <w:p w14:paraId="5CF1BAF6">
            <w:pPr>
              <w:widowControl/>
              <w:kinsoku w:val="0"/>
              <w:autoSpaceDE w:val="0"/>
              <w:autoSpaceDN w:val="0"/>
              <w:spacing w:line="240" w:lineRule="auto"/>
              <w:jc w:val="center"/>
              <w:textAlignment w:val="baseline"/>
              <w:outlineLvl w:val="1"/>
              <w:rPr>
                <w:rFonts w:eastAsia="Times New Roman"/>
                <w:bCs/>
                <w:color w:val="000000"/>
                <w:kern w:val="28"/>
                <w:sz w:val="18"/>
                <w:szCs w:val="18"/>
              </w:rPr>
            </w:pPr>
            <w:r>
              <w:rPr>
                <w:rFonts w:hint="eastAsia" w:eastAsia="Times New Roman"/>
                <w:bCs/>
                <w:color w:val="000000"/>
                <w:kern w:val="28"/>
                <w:sz w:val="18"/>
                <w:szCs w:val="18"/>
              </w:rPr>
              <w:t>60</w:t>
            </w:r>
          </w:p>
        </w:tc>
        <w:tc>
          <w:tcPr>
            <w:tcW w:w="2743" w:type="dxa"/>
            <w:vAlign w:val="center"/>
          </w:tcPr>
          <w:p w14:paraId="409E51AC">
            <w:pPr>
              <w:widowControl/>
              <w:kinsoku w:val="0"/>
              <w:autoSpaceDE w:val="0"/>
              <w:autoSpaceDN w:val="0"/>
              <w:spacing w:line="240" w:lineRule="auto"/>
              <w:jc w:val="center"/>
              <w:textAlignment w:val="baseline"/>
              <w:outlineLvl w:val="1"/>
              <w:rPr>
                <w:rFonts w:eastAsia="Times New Roman"/>
                <w:bCs/>
                <w:color w:val="000000"/>
                <w:kern w:val="28"/>
                <w:sz w:val="18"/>
                <w:szCs w:val="18"/>
              </w:rPr>
            </w:pPr>
            <w:r>
              <w:rPr>
                <w:rFonts w:hint="eastAsia" w:eastAsia="Times New Roman"/>
                <w:bCs/>
                <w:color w:val="000000"/>
                <w:kern w:val="28"/>
                <w:sz w:val="18"/>
                <w:szCs w:val="18"/>
              </w:rPr>
              <w:t>50</w:t>
            </w:r>
          </w:p>
        </w:tc>
      </w:tr>
      <w:tr w14:paraId="19D22F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0" w:type="dxa"/>
            <w:vAlign w:val="center"/>
          </w:tcPr>
          <w:p w14:paraId="42C7E622">
            <w:pPr>
              <w:widowControl/>
              <w:kinsoku w:val="0"/>
              <w:autoSpaceDE w:val="0"/>
              <w:autoSpaceDN w:val="0"/>
              <w:spacing w:line="240" w:lineRule="auto"/>
              <w:jc w:val="center"/>
              <w:textAlignment w:val="baseline"/>
              <w:outlineLvl w:val="1"/>
              <w:rPr>
                <w:rFonts w:eastAsia="Times New Roman"/>
                <w:bCs/>
                <w:color w:val="000000"/>
                <w:kern w:val="28"/>
                <w:sz w:val="18"/>
                <w:szCs w:val="18"/>
              </w:rPr>
            </w:pPr>
            <w:r>
              <w:rPr>
                <w:rFonts w:hint="eastAsia" w:eastAsia="Times New Roman"/>
                <w:bCs/>
                <w:color w:val="000000"/>
                <w:kern w:val="28"/>
                <w:sz w:val="18"/>
                <w:szCs w:val="18"/>
              </w:rPr>
              <w:t>4a</w:t>
            </w:r>
            <w:r>
              <w:rPr>
                <w:rFonts w:hint="eastAsia" w:ascii="宋体" w:hAnsi="宋体" w:eastAsia="Times New Roman"/>
                <w:bCs/>
                <w:color w:val="000000"/>
                <w:kern w:val="28"/>
                <w:sz w:val="18"/>
                <w:szCs w:val="18"/>
              </w:rPr>
              <w:t>类</w:t>
            </w:r>
          </w:p>
        </w:tc>
        <w:tc>
          <w:tcPr>
            <w:tcW w:w="2743" w:type="dxa"/>
            <w:vAlign w:val="center"/>
          </w:tcPr>
          <w:p w14:paraId="09D4788D">
            <w:pPr>
              <w:widowControl/>
              <w:kinsoku w:val="0"/>
              <w:autoSpaceDE w:val="0"/>
              <w:autoSpaceDN w:val="0"/>
              <w:spacing w:line="240" w:lineRule="auto"/>
              <w:jc w:val="center"/>
              <w:textAlignment w:val="baseline"/>
              <w:outlineLvl w:val="1"/>
              <w:rPr>
                <w:rFonts w:eastAsia="Times New Roman"/>
                <w:bCs/>
                <w:color w:val="000000"/>
                <w:kern w:val="28"/>
                <w:sz w:val="18"/>
                <w:szCs w:val="18"/>
              </w:rPr>
            </w:pPr>
            <w:r>
              <w:rPr>
                <w:rFonts w:hint="eastAsia" w:eastAsia="Times New Roman"/>
                <w:bCs/>
                <w:color w:val="000000"/>
                <w:kern w:val="28"/>
                <w:sz w:val="18"/>
                <w:szCs w:val="18"/>
              </w:rPr>
              <w:t>70</w:t>
            </w:r>
          </w:p>
        </w:tc>
        <w:tc>
          <w:tcPr>
            <w:tcW w:w="2743" w:type="dxa"/>
            <w:vAlign w:val="center"/>
          </w:tcPr>
          <w:p w14:paraId="372176AA">
            <w:pPr>
              <w:widowControl/>
              <w:kinsoku w:val="0"/>
              <w:autoSpaceDE w:val="0"/>
              <w:autoSpaceDN w:val="0"/>
              <w:spacing w:line="240" w:lineRule="auto"/>
              <w:jc w:val="center"/>
              <w:textAlignment w:val="baseline"/>
              <w:outlineLvl w:val="1"/>
              <w:rPr>
                <w:rFonts w:eastAsia="Times New Roman"/>
                <w:bCs/>
                <w:color w:val="000000"/>
                <w:kern w:val="28"/>
                <w:sz w:val="18"/>
                <w:szCs w:val="18"/>
              </w:rPr>
            </w:pPr>
            <w:r>
              <w:rPr>
                <w:rFonts w:hint="eastAsia" w:eastAsia="Times New Roman"/>
                <w:bCs/>
                <w:color w:val="000000"/>
                <w:kern w:val="28"/>
                <w:sz w:val="18"/>
                <w:szCs w:val="18"/>
              </w:rPr>
              <w:t>55</w:t>
            </w:r>
          </w:p>
        </w:tc>
      </w:tr>
    </w:tbl>
    <w:p w14:paraId="2F750FE0">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color w:val="000000"/>
          <w:kern w:val="0"/>
          <w:szCs w:val="21"/>
        </w:rPr>
        <w:t>2</w:t>
      </w:r>
      <w:r>
        <w:rPr>
          <w:rFonts w:ascii="宋体" w:hAnsi="宋体"/>
          <w:color w:val="000000"/>
          <w:kern w:val="0"/>
          <w:szCs w:val="21"/>
        </w:rPr>
        <w:t>）室内声环境质量标准</w:t>
      </w:r>
    </w:p>
    <w:p w14:paraId="38EEDE11">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项目所在区域室内声环境执行《建筑环境通用规范》（</w:t>
      </w:r>
      <w:r>
        <w:rPr>
          <w:color w:val="000000"/>
          <w:kern w:val="0"/>
          <w:szCs w:val="21"/>
        </w:rPr>
        <w:t>GB55016-2021</w:t>
      </w:r>
      <w:r>
        <w:rPr>
          <w:rFonts w:ascii="宋体" w:hAnsi="宋体"/>
          <w:color w:val="000000"/>
          <w:kern w:val="0"/>
          <w:szCs w:val="21"/>
        </w:rPr>
        <w:t>）中建筑物外部噪声源传播至主要功能房间室内的噪声限值。</w:t>
      </w:r>
    </w:p>
    <w:p w14:paraId="3EC9F5E9">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5</w:t>
      </w:r>
      <w:r>
        <w:rPr>
          <w:rFonts w:ascii="宋体" w:hAnsi="宋体"/>
          <w:b/>
          <w:bCs/>
          <w:color w:val="000000"/>
          <w:kern w:val="0"/>
          <w:szCs w:val="21"/>
        </w:rPr>
        <w:t>、</w:t>
      </w:r>
      <w:r>
        <w:rPr>
          <w:rFonts w:hint="eastAsia" w:ascii="宋体" w:hAnsi="宋体"/>
          <w:b/>
          <w:bCs/>
          <w:color w:val="000000"/>
          <w:kern w:val="0"/>
          <w:szCs w:val="21"/>
        </w:rPr>
        <w:t>声</w:t>
      </w:r>
      <w:r>
        <w:rPr>
          <w:rFonts w:ascii="宋体" w:hAnsi="宋体"/>
          <w:b/>
          <w:bCs/>
          <w:color w:val="000000"/>
          <w:kern w:val="0"/>
          <w:szCs w:val="21"/>
        </w:rPr>
        <w:t>环境保护目标</w:t>
      </w:r>
    </w:p>
    <w:p w14:paraId="64EBCD46">
      <w:pPr>
        <w:widowControl/>
        <w:kinsoku w:val="0"/>
        <w:autoSpaceDE w:val="0"/>
        <w:autoSpaceDN w:val="0"/>
        <w:ind w:firstLine="420" w:firstLineChars="200"/>
        <w:textAlignment w:val="baseline"/>
        <w:rPr>
          <w:rFonts w:hint="eastAsia" w:ascii="宋体" w:hAnsi="宋体"/>
          <w:color w:val="000000"/>
          <w:kern w:val="0"/>
          <w:szCs w:val="21"/>
        </w:rPr>
      </w:pPr>
      <w:bookmarkStart w:id="76" w:name="_Hlk113523697"/>
      <w:bookmarkEnd w:id="76"/>
      <w:r>
        <w:rPr>
          <w:rFonts w:ascii="宋体" w:hAnsi="宋体"/>
          <w:color w:val="000000"/>
          <w:kern w:val="0"/>
          <w:szCs w:val="21"/>
        </w:rPr>
        <w:t>（</w:t>
      </w:r>
      <w:r>
        <w:rPr>
          <w:color w:val="000000"/>
          <w:kern w:val="0"/>
          <w:szCs w:val="21"/>
        </w:rPr>
        <w:t>1</w:t>
      </w:r>
      <w:r>
        <w:rPr>
          <w:rFonts w:ascii="宋体" w:hAnsi="宋体"/>
          <w:color w:val="000000"/>
          <w:kern w:val="0"/>
          <w:szCs w:val="21"/>
        </w:rPr>
        <w:t>）</w:t>
      </w:r>
      <w:r>
        <w:rPr>
          <w:rFonts w:hint="eastAsia" w:ascii="宋体" w:hAnsi="宋体"/>
          <w:color w:val="000000"/>
          <w:kern w:val="0"/>
          <w:szCs w:val="21"/>
        </w:rPr>
        <w:t>经过卫星遥感排</w:t>
      </w:r>
      <w:r>
        <w:rPr>
          <w:rFonts w:hint="eastAsia"/>
        </w:rPr>
        <w:t>查以及</w:t>
      </w:r>
      <w:r>
        <w:t>现场</w:t>
      </w:r>
      <w:r>
        <w:rPr>
          <w:rFonts w:hint="eastAsia"/>
        </w:rPr>
        <w:t>踏勘</w:t>
      </w:r>
      <w:r>
        <w:t>调查</w:t>
      </w:r>
      <w:r>
        <w:rPr>
          <w:rFonts w:hint="eastAsia"/>
        </w:rPr>
        <w:t>，</w:t>
      </w:r>
      <w:r>
        <w:t>工程</w:t>
      </w:r>
      <w:r>
        <w:rPr>
          <w:rFonts w:hint="eastAsia"/>
        </w:rPr>
        <w:t>周边200m</w:t>
      </w:r>
      <w:r>
        <w:t>范围内不存在声环境保护目标。</w:t>
      </w:r>
      <w:r>
        <w:rPr>
          <w:rFonts w:hint="eastAsia"/>
        </w:rPr>
        <w:t>对照《杭州大江东产业集聚区规划环评》、</w:t>
      </w:r>
      <w:r>
        <w:t>《江海之城单元详细规划》</w:t>
      </w:r>
      <w:r>
        <w:rPr>
          <w:rFonts w:hint="eastAsia"/>
        </w:rPr>
        <w:t>、《杭州市钱塘区</w:t>
      </w:r>
      <w:r>
        <w:rPr>
          <w:rFonts w:hint="eastAsia" w:ascii="宋体" w:hAnsi="宋体"/>
          <w:color w:val="000000"/>
          <w:kern w:val="0"/>
          <w:szCs w:val="21"/>
        </w:rPr>
        <w:t>国土空间总体规划（</w:t>
      </w:r>
      <w:r>
        <w:rPr>
          <w:rFonts w:hint="eastAsia"/>
          <w:color w:val="000000"/>
          <w:kern w:val="0"/>
          <w:szCs w:val="21"/>
        </w:rPr>
        <w:t>2021-2035</w:t>
      </w:r>
      <w:r>
        <w:rPr>
          <w:rFonts w:hint="eastAsia" w:ascii="宋体" w:hAnsi="宋体"/>
          <w:color w:val="000000"/>
          <w:kern w:val="0"/>
          <w:szCs w:val="21"/>
        </w:rPr>
        <w:t>）》以及</w:t>
      </w:r>
      <w:r>
        <w:t>杭州市规划和自然资源局</w:t>
      </w:r>
      <w:r>
        <w:rPr>
          <w:rFonts w:hint="eastAsia"/>
        </w:rPr>
        <w:t>规划一点通网站</w:t>
      </w:r>
      <w:r>
        <w:rPr>
          <w:rFonts w:hint="eastAsia" w:ascii="宋体" w:hAnsi="宋体"/>
          <w:color w:val="000000"/>
          <w:kern w:val="0"/>
          <w:szCs w:val="21"/>
        </w:rPr>
        <w:t>，本项目周边未来存在潜在居住用地规划保护目标，详见</w:t>
      </w:r>
      <w:r>
        <w:rPr>
          <w:rFonts w:hint="eastAsia" w:ascii="宋体" w:hAnsi="宋体"/>
          <w:color w:val="000000"/>
          <w:kern w:val="0"/>
          <w:szCs w:val="21"/>
        </w:rPr>
        <w:fldChar w:fldCharType="begin"/>
      </w:r>
      <w:r>
        <w:rPr>
          <w:rFonts w:hint="eastAsia" w:ascii="宋体" w:hAnsi="宋体"/>
          <w:color w:val="000000"/>
          <w:kern w:val="0"/>
          <w:szCs w:val="21"/>
        </w:rPr>
        <w:instrText xml:space="preserve"> REF _Ref234225141 \h </w:instrText>
      </w:r>
      <w:r>
        <w:rPr>
          <w:rFonts w:hint="eastAsia" w:ascii="宋体" w:hAnsi="宋体"/>
          <w:color w:val="000000"/>
          <w:kern w:val="0"/>
          <w:szCs w:val="21"/>
        </w:rPr>
        <w:fldChar w:fldCharType="separate"/>
      </w:r>
      <w:r>
        <w:rPr>
          <w:rFonts w:hint="eastAsia"/>
        </w:rPr>
        <w:t xml:space="preserve">专项图 </w:t>
      </w:r>
      <w:r>
        <w:t>1</w:t>
      </w:r>
      <w:r>
        <w:rPr>
          <w:rFonts w:hint="eastAsia" w:ascii="宋体" w:hAnsi="宋体"/>
          <w:color w:val="000000"/>
          <w:kern w:val="0"/>
          <w:szCs w:val="21"/>
        </w:rPr>
        <w:fldChar w:fldCharType="end"/>
      </w:r>
      <w:r>
        <w:rPr>
          <w:rFonts w:hint="eastAsia" w:ascii="宋体" w:hAnsi="宋体"/>
          <w:color w:val="000000"/>
          <w:kern w:val="0"/>
          <w:szCs w:val="21"/>
        </w:rPr>
        <w:t>。</w:t>
      </w:r>
    </w:p>
    <w:p w14:paraId="452EEA45">
      <w:pPr>
        <w:keepNext/>
        <w:widowControl/>
        <w:kinsoku w:val="0"/>
        <w:autoSpaceDE w:val="0"/>
        <w:autoSpaceDN w:val="0"/>
        <w:jc w:val="center"/>
        <w:textAlignment w:val="baseline"/>
      </w:pPr>
      <w:r>
        <w:drawing>
          <wp:anchor distT="0" distB="0" distL="114300" distR="114300" simplePos="0" relativeHeight="251662336" behindDoc="0" locked="0" layoutInCell="1" allowOverlap="1">
            <wp:simplePos x="0" y="0"/>
            <wp:positionH relativeFrom="column">
              <wp:posOffset>4213860</wp:posOffset>
            </wp:positionH>
            <wp:positionV relativeFrom="paragraph">
              <wp:posOffset>2590165</wp:posOffset>
            </wp:positionV>
            <wp:extent cx="1064260" cy="1316990"/>
            <wp:effectExtent l="0" t="0" r="2540" b="0"/>
            <wp:wrapNone/>
            <wp:docPr id="17495473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47309" name="图片 1"/>
                    <pic:cNvPicPr>
                      <a:picLocks noChangeAspect="1"/>
                    </pic:cNvPicPr>
                  </pic:nvPicPr>
                  <pic:blipFill>
                    <a:blip r:embed="rId39"/>
                    <a:stretch>
                      <a:fillRect/>
                    </a:stretch>
                  </pic:blipFill>
                  <pic:spPr>
                    <a:xfrm>
                      <a:off x="0" y="0"/>
                      <a:ext cx="1064260" cy="1316797"/>
                    </a:xfrm>
                    <a:prstGeom prst="rect">
                      <a:avLst/>
                    </a:prstGeom>
                  </pic:spPr>
                </pic:pic>
              </a:graphicData>
            </a:graphic>
          </wp:anchor>
        </w:drawing>
      </w:r>
      <w:r>
        <w:rPr>
          <w:rFonts w:ascii="宋体" w:hAnsi="宋体"/>
          <w:color w:val="000000"/>
          <w:kern w:val="0"/>
          <w:szCs w:val="21"/>
        </w:rPr>
        <w:drawing>
          <wp:inline distT="0" distB="0" distL="0" distR="0">
            <wp:extent cx="5274945" cy="3908425"/>
            <wp:effectExtent l="0" t="0" r="1905" b="0"/>
            <wp:docPr id="168640230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02309" name="图片 3"/>
                    <pic:cNvPicPr>
                      <a:picLocks noChangeAspect="1" noChangeArrowheads="1"/>
                    </pic:cNvPicPr>
                  </pic:nvPicPr>
                  <pic:blipFill>
                    <a:blip r:embed="rId40"/>
                    <a:stretch>
                      <a:fillRect/>
                    </a:stretch>
                  </pic:blipFill>
                  <pic:spPr>
                    <a:xfrm>
                      <a:off x="0" y="0"/>
                      <a:ext cx="5275390" cy="3908873"/>
                    </a:xfrm>
                    <a:prstGeom prst="rect">
                      <a:avLst/>
                    </a:prstGeom>
                    <a:noFill/>
                    <a:ln>
                      <a:noFill/>
                    </a:ln>
                  </pic:spPr>
                </pic:pic>
              </a:graphicData>
            </a:graphic>
          </wp:inline>
        </w:drawing>
      </w:r>
    </w:p>
    <w:p w14:paraId="33DE2BDD">
      <w:pPr>
        <w:pStyle w:val="9"/>
        <w:spacing w:before="212" w:after="212"/>
        <w:rPr>
          <w:rFonts w:hint="eastAsia" w:ascii="宋体" w:hAnsi="宋体"/>
          <w:color w:val="000000"/>
          <w:kern w:val="0"/>
          <w:szCs w:val="21"/>
        </w:rPr>
      </w:pPr>
      <w:bookmarkStart w:id="77" w:name="_Ref234225141"/>
      <w:r>
        <w:rPr>
          <w:rFonts w:hint="eastAsia"/>
        </w:rPr>
        <w:t xml:space="preserve">专项图 </w:t>
      </w:r>
      <w:r>
        <w:fldChar w:fldCharType="begin"/>
      </w:r>
      <w:r>
        <w:instrText xml:space="preserve"> </w:instrText>
      </w:r>
      <w:r>
        <w:rPr>
          <w:rFonts w:hint="eastAsia"/>
        </w:rPr>
        <w:instrText xml:space="preserve">SEQ 专项图 \* ARABIC</w:instrText>
      </w:r>
      <w:r>
        <w:instrText xml:space="preserve"> </w:instrText>
      </w:r>
      <w:r>
        <w:fldChar w:fldCharType="separate"/>
      </w:r>
      <w:r>
        <w:t>1</w:t>
      </w:r>
      <w:r>
        <w:fldChar w:fldCharType="end"/>
      </w:r>
      <w:bookmarkEnd w:id="77"/>
      <w:r>
        <w:rPr>
          <w:rFonts w:hint="eastAsia"/>
        </w:rPr>
        <w:t>道路工程周边规划情况</w:t>
      </w:r>
    </w:p>
    <w:p w14:paraId="6D458C1B">
      <w:pPr>
        <w:widowControl/>
        <w:adjustRightInd/>
        <w:snapToGrid/>
        <w:spacing w:line="240" w:lineRule="auto"/>
        <w:jc w:val="left"/>
        <w:rPr>
          <w:rFonts w:hint="eastAsia" w:ascii="宋体" w:hAnsi="宋体"/>
          <w:b/>
          <w:bCs/>
          <w:color w:val="000000"/>
          <w:kern w:val="0"/>
          <w:sz w:val="24"/>
          <w:szCs w:val="24"/>
        </w:rPr>
      </w:pPr>
      <w:r>
        <w:rPr>
          <w:rFonts w:hint="eastAsia" w:ascii="宋体" w:hAnsi="宋体"/>
          <w:b/>
          <w:bCs/>
          <w:color w:val="000000"/>
          <w:kern w:val="0"/>
          <w:sz w:val="24"/>
          <w:szCs w:val="24"/>
        </w:rPr>
        <w:br w:type="page"/>
      </w:r>
    </w:p>
    <w:p w14:paraId="0BA7F075">
      <w:pPr>
        <w:widowControl/>
        <w:kinsoku w:val="0"/>
        <w:autoSpaceDE w:val="0"/>
        <w:autoSpaceDN w:val="0"/>
        <w:jc w:val="left"/>
        <w:textAlignment w:val="baseline"/>
        <w:outlineLvl w:val="1"/>
        <w:rPr>
          <w:rFonts w:hint="eastAsia" w:ascii="宋体" w:hAnsi="宋体"/>
          <w:b/>
          <w:bCs/>
          <w:color w:val="000000"/>
          <w:kern w:val="0"/>
          <w:sz w:val="24"/>
          <w:szCs w:val="24"/>
        </w:rPr>
        <w:sectPr>
          <w:pgSz w:w="11906" w:h="16838"/>
          <w:pgMar w:top="1440" w:right="1800" w:bottom="1440" w:left="1800" w:header="851" w:footer="851" w:gutter="0"/>
          <w:cols w:space="720" w:num="1"/>
          <w:titlePg/>
          <w:docGrid w:type="lines" w:linePitch="424" w:charSpace="0"/>
        </w:sectPr>
      </w:pPr>
    </w:p>
    <w:p w14:paraId="3A665E23"/>
    <w:p w14:paraId="7B4E0892">
      <w:pPr>
        <w:pStyle w:val="9"/>
        <w:keepNext/>
        <w:spacing w:before="212" w:after="212"/>
      </w:pPr>
      <w:r>
        <w:rPr>
          <w:rFonts w:hint="eastAsia"/>
        </w:rPr>
        <w:t xml:space="preserve">专项表 </w:t>
      </w:r>
      <w:r>
        <w:fldChar w:fldCharType="begin"/>
      </w:r>
      <w:r>
        <w:instrText xml:space="preserve"> </w:instrText>
      </w:r>
      <w:r>
        <w:rPr>
          <w:rFonts w:hint="eastAsia"/>
        </w:rPr>
        <w:instrText xml:space="preserve">SEQ 专项表 \* ARABIC</w:instrText>
      </w:r>
      <w:r>
        <w:instrText xml:space="preserve"> </w:instrText>
      </w:r>
      <w:r>
        <w:fldChar w:fldCharType="separate"/>
      </w:r>
      <w:r>
        <w:t>2</w:t>
      </w:r>
      <w:r>
        <w:fldChar w:fldCharType="end"/>
      </w:r>
      <w:r>
        <w:rPr>
          <w:rFonts w:hint="eastAsia"/>
        </w:rPr>
        <w:t>工程</w:t>
      </w:r>
      <w:r>
        <w:t>沿线规划敏感保护目标</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625"/>
        <w:gridCol w:w="619"/>
        <w:gridCol w:w="1546"/>
        <w:gridCol w:w="1752"/>
        <w:gridCol w:w="997"/>
        <w:gridCol w:w="996"/>
        <w:gridCol w:w="1506"/>
        <w:gridCol w:w="1082"/>
        <w:gridCol w:w="1081"/>
        <w:gridCol w:w="927"/>
        <w:gridCol w:w="1082"/>
        <w:gridCol w:w="1777"/>
      </w:tblGrid>
      <w:tr w14:paraId="28EA94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2" w:type="dxa"/>
            <w:vMerge w:val="restart"/>
            <w:vAlign w:val="center"/>
          </w:tcPr>
          <w:p w14:paraId="2B8C6BEB">
            <w:pPr>
              <w:widowControl/>
              <w:adjustRightInd/>
              <w:spacing w:line="240" w:lineRule="auto"/>
              <w:jc w:val="center"/>
              <w:rPr>
                <w:b/>
                <w:bCs/>
                <w:kern w:val="0"/>
                <w:sz w:val="18"/>
                <w:szCs w:val="18"/>
              </w:rPr>
            </w:pPr>
            <w:r>
              <w:rPr>
                <w:rFonts w:ascii="宋体" w:hAnsi="宋体"/>
                <w:b/>
                <w:bCs/>
                <w:kern w:val="0"/>
                <w:sz w:val="18"/>
                <w:szCs w:val="18"/>
              </w:rPr>
              <w:t>序号</w:t>
            </w:r>
          </w:p>
        </w:tc>
        <w:tc>
          <w:tcPr>
            <w:tcW w:w="2155" w:type="dxa"/>
            <w:gridSpan w:val="2"/>
            <w:vAlign w:val="center"/>
          </w:tcPr>
          <w:p w14:paraId="4514E5B8">
            <w:pPr>
              <w:widowControl/>
              <w:adjustRightInd/>
              <w:spacing w:line="240" w:lineRule="auto"/>
              <w:jc w:val="center"/>
              <w:rPr>
                <w:b/>
                <w:bCs/>
                <w:kern w:val="0"/>
                <w:sz w:val="18"/>
                <w:szCs w:val="18"/>
              </w:rPr>
            </w:pPr>
            <w:r>
              <w:rPr>
                <w:rFonts w:ascii="宋体" w:hAnsi="宋体"/>
                <w:b/>
                <w:bCs/>
                <w:kern w:val="0"/>
                <w:sz w:val="18"/>
                <w:szCs w:val="18"/>
              </w:rPr>
              <w:t>保护目标名称</w:t>
            </w:r>
          </w:p>
        </w:tc>
        <w:tc>
          <w:tcPr>
            <w:tcW w:w="1744" w:type="dxa"/>
            <w:vMerge w:val="restart"/>
            <w:vAlign w:val="center"/>
          </w:tcPr>
          <w:p w14:paraId="4DBDAB65">
            <w:pPr>
              <w:widowControl/>
              <w:adjustRightInd/>
              <w:spacing w:line="240" w:lineRule="auto"/>
              <w:jc w:val="center"/>
              <w:rPr>
                <w:b/>
                <w:bCs/>
                <w:kern w:val="0"/>
                <w:sz w:val="18"/>
                <w:szCs w:val="18"/>
              </w:rPr>
            </w:pPr>
            <w:r>
              <w:rPr>
                <w:rFonts w:ascii="宋体" w:hAnsi="宋体"/>
                <w:b/>
                <w:bCs/>
                <w:kern w:val="0"/>
                <w:sz w:val="18"/>
                <w:szCs w:val="18"/>
              </w:rPr>
              <w:t>所在路段</w:t>
            </w:r>
          </w:p>
        </w:tc>
        <w:tc>
          <w:tcPr>
            <w:tcW w:w="993" w:type="dxa"/>
            <w:vMerge w:val="restart"/>
            <w:vAlign w:val="center"/>
          </w:tcPr>
          <w:p w14:paraId="42064045">
            <w:pPr>
              <w:widowControl/>
              <w:adjustRightInd/>
              <w:spacing w:line="240" w:lineRule="auto"/>
              <w:jc w:val="center"/>
              <w:rPr>
                <w:b/>
                <w:bCs/>
                <w:kern w:val="0"/>
                <w:sz w:val="18"/>
                <w:szCs w:val="18"/>
              </w:rPr>
            </w:pPr>
            <w:r>
              <w:rPr>
                <w:rFonts w:ascii="宋体" w:hAnsi="宋体"/>
                <w:b/>
                <w:bCs/>
                <w:kern w:val="0"/>
                <w:sz w:val="18"/>
                <w:szCs w:val="18"/>
              </w:rPr>
              <w:t>线路形式</w:t>
            </w:r>
          </w:p>
        </w:tc>
        <w:tc>
          <w:tcPr>
            <w:tcW w:w="992" w:type="dxa"/>
            <w:vMerge w:val="restart"/>
            <w:vAlign w:val="center"/>
          </w:tcPr>
          <w:p w14:paraId="04DC5D21">
            <w:pPr>
              <w:autoSpaceDE w:val="0"/>
              <w:autoSpaceDN w:val="0"/>
              <w:snapToGrid/>
              <w:spacing w:line="240" w:lineRule="auto"/>
              <w:jc w:val="center"/>
              <w:rPr>
                <w:b/>
                <w:bCs/>
                <w:color w:val="000000"/>
                <w:kern w:val="0"/>
                <w:sz w:val="18"/>
                <w:szCs w:val="18"/>
              </w:rPr>
            </w:pPr>
            <w:r>
              <w:rPr>
                <w:rFonts w:ascii="宋体" w:hAnsi="宋体"/>
                <w:b/>
                <w:bCs/>
                <w:color w:val="000000"/>
                <w:kern w:val="0"/>
                <w:sz w:val="18"/>
                <w:szCs w:val="18"/>
              </w:rPr>
              <w:t>方位</w:t>
            </w:r>
          </w:p>
        </w:tc>
        <w:tc>
          <w:tcPr>
            <w:tcW w:w="1500" w:type="dxa"/>
            <w:vMerge w:val="restart"/>
            <w:vAlign w:val="center"/>
          </w:tcPr>
          <w:p w14:paraId="14ED767C">
            <w:pPr>
              <w:autoSpaceDE w:val="0"/>
              <w:autoSpaceDN w:val="0"/>
              <w:snapToGrid/>
              <w:spacing w:line="240" w:lineRule="auto"/>
              <w:jc w:val="center"/>
              <w:rPr>
                <w:b/>
                <w:bCs/>
                <w:color w:val="000000"/>
                <w:kern w:val="0"/>
                <w:sz w:val="18"/>
                <w:szCs w:val="18"/>
              </w:rPr>
            </w:pPr>
            <w:r>
              <w:rPr>
                <w:rFonts w:ascii="宋体" w:hAnsi="宋体"/>
                <w:b/>
                <w:bCs/>
                <w:color w:val="000000"/>
                <w:kern w:val="0"/>
                <w:sz w:val="18"/>
                <w:szCs w:val="18"/>
              </w:rPr>
              <w:t>声环境</w:t>
            </w:r>
            <w:commentRangeStart w:id="77"/>
            <w:commentRangeStart w:id="78"/>
            <w:r>
              <w:rPr>
                <w:rFonts w:ascii="宋体" w:hAnsi="宋体"/>
                <w:b/>
                <w:bCs/>
                <w:color w:val="000000"/>
                <w:kern w:val="0"/>
                <w:sz w:val="18"/>
                <w:szCs w:val="18"/>
              </w:rPr>
              <w:t>保护目标预测点与路面高差</w:t>
            </w:r>
            <w:r>
              <w:rPr>
                <w:b/>
                <w:bCs/>
                <w:color w:val="000000"/>
                <w:kern w:val="0"/>
                <w:sz w:val="18"/>
                <w:szCs w:val="18"/>
              </w:rPr>
              <w:t>/m</w:t>
            </w:r>
            <w:commentRangeEnd w:id="77"/>
            <w:r>
              <w:rPr>
                <w:rStyle w:val="38"/>
                <w:b/>
                <w:bCs/>
                <w:color w:val="000000"/>
                <w:kern w:val="0"/>
                <w:sz w:val="18"/>
                <w:szCs w:val="18"/>
              </w:rPr>
              <w:commentReference w:id="77"/>
            </w:r>
            <w:commentRangeEnd w:id="78"/>
            <w:r>
              <w:rPr>
                <w:rStyle w:val="38"/>
                <w:b/>
                <w:bCs/>
                <w:color w:val="000000"/>
                <w:kern w:val="0"/>
                <w:sz w:val="18"/>
                <w:szCs w:val="18"/>
              </w:rPr>
              <w:commentReference w:id="78"/>
            </w:r>
          </w:p>
        </w:tc>
        <w:tc>
          <w:tcPr>
            <w:tcW w:w="1077" w:type="dxa"/>
            <w:vMerge w:val="restart"/>
            <w:vAlign w:val="center"/>
          </w:tcPr>
          <w:p w14:paraId="74E72F10">
            <w:pPr>
              <w:autoSpaceDE w:val="0"/>
              <w:autoSpaceDN w:val="0"/>
              <w:snapToGrid/>
              <w:spacing w:line="240" w:lineRule="auto"/>
              <w:jc w:val="center"/>
              <w:rPr>
                <w:b/>
                <w:bCs/>
                <w:color w:val="000000"/>
                <w:kern w:val="0"/>
                <w:sz w:val="18"/>
                <w:szCs w:val="18"/>
              </w:rPr>
            </w:pPr>
            <w:r>
              <w:rPr>
                <w:rFonts w:ascii="宋体" w:hAnsi="宋体"/>
                <w:b/>
                <w:bCs/>
                <w:color w:val="000000"/>
                <w:kern w:val="0"/>
                <w:sz w:val="18"/>
                <w:szCs w:val="18"/>
              </w:rPr>
              <w:t>距道路边界距离</w:t>
            </w:r>
            <w:r>
              <w:rPr>
                <w:b/>
                <w:bCs/>
                <w:color w:val="000000"/>
                <w:kern w:val="0"/>
                <w:sz w:val="18"/>
                <w:szCs w:val="18"/>
              </w:rPr>
              <w:t>/m</w:t>
            </w:r>
          </w:p>
        </w:tc>
        <w:tc>
          <w:tcPr>
            <w:tcW w:w="1076" w:type="dxa"/>
            <w:vMerge w:val="restart"/>
            <w:vAlign w:val="center"/>
          </w:tcPr>
          <w:p w14:paraId="6405659B">
            <w:pPr>
              <w:autoSpaceDE w:val="0"/>
              <w:autoSpaceDN w:val="0"/>
              <w:snapToGrid/>
              <w:spacing w:line="240" w:lineRule="auto"/>
              <w:jc w:val="center"/>
              <w:rPr>
                <w:b/>
                <w:bCs/>
                <w:color w:val="000000"/>
                <w:kern w:val="0"/>
                <w:sz w:val="18"/>
                <w:szCs w:val="18"/>
              </w:rPr>
            </w:pPr>
            <w:r>
              <w:rPr>
                <w:rFonts w:ascii="宋体" w:hAnsi="宋体"/>
                <w:b/>
                <w:bCs/>
                <w:color w:val="000000"/>
                <w:kern w:val="0"/>
                <w:sz w:val="18"/>
                <w:szCs w:val="18"/>
              </w:rPr>
              <w:t>距道路中心线距离</w:t>
            </w:r>
            <w:r>
              <w:rPr>
                <w:b/>
                <w:bCs/>
                <w:color w:val="000000"/>
                <w:kern w:val="0"/>
                <w:sz w:val="18"/>
                <w:szCs w:val="18"/>
              </w:rPr>
              <w:t>/m</w:t>
            </w:r>
          </w:p>
        </w:tc>
        <w:tc>
          <w:tcPr>
            <w:tcW w:w="2000" w:type="dxa"/>
            <w:gridSpan w:val="2"/>
            <w:vAlign w:val="center"/>
          </w:tcPr>
          <w:p w14:paraId="3E17E19F">
            <w:pPr>
              <w:autoSpaceDE w:val="0"/>
              <w:autoSpaceDN w:val="0"/>
              <w:snapToGrid/>
              <w:spacing w:line="240" w:lineRule="auto"/>
              <w:jc w:val="center"/>
              <w:rPr>
                <w:b/>
                <w:bCs/>
                <w:color w:val="000000"/>
                <w:kern w:val="0"/>
                <w:sz w:val="18"/>
                <w:szCs w:val="18"/>
              </w:rPr>
            </w:pPr>
            <w:r>
              <w:rPr>
                <w:rFonts w:ascii="宋体" w:hAnsi="宋体"/>
                <w:b/>
                <w:bCs/>
                <w:color w:val="000000"/>
                <w:kern w:val="0"/>
                <w:sz w:val="18"/>
                <w:szCs w:val="18"/>
              </w:rPr>
              <w:t>不同功能区户数</w:t>
            </w:r>
          </w:p>
        </w:tc>
        <w:tc>
          <w:tcPr>
            <w:tcW w:w="1769" w:type="dxa"/>
            <w:vMerge w:val="restart"/>
            <w:vAlign w:val="center"/>
          </w:tcPr>
          <w:p w14:paraId="35376355">
            <w:pPr>
              <w:autoSpaceDE w:val="0"/>
              <w:autoSpaceDN w:val="0"/>
              <w:snapToGrid/>
              <w:spacing w:line="240" w:lineRule="auto"/>
              <w:jc w:val="center"/>
              <w:rPr>
                <w:b/>
                <w:bCs/>
                <w:color w:val="000000"/>
                <w:kern w:val="0"/>
                <w:sz w:val="18"/>
                <w:szCs w:val="18"/>
              </w:rPr>
            </w:pPr>
            <w:r>
              <w:rPr>
                <w:rFonts w:ascii="宋体" w:hAnsi="宋体"/>
                <w:b/>
                <w:bCs/>
                <w:color w:val="000000"/>
                <w:kern w:val="0"/>
                <w:sz w:val="18"/>
                <w:szCs w:val="18"/>
              </w:rPr>
              <w:t>保护目标情况说明</w:t>
            </w:r>
          </w:p>
        </w:tc>
      </w:tr>
      <w:tr w14:paraId="72B201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622" w:type="dxa"/>
            <w:vMerge w:val="continue"/>
            <w:vAlign w:val="center"/>
          </w:tcPr>
          <w:p w14:paraId="4A42D265">
            <w:pPr>
              <w:widowControl/>
              <w:adjustRightInd/>
              <w:snapToGrid/>
              <w:spacing w:line="240" w:lineRule="auto"/>
              <w:jc w:val="left"/>
              <w:rPr>
                <w:b/>
                <w:bCs/>
                <w:kern w:val="0"/>
                <w:sz w:val="18"/>
                <w:szCs w:val="18"/>
              </w:rPr>
            </w:pPr>
          </w:p>
        </w:tc>
        <w:tc>
          <w:tcPr>
            <w:tcW w:w="616" w:type="dxa"/>
            <w:vAlign w:val="center"/>
          </w:tcPr>
          <w:p w14:paraId="008E3CF2">
            <w:pPr>
              <w:widowControl/>
              <w:adjustRightInd/>
              <w:spacing w:line="240" w:lineRule="auto"/>
              <w:jc w:val="center"/>
              <w:rPr>
                <w:b/>
                <w:bCs/>
                <w:kern w:val="0"/>
                <w:sz w:val="18"/>
                <w:szCs w:val="18"/>
              </w:rPr>
            </w:pPr>
            <w:r>
              <w:rPr>
                <w:rFonts w:ascii="宋体" w:hAnsi="宋体"/>
                <w:b/>
                <w:bCs/>
                <w:kern w:val="0"/>
                <w:sz w:val="18"/>
                <w:szCs w:val="18"/>
              </w:rPr>
              <w:t>所属</w:t>
            </w:r>
          </w:p>
          <w:p w14:paraId="6BC4B1A1">
            <w:pPr>
              <w:widowControl/>
              <w:adjustRightInd/>
              <w:spacing w:line="240" w:lineRule="auto"/>
              <w:jc w:val="center"/>
              <w:rPr>
                <w:b/>
                <w:bCs/>
                <w:kern w:val="0"/>
                <w:sz w:val="18"/>
                <w:szCs w:val="18"/>
              </w:rPr>
            </w:pPr>
            <w:r>
              <w:rPr>
                <w:rFonts w:ascii="宋体" w:hAnsi="宋体"/>
                <w:b/>
                <w:bCs/>
                <w:kern w:val="0"/>
                <w:sz w:val="18"/>
                <w:szCs w:val="18"/>
              </w:rPr>
              <w:t>乡镇</w:t>
            </w:r>
          </w:p>
        </w:tc>
        <w:tc>
          <w:tcPr>
            <w:tcW w:w="1539" w:type="dxa"/>
            <w:vAlign w:val="center"/>
          </w:tcPr>
          <w:p w14:paraId="73DF63A6">
            <w:pPr>
              <w:widowControl/>
              <w:adjustRightInd/>
              <w:spacing w:line="240" w:lineRule="auto"/>
              <w:jc w:val="center"/>
              <w:rPr>
                <w:b/>
                <w:bCs/>
                <w:kern w:val="0"/>
                <w:sz w:val="18"/>
                <w:szCs w:val="18"/>
              </w:rPr>
            </w:pPr>
            <w:r>
              <w:rPr>
                <w:rFonts w:ascii="宋体" w:hAnsi="宋体"/>
                <w:b/>
                <w:bCs/>
                <w:kern w:val="0"/>
                <w:sz w:val="18"/>
                <w:szCs w:val="18"/>
              </w:rPr>
              <w:t>名称</w:t>
            </w:r>
          </w:p>
        </w:tc>
        <w:tc>
          <w:tcPr>
            <w:tcW w:w="1744" w:type="dxa"/>
            <w:vMerge w:val="continue"/>
            <w:vAlign w:val="center"/>
          </w:tcPr>
          <w:p w14:paraId="5BFECDEA">
            <w:pPr>
              <w:widowControl/>
              <w:adjustRightInd/>
              <w:snapToGrid/>
              <w:spacing w:line="240" w:lineRule="auto"/>
              <w:jc w:val="left"/>
              <w:rPr>
                <w:b/>
                <w:bCs/>
                <w:kern w:val="0"/>
                <w:sz w:val="18"/>
                <w:szCs w:val="18"/>
              </w:rPr>
            </w:pPr>
          </w:p>
        </w:tc>
        <w:tc>
          <w:tcPr>
            <w:tcW w:w="993" w:type="dxa"/>
            <w:vMerge w:val="continue"/>
            <w:vAlign w:val="center"/>
          </w:tcPr>
          <w:p w14:paraId="66D2A9CF">
            <w:pPr>
              <w:widowControl/>
              <w:adjustRightInd/>
              <w:snapToGrid/>
              <w:spacing w:line="240" w:lineRule="auto"/>
              <w:jc w:val="left"/>
              <w:rPr>
                <w:b/>
                <w:bCs/>
                <w:kern w:val="0"/>
                <w:sz w:val="18"/>
                <w:szCs w:val="18"/>
              </w:rPr>
            </w:pPr>
          </w:p>
        </w:tc>
        <w:tc>
          <w:tcPr>
            <w:tcW w:w="992" w:type="dxa"/>
            <w:vMerge w:val="continue"/>
            <w:vAlign w:val="center"/>
          </w:tcPr>
          <w:p w14:paraId="3AC95114">
            <w:pPr>
              <w:widowControl/>
              <w:adjustRightInd/>
              <w:snapToGrid/>
              <w:spacing w:line="240" w:lineRule="auto"/>
              <w:jc w:val="left"/>
              <w:rPr>
                <w:b/>
                <w:bCs/>
                <w:color w:val="000000"/>
                <w:kern w:val="0"/>
                <w:sz w:val="18"/>
                <w:szCs w:val="18"/>
              </w:rPr>
            </w:pPr>
          </w:p>
        </w:tc>
        <w:tc>
          <w:tcPr>
            <w:tcW w:w="1500" w:type="dxa"/>
            <w:vMerge w:val="continue"/>
            <w:vAlign w:val="center"/>
          </w:tcPr>
          <w:p w14:paraId="58382ECD">
            <w:pPr>
              <w:widowControl/>
              <w:adjustRightInd/>
              <w:snapToGrid/>
              <w:spacing w:line="240" w:lineRule="auto"/>
              <w:jc w:val="left"/>
              <w:rPr>
                <w:b/>
                <w:bCs/>
                <w:color w:val="000000"/>
                <w:kern w:val="0"/>
                <w:sz w:val="18"/>
                <w:szCs w:val="18"/>
              </w:rPr>
            </w:pPr>
          </w:p>
        </w:tc>
        <w:tc>
          <w:tcPr>
            <w:tcW w:w="1077" w:type="dxa"/>
            <w:vMerge w:val="continue"/>
            <w:vAlign w:val="center"/>
          </w:tcPr>
          <w:p w14:paraId="7E6853B3">
            <w:pPr>
              <w:widowControl/>
              <w:adjustRightInd/>
              <w:snapToGrid/>
              <w:spacing w:line="240" w:lineRule="auto"/>
              <w:jc w:val="left"/>
              <w:rPr>
                <w:b/>
                <w:bCs/>
                <w:color w:val="000000"/>
                <w:kern w:val="0"/>
                <w:sz w:val="18"/>
                <w:szCs w:val="18"/>
              </w:rPr>
            </w:pPr>
          </w:p>
        </w:tc>
        <w:tc>
          <w:tcPr>
            <w:tcW w:w="1076" w:type="dxa"/>
            <w:vMerge w:val="continue"/>
            <w:vAlign w:val="center"/>
          </w:tcPr>
          <w:p w14:paraId="035FE315">
            <w:pPr>
              <w:widowControl/>
              <w:adjustRightInd/>
              <w:snapToGrid/>
              <w:spacing w:line="240" w:lineRule="auto"/>
              <w:jc w:val="left"/>
              <w:rPr>
                <w:b/>
                <w:bCs/>
                <w:color w:val="000000"/>
                <w:kern w:val="0"/>
                <w:sz w:val="18"/>
                <w:szCs w:val="18"/>
              </w:rPr>
            </w:pPr>
          </w:p>
        </w:tc>
        <w:tc>
          <w:tcPr>
            <w:tcW w:w="923" w:type="dxa"/>
            <w:vAlign w:val="center"/>
          </w:tcPr>
          <w:p w14:paraId="10974338">
            <w:pPr>
              <w:autoSpaceDE w:val="0"/>
              <w:autoSpaceDN w:val="0"/>
              <w:snapToGrid/>
              <w:spacing w:line="240" w:lineRule="auto"/>
              <w:jc w:val="center"/>
              <w:rPr>
                <w:b/>
                <w:bCs/>
                <w:color w:val="000000"/>
                <w:kern w:val="0"/>
                <w:sz w:val="18"/>
                <w:szCs w:val="18"/>
              </w:rPr>
            </w:pPr>
            <w:r>
              <w:rPr>
                <w:b/>
                <w:bCs/>
                <w:color w:val="000000"/>
                <w:kern w:val="0"/>
                <w:sz w:val="18"/>
                <w:szCs w:val="18"/>
              </w:rPr>
              <w:t>2</w:t>
            </w:r>
            <w:r>
              <w:rPr>
                <w:rFonts w:ascii="宋体" w:hAnsi="宋体"/>
                <w:b/>
                <w:bCs/>
                <w:color w:val="000000"/>
                <w:kern w:val="0"/>
                <w:sz w:val="18"/>
                <w:szCs w:val="18"/>
              </w:rPr>
              <w:t>类</w:t>
            </w:r>
          </w:p>
        </w:tc>
        <w:tc>
          <w:tcPr>
            <w:tcW w:w="1077" w:type="dxa"/>
            <w:vAlign w:val="center"/>
          </w:tcPr>
          <w:p w14:paraId="15FA83BA">
            <w:pPr>
              <w:autoSpaceDE w:val="0"/>
              <w:autoSpaceDN w:val="0"/>
              <w:snapToGrid/>
              <w:spacing w:line="240" w:lineRule="auto"/>
              <w:jc w:val="center"/>
              <w:rPr>
                <w:b/>
                <w:bCs/>
                <w:color w:val="000000"/>
                <w:kern w:val="0"/>
                <w:sz w:val="18"/>
                <w:szCs w:val="18"/>
              </w:rPr>
            </w:pPr>
            <w:r>
              <w:rPr>
                <w:b/>
                <w:bCs/>
                <w:color w:val="000000"/>
                <w:kern w:val="0"/>
                <w:sz w:val="18"/>
                <w:szCs w:val="18"/>
              </w:rPr>
              <w:t>4a</w:t>
            </w:r>
            <w:r>
              <w:rPr>
                <w:rFonts w:ascii="宋体" w:hAnsi="宋体"/>
                <w:b/>
                <w:bCs/>
                <w:color w:val="000000"/>
                <w:kern w:val="0"/>
                <w:sz w:val="18"/>
                <w:szCs w:val="18"/>
              </w:rPr>
              <w:t>类</w:t>
            </w:r>
          </w:p>
        </w:tc>
        <w:tc>
          <w:tcPr>
            <w:tcW w:w="1769" w:type="dxa"/>
            <w:vMerge w:val="continue"/>
            <w:vAlign w:val="center"/>
          </w:tcPr>
          <w:p w14:paraId="469C3BE1">
            <w:pPr>
              <w:widowControl/>
              <w:adjustRightInd/>
              <w:snapToGrid/>
              <w:spacing w:line="240" w:lineRule="auto"/>
              <w:jc w:val="left"/>
              <w:rPr>
                <w:color w:val="000000"/>
                <w:kern w:val="0"/>
                <w:sz w:val="18"/>
                <w:szCs w:val="18"/>
              </w:rPr>
            </w:pPr>
          </w:p>
        </w:tc>
      </w:tr>
      <w:tr w14:paraId="779A66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2" w:type="dxa"/>
            <w:vAlign w:val="center"/>
          </w:tcPr>
          <w:p w14:paraId="31E6DE46">
            <w:pPr>
              <w:widowControl/>
              <w:adjustRightInd/>
              <w:spacing w:line="240" w:lineRule="auto"/>
              <w:jc w:val="center"/>
              <w:rPr>
                <w:kern w:val="0"/>
                <w:sz w:val="18"/>
                <w:szCs w:val="18"/>
              </w:rPr>
            </w:pPr>
            <w:r>
              <w:rPr>
                <w:kern w:val="0"/>
                <w:sz w:val="18"/>
                <w:szCs w:val="18"/>
              </w:rPr>
              <w:t>1</w:t>
            </w:r>
          </w:p>
        </w:tc>
        <w:tc>
          <w:tcPr>
            <w:tcW w:w="616" w:type="dxa"/>
            <w:vMerge w:val="restart"/>
            <w:vAlign w:val="center"/>
          </w:tcPr>
          <w:p w14:paraId="2BC89030">
            <w:pPr>
              <w:widowControl/>
              <w:adjustRightInd/>
              <w:spacing w:line="240" w:lineRule="auto"/>
              <w:jc w:val="center"/>
              <w:rPr>
                <w:kern w:val="0"/>
                <w:sz w:val="18"/>
                <w:szCs w:val="18"/>
              </w:rPr>
            </w:pPr>
            <w:r>
              <w:rPr>
                <w:rFonts w:hint="eastAsia"/>
                <w:kern w:val="0"/>
                <w:sz w:val="18"/>
                <w:szCs w:val="18"/>
              </w:rPr>
              <w:t>河庄街道</w:t>
            </w:r>
          </w:p>
        </w:tc>
        <w:tc>
          <w:tcPr>
            <w:tcW w:w="1539" w:type="dxa"/>
            <w:vAlign w:val="center"/>
          </w:tcPr>
          <w:p w14:paraId="48504FBD">
            <w:pPr>
              <w:widowControl/>
              <w:adjustRightInd/>
              <w:spacing w:line="240" w:lineRule="auto"/>
              <w:jc w:val="center"/>
              <w:rPr>
                <w:kern w:val="0"/>
                <w:sz w:val="18"/>
                <w:szCs w:val="18"/>
              </w:rPr>
            </w:pPr>
            <w:r>
              <w:rPr>
                <w:rFonts w:ascii="宋体" w:hAnsi="宋体"/>
                <w:kern w:val="0"/>
                <w:sz w:val="18"/>
                <w:szCs w:val="18"/>
              </w:rPr>
              <w:t>规划住宅用地</w:t>
            </w:r>
            <w:r>
              <w:rPr>
                <w:kern w:val="0"/>
                <w:sz w:val="18"/>
                <w:szCs w:val="18"/>
              </w:rPr>
              <w:t>1</w:t>
            </w:r>
          </w:p>
        </w:tc>
        <w:tc>
          <w:tcPr>
            <w:tcW w:w="1744" w:type="dxa"/>
            <w:vAlign w:val="center"/>
          </w:tcPr>
          <w:p w14:paraId="4C0FE3E2">
            <w:pPr>
              <w:widowControl/>
              <w:adjustRightInd/>
              <w:spacing w:line="240" w:lineRule="auto"/>
              <w:jc w:val="center"/>
              <w:rPr>
                <w:bCs/>
                <w:spacing w:val="-20"/>
                <w:kern w:val="28"/>
                <w:sz w:val="18"/>
                <w:szCs w:val="18"/>
              </w:rPr>
            </w:pPr>
            <w:r>
              <w:rPr>
                <w:rFonts w:hint="eastAsia"/>
                <w:bCs/>
                <w:spacing w:val="-20"/>
                <w:kern w:val="28"/>
                <w:sz w:val="18"/>
                <w:szCs w:val="18"/>
              </w:rPr>
              <w:t>江东大道-—向民路</w:t>
            </w:r>
          </w:p>
        </w:tc>
        <w:tc>
          <w:tcPr>
            <w:tcW w:w="993" w:type="dxa"/>
            <w:vAlign w:val="center"/>
          </w:tcPr>
          <w:p w14:paraId="39E24B0B">
            <w:pPr>
              <w:widowControl/>
              <w:adjustRightInd/>
              <w:spacing w:line="240" w:lineRule="auto"/>
              <w:jc w:val="center"/>
              <w:rPr>
                <w:kern w:val="0"/>
                <w:sz w:val="18"/>
                <w:szCs w:val="18"/>
              </w:rPr>
            </w:pPr>
            <w:r>
              <w:rPr>
                <w:kern w:val="0"/>
                <w:sz w:val="18"/>
                <w:szCs w:val="18"/>
              </w:rPr>
              <w:t>地面路</w:t>
            </w:r>
          </w:p>
        </w:tc>
        <w:tc>
          <w:tcPr>
            <w:tcW w:w="992" w:type="dxa"/>
            <w:vAlign w:val="center"/>
          </w:tcPr>
          <w:p w14:paraId="3965B804">
            <w:pPr>
              <w:widowControl/>
              <w:adjustRightInd/>
              <w:spacing w:line="240" w:lineRule="auto"/>
              <w:jc w:val="center"/>
              <w:rPr>
                <w:kern w:val="0"/>
                <w:sz w:val="18"/>
                <w:szCs w:val="18"/>
              </w:rPr>
            </w:pPr>
            <w:r>
              <w:rPr>
                <w:kern w:val="0"/>
                <w:sz w:val="18"/>
                <w:szCs w:val="18"/>
              </w:rPr>
              <w:t>NW</w:t>
            </w:r>
          </w:p>
        </w:tc>
        <w:tc>
          <w:tcPr>
            <w:tcW w:w="1500" w:type="dxa"/>
            <w:vMerge w:val="restart"/>
            <w:vAlign w:val="center"/>
          </w:tcPr>
          <w:p w14:paraId="0E515530">
            <w:pPr>
              <w:widowControl/>
              <w:adjustRightInd/>
              <w:spacing w:line="240" w:lineRule="auto"/>
              <w:jc w:val="center"/>
              <w:rPr>
                <w:kern w:val="0"/>
                <w:sz w:val="18"/>
                <w:szCs w:val="18"/>
              </w:rPr>
            </w:pPr>
            <w:r>
              <w:rPr>
                <w:kern w:val="0"/>
                <w:sz w:val="18"/>
                <w:szCs w:val="18"/>
              </w:rPr>
              <w:t>1.2m、16.2m、31.2m、46.2m、61.2m</w:t>
            </w:r>
          </w:p>
        </w:tc>
        <w:tc>
          <w:tcPr>
            <w:tcW w:w="1077" w:type="dxa"/>
            <w:vAlign w:val="center"/>
          </w:tcPr>
          <w:p w14:paraId="613DBCD8">
            <w:pPr>
              <w:widowControl/>
              <w:adjustRightInd/>
              <w:spacing w:line="240" w:lineRule="auto"/>
              <w:jc w:val="center"/>
              <w:rPr>
                <w:rFonts w:hint="eastAsia" w:ascii="宋体" w:hAnsi="宋体"/>
                <w:kern w:val="0"/>
                <w:sz w:val="18"/>
                <w:szCs w:val="18"/>
              </w:rPr>
            </w:pPr>
            <w:r>
              <w:rPr>
                <w:rFonts w:ascii="宋体" w:hAnsi="宋体"/>
                <w:kern w:val="0"/>
                <w:sz w:val="18"/>
                <w:szCs w:val="18"/>
              </w:rPr>
              <w:t>紧邻</w:t>
            </w:r>
          </w:p>
        </w:tc>
        <w:tc>
          <w:tcPr>
            <w:tcW w:w="1076" w:type="dxa"/>
            <w:vMerge w:val="restart"/>
            <w:vAlign w:val="center"/>
          </w:tcPr>
          <w:p w14:paraId="1882A355">
            <w:pPr>
              <w:widowControl/>
              <w:adjustRightInd/>
              <w:spacing w:line="240" w:lineRule="auto"/>
              <w:jc w:val="center"/>
              <w:rPr>
                <w:kern w:val="0"/>
                <w:sz w:val="18"/>
                <w:szCs w:val="18"/>
              </w:rPr>
            </w:pPr>
            <w:r>
              <w:rPr>
                <w:kern w:val="0"/>
                <w:sz w:val="18"/>
                <w:szCs w:val="18"/>
              </w:rPr>
              <w:t>12</w:t>
            </w:r>
          </w:p>
        </w:tc>
        <w:tc>
          <w:tcPr>
            <w:tcW w:w="923" w:type="dxa"/>
            <w:vAlign w:val="center"/>
          </w:tcPr>
          <w:p w14:paraId="66C0A6D4">
            <w:pPr>
              <w:autoSpaceDE w:val="0"/>
              <w:autoSpaceDN w:val="0"/>
              <w:snapToGrid/>
              <w:spacing w:line="240" w:lineRule="auto"/>
              <w:jc w:val="center"/>
              <w:rPr>
                <w:color w:val="000000"/>
                <w:kern w:val="0"/>
                <w:sz w:val="18"/>
                <w:szCs w:val="18"/>
              </w:rPr>
            </w:pPr>
            <w:r>
              <w:rPr>
                <w:color w:val="000000"/>
                <w:kern w:val="0"/>
                <w:sz w:val="18"/>
                <w:szCs w:val="18"/>
              </w:rPr>
              <w:t>/</w:t>
            </w:r>
          </w:p>
        </w:tc>
        <w:tc>
          <w:tcPr>
            <w:tcW w:w="1077" w:type="dxa"/>
            <w:vAlign w:val="center"/>
          </w:tcPr>
          <w:p w14:paraId="07CD00A4">
            <w:pPr>
              <w:autoSpaceDE w:val="0"/>
              <w:autoSpaceDN w:val="0"/>
              <w:snapToGrid/>
              <w:spacing w:line="240" w:lineRule="auto"/>
              <w:jc w:val="center"/>
              <w:rPr>
                <w:color w:val="000000"/>
                <w:kern w:val="0"/>
                <w:sz w:val="18"/>
                <w:szCs w:val="18"/>
              </w:rPr>
            </w:pPr>
            <w:r>
              <w:rPr>
                <w:color w:val="000000"/>
                <w:kern w:val="0"/>
                <w:sz w:val="18"/>
                <w:szCs w:val="18"/>
              </w:rPr>
              <w:t>/</w:t>
            </w:r>
          </w:p>
        </w:tc>
        <w:tc>
          <w:tcPr>
            <w:tcW w:w="1769" w:type="dxa"/>
            <w:vMerge w:val="restart"/>
            <w:vAlign w:val="center"/>
          </w:tcPr>
          <w:p w14:paraId="5E9E3D16">
            <w:pPr>
              <w:widowControl/>
              <w:adjustRightInd/>
              <w:spacing w:line="240" w:lineRule="auto"/>
              <w:jc w:val="center"/>
              <w:rPr>
                <w:kern w:val="0"/>
                <w:sz w:val="18"/>
                <w:szCs w:val="18"/>
              </w:rPr>
            </w:pPr>
            <w:r>
              <w:rPr>
                <w:rFonts w:hint="eastAsia" w:ascii="宋体" w:hAnsi="宋体"/>
                <w:kern w:val="0"/>
                <w:sz w:val="18"/>
                <w:szCs w:val="18"/>
              </w:rPr>
              <w:t>规划保护目标</w:t>
            </w:r>
          </w:p>
        </w:tc>
      </w:tr>
      <w:tr w14:paraId="6A6C9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2" w:type="dxa"/>
            <w:vAlign w:val="center"/>
          </w:tcPr>
          <w:p w14:paraId="796CA968">
            <w:pPr>
              <w:widowControl/>
              <w:adjustRightInd/>
              <w:spacing w:line="240" w:lineRule="auto"/>
              <w:jc w:val="center"/>
              <w:rPr>
                <w:kern w:val="0"/>
                <w:sz w:val="18"/>
                <w:szCs w:val="18"/>
              </w:rPr>
            </w:pPr>
            <w:r>
              <w:rPr>
                <w:kern w:val="0"/>
                <w:sz w:val="18"/>
                <w:szCs w:val="18"/>
              </w:rPr>
              <w:t>2</w:t>
            </w:r>
          </w:p>
        </w:tc>
        <w:tc>
          <w:tcPr>
            <w:tcW w:w="616" w:type="dxa"/>
            <w:vMerge w:val="continue"/>
            <w:vAlign w:val="center"/>
          </w:tcPr>
          <w:p w14:paraId="58ABE3E8">
            <w:pPr>
              <w:widowControl/>
              <w:adjustRightInd/>
              <w:snapToGrid/>
              <w:spacing w:line="240" w:lineRule="auto"/>
              <w:jc w:val="left"/>
              <w:rPr>
                <w:kern w:val="0"/>
                <w:sz w:val="18"/>
                <w:szCs w:val="18"/>
              </w:rPr>
            </w:pPr>
          </w:p>
        </w:tc>
        <w:tc>
          <w:tcPr>
            <w:tcW w:w="1539" w:type="dxa"/>
            <w:vAlign w:val="center"/>
          </w:tcPr>
          <w:p w14:paraId="55530F20">
            <w:pPr>
              <w:widowControl/>
              <w:adjustRightInd/>
              <w:spacing w:line="240" w:lineRule="auto"/>
              <w:jc w:val="center"/>
              <w:rPr>
                <w:rFonts w:hint="eastAsia" w:ascii="宋体" w:hAnsi="宋体"/>
                <w:kern w:val="0"/>
                <w:sz w:val="18"/>
                <w:szCs w:val="18"/>
              </w:rPr>
            </w:pPr>
            <w:r>
              <w:rPr>
                <w:rFonts w:ascii="宋体" w:hAnsi="宋体"/>
                <w:kern w:val="0"/>
                <w:sz w:val="18"/>
                <w:szCs w:val="18"/>
              </w:rPr>
              <w:t>规划住宅用地</w:t>
            </w:r>
            <w:r>
              <w:rPr>
                <w:kern w:val="0"/>
                <w:sz w:val="18"/>
                <w:szCs w:val="18"/>
              </w:rPr>
              <w:t>2</w:t>
            </w:r>
          </w:p>
        </w:tc>
        <w:tc>
          <w:tcPr>
            <w:tcW w:w="1744" w:type="dxa"/>
            <w:vAlign w:val="center"/>
          </w:tcPr>
          <w:p w14:paraId="6E782247">
            <w:pPr>
              <w:widowControl/>
              <w:adjustRightInd/>
              <w:spacing w:line="240" w:lineRule="auto"/>
              <w:jc w:val="center"/>
              <w:rPr>
                <w:bCs/>
                <w:spacing w:val="-20"/>
                <w:kern w:val="28"/>
                <w:sz w:val="18"/>
                <w:szCs w:val="18"/>
              </w:rPr>
            </w:pPr>
            <w:r>
              <w:rPr>
                <w:rFonts w:hint="eastAsia"/>
                <w:bCs/>
                <w:spacing w:val="-20"/>
                <w:kern w:val="28"/>
                <w:sz w:val="18"/>
                <w:szCs w:val="18"/>
              </w:rPr>
              <w:t>向 民 路—向 河 路</w:t>
            </w:r>
          </w:p>
        </w:tc>
        <w:tc>
          <w:tcPr>
            <w:tcW w:w="993" w:type="dxa"/>
            <w:vAlign w:val="center"/>
          </w:tcPr>
          <w:p w14:paraId="3E00CD0F">
            <w:pPr>
              <w:widowControl/>
              <w:adjustRightInd/>
              <w:spacing w:line="240" w:lineRule="auto"/>
              <w:jc w:val="center"/>
              <w:rPr>
                <w:kern w:val="0"/>
                <w:sz w:val="18"/>
                <w:szCs w:val="18"/>
              </w:rPr>
            </w:pPr>
            <w:r>
              <w:rPr>
                <w:kern w:val="0"/>
                <w:sz w:val="18"/>
                <w:szCs w:val="18"/>
              </w:rPr>
              <w:t>地面路</w:t>
            </w:r>
          </w:p>
        </w:tc>
        <w:tc>
          <w:tcPr>
            <w:tcW w:w="992" w:type="dxa"/>
            <w:vAlign w:val="center"/>
          </w:tcPr>
          <w:p w14:paraId="3FC7985C">
            <w:pPr>
              <w:widowControl/>
              <w:adjustRightInd/>
              <w:spacing w:line="240" w:lineRule="auto"/>
              <w:jc w:val="center"/>
              <w:rPr>
                <w:kern w:val="0"/>
                <w:sz w:val="18"/>
                <w:szCs w:val="18"/>
              </w:rPr>
            </w:pPr>
            <w:r>
              <w:rPr>
                <w:kern w:val="0"/>
                <w:sz w:val="18"/>
                <w:szCs w:val="18"/>
              </w:rPr>
              <w:t>NW</w:t>
            </w:r>
          </w:p>
        </w:tc>
        <w:tc>
          <w:tcPr>
            <w:tcW w:w="1500" w:type="dxa"/>
            <w:vMerge w:val="continue"/>
            <w:vAlign w:val="center"/>
          </w:tcPr>
          <w:p w14:paraId="672CC814">
            <w:pPr>
              <w:widowControl/>
              <w:adjustRightInd/>
              <w:spacing w:line="240" w:lineRule="auto"/>
              <w:jc w:val="center"/>
              <w:rPr>
                <w:rFonts w:hint="eastAsia" w:ascii="宋体" w:hAnsi="宋体"/>
                <w:kern w:val="0"/>
                <w:sz w:val="18"/>
                <w:szCs w:val="18"/>
              </w:rPr>
            </w:pPr>
          </w:p>
        </w:tc>
        <w:tc>
          <w:tcPr>
            <w:tcW w:w="1077" w:type="dxa"/>
            <w:vAlign w:val="center"/>
          </w:tcPr>
          <w:p w14:paraId="3C048C1F">
            <w:pPr>
              <w:widowControl/>
              <w:adjustRightInd/>
              <w:spacing w:line="240" w:lineRule="auto"/>
              <w:jc w:val="center"/>
              <w:rPr>
                <w:rFonts w:hint="eastAsia" w:ascii="宋体" w:hAnsi="宋体"/>
                <w:kern w:val="0"/>
                <w:sz w:val="18"/>
                <w:szCs w:val="18"/>
              </w:rPr>
            </w:pPr>
            <w:r>
              <w:rPr>
                <w:rFonts w:ascii="宋体" w:hAnsi="宋体"/>
                <w:kern w:val="0"/>
                <w:sz w:val="18"/>
                <w:szCs w:val="18"/>
              </w:rPr>
              <w:t>紧邻</w:t>
            </w:r>
          </w:p>
        </w:tc>
        <w:tc>
          <w:tcPr>
            <w:tcW w:w="1076" w:type="dxa"/>
            <w:vMerge w:val="continue"/>
            <w:vAlign w:val="center"/>
          </w:tcPr>
          <w:p w14:paraId="15804779">
            <w:pPr>
              <w:widowControl/>
              <w:adjustRightInd/>
              <w:spacing w:line="240" w:lineRule="auto"/>
              <w:jc w:val="center"/>
              <w:rPr>
                <w:rFonts w:hint="eastAsia" w:ascii="宋体" w:hAnsi="宋体"/>
                <w:kern w:val="0"/>
                <w:sz w:val="18"/>
                <w:szCs w:val="18"/>
              </w:rPr>
            </w:pPr>
          </w:p>
        </w:tc>
        <w:tc>
          <w:tcPr>
            <w:tcW w:w="923" w:type="dxa"/>
            <w:vAlign w:val="center"/>
          </w:tcPr>
          <w:p w14:paraId="7542A7FF">
            <w:pPr>
              <w:autoSpaceDE w:val="0"/>
              <w:autoSpaceDN w:val="0"/>
              <w:snapToGrid/>
              <w:spacing w:line="240" w:lineRule="auto"/>
              <w:jc w:val="center"/>
              <w:rPr>
                <w:color w:val="000000"/>
                <w:kern w:val="0"/>
                <w:sz w:val="18"/>
                <w:szCs w:val="18"/>
              </w:rPr>
            </w:pPr>
            <w:r>
              <w:rPr>
                <w:color w:val="000000"/>
                <w:kern w:val="0"/>
                <w:sz w:val="18"/>
                <w:szCs w:val="18"/>
              </w:rPr>
              <w:t>/</w:t>
            </w:r>
          </w:p>
        </w:tc>
        <w:tc>
          <w:tcPr>
            <w:tcW w:w="1077" w:type="dxa"/>
            <w:vAlign w:val="center"/>
          </w:tcPr>
          <w:p w14:paraId="1933E6F0">
            <w:pPr>
              <w:autoSpaceDE w:val="0"/>
              <w:autoSpaceDN w:val="0"/>
              <w:snapToGrid/>
              <w:spacing w:line="240" w:lineRule="auto"/>
              <w:jc w:val="center"/>
              <w:rPr>
                <w:color w:val="000000"/>
                <w:kern w:val="0"/>
                <w:sz w:val="18"/>
                <w:szCs w:val="18"/>
              </w:rPr>
            </w:pPr>
            <w:r>
              <w:rPr>
                <w:color w:val="000000"/>
                <w:kern w:val="0"/>
                <w:sz w:val="18"/>
                <w:szCs w:val="18"/>
              </w:rPr>
              <w:t>/</w:t>
            </w:r>
          </w:p>
        </w:tc>
        <w:tc>
          <w:tcPr>
            <w:tcW w:w="1769" w:type="dxa"/>
            <w:vMerge w:val="continue"/>
            <w:vAlign w:val="center"/>
          </w:tcPr>
          <w:p w14:paraId="772F3E0E">
            <w:pPr>
              <w:widowControl/>
              <w:adjustRightInd/>
              <w:snapToGrid/>
              <w:spacing w:line="240" w:lineRule="auto"/>
              <w:jc w:val="left"/>
              <w:rPr>
                <w:kern w:val="0"/>
                <w:sz w:val="18"/>
                <w:szCs w:val="18"/>
              </w:rPr>
            </w:pPr>
          </w:p>
        </w:tc>
      </w:tr>
      <w:tr w14:paraId="3DC0CF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2" w:type="dxa"/>
            <w:vAlign w:val="center"/>
          </w:tcPr>
          <w:p w14:paraId="636154A0">
            <w:pPr>
              <w:widowControl/>
              <w:adjustRightInd/>
              <w:spacing w:line="240" w:lineRule="auto"/>
              <w:jc w:val="center"/>
              <w:rPr>
                <w:kern w:val="0"/>
                <w:sz w:val="18"/>
                <w:szCs w:val="18"/>
              </w:rPr>
            </w:pPr>
            <w:r>
              <w:rPr>
                <w:kern w:val="0"/>
                <w:sz w:val="18"/>
                <w:szCs w:val="18"/>
              </w:rPr>
              <w:t>3</w:t>
            </w:r>
          </w:p>
        </w:tc>
        <w:tc>
          <w:tcPr>
            <w:tcW w:w="616" w:type="dxa"/>
            <w:vMerge w:val="continue"/>
            <w:vAlign w:val="center"/>
          </w:tcPr>
          <w:p w14:paraId="27F87543">
            <w:pPr>
              <w:widowControl/>
              <w:adjustRightInd/>
              <w:snapToGrid/>
              <w:spacing w:line="240" w:lineRule="auto"/>
              <w:jc w:val="left"/>
              <w:rPr>
                <w:kern w:val="0"/>
                <w:sz w:val="18"/>
                <w:szCs w:val="18"/>
              </w:rPr>
            </w:pPr>
          </w:p>
        </w:tc>
        <w:tc>
          <w:tcPr>
            <w:tcW w:w="1539" w:type="dxa"/>
            <w:vAlign w:val="center"/>
          </w:tcPr>
          <w:p w14:paraId="01B75DD7">
            <w:pPr>
              <w:widowControl/>
              <w:adjustRightInd/>
              <w:spacing w:line="240" w:lineRule="auto"/>
              <w:jc w:val="center"/>
              <w:rPr>
                <w:rFonts w:hint="eastAsia" w:ascii="宋体" w:hAnsi="宋体"/>
                <w:kern w:val="0"/>
                <w:sz w:val="18"/>
                <w:szCs w:val="18"/>
              </w:rPr>
            </w:pPr>
            <w:r>
              <w:rPr>
                <w:rFonts w:ascii="宋体" w:hAnsi="宋体"/>
                <w:kern w:val="0"/>
                <w:sz w:val="18"/>
                <w:szCs w:val="18"/>
              </w:rPr>
              <w:t>规划住宅用地</w:t>
            </w:r>
            <w:r>
              <w:rPr>
                <w:kern w:val="0"/>
                <w:sz w:val="18"/>
                <w:szCs w:val="18"/>
              </w:rPr>
              <w:t>3</w:t>
            </w:r>
          </w:p>
        </w:tc>
        <w:tc>
          <w:tcPr>
            <w:tcW w:w="1744" w:type="dxa"/>
            <w:vAlign w:val="center"/>
          </w:tcPr>
          <w:p w14:paraId="7297B40E">
            <w:pPr>
              <w:widowControl/>
              <w:adjustRightInd/>
              <w:spacing w:line="240" w:lineRule="auto"/>
              <w:jc w:val="center"/>
              <w:rPr>
                <w:bCs/>
                <w:spacing w:val="-20"/>
                <w:kern w:val="28"/>
                <w:sz w:val="18"/>
                <w:szCs w:val="18"/>
              </w:rPr>
            </w:pPr>
            <w:r>
              <w:rPr>
                <w:rFonts w:hint="eastAsia"/>
                <w:bCs/>
                <w:spacing w:val="-20"/>
                <w:kern w:val="28"/>
                <w:sz w:val="18"/>
                <w:szCs w:val="18"/>
              </w:rPr>
              <w:t>向 民 路—向 河 路</w:t>
            </w:r>
          </w:p>
        </w:tc>
        <w:tc>
          <w:tcPr>
            <w:tcW w:w="993" w:type="dxa"/>
            <w:vAlign w:val="center"/>
          </w:tcPr>
          <w:p w14:paraId="6F8188A1">
            <w:pPr>
              <w:widowControl/>
              <w:adjustRightInd/>
              <w:spacing w:line="240" w:lineRule="auto"/>
              <w:jc w:val="center"/>
              <w:rPr>
                <w:kern w:val="0"/>
                <w:sz w:val="18"/>
                <w:szCs w:val="18"/>
              </w:rPr>
            </w:pPr>
            <w:r>
              <w:rPr>
                <w:kern w:val="0"/>
                <w:sz w:val="18"/>
                <w:szCs w:val="18"/>
              </w:rPr>
              <w:t>地面路</w:t>
            </w:r>
          </w:p>
        </w:tc>
        <w:tc>
          <w:tcPr>
            <w:tcW w:w="992" w:type="dxa"/>
            <w:vAlign w:val="center"/>
          </w:tcPr>
          <w:p w14:paraId="57637163">
            <w:pPr>
              <w:widowControl/>
              <w:adjustRightInd/>
              <w:spacing w:line="240" w:lineRule="auto"/>
              <w:jc w:val="center"/>
              <w:rPr>
                <w:kern w:val="0"/>
                <w:sz w:val="18"/>
                <w:szCs w:val="18"/>
              </w:rPr>
            </w:pPr>
            <w:r>
              <w:rPr>
                <w:rFonts w:hint="eastAsia"/>
                <w:kern w:val="0"/>
                <w:sz w:val="18"/>
                <w:szCs w:val="18"/>
              </w:rPr>
              <w:t>NE</w:t>
            </w:r>
          </w:p>
        </w:tc>
        <w:tc>
          <w:tcPr>
            <w:tcW w:w="1500" w:type="dxa"/>
            <w:vMerge w:val="continue"/>
            <w:vAlign w:val="center"/>
          </w:tcPr>
          <w:p w14:paraId="1D01C832">
            <w:pPr>
              <w:widowControl/>
              <w:adjustRightInd/>
              <w:spacing w:line="240" w:lineRule="auto"/>
              <w:jc w:val="center"/>
              <w:rPr>
                <w:rFonts w:hint="eastAsia" w:ascii="宋体" w:hAnsi="宋体"/>
                <w:kern w:val="0"/>
                <w:sz w:val="18"/>
                <w:szCs w:val="18"/>
              </w:rPr>
            </w:pPr>
          </w:p>
        </w:tc>
        <w:tc>
          <w:tcPr>
            <w:tcW w:w="1077" w:type="dxa"/>
            <w:vAlign w:val="center"/>
          </w:tcPr>
          <w:p w14:paraId="6869E8D9">
            <w:pPr>
              <w:widowControl/>
              <w:adjustRightInd/>
              <w:spacing w:line="240" w:lineRule="auto"/>
              <w:jc w:val="center"/>
              <w:rPr>
                <w:kern w:val="0"/>
                <w:sz w:val="18"/>
                <w:szCs w:val="18"/>
              </w:rPr>
            </w:pPr>
            <w:r>
              <w:rPr>
                <w:kern w:val="0"/>
                <w:sz w:val="18"/>
                <w:szCs w:val="18"/>
              </w:rPr>
              <w:t>紧邻</w:t>
            </w:r>
          </w:p>
        </w:tc>
        <w:tc>
          <w:tcPr>
            <w:tcW w:w="1076" w:type="dxa"/>
            <w:vMerge w:val="continue"/>
            <w:vAlign w:val="center"/>
          </w:tcPr>
          <w:p w14:paraId="4216BFFF">
            <w:pPr>
              <w:widowControl/>
              <w:adjustRightInd/>
              <w:spacing w:line="240" w:lineRule="auto"/>
              <w:jc w:val="center"/>
              <w:rPr>
                <w:kern w:val="0"/>
                <w:sz w:val="18"/>
                <w:szCs w:val="18"/>
              </w:rPr>
            </w:pPr>
          </w:p>
        </w:tc>
        <w:tc>
          <w:tcPr>
            <w:tcW w:w="923" w:type="dxa"/>
            <w:vAlign w:val="center"/>
          </w:tcPr>
          <w:p w14:paraId="7DD07A71">
            <w:pPr>
              <w:autoSpaceDE w:val="0"/>
              <w:autoSpaceDN w:val="0"/>
              <w:snapToGrid/>
              <w:spacing w:line="240" w:lineRule="auto"/>
              <w:jc w:val="center"/>
              <w:rPr>
                <w:color w:val="000000"/>
                <w:kern w:val="0"/>
                <w:sz w:val="18"/>
                <w:szCs w:val="18"/>
              </w:rPr>
            </w:pPr>
            <w:r>
              <w:rPr>
                <w:color w:val="000000"/>
                <w:kern w:val="0"/>
                <w:sz w:val="18"/>
                <w:szCs w:val="18"/>
              </w:rPr>
              <w:t>/</w:t>
            </w:r>
          </w:p>
        </w:tc>
        <w:tc>
          <w:tcPr>
            <w:tcW w:w="1077" w:type="dxa"/>
            <w:vAlign w:val="center"/>
          </w:tcPr>
          <w:p w14:paraId="41F634F7">
            <w:pPr>
              <w:autoSpaceDE w:val="0"/>
              <w:autoSpaceDN w:val="0"/>
              <w:snapToGrid/>
              <w:spacing w:line="240" w:lineRule="auto"/>
              <w:jc w:val="center"/>
              <w:rPr>
                <w:color w:val="000000"/>
                <w:kern w:val="0"/>
                <w:sz w:val="18"/>
                <w:szCs w:val="18"/>
              </w:rPr>
            </w:pPr>
            <w:r>
              <w:rPr>
                <w:color w:val="000000"/>
                <w:kern w:val="0"/>
                <w:sz w:val="18"/>
                <w:szCs w:val="18"/>
              </w:rPr>
              <w:t>/</w:t>
            </w:r>
          </w:p>
        </w:tc>
        <w:tc>
          <w:tcPr>
            <w:tcW w:w="1769" w:type="dxa"/>
            <w:vMerge w:val="continue"/>
            <w:vAlign w:val="center"/>
          </w:tcPr>
          <w:p w14:paraId="1D5AC192">
            <w:pPr>
              <w:widowControl/>
              <w:adjustRightInd/>
              <w:snapToGrid/>
              <w:spacing w:line="240" w:lineRule="auto"/>
              <w:jc w:val="left"/>
              <w:rPr>
                <w:kern w:val="0"/>
                <w:sz w:val="18"/>
                <w:szCs w:val="18"/>
              </w:rPr>
            </w:pPr>
          </w:p>
        </w:tc>
      </w:tr>
      <w:tr w14:paraId="2FFF87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2" w:type="dxa"/>
            <w:vAlign w:val="center"/>
          </w:tcPr>
          <w:p w14:paraId="28ED5282">
            <w:pPr>
              <w:widowControl/>
              <w:adjustRightInd/>
              <w:spacing w:line="240" w:lineRule="auto"/>
              <w:jc w:val="center"/>
              <w:rPr>
                <w:kern w:val="0"/>
                <w:sz w:val="18"/>
                <w:szCs w:val="18"/>
              </w:rPr>
            </w:pPr>
            <w:r>
              <w:rPr>
                <w:kern w:val="0"/>
                <w:sz w:val="18"/>
                <w:szCs w:val="18"/>
              </w:rPr>
              <w:t>4</w:t>
            </w:r>
          </w:p>
        </w:tc>
        <w:tc>
          <w:tcPr>
            <w:tcW w:w="616" w:type="dxa"/>
            <w:vMerge w:val="continue"/>
            <w:vAlign w:val="center"/>
          </w:tcPr>
          <w:p w14:paraId="33831374">
            <w:pPr>
              <w:widowControl/>
              <w:adjustRightInd/>
              <w:snapToGrid/>
              <w:spacing w:line="240" w:lineRule="auto"/>
              <w:jc w:val="left"/>
              <w:rPr>
                <w:kern w:val="0"/>
                <w:sz w:val="18"/>
                <w:szCs w:val="18"/>
              </w:rPr>
            </w:pPr>
          </w:p>
        </w:tc>
        <w:tc>
          <w:tcPr>
            <w:tcW w:w="1539" w:type="dxa"/>
            <w:vAlign w:val="center"/>
          </w:tcPr>
          <w:p w14:paraId="468E14E5">
            <w:pPr>
              <w:widowControl/>
              <w:adjustRightInd/>
              <w:spacing w:line="240" w:lineRule="auto"/>
              <w:jc w:val="center"/>
              <w:rPr>
                <w:kern w:val="0"/>
                <w:sz w:val="18"/>
                <w:szCs w:val="18"/>
              </w:rPr>
            </w:pPr>
            <w:r>
              <w:rPr>
                <w:rFonts w:ascii="宋体" w:hAnsi="宋体"/>
                <w:kern w:val="0"/>
                <w:sz w:val="18"/>
                <w:szCs w:val="18"/>
              </w:rPr>
              <w:t>规划住宅用地</w:t>
            </w:r>
            <w:r>
              <w:rPr>
                <w:kern w:val="0"/>
                <w:sz w:val="18"/>
                <w:szCs w:val="18"/>
              </w:rPr>
              <w:t>4</w:t>
            </w:r>
          </w:p>
        </w:tc>
        <w:tc>
          <w:tcPr>
            <w:tcW w:w="1744" w:type="dxa"/>
            <w:vAlign w:val="center"/>
          </w:tcPr>
          <w:p w14:paraId="53C4612B">
            <w:pPr>
              <w:widowControl/>
              <w:adjustRightInd/>
              <w:spacing w:line="240" w:lineRule="auto"/>
              <w:jc w:val="center"/>
              <w:rPr>
                <w:rFonts w:hint="eastAsia" w:ascii="宋体" w:hAnsi="宋体"/>
                <w:kern w:val="0"/>
                <w:sz w:val="18"/>
                <w:szCs w:val="18"/>
              </w:rPr>
            </w:pPr>
            <w:r>
              <w:rPr>
                <w:rFonts w:hint="eastAsia"/>
                <w:bCs/>
                <w:spacing w:val="-20"/>
                <w:kern w:val="28"/>
                <w:sz w:val="18"/>
                <w:szCs w:val="18"/>
              </w:rPr>
              <w:t>向 河 路—向 景 路</w:t>
            </w:r>
          </w:p>
        </w:tc>
        <w:tc>
          <w:tcPr>
            <w:tcW w:w="993" w:type="dxa"/>
            <w:vAlign w:val="center"/>
          </w:tcPr>
          <w:p w14:paraId="6F1E1C61">
            <w:pPr>
              <w:widowControl/>
              <w:adjustRightInd/>
              <w:spacing w:line="240" w:lineRule="auto"/>
              <w:jc w:val="center"/>
              <w:rPr>
                <w:rFonts w:hint="eastAsia" w:ascii="宋体" w:hAnsi="宋体"/>
                <w:kern w:val="0"/>
                <w:sz w:val="18"/>
                <w:szCs w:val="18"/>
              </w:rPr>
            </w:pPr>
            <w:r>
              <w:rPr>
                <w:rFonts w:ascii="宋体" w:hAnsi="宋体"/>
                <w:kern w:val="0"/>
                <w:sz w:val="18"/>
                <w:szCs w:val="18"/>
              </w:rPr>
              <w:t>地面路</w:t>
            </w:r>
          </w:p>
        </w:tc>
        <w:tc>
          <w:tcPr>
            <w:tcW w:w="992" w:type="dxa"/>
            <w:vAlign w:val="center"/>
          </w:tcPr>
          <w:p w14:paraId="7133B13E">
            <w:pPr>
              <w:widowControl/>
              <w:adjustRightInd/>
              <w:spacing w:line="240" w:lineRule="auto"/>
              <w:jc w:val="center"/>
              <w:rPr>
                <w:kern w:val="0"/>
                <w:sz w:val="18"/>
                <w:szCs w:val="18"/>
              </w:rPr>
            </w:pPr>
            <w:r>
              <w:rPr>
                <w:rFonts w:hint="eastAsia"/>
                <w:kern w:val="0"/>
                <w:sz w:val="18"/>
                <w:szCs w:val="18"/>
              </w:rPr>
              <w:t>W</w:t>
            </w:r>
          </w:p>
        </w:tc>
        <w:tc>
          <w:tcPr>
            <w:tcW w:w="1500" w:type="dxa"/>
            <w:vMerge w:val="continue"/>
            <w:vAlign w:val="center"/>
          </w:tcPr>
          <w:p w14:paraId="6723890A">
            <w:pPr>
              <w:widowControl/>
              <w:adjustRightInd/>
              <w:spacing w:line="240" w:lineRule="auto"/>
              <w:jc w:val="center"/>
              <w:rPr>
                <w:rFonts w:hint="eastAsia" w:ascii="宋体" w:hAnsi="宋体"/>
                <w:kern w:val="0"/>
                <w:sz w:val="18"/>
                <w:szCs w:val="18"/>
              </w:rPr>
            </w:pPr>
          </w:p>
        </w:tc>
        <w:tc>
          <w:tcPr>
            <w:tcW w:w="1077" w:type="dxa"/>
            <w:vAlign w:val="center"/>
          </w:tcPr>
          <w:p w14:paraId="594D25AA">
            <w:pPr>
              <w:widowControl/>
              <w:adjustRightInd/>
              <w:spacing w:line="240" w:lineRule="auto"/>
              <w:jc w:val="center"/>
              <w:rPr>
                <w:rFonts w:hint="eastAsia" w:ascii="宋体" w:hAnsi="宋体"/>
                <w:kern w:val="0"/>
                <w:sz w:val="18"/>
                <w:szCs w:val="18"/>
              </w:rPr>
            </w:pPr>
            <w:r>
              <w:rPr>
                <w:rFonts w:ascii="宋体" w:hAnsi="宋体"/>
                <w:kern w:val="0"/>
                <w:sz w:val="18"/>
                <w:szCs w:val="18"/>
              </w:rPr>
              <w:t>紧邻</w:t>
            </w:r>
          </w:p>
        </w:tc>
        <w:tc>
          <w:tcPr>
            <w:tcW w:w="1076" w:type="dxa"/>
            <w:vMerge w:val="continue"/>
            <w:vAlign w:val="center"/>
          </w:tcPr>
          <w:p w14:paraId="7FAACD36">
            <w:pPr>
              <w:widowControl/>
              <w:adjustRightInd/>
              <w:spacing w:line="240" w:lineRule="auto"/>
              <w:jc w:val="center"/>
              <w:rPr>
                <w:rFonts w:hint="eastAsia" w:ascii="宋体" w:hAnsi="宋体"/>
                <w:kern w:val="0"/>
                <w:sz w:val="18"/>
                <w:szCs w:val="18"/>
              </w:rPr>
            </w:pPr>
          </w:p>
        </w:tc>
        <w:tc>
          <w:tcPr>
            <w:tcW w:w="923" w:type="dxa"/>
            <w:vAlign w:val="center"/>
          </w:tcPr>
          <w:p w14:paraId="568F8461">
            <w:pPr>
              <w:autoSpaceDE w:val="0"/>
              <w:autoSpaceDN w:val="0"/>
              <w:snapToGrid/>
              <w:spacing w:line="240" w:lineRule="auto"/>
              <w:jc w:val="center"/>
              <w:rPr>
                <w:color w:val="000000"/>
                <w:kern w:val="0"/>
                <w:sz w:val="18"/>
                <w:szCs w:val="18"/>
              </w:rPr>
            </w:pPr>
            <w:r>
              <w:rPr>
                <w:color w:val="000000"/>
                <w:kern w:val="0"/>
                <w:sz w:val="18"/>
                <w:szCs w:val="18"/>
              </w:rPr>
              <w:t>/</w:t>
            </w:r>
          </w:p>
        </w:tc>
        <w:tc>
          <w:tcPr>
            <w:tcW w:w="1077" w:type="dxa"/>
            <w:vAlign w:val="center"/>
          </w:tcPr>
          <w:p w14:paraId="5AD66F81">
            <w:pPr>
              <w:autoSpaceDE w:val="0"/>
              <w:autoSpaceDN w:val="0"/>
              <w:snapToGrid/>
              <w:spacing w:line="240" w:lineRule="auto"/>
              <w:jc w:val="center"/>
              <w:rPr>
                <w:color w:val="000000"/>
                <w:kern w:val="0"/>
                <w:sz w:val="18"/>
                <w:szCs w:val="18"/>
              </w:rPr>
            </w:pPr>
            <w:r>
              <w:rPr>
                <w:rFonts w:hint="eastAsia"/>
                <w:color w:val="000000"/>
                <w:kern w:val="0"/>
                <w:sz w:val="18"/>
                <w:szCs w:val="18"/>
              </w:rPr>
              <w:t>/</w:t>
            </w:r>
          </w:p>
        </w:tc>
        <w:tc>
          <w:tcPr>
            <w:tcW w:w="1769" w:type="dxa"/>
            <w:vMerge w:val="continue"/>
            <w:vAlign w:val="center"/>
          </w:tcPr>
          <w:p w14:paraId="6F8081C6">
            <w:pPr>
              <w:widowControl/>
              <w:adjustRightInd/>
              <w:snapToGrid/>
              <w:spacing w:line="240" w:lineRule="auto"/>
              <w:jc w:val="left"/>
              <w:rPr>
                <w:kern w:val="0"/>
                <w:sz w:val="18"/>
                <w:szCs w:val="18"/>
              </w:rPr>
            </w:pPr>
          </w:p>
        </w:tc>
      </w:tr>
      <w:tr w14:paraId="76FB68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2" w:type="dxa"/>
            <w:vAlign w:val="center"/>
          </w:tcPr>
          <w:p w14:paraId="790EB12A">
            <w:pPr>
              <w:widowControl/>
              <w:adjustRightInd/>
              <w:spacing w:line="240" w:lineRule="auto"/>
              <w:jc w:val="center"/>
              <w:rPr>
                <w:kern w:val="0"/>
                <w:sz w:val="18"/>
                <w:szCs w:val="18"/>
              </w:rPr>
            </w:pPr>
            <w:r>
              <w:rPr>
                <w:kern w:val="0"/>
                <w:sz w:val="18"/>
                <w:szCs w:val="18"/>
              </w:rPr>
              <w:t>5</w:t>
            </w:r>
          </w:p>
        </w:tc>
        <w:tc>
          <w:tcPr>
            <w:tcW w:w="616" w:type="dxa"/>
            <w:vMerge w:val="continue"/>
            <w:vAlign w:val="center"/>
          </w:tcPr>
          <w:p w14:paraId="43AF9430">
            <w:pPr>
              <w:widowControl/>
              <w:adjustRightInd/>
              <w:snapToGrid/>
              <w:spacing w:line="240" w:lineRule="auto"/>
              <w:jc w:val="left"/>
              <w:rPr>
                <w:kern w:val="0"/>
                <w:sz w:val="18"/>
                <w:szCs w:val="18"/>
              </w:rPr>
            </w:pPr>
          </w:p>
        </w:tc>
        <w:tc>
          <w:tcPr>
            <w:tcW w:w="1539" w:type="dxa"/>
            <w:vAlign w:val="center"/>
          </w:tcPr>
          <w:p w14:paraId="41D4E010">
            <w:pPr>
              <w:widowControl/>
              <w:adjustRightInd/>
              <w:spacing w:line="240" w:lineRule="auto"/>
              <w:jc w:val="center"/>
              <w:rPr>
                <w:rFonts w:hint="eastAsia" w:ascii="宋体" w:hAnsi="宋体"/>
                <w:kern w:val="0"/>
                <w:sz w:val="18"/>
                <w:szCs w:val="18"/>
              </w:rPr>
            </w:pPr>
            <w:r>
              <w:rPr>
                <w:rFonts w:ascii="宋体" w:hAnsi="宋体"/>
                <w:kern w:val="0"/>
                <w:sz w:val="18"/>
                <w:szCs w:val="18"/>
              </w:rPr>
              <w:t>规划住宅用地</w:t>
            </w:r>
            <w:r>
              <w:rPr>
                <w:rFonts w:hint="eastAsia"/>
                <w:kern w:val="0"/>
                <w:sz w:val="18"/>
                <w:szCs w:val="18"/>
              </w:rPr>
              <w:t>5</w:t>
            </w:r>
          </w:p>
        </w:tc>
        <w:tc>
          <w:tcPr>
            <w:tcW w:w="1744" w:type="dxa"/>
            <w:vAlign w:val="center"/>
          </w:tcPr>
          <w:p w14:paraId="1EA48B80">
            <w:pPr>
              <w:widowControl/>
              <w:adjustRightInd/>
              <w:spacing w:line="240" w:lineRule="auto"/>
              <w:jc w:val="center"/>
              <w:rPr>
                <w:rFonts w:hint="eastAsia" w:ascii="宋体" w:hAnsi="宋体"/>
                <w:kern w:val="0"/>
                <w:sz w:val="18"/>
                <w:szCs w:val="18"/>
              </w:rPr>
            </w:pPr>
            <w:r>
              <w:rPr>
                <w:rFonts w:hint="eastAsia"/>
                <w:bCs/>
                <w:spacing w:val="-20"/>
                <w:kern w:val="28"/>
                <w:sz w:val="18"/>
                <w:szCs w:val="18"/>
              </w:rPr>
              <w:t>向 河 路—向 景 路</w:t>
            </w:r>
          </w:p>
        </w:tc>
        <w:tc>
          <w:tcPr>
            <w:tcW w:w="993" w:type="dxa"/>
            <w:vAlign w:val="center"/>
          </w:tcPr>
          <w:p w14:paraId="6F8FED67">
            <w:pPr>
              <w:widowControl/>
              <w:adjustRightInd/>
              <w:spacing w:line="240" w:lineRule="auto"/>
              <w:jc w:val="center"/>
              <w:rPr>
                <w:rFonts w:hint="eastAsia" w:ascii="宋体" w:hAnsi="宋体"/>
                <w:kern w:val="0"/>
                <w:sz w:val="18"/>
                <w:szCs w:val="18"/>
              </w:rPr>
            </w:pPr>
            <w:r>
              <w:rPr>
                <w:rFonts w:ascii="宋体" w:hAnsi="宋体"/>
                <w:kern w:val="0"/>
                <w:sz w:val="18"/>
                <w:szCs w:val="18"/>
              </w:rPr>
              <w:t>地面路</w:t>
            </w:r>
          </w:p>
        </w:tc>
        <w:tc>
          <w:tcPr>
            <w:tcW w:w="992" w:type="dxa"/>
            <w:vAlign w:val="center"/>
          </w:tcPr>
          <w:p w14:paraId="7F938B50">
            <w:pPr>
              <w:widowControl/>
              <w:adjustRightInd/>
              <w:spacing w:line="240" w:lineRule="auto"/>
              <w:jc w:val="center"/>
              <w:rPr>
                <w:kern w:val="0"/>
                <w:sz w:val="18"/>
                <w:szCs w:val="18"/>
              </w:rPr>
            </w:pPr>
            <w:r>
              <w:rPr>
                <w:rFonts w:hint="eastAsia"/>
                <w:kern w:val="0"/>
                <w:sz w:val="18"/>
                <w:szCs w:val="18"/>
              </w:rPr>
              <w:t>E</w:t>
            </w:r>
          </w:p>
        </w:tc>
        <w:tc>
          <w:tcPr>
            <w:tcW w:w="1500" w:type="dxa"/>
            <w:vMerge w:val="continue"/>
            <w:vAlign w:val="center"/>
          </w:tcPr>
          <w:p w14:paraId="5A5488DA">
            <w:pPr>
              <w:widowControl/>
              <w:adjustRightInd/>
              <w:spacing w:line="240" w:lineRule="auto"/>
              <w:jc w:val="center"/>
              <w:rPr>
                <w:rFonts w:hint="eastAsia" w:ascii="宋体" w:hAnsi="宋体"/>
                <w:kern w:val="0"/>
                <w:sz w:val="18"/>
                <w:szCs w:val="18"/>
              </w:rPr>
            </w:pPr>
          </w:p>
        </w:tc>
        <w:tc>
          <w:tcPr>
            <w:tcW w:w="1077" w:type="dxa"/>
            <w:vAlign w:val="center"/>
          </w:tcPr>
          <w:p w14:paraId="7812F8B8">
            <w:pPr>
              <w:widowControl/>
              <w:adjustRightInd/>
              <w:spacing w:line="240" w:lineRule="auto"/>
              <w:jc w:val="center"/>
              <w:rPr>
                <w:rFonts w:hint="eastAsia" w:ascii="宋体" w:hAnsi="宋体"/>
                <w:kern w:val="0"/>
                <w:sz w:val="18"/>
                <w:szCs w:val="18"/>
              </w:rPr>
            </w:pPr>
            <w:r>
              <w:rPr>
                <w:rFonts w:ascii="宋体" w:hAnsi="宋体"/>
                <w:kern w:val="0"/>
                <w:sz w:val="18"/>
                <w:szCs w:val="18"/>
              </w:rPr>
              <w:t>紧邻</w:t>
            </w:r>
          </w:p>
        </w:tc>
        <w:tc>
          <w:tcPr>
            <w:tcW w:w="1076" w:type="dxa"/>
            <w:vMerge w:val="continue"/>
            <w:vAlign w:val="center"/>
          </w:tcPr>
          <w:p w14:paraId="0ADCAFC5">
            <w:pPr>
              <w:widowControl/>
              <w:adjustRightInd/>
              <w:spacing w:line="240" w:lineRule="auto"/>
              <w:jc w:val="center"/>
              <w:rPr>
                <w:rFonts w:hint="eastAsia" w:ascii="宋体" w:hAnsi="宋体"/>
                <w:kern w:val="0"/>
                <w:sz w:val="18"/>
                <w:szCs w:val="18"/>
              </w:rPr>
            </w:pPr>
          </w:p>
        </w:tc>
        <w:tc>
          <w:tcPr>
            <w:tcW w:w="923" w:type="dxa"/>
            <w:vAlign w:val="center"/>
          </w:tcPr>
          <w:p w14:paraId="4F4FD508">
            <w:pPr>
              <w:autoSpaceDE w:val="0"/>
              <w:autoSpaceDN w:val="0"/>
              <w:snapToGrid/>
              <w:spacing w:line="240" w:lineRule="auto"/>
              <w:jc w:val="center"/>
              <w:rPr>
                <w:color w:val="000000"/>
                <w:kern w:val="0"/>
                <w:sz w:val="18"/>
                <w:szCs w:val="18"/>
              </w:rPr>
            </w:pPr>
            <w:r>
              <w:rPr>
                <w:color w:val="000000"/>
                <w:kern w:val="0"/>
                <w:sz w:val="18"/>
                <w:szCs w:val="18"/>
              </w:rPr>
              <w:t>/</w:t>
            </w:r>
          </w:p>
        </w:tc>
        <w:tc>
          <w:tcPr>
            <w:tcW w:w="1077" w:type="dxa"/>
            <w:vAlign w:val="center"/>
          </w:tcPr>
          <w:p w14:paraId="44AC8426">
            <w:pPr>
              <w:autoSpaceDE w:val="0"/>
              <w:autoSpaceDN w:val="0"/>
              <w:snapToGrid/>
              <w:spacing w:line="240" w:lineRule="auto"/>
              <w:jc w:val="center"/>
              <w:rPr>
                <w:color w:val="000000"/>
                <w:kern w:val="0"/>
                <w:sz w:val="18"/>
                <w:szCs w:val="18"/>
              </w:rPr>
            </w:pPr>
            <w:r>
              <w:rPr>
                <w:rFonts w:hint="eastAsia"/>
                <w:color w:val="000000"/>
                <w:kern w:val="0"/>
                <w:sz w:val="18"/>
                <w:szCs w:val="18"/>
              </w:rPr>
              <w:t>/</w:t>
            </w:r>
          </w:p>
        </w:tc>
        <w:tc>
          <w:tcPr>
            <w:tcW w:w="1769" w:type="dxa"/>
            <w:vMerge w:val="continue"/>
            <w:vAlign w:val="center"/>
          </w:tcPr>
          <w:p w14:paraId="29568364">
            <w:pPr>
              <w:widowControl/>
              <w:adjustRightInd/>
              <w:snapToGrid/>
              <w:spacing w:line="240" w:lineRule="auto"/>
              <w:jc w:val="left"/>
              <w:rPr>
                <w:kern w:val="0"/>
                <w:sz w:val="18"/>
                <w:szCs w:val="18"/>
              </w:rPr>
            </w:pPr>
          </w:p>
        </w:tc>
      </w:tr>
      <w:tr w14:paraId="2D8900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2" w:type="dxa"/>
            <w:vAlign w:val="center"/>
          </w:tcPr>
          <w:p w14:paraId="75AB8AF7">
            <w:pPr>
              <w:widowControl/>
              <w:adjustRightInd/>
              <w:spacing w:line="240" w:lineRule="auto"/>
              <w:jc w:val="center"/>
              <w:rPr>
                <w:kern w:val="0"/>
                <w:sz w:val="18"/>
                <w:szCs w:val="18"/>
              </w:rPr>
            </w:pPr>
            <w:r>
              <w:rPr>
                <w:rFonts w:hint="eastAsia"/>
                <w:kern w:val="0"/>
                <w:sz w:val="18"/>
                <w:szCs w:val="18"/>
              </w:rPr>
              <w:t>6</w:t>
            </w:r>
          </w:p>
        </w:tc>
        <w:tc>
          <w:tcPr>
            <w:tcW w:w="616" w:type="dxa"/>
            <w:vMerge w:val="continue"/>
            <w:vAlign w:val="center"/>
          </w:tcPr>
          <w:p w14:paraId="50FF24E2">
            <w:pPr>
              <w:widowControl/>
              <w:adjustRightInd/>
              <w:snapToGrid/>
              <w:spacing w:line="240" w:lineRule="auto"/>
              <w:jc w:val="left"/>
              <w:rPr>
                <w:kern w:val="0"/>
                <w:sz w:val="18"/>
                <w:szCs w:val="18"/>
              </w:rPr>
            </w:pPr>
          </w:p>
        </w:tc>
        <w:tc>
          <w:tcPr>
            <w:tcW w:w="1539" w:type="dxa"/>
            <w:vAlign w:val="center"/>
          </w:tcPr>
          <w:p w14:paraId="6736D561">
            <w:pPr>
              <w:widowControl/>
              <w:adjustRightInd/>
              <w:spacing w:line="240" w:lineRule="auto"/>
              <w:jc w:val="center"/>
              <w:rPr>
                <w:rFonts w:hint="eastAsia" w:ascii="宋体" w:hAnsi="宋体"/>
                <w:kern w:val="0"/>
                <w:sz w:val="18"/>
                <w:szCs w:val="18"/>
              </w:rPr>
            </w:pPr>
            <w:r>
              <w:rPr>
                <w:rFonts w:ascii="宋体" w:hAnsi="宋体"/>
                <w:kern w:val="0"/>
                <w:sz w:val="18"/>
                <w:szCs w:val="18"/>
              </w:rPr>
              <w:t>规划住宅用地</w:t>
            </w:r>
            <w:r>
              <w:rPr>
                <w:rFonts w:hint="eastAsia"/>
                <w:kern w:val="0"/>
                <w:sz w:val="18"/>
                <w:szCs w:val="18"/>
              </w:rPr>
              <w:t>6</w:t>
            </w:r>
          </w:p>
        </w:tc>
        <w:tc>
          <w:tcPr>
            <w:tcW w:w="1744" w:type="dxa"/>
            <w:vAlign w:val="center"/>
          </w:tcPr>
          <w:p w14:paraId="3DA4DDEE">
            <w:pPr>
              <w:widowControl/>
              <w:adjustRightInd/>
              <w:spacing w:line="240" w:lineRule="auto"/>
              <w:jc w:val="center"/>
              <w:rPr>
                <w:rFonts w:hint="eastAsia" w:ascii="宋体" w:hAnsi="宋体"/>
                <w:kern w:val="0"/>
                <w:sz w:val="18"/>
                <w:szCs w:val="18"/>
              </w:rPr>
            </w:pPr>
            <w:r>
              <w:rPr>
                <w:rFonts w:hint="eastAsia"/>
                <w:bCs/>
                <w:spacing w:val="-20"/>
                <w:kern w:val="28"/>
                <w:sz w:val="18"/>
                <w:szCs w:val="18"/>
              </w:rPr>
              <w:t>向 景 路—向 湖 路</w:t>
            </w:r>
          </w:p>
        </w:tc>
        <w:tc>
          <w:tcPr>
            <w:tcW w:w="993" w:type="dxa"/>
            <w:vAlign w:val="center"/>
          </w:tcPr>
          <w:p w14:paraId="2CC5F8DB">
            <w:pPr>
              <w:widowControl/>
              <w:adjustRightInd/>
              <w:spacing w:line="240" w:lineRule="auto"/>
              <w:jc w:val="center"/>
              <w:rPr>
                <w:rFonts w:hint="eastAsia" w:ascii="宋体" w:hAnsi="宋体"/>
                <w:kern w:val="0"/>
                <w:sz w:val="18"/>
                <w:szCs w:val="18"/>
              </w:rPr>
            </w:pPr>
            <w:r>
              <w:rPr>
                <w:rFonts w:ascii="宋体" w:hAnsi="宋体"/>
                <w:kern w:val="0"/>
                <w:sz w:val="18"/>
                <w:szCs w:val="18"/>
              </w:rPr>
              <w:t>地面路</w:t>
            </w:r>
          </w:p>
        </w:tc>
        <w:tc>
          <w:tcPr>
            <w:tcW w:w="992" w:type="dxa"/>
            <w:vAlign w:val="center"/>
          </w:tcPr>
          <w:p w14:paraId="41E8C618">
            <w:pPr>
              <w:widowControl/>
              <w:adjustRightInd/>
              <w:spacing w:line="240" w:lineRule="auto"/>
              <w:jc w:val="center"/>
              <w:rPr>
                <w:kern w:val="0"/>
                <w:sz w:val="18"/>
                <w:szCs w:val="18"/>
              </w:rPr>
            </w:pPr>
            <w:r>
              <w:rPr>
                <w:rFonts w:hint="eastAsia"/>
                <w:kern w:val="0"/>
                <w:sz w:val="18"/>
                <w:szCs w:val="18"/>
              </w:rPr>
              <w:t>SW</w:t>
            </w:r>
          </w:p>
        </w:tc>
        <w:tc>
          <w:tcPr>
            <w:tcW w:w="1500" w:type="dxa"/>
            <w:vMerge w:val="continue"/>
            <w:vAlign w:val="center"/>
          </w:tcPr>
          <w:p w14:paraId="1A046D13">
            <w:pPr>
              <w:widowControl/>
              <w:adjustRightInd/>
              <w:spacing w:line="240" w:lineRule="auto"/>
              <w:jc w:val="center"/>
              <w:rPr>
                <w:kern w:val="0"/>
                <w:sz w:val="18"/>
                <w:szCs w:val="18"/>
              </w:rPr>
            </w:pPr>
          </w:p>
        </w:tc>
        <w:tc>
          <w:tcPr>
            <w:tcW w:w="1077" w:type="dxa"/>
            <w:vAlign w:val="center"/>
          </w:tcPr>
          <w:p w14:paraId="36D92A06">
            <w:pPr>
              <w:widowControl/>
              <w:adjustRightInd/>
              <w:spacing w:line="240" w:lineRule="auto"/>
              <w:jc w:val="center"/>
              <w:rPr>
                <w:rFonts w:hint="eastAsia" w:ascii="宋体" w:hAnsi="宋体"/>
                <w:kern w:val="0"/>
                <w:sz w:val="18"/>
                <w:szCs w:val="18"/>
              </w:rPr>
            </w:pPr>
            <w:r>
              <w:rPr>
                <w:rFonts w:ascii="宋体" w:hAnsi="宋体"/>
                <w:kern w:val="0"/>
                <w:sz w:val="18"/>
                <w:szCs w:val="18"/>
              </w:rPr>
              <w:t>紧邻</w:t>
            </w:r>
          </w:p>
        </w:tc>
        <w:tc>
          <w:tcPr>
            <w:tcW w:w="1076" w:type="dxa"/>
            <w:vMerge w:val="continue"/>
            <w:vAlign w:val="center"/>
          </w:tcPr>
          <w:p w14:paraId="442E03E4">
            <w:pPr>
              <w:widowControl/>
              <w:adjustRightInd/>
              <w:spacing w:line="240" w:lineRule="auto"/>
              <w:jc w:val="center"/>
              <w:rPr>
                <w:rFonts w:hint="eastAsia" w:ascii="宋体" w:hAnsi="宋体"/>
                <w:kern w:val="0"/>
                <w:sz w:val="18"/>
                <w:szCs w:val="18"/>
              </w:rPr>
            </w:pPr>
          </w:p>
        </w:tc>
        <w:tc>
          <w:tcPr>
            <w:tcW w:w="923" w:type="dxa"/>
            <w:vAlign w:val="center"/>
          </w:tcPr>
          <w:p w14:paraId="34582842">
            <w:pPr>
              <w:autoSpaceDE w:val="0"/>
              <w:autoSpaceDN w:val="0"/>
              <w:snapToGrid/>
              <w:spacing w:line="240" w:lineRule="auto"/>
              <w:jc w:val="center"/>
              <w:rPr>
                <w:color w:val="000000"/>
                <w:kern w:val="0"/>
                <w:sz w:val="18"/>
                <w:szCs w:val="18"/>
              </w:rPr>
            </w:pPr>
            <w:r>
              <w:rPr>
                <w:color w:val="000000"/>
                <w:kern w:val="0"/>
                <w:sz w:val="18"/>
                <w:szCs w:val="18"/>
              </w:rPr>
              <w:t>/</w:t>
            </w:r>
          </w:p>
        </w:tc>
        <w:tc>
          <w:tcPr>
            <w:tcW w:w="1077" w:type="dxa"/>
            <w:vAlign w:val="center"/>
          </w:tcPr>
          <w:p w14:paraId="350D2B11">
            <w:pPr>
              <w:autoSpaceDE w:val="0"/>
              <w:autoSpaceDN w:val="0"/>
              <w:snapToGrid/>
              <w:spacing w:line="240" w:lineRule="auto"/>
              <w:jc w:val="center"/>
              <w:rPr>
                <w:color w:val="000000"/>
                <w:kern w:val="0"/>
                <w:sz w:val="18"/>
                <w:szCs w:val="18"/>
              </w:rPr>
            </w:pPr>
            <w:r>
              <w:rPr>
                <w:rFonts w:hint="eastAsia"/>
                <w:color w:val="000000"/>
                <w:kern w:val="0"/>
                <w:sz w:val="18"/>
                <w:szCs w:val="18"/>
              </w:rPr>
              <w:t>/</w:t>
            </w:r>
          </w:p>
        </w:tc>
        <w:tc>
          <w:tcPr>
            <w:tcW w:w="1769" w:type="dxa"/>
            <w:vMerge w:val="continue"/>
            <w:vAlign w:val="center"/>
          </w:tcPr>
          <w:p w14:paraId="553A02C4">
            <w:pPr>
              <w:widowControl/>
              <w:adjustRightInd/>
              <w:snapToGrid/>
              <w:spacing w:line="240" w:lineRule="auto"/>
              <w:jc w:val="left"/>
              <w:rPr>
                <w:kern w:val="0"/>
                <w:sz w:val="18"/>
                <w:szCs w:val="18"/>
              </w:rPr>
            </w:pPr>
          </w:p>
        </w:tc>
      </w:tr>
      <w:tr w14:paraId="36921B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622" w:type="dxa"/>
            <w:vAlign w:val="center"/>
          </w:tcPr>
          <w:p w14:paraId="79C7D5D2">
            <w:pPr>
              <w:widowControl/>
              <w:adjustRightInd/>
              <w:spacing w:line="240" w:lineRule="auto"/>
              <w:jc w:val="center"/>
              <w:rPr>
                <w:kern w:val="0"/>
                <w:sz w:val="18"/>
                <w:szCs w:val="18"/>
              </w:rPr>
            </w:pPr>
            <w:r>
              <w:rPr>
                <w:rFonts w:hint="eastAsia"/>
                <w:kern w:val="0"/>
                <w:sz w:val="18"/>
                <w:szCs w:val="18"/>
              </w:rPr>
              <w:t>7</w:t>
            </w:r>
          </w:p>
        </w:tc>
        <w:tc>
          <w:tcPr>
            <w:tcW w:w="616" w:type="dxa"/>
            <w:vMerge w:val="continue"/>
            <w:vAlign w:val="center"/>
          </w:tcPr>
          <w:p w14:paraId="0262C02B">
            <w:pPr>
              <w:widowControl/>
              <w:adjustRightInd/>
              <w:snapToGrid/>
              <w:spacing w:line="240" w:lineRule="auto"/>
              <w:jc w:val="left"/>
              <w:rPr>
                <w:kern w:val="0"/>
                <w:sz w:val="18"/>
                <w:szCs w:val="18"/>
              </w:rPr>
            </w:pPr>
          </w:p>
        </w:tc>
        <w:tc>
          <w:tcPr>
            <w:tcW w:w="1539" w:type="dxa"/>
            <w:vAlign w:val="center"/>
          </w:tcPr>
          <w:p w14:paraId="2172F43C">
            <w:pPr>
              <w:widowControl/>
              <w:adjustRightInd/>
              <w:spacing w:line="240" w:lineRule="auto"/>
              <w:jc w:val="center"/>
              <w:rPr>
                <w:rFonts w:hint="eastAsia" w:ascii="宋体" w:hAnsi="宋体"/>
                <w:kern w:val="0"/>
                <w:sz w:val="18"/>
                <w:szCs w:val="18"/>
              </w:rPr>
            </w:pPr>
            <w:r>
              <w:rPr>
                <w:rFonts w:ascii="宋体" w:hAnsi="宋体"/>
                <w:kern w:val="0"/>
                <w:sz w:val="18"/>
                <w:szCs w:val="18"/>
              </w:rPr>
              <w:t>规划住宅用地</w:t>
            </w:r>
            <w:r>
              <w:rPr>
                <w:rFonts w:hint="eastAsia"/>
                <w:kern w:val="0"/>
                <w:sz w:val="18"/>
                <w:szCs w:val="18"/>
              </w:rPr>
              <w:t>7</w:t>
            </w:r>
          </w:p>
        </w:tc>
        <w:tc>
          <w:tcPr>
            <w:tcW w:w="1744" w:type="dxa"/>
            <w:vAlign w:val="center"/>
          </w:tcPr>
          <w:p w14:paraId="521067A2">
            <w:pPr>
              <w:widowControl/>
              <w:adjustRightInd/>
              <w:spacing w:line="240" w:lineRule="auto"/>
              <w:jc w:val="center"/>
              <w:rPr>
                <w:rFonts w:hint="eastAsia" w:ascii="宋体" w:hAnsi="宋体"/>
                <w:kern w:val="0"/>
                <w:sz w:val="18"/>
                <w:szCs w:val="18"/>
              </w:rPr>
            </w:pPr>
            <w:r>
              <w:rPr>
                <w:rFonts w:hint="eastAsia"/>
                <w:bCs/>
                <w:spacing w:val="-20"/>
                <w:kern w:val="28"/>
                <w:sz w:val="18"/>
                <w:szCs w:val="18"/>
              </w:rPr>
              <w:t>向 景 路—向 湖 路</w:t>
            </w:r>
          </w:p>
        </w:tc>
        <w:tc>
          <w:tcPr>
            <w:tcW w:w="993" w:type="dxa"/>
            <w:vAlign w:val="center"/>
          </w:tcPr>
          <w:p w14:paraId="5DABFE58">
            <w:pPr>
              <w:widowControl/>
              <w:adjustRightInd/>
              <w:spacing w:line="240" w:lineRule="auto"/>
              <w:jc w:val="center"/>
              <w:rPr>
                <w:rFonts w:hint="eastAsia" w:ascii="宋体" w:hAnsi="宋体"/>
                <w:kern w:val="0"/>
                <w:sz w:val="18"/>
                <w:szCs w:val="18"/>
              </w:rPr>
            </w:pPr>
            <w:r>
              <w:rPr>
                <w:rFonts w:ascii="宋体" w:hAnsi="宋体"/>
                <w:kern w:val="0"/>
                <w:sz w:val="18"/>
                <w:szCs w:val="18"/>
              </w:rPr>
              <w:t>地面路</w:t>
            </w:r>
          </w:p>
        </w:tc>
        <w:tc>
          <w:tcPr>
            <w:tcW w:w="992" w:type="dxa"/>
            <w:vAlign w:val="center"/>
          </w:tcPr>
          <w:p w14:paraId="2A495415">
            <w:pPr>
              <w:widowControl/>
              <w:adjustRightInd/>
              <w:spacing w:line="240" w:lineRule="auto"/>
              <w:jc w:val="center"/>
              <w:rPr>
                <w:kern w:val="0"/>
                <w:sz w:val="18"/>
                <w:szCs w:val="18"/>
              </w:rPr>
            </w:pPr>
            <w:r>
              <w:rPr>
                <w:rFonts w:hint="eastAsia"/>
                <w:kern w:val="0"/>
                <w:sz w:val="18"/>
                <w:szCs w:val="18"/>
              </w:rPr>
              <w:t>SE</w:t>
            </w:r>
          </w:p>
        </w:tc>
        <w:tc>
          <w:tcPr>
            <w:tcW w:w="1500" w:type="dxa"/>
            <w:vMerge w:val="continue"/>
            <w:vAlign w:val="center"/>
          </w:tcPr>
          <w:p w14:paraId="5A2B6280">
            <w:pPr>
              <w:widowControl/>
              <w:adjustRightInd/>
              <w:spacing w:line="240" w:lineRule="auto"/>
              <w:jc w:val="center"/>
              <w:rPr>
                <w:kern w:val="0"/>
                <w:sz w:val="18"/>
                <w:szCs w:val="18"/>
              </w:rPr>
            </w:pPr>
          </w:p>
        </w:tc>
        <w:tc>
          <w:tcPr>
            <w:tcW w:w="1077" w:type="dxa"/>
            <w:vAlign w:val="center"/>
          </w:tcPr>
          <w:p w14:paraId="4D6E9D2B">
            <w:pPr>
              <w:widowControl/>
              <w:adjustRightInd/>
              <w:spacing w:line="240" w:lineRule="auto"/>
              <w:jc w:val="center"/>
              <w:rPr>
                <w:rFonts w:hint="eastAsia" w:ascii="宋体" w:hAnsi="宋体"/>
                <w:kern w:val="0"/>
                <w:sz w:val="18"/>
                <w:szCs w:val="18"/>
              </w:rPr>
            </w:pPr>
            <w:r>
              <w:rPr>
                <w:rFonts w:ascii="宋体" w:hAnsi="宋体"/>
                <w:kern w:val="0"/>
                <w:sz w:val="18"/>
                <w:szCs w:val="18"/>
              </w:rPr>
              <w:t>紧邻</w:t>
            </w:r>
          </w:p>
        </w:tc>
        <w:tc>
          <w:tcPr>
            <w:tcW w:w="1076" w:type="dxa"/>
            <w:vMerge w:val="continue"/>
            <w:vAlign w:val="center"/>
          </w:tcPr>
          <w:p w14:paraId="27905E34">
            <w:pPr>
              <w:widowControl/>
              <w:adjustRightInd/>
              <w:spacing w:line="240" w:lineRule="auto"/>
              <w:jc w:val="center"/>
              <w:rPr>
                <w:rFonts w:hint="eastAsia" w:ascii="宋体" w:hAnsi="宋体"/>
                <w:kern w:val="0"/>
                <w:sz w:val="18"/>
                <w:szCs w:val="18"/>
              </w:rPr>
            </w:pPr>
          </w:p>
        </w:tc>
        <w:tc>
          <w:tcPr>
            <w:tcW w:w="923" w:type="dxa"/>
            <w:vAlign w:val="center"/>
          </w:tcPr>
          <w:p w14:paraId="687AB3B9">
            <w:pPr>
              <w:autoSpaceDE w:val="0"/>
              <w:autoSpaceDN w:val="0"/>
              <w:snapToGrid/>
              <w:spacing w:line="240" w:lineRule="auto"/>
              <w:jc w:val="center"/>
              <w:rPr>
                <w:color w:val="000000"/>
                <w:kern w:val="0"/>
                <w:sz w:val="18"/>
                <w:szCs w:val="18"/>
              </w:rPr>
            </w:pPr>
            <w:r>
              <w:rPr>
                <w:rFonts w:hint="eastAsia"/>
                <w:color w:val="000000"/>
                <w:kern w:val="0"/>
                <w:sz w:val="18"/>
                <w:szCs w:val="18"/>
              </w:rPr>
              <w:t>/</w:t>
            </w:r>
          </w:p>
        </w:tc>
        <w:tc>
          <w:tcPr>
            <w:tcW w:w="1077" w:type="dxa"/>
            <w:vAlign w:val="center"/>
          </w:tcPr>
          <w:p w14:paraId="464DC14F">
            <w:pPr>
              <w:autoSpaceDE w:val="0"/>
              <w:autoSpaceDN w:val="0"/>
              <w:snapToGrid/>
              <w:spacing w:line="240" w:lineRule="auto"/>
              <w:jc w:val="center"/>
              <w:rPr>
                <w:color w:val="000000"/>
                <w:kern w:val="0"/>
                <w:sz w:val="18"/>
                <w:szCs w:val="18"/>
              </w:rPr>
            </w:pPr>
            <w:r>
              <w:rPr>
                <w:rFonts w:hint="eastAsia"/>
                <w:color w:val="000000"/>
                <w:kern w:val="0"/>
                <w:sz w:val="18"/>
                <w:szCs w:val="18"/>
              </w:rPr>
              <w:t>/</w:t>
            </w:r>
          </w:p>
        </w:tc>
        <w:tc>
          <w:tcPr>
            <w:tcW w:w="1769" w:type="dxa"/>
            <w:vMerge w:val="continue"/>
            <w:vAlign w:val="center"/>
          </w:tcPr>
          <w:p w14:paraId="2FFDCC44">
            <w:pPr>
              <w:widowControl/>
              <w:adjustRightInd/>
              <w:snapToGrid/>
              <w:spacing w:line="240" w:lineRule="auto"/>
              <w:jc w:val="left"/>
              <w:rPr>
                <w:kern w:val="0"/>
                <w:sz w:val="18"/>
                <w:szCs w:val="18"/>
              </w:rPr>
            </w:pPr>
          </w:p>
        </w:tc>
      </w:tr>
      <w:tr w14:paraId="17BF96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22" w:type="dxa"/>
            <w:vAlign w:val="center"/>
          </w:tcPr>
          <w:p w14:paraId="12CF10B3">
            <w:pPr>
              <w:widowControl/>
              <w:adjustRightInd/>
              <w:spacing w:line="240" w:lineRule="auto"/>
              <w:jc w:val="center"/>
              <w:rPr>
                <w:kern w:val="0"/>
                <w:sz w:val="18"/>
                <w:szCs w:val="18"/>
              </w:rPr>
            </w:pPr>
            <w:r>
              <w:rPr>
                <w:rFonts w:hint="eastAsia"/>
                <w:kern w:val="0"/>
                <w:sz w:val="18"/>
                <w:szCs w:val="18"/>
              </w:rPr>
              <w:t>8</w:t>
            </w:r>
          </w:p>
        </w:tc>
        <w:tc>
          <w:tcPr>
            <w:tcW w:w="616" w:type="dxa"/>
            <w:vMerge w:val="continue"/>
            <w:vAlign w:val="center"/>
          </w:tcPr>
          <w:p w14:paraId="2CC05169">
            <w:pPr>
              <w:widowControl/>
              <w:adjustRightInd/>
              <w:snapToGrid/>
              <w:spacing w:line="240" w:lineRule="auto"/>
              <w:jc w:val="left"/>
              <w:rPr>
                <w:kern w:val="0"/>
                <w:sz w:val="18"/>
                <w:szCs w:val="18"/>
              </w:rPr>
            </w:pPr>
          </w:p>
        </w:tc>
        <w:tc>
          <w:tcPr>
            <w:tcW w:w="1539" w:type="dxa"/>
            <w:vAlign w:val="center"/>
          </w:tcPr>
          <w:p w14:paraId="68FFED54">
            <w:pPr>
              <w:widowControl/>
              <w:adjustRightInd/>
              <w:spacing w:line="240" w:lineRule="auto"/>
              <w:jc w:val="center"/>
              <w:rPr>
                <w:rFonts w:hint="eastAsia" w:ascii="宋体" w:hAnsi="宋体"/>
                <w:kern w:val="0"/>
                <w:sz w:val="18"/>
                <w:szCs w:val="18"/>
              </w:rPr>
            </w:pPr>
            <w:r>
              <w:rPr>
                <w:rFonts w:ascii="宋体" w:hAnsi="宋体"/>
                <w:kern w:val="0"/>
                <w:sz w:val="18"/>
                <w:szCs w:val="18"/>
              </w:rPr>
              <w:t>规划住宅用地</w:t>
            </w:r>
            <w:r>
              <w:rPr>
                <w:rFonts w:hint="eastAsia"/>
                <w:kern w:val="0"/>
                <w:sz w:val="18"/>
                <w:szCs w:val="18"/>
              </w:rPr>
              <w:t>8</w:t>
            </w:r>
          </w:p>
        </w:tc>
        <w:tc>
          <w:tcPr>
            <w:tcW w:w="1744" w:type="dxa"/>
            <w:vAlign w:val="center"/>
          </w:tcPr>
          <w:p w14:paraId="3D409498">
            <w:pPr>
              <w:widowControl/>
              <w:adjustRightInd/>
              <w:spacing w:line="240" w:lineRule="auto"/>
              <w:jc w:val="center"/>
              <w:rPr>
                <w:rFonts w:hint="eastAsia" w:ascii="宋体" w:hAnsi="宋体"/>
                <w:kern w:val="0"/>
                <w:sz w:val="18"/>
                <w:szCs w:val="18"/>
              </w:rPr>
            </w:pPr>
            <w:r>
              <w:rPr>
                <w:rFonts w:hint="eastAsia" w:ascii="宋体" w:hAnsi="宋体"/>
                <w:kern w:val="0"/>
                <w:sz w:val="18"/>
                <w:szCs w:val="18"/>
              </w:rPr>
              <w:t>向湖路—河景路</w:t>
            </w:r>
          </w:p>
        </w:tc>
        <w:tc>
          <w:tcPr>
            <w:tcW w:w="993" w:type="dxa"/>
            <w:vAlign w:val="center"/>
          </w:tcPr>
          <w:p w14:paraId="720F9FEB">
            <w:pPr>
              <w:widowControl/>
              <w:adjustRightInd/>
              <w:spacing w:line="240" w:lineRule="auto"/>
              <w:jc w:val="center"/>
              <w:rPr>
                <w:rFonts w:hint="eastAsia" w:ascii="宋体" w:hAnsi="宋体"/>
                <w:kern w:val="0"/>
                <w:sz w:val="18"/>
                <w:szCs w:val="18"/>
              </w:rPr>
            </w:pPr>
            <w:r>
              <w:rPr>
                <w:rFonts w:ascii="宋体" w:hAnsi="宋体"/>
                <w:kern w:val="0"/>
                <w:sz w:val="18"/>
                <w:szCs w:val="18"/>
              </w:rPr>
              <w:t>地面路</w:t>
            </w:r>
          </w:p>
        </w:tc>
        <w:tc>
          <w:tcPr>
            <w:tcW w:w="992" w:type="dxa"/>
            <w:vAlign w:val="center"/>
          </w:tcPr>
          <w:p w14:paraId="5C7700DE">
            <w:pPr>
              <w:widowControl/>
              <w:adjustRightInd/>
              <w:spacing w:line="240" w:lineRule="auto"/>
              <w:jc w:val="center"/>
              <w:rPr>
                <w:kern w:val="0"/>
                <w:sz w:val="18"/>
                <w:szCs w:val="18"/>
              </w:rPr>
            </w:pPr>
            <w:r>
              <w:rPr>
                <w:rFonts w:hint="eastAsia"/>
                <w:kern w:val="0"/>
                <w:sz w:val="18"/>
                <w:szCs w:val="18"/>
              </w:rPr>
              <w:t>SW</w:t>
            </w:r>
          </w:p>
        </w:tc>
        <w:tc>
          <w:tcPr>
            <w:tcW w:w="1500" w:type="dxa"/>
            <w:vMerge w:val="continue"/>
            <w:vAlign w:val="center"/>
          </w:tcPr>
          <w:p w14:paraId="5C692049">
            <w:pPr>
              <w:widowControl/>
              <w:adjustRightInd/>
              <w:spacing w:line="240" w:lineRule="auto"/>
              <w:jc w:val="center"/>
              <w:rPr>
                <w:kern w:val="0"/>
                <w:sz w:val="18"/>
                <w:szCs w:val="18"/>
              </w:rPr>
            </w:pPr>
          </w:p>
        </w:tc>
        <w:tc>
          <w:tcPr>
            <w:tcW w:w="1077" w:type="dxa"/>
            <w:vAlign w:val="center"/>
          </w:tcPr>
          <w:p w14:paraId="48086FFA">
            <w:pPr>
              <w:widowControl/>
              <w:adjustRightInd/>
              <w:spacing w:line="240" w:lineRule="auto"/>
              <w:jc w:val="center"/>
              <w:rPr>
                <w:rFonts w:hint="eastAsia" w:ascii="宋体" w:hAnsi="宋体"/>
                <w:kern w:val="0"/>
                <w:sz w:val="18"/>
                <w:szCs w:val="18"/>
              </w:rPr>
            </w:pPr>
            <w:r>
              <w:rPr>
                <w:rFonts w:ascii="宋体" w:hAnsi="宋体"/>
                <w:kern w:val="0"/>
                <w:sz w:val="18"/>
                <w:szCs w:val="18"/>
              </w:rPr>
              <w:t>紧邻</w:t>
            </w:r>
          </w:p>
        </w:tc>
        <w:tc>
          <w:tcPr>
            <w:tcW w:w="1076" w:type="dxa"/>
            <w:vMerge w:val="continue"/>
            <w:vAlign w:val="center"/>
          </w:tcPr>
          <w:p w14:paraId="06BCB366">
            <w:pPr>
              <w:widowControl/>
              <w:adjustRightInd/>
              <w:spacing w:line="240" w:lineRule="auto"/>
              <w:jc w:val="center"/>
              <w:rPr>
                <w:rFonts w:hint="eastAsia" w:ascii="宋体" w:hAnsi="宋体"/>
                <w:kern w:val="0"/>
                <w:sz w:val="18"/>
                <w:szCs w:val="18"/>
              </w:rPr>
            </w:pPr>
          </w:p>
        </w:tc>
        <w:tc>
          <w:tcPr>
            <w:tcW w:w="923" w:type="dxa"/>
            <w:vAlign w:val="center"/>
          </w:tcPr>
          <w:p w14:paraId="103B00E9">
            <w:pPr>
              <w:autoSpaceDE w:val="0"/>
              <w:autoSpaceDN w:val="0"/>
              <w:snapToGrid/>
              <w:spacing w:line="240" w:lineRule="auto"/>
              <w:jc w:val="center"/>
              <w:rPr>
                <w:color w:val="000000"/>
                <w:kern w:val="0"/>
                <w:sz w:val="18"/>
                <w:szCs w:val="18"/>
              </w:rPr>
            </w:pPr>
            <w:r>
              <w:rPr>
                <w:rFonts w:hint="eastAsia"/>
                <w:color w:val="000000"/>
                <w:kern w:val="0"/>
                <w:sz w:val="18"/>
                <w:szCs w:val="18"/>
              </w:rPr>
              <w:t>/</w:t>
            </w:r>
          </w:p>
        </w:tc>
        <w:tc>
          <w:tcPr>
            <w:tcW w:w="1077" w:type="dxa"/>
            <w:vAlign w:val="center"/>
          </w:tcPr>
          <w:p w14:paraId="429EAE9B">
            <w:pPr>
              <w:autoSpaceDE w:val="0"/>
              <w:autoSpaceDN w:val="0"/>
              <w:snapToGrid/>
              <w:spacing w:line="240" w:lineRule="auto"/>
              <w:jc w:val="center"/>
              <w:rPr>
                <w:color w:val="000000"/>
                <w:kern w:val="0"/>
                <w:sz w:val="18"/>
                <w:szCs w:val="18"/>
              </w:rPr>
            </w:pPr>
            <w:r>
              <w:rPr>
                <w:rFonts w:hint="eastAsia"/>
                <w:color w:val="000000"/>
                <w:kern w:val="0"/>
                <w:sz w:val="18"/>
                <w:szCs w:val="18"/>
              </w:rPr>
              <w:t>/</w:t>
            </w:r>
          </w:p>
        </w:tc>
        <w:tc>
          <w:tcPr>
            <w:tcW w:w="1769" w:type="dxa"/>
            <w:vMerge w:val="continue"/>
            <w:vAlign w:val="center"/>
          </w:tcPr>
          <w:p w14:paraId="5C9D407B">
            <w:pPr>
              <w:widowControl/>
              <w:adjustRightInd/>
              <w:snapToGrid/>
              <w:spacing w:line="240" w:lineRule="auto"/>
              <w:jc w:val="left"/>
              <w:rPr>
                <w:kern w:val="0"/>
                <w:sz w:val="18"/>
                <w:szCs w:val="18"/>
              </w:rPr>
            </w:pPr>
          </w:p>
        </w:tc>
      </w:tr>
    </w:tbl>
    <w:p w14:paraId="44C06A7B">
      <w:pPr>
        <w:rPr>
          <w:rFonts w:hint="eastAsia" w:ascii="宋体" w:hAnsi="宋体"/>
          <w:sz w:val="24"/>
          <w:szCs w:val="24"/>
        </w:rPr>
        <w:sectPr>
          <w:pgSz w:w="16838" w:h="11906" w:orient="landscape"/>
          <w:pgMar w:top="1800" w:right="1440" w:bottom="1800" w:left="1440" w:header="851" w:footer="851" w:gutter="0"/>
          <w:cols w:space="720" w:num="1"/>
          <w:titlePg/>
          <w:docGrid w:type="lines" w:linePitch="424" w:charSpace="0"/>
        </w:sectPr>
      </w:pPr>
    </w:p>
    <w:p w14:paraId="201CEB4F">
      <w:pPr>
        <w:widowControl/>
        <w:kinsoku w:val="0"/>
        <w:autoSpaceDE w:val="0"/>
        <w:autoSpaceDN w:val="0"/>
        <w:jc w:val="left"/>
        <w:textAlignment w:val="baseline"/>
        <w:outlineLvl w:val="1"/>
        <w:rPr>
          <w:b/>
          <w:bCs/>
          <w:color w:val="000000"/>
          <w:kern w:val="0"/>
          <w:sz w:val="24"/>
          <w:szCs w:val="24"/>
        </w:rPr>
      </w:pPr>
      <w:r>
        <w:rPr>
          <w:rFonts w:ascii="宋体" w:hAnsi="宋体"/>
          <w:b/>
          <w:bCs/>
          <w:color w:val="000000"/>
          <w:kern w:val="0"/>
          <w:sz w:val="24"/>
          <w:szCs w:val="24"/>
        </w:rPr>
        <w:t>二、源强分析</w:t>
      </w:r>
    </w:p>
    <w:p w14:paraId="107C0726">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1</w:t>
      </w:r>
      <w:r>
        <w:rPr>
          <w:rFonts w:ascii="宋体" w:hAnsi="宋体"/>
          <w:b/>
          <w:bCs/>
          <w:color w:val="000000"/>
          <w:kern w:val="0"/>
          <w:szCs w:val="21"/>
        </w:rPr>
        <w:t>、施工期噪声</w:t>
      </w:r>
    </w:p>
    <w:p w14:paraId="012B014B">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本工程施工期间的噪声主要来源于各种筑路机械噪声和车辆运输产生的作业噪声。参照《</w:t>
      </w:r>
      <w:r>
        <w:fldChar w:fldCharType="begin"/>
      </w:r>
      <w:r>
        <w:instrText xml:space="preserve"> HYPERLINK "https://www.mee.gov.cn/ywgz/fgbz/bz/bzwb/other/hjbhgc/201309/W020131105573484556567.pdf" </w:instrText>
      </w:r>
      <w:r>
        <w:fldChar w:fldCharType="separate"/>
      </w:r>
      <w:r>
        <w:rPr>
          <w:rFonts w:hint="eastAsia" w:ascii="宋体" w:hAnsi="宋体"/>
          <w:kern w:val="0"/>
          <w:szCs w:val="21"/>
        </w:rPr>
        <w:t>环境噪声与振动控制工程技术导则</w:t>
      </w:r>
      <w:r>
        <w:rPr>
          <w:rFonts w:hint="eastAsia" w:ascii="宋体" w:hAnsi="宋体"/>
          <w:kern w:val="0"/>
          <w:szCs w:val="21"/>
        </w:rPr>
        <w:fldChar w:fldCharType="end"/>
      </w:r>
      <w:r>
        <w:rPr>
          <w:rFonts w:ascii="宋体" w:hAnsi="宋体"/>
          <w:color w:val="000000"/>
          <w:kern w:val="0"/>
          <w:szCs w:val="21"/>
        </w:rPr>
        <w:t>》</w:t>
      </w:r>
      <w:r>
        <w:rPr>
          <w:rFonts w:hint="eastAsia" w:ascii="宋体" w:hAnsi="宋体"/>
          <w:color w:val="000000"/>
          <w:kern w:val="0"/>
          <w:szCs w:val="21"/>
        </w:rPr>
        <w:t>（</w:t>
      </w:r>
      <w:r>
        <w:rPr>
          <w:rFonts w:hint="eastAsia"/>
          <w:color w:val="000000"/>
          <w:kern w:val="0"/>
          <w:szCs w:val="21"/>
        </w:rPr>
        <w:t>HJ 2034-2013</w:t>
      </w:r>
      <w:r>
        <w:rPr>
          <w:rFonts w:hint="eastAsia" w:ascii="宋体" w:hAnsi="宋体"/>
          <w:color w:val="000000"/>
          <w:kern w:val="0"/>
          <w:szCs w:val="21"/>
        </w:rPr>
        <w:t>）附录</w:t>
      </w:r>
      <w:r>
        <w:rPr>
          <w:rFonts w:hint="eastAsia"/>
          <w:color w:val="000000"/>
          <w:kern w:val="0"/>
          <w:szCs w:val="21"/>
        </w:rPr>
        <w:t>A</w:t>
      </w:r>
      <w:r>
        <w:rPr>
          <w:rFonts w:hint="eastAsia" w:ascii="宋体" w:hAnsi="宋体"/>
          <w:color w:val="000000"/>
          <w:kern w:val="0"/>
          <w:szCs w:val="21"/>
        </w:rPr>
        <w:t>表</w:t>
      </w:r>
      <w:r>
        <w:rPr>
          <w:rFonts w:hint="eastAsia"/>
          <w:color w:val="000000"/>
          <w:kern w:val="0"/>
          <w:szCs w:val="21"/>
        </w:rPr>
        <w:t>A.2</w:t>
      </w:r>
      <w:r>
        <w:rPr>
          <w:rFonts w:ascii="宋体" w:hAnsi="宋体"/>
          <w:color w:val="000000"/>
          <w:kern w:val="0"/>
          <w:szCs w:val="21"/>
        </w:rPr>
        <w:t>中的</w:t>
      </w:r>
      <w:r>
        <w:rPr>
          <w:rFonts w:hint="eastAsia" w:ascii="宋体" w:hAnsi="宋体"/>
          <w:color w:val="000000"/>
          <w:kern w:val="0"/>
          <w:szCs w:val="21"/>
        </w:rPr>
        <w:t>常见施工设备噪声源强</w:t>
      </w:r>
      <w:r>
        <w:rPr>
          <w:rFonts w:ascii="宋体" w:hAnsi="宋体"/>
          <w:color w:val="000000"/>
          <w:kern w:val="0"/>
          <w:szCs w:val="21"/>
        </w:rPr>
        <w:t>，</w:t>
      </w:r>
      <w:r>
        <w:rPr>
          <w:rFonts w:hint="eastAsia" w:ascii="宋体" w:hAnsi="宋体"/>
          <w:color w:val="000000"/>
          <w:kern w:val="0"/>
          <w:szCs w:val="21"/>
        </w:rPr>
        <w:t>具体见下表。</w:t>
      </w:r>
    </w:p>
    <w:p w14:paraId="69DD4E78">
      <w:pPr>
        <w:pStyle w:val="9"/>
        <w:spacing w:before="212"/>
      </w:pPr>
      <w:bookmarkStart w:id="78" w:name="_Ref233210958"/>
      <w:r>
        <w:t xml:space="preserve">专项表 </w:t>
      </w:r>
      <w:r>
        <w:fldChar w:fldCharType="begin"/>
      </w:r>
      <w:r>
        <w:instrText xml:space="preserve"> SEQ 专项表 \* ARABIC </w:instrText>
      </w:r>
      <w:r>
        <w:fldChar w:fldCharType="separate"/>
      </w:r>
      <w:r>
        <w:t>3</w:t>
      </w:r>
      <w:r>
        <w:fldChar w:fldCharType="end"/>
      </w:r>
      <w:bookmarkEnd w:id="78"/>
      <w:r>
        <w:t>工程施工机械噪声</w:t>
      </w:r>
      <w:r>
        <w:rPr>
          <w:rFonts w:hint="eastAsia"/>
        </w:rPr>
        <w:t xml:space="preserve">   </w:t>
      </w:r>
      <w:r>
        <w:t>单位：dB（A）</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15" w:type="dxa"/>
          <w:left w:w="15" w:type="dxa"/>
          <w:bottom w:w="15" w:type="dxa"/>
          <w:right w:w="15" w:type="dxa"/>
        </w:tblCellMar>
      </w:tblPr>
      <w:tblGrid>
        <w:gridCol w:w="1615"/>
        <w:gridCol w:w="1153"/>
        <w:gridCol w:w="1270"/>
        <w:gridCol w:w="1874"/>
        <w:gridCol w:w="1153"/>
        <w:gridCol w:w="1270"/>
      </w:tblGrid>
      <w:tr w14:paraId="054E628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1603" w:type="dxa"/>
            <w:noWrap/>
            <w:vAlign w:val="center"/>
          </w:tcPr>
          <w:p w14:paraId="6A184296">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施工机械名称</w:t>
            </w:r>
          </w:p>
        </w:tc>
        <w:tc>
          <w:tcPr>
            <w:tcW w:w="1145" w:type="dxa"/>
            <w:noWrap/>
            <w:vAlign w:val="center"/>
          </w:tcPr>
          <w:p w14:paraId="3FBF5680">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距声源</w:t>
            </w:r>
            <w:r>
              <w:rPr>
                <w:b/>
                <w:bCs/>
                <w:color w:val="000000"/>
                <w:kern w:val="28"/>
                <w:sz w:val="18"/>
                <w:szCs w:val="18"/>
              </w:rPr>
              <w:t>5m</w:t>
            </w:r>
          </w:p>
        </w:tc>
        <w:tc>
          <w:tcPr>
            <w:tcW w:w="1261" w:type="dxa"/>
            <w:noWrap/>
            <w:vAlign w:val="center"/>
          </w:tcPr>
          <w:p w14:paraId="2A663675">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距声源</w:t>
            </w:r>
            <w:r>
              <w:rPr>
                <w:b/>
                <w:bCs/>
                <w:color w:val="000000"/>
                <w:kern w:val="28"/>
                <w:sz w:val="18"/>
                <w:szCs w:val="18"/>
              </w:rPr>
              <w:t>10m</w:t>
            </w:r>
          </w:p>
        </w:tc>
        <w:tc>
          <w:tcPr>
            <w:tcW w:w="1861" w:type="dxa"/>
            <w:noWrap/>
            <w:vAlign w:val="center"/>
          </w:tcPr>
          <w:p w14:paraId="2E43E4B2">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施工机械名称</w:t>
            </w:r>
          </w:p>
        </w:tc>
        <w:tc>
          <w:tcPr>
            <w:tcW w:w="1145" w:type="dxa"/>
            <w:noWrap/>
            <w:vAlign w:val="center"/>
          </w:tcPr>
          <w:p w14:paraId="7DA9515C">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距声源</w:t>
            </w:r>
            <w:r>
              <w:rPr>
                <w:b/>
                <w:bCs/>
                <w:color w:val="000000"/>
                <w:kern w:val="28"/>
                <w:sz w:val="18"/>
                <w:szCs w:val="18"/>
              </w:rPr>
              <w:t>5m</w:t>
            </w:r>
          </w:p>
        </w:tc>
        <w:tc>
          <w:tcPr>
            <w:tcW w:w="1261" w:type="dxa"/>
            <w:noWrap/>
            <w:vAlign w:val="center"/>
          </w:tcPr>
          <w:p w14:paraId="63A32850">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距声源</w:t>
            </w:r>
            <w:r>
              <w:rPr>
                <w:b/>
                <w:bCs/>
                <w:color w:val="000000"/>
                <w:kern w:val="28"/>
                <w:sz w:val="18"/>
                <w:szCs w:val="18"/>
              </w:rPr>
              <w:t>10m</w:t>
            </w:r>
          </w:p>
        </w:tc>
      </w:tr>
      <w:tr w14:paraId="7E17ABA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1603" w:type="dxa"/>
            <w:noWrap/>
            <w:vAlign w:val="center"/>
          </w:tcPr>
          <w:p w14:paraId="2B258F62">
            <w:pPr>
              <w:widowControl/>
              <w:kinsoku w:val="0"/>
              <w:autoSpaceDE w:val="0"/>
              <w:autoSpaceDN w:val="0"/>
              <w:spacing w:line="240" w:lineRule="auto"/>
              <w:jc w:val="center"/>
              <w:textAlignment w:val="baseline"/>
              <w:outlineLvl w:val="1"/>
              <w:rPr>
                <w:bCs/>
                <w:color w:val="000000"/>
                <w:kern w:val="28"/>
                <w:sz w:val="18"/>
                <w:szCs w:val="18"/>
              </w:rPr>
            </w:pPr>
            <w:bookmarkStart w:id="79" w:name="_Hlk234915917"/>
            <w:r>
              <w:rPr>
                <w:rFonts w:ascii="宋体" w:hAnsi="宋体"/>
                <w:bCs/>
                <w:color w:val="000000"/>
                <w:kern w:val="28"/>
                <w:sz w:val="18"/>
                <w:szCs w:val="18"/>
              </w:rPr>
              <w:t>液压挖掘机</w:t>
            </w:r>
          </w:p>
        </w:tc>
        <w:tc>
          <w:tcPr>
            <w:tcW w:w="1145" w:type="dxa"/>
            <w:noWrap/>
            <w:vAlign w:val="center"/>
          </w:tcPr>
          <w:p w14:paraId="5AFA75FF">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82~90</w:t>
            </w:r>
          </w:p>
        </w:tc>
        <w:tc>
          <w:tcPr>
            <w:tcW w:w="1261" w:type="dxa"/>
            <w:noWrap/>
            <w:vAlign w:val="center"/>
          </w:tcPr>
          <w:p w14:paraId="558D97D8">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78~86</w:t>
            </w:r>
          </w:p>
        </w:tc>
        <w:tc>
          <w:tcPr>
            <w:tcW w:w="1861" w:type="dxa"/>
            <w:noWrap/>
            <w:vAlign w:val="center"/>
          </w:tcPr>
          <w:p w14:paraId="34071C00">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打桩机</w:t>
            </w:r>
          </w:p>
        </w:tc>
        <w:tc>
          <w:tcPr>
            <w:tcW w:w="1145" w:type="dxa"/>
            <w:noWrap/>
            <w:vAlign w:val="center"/>
          </w:tcPr>
          <w:p w14:paraId="0FCA005F">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100~110</w:t>
            </w:r>
          </w:p>
        </w:tc>
        <w:tc>
          <w:tcPr>
            <w:tcW w:w="1261" w:type="dxa"/>
            <w:noWrap/>
            <w:vAlign w:val="center"/>
          </w:tcPr>
          <w:p w14:paraId="537D0438">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95~105</w:t>
            </w:r>
          </w:p>
        </w:tc>
      </w:tr>
      <w:tr w14:paraId="6D11A23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1603" w:type="dxa"/>
            <w:noWrap/>
            <w:vAlign w:val="center"/>
          </w:tcPr>
          <w:p w14:paraId="6D2171FF">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轮式装载机</w:t>
            </w:r>
          </w:p>
        </w:tc>
        <w:tc>
          <w:tcPr>
            <w:tcW w:w="1145" w:type="dxa"/>
            <w:noWrap/>
            <w:vAlign w:val="center"/>
          </w:tcPr>
          <w:p w14:paraId="371F2A5D">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90~95</w:t>
            </w:r>
          </w:p>
        </w:tc>
        <w:tc>
          <w:tcPr>
            <w:tcW w:w="1261" w:type="dxa"/>
            <w:noWrap/>
            <w:vAlign w:val="center"/>
          </w:tcPr>
          <w:p w14:paraId="41A90CD3">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85~91</w:t>
            </w:r>
          </w:p>
        </w:tc>
        <w:tc>
          <w:tcPr>
            <w:tcW w:w="1861" w:type="dxa"/>
            <w:noWrap/>
            <w:vAlign w:val="center"/>
          </w:tcPr>
          <w:p w14:paraId="0D5DC8BB">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静力压桩机</w:t>
            </w:r>
          </w:p>
        </w:tc>
        <w:tc>
          <w:tcPr>
            <w:tcW w:w="1145" w:type="dxa"/>
            <w:noWrap/>
            <w:vAlign w:val="center"/>
          </w:tcPr>
          <w:p w14:paraId="61EA6BBF">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70~75</w:t>
            </w:r>
          </w:p>
        </w:tc>
        <w:tc>
          <w:tcPr>
            <w:tcW w:w="1261" w:type="dxa"/>
            <w:noWrap/>
            <w:vAlign w:val="center"/>
          </w:tcPr>
          <w:p w14:paraId="793478F7">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68~73</w:t>
            </w:r>
          </w:p>
        </w:tc>
      </w:tr>
      <w:tr w14:paraId="4CE6E38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1603" w:type="dxa"/>
            <w:noWrap/>
            <w:vAlign w:val="center"/>
          </w:tcPr>
          <w:p w14:paraId="588966B5">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推土机</w:t>
            </w:r>
          </w:p>
        </w:tc>
        <w:tc>
          <w:tcPr>
            <w:tcW w:w="1145" w:type="dxa"/>
            <w:noWrap/>
            <w:vAlign w:val="center"/>
          </w:tcPr>
          <w:p w14:paraId="2A360D4A">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83~88</w:t>
            </w:r>
          </w:p>
        </w:tc>
        <w:tc>
          <w:tcPr>
            <w:tcW w:w="1261" w:type="dxa"/>
            <w:noWrap/>
            <w:vAlign w:val="center"/>
          </w:tcPr>
          <w:p w14:paraId="76A89A0F">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80~85</w:t>
            </w:r>
          </w:p>
        </w:tc>
        <w:tc>
          <w:tcPr>
            <w:tcW w:w="1861" w:type="dxa"/>
            <w:noWrap/>
            <w:vAlign w:val="center"/>
          </w:tcPr>
          <w:p w14:paraId="3D2B2AE9">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风镐</w:t>
            </w:r>
          </w:p>
        </w:tc>
        <w:tc>
          <w:tcPr>
            <w:tcW w:w="1145" w:type="dxa"/>
            <w:noWrap/>
            <w:vAlign w:val="center"/>
          </w:tcPr>
          <w:p w14:paraId="3C19F10E">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88~92</w:t>
            </w:r>
          </w:p>
        </w:tc>
        <w:tc>
          <w:tcPr>
            <w:tcW w:w="1261" w:type="dxa"/>
            <w:noWrap/>
            <w:vAlign w:val="center"/>
          </w:tcPr>
          <w:p w14:paraId="4A4179B5">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83~87</w:t>
            </w:r>
          </w:p>
        </w:tc>
      </w:tr>
      <w:tr w14:paraId="2B72AF42">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1603" w:type="dxa"/>
            <w:noWrap/>
            <w:vAlign w:val="center"/>
          </w:tcPr>
          <w:p w14:paraId="50B2A208">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移动式发电机</w:t>
            </w:r>
          </w:p>
        </w:tc>
        <w:tc>
          <w:tcPr>
            <w:tcW w:w="1145" w:type="dxa"/>
            <w:noWrap/>
            <w:vAlign w:val="center"/>
          </w:tcPr>
          <w:p w14:paraId="6FFEE266">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95~102</w:t>
            </w:r>
          </w:p>
        </w:tc>
        <w:tc>
          <w:tcPr>
            <w:tcW w:w="1261" w:type="dxa"/>
            <w:noWrap/>
            <w:vAlign w:val="center"/>
          </w:tcPr>
          <w:p w14:paraId="20404690">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90~98</w:t>
            </w:r>
          </w:p>
        </w:tc>
        <w:tc>
          <w:tcPr>
            <w:tcW w:w="1861" w:type="dxa"/>
            <w:noWrap/>
            <w:vAlign w:val="center"/>
          </w:tcPr>
          <w:p w14:paraId="5CDFBE2E">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混凝土输送泵</w:t>
            </w:r>
          </w:p>
        </w:tc>
        <w:tc>
          <w:tcPr>
            <w:tcW w:w="1145" w:type="dxa"/>
            <w:noWrap/>
            <w:vAlign w:val="center"/>
          </w:tcPr>
          <w:p w14:paraId="0E8FC993">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88~95</w:t>
            </w:r>
          </w:p>
        </w:tc>
        <w:tc>
          <w:tcPr>
            <w:tcW w:w="1261" w:type="dxa"/>
            <w:noWrap/>
            <w:vAlign w:val="center"/>
          </w:tcPr>
          <w:p w14:paraId="3D34BE3B">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84~90</w:t>
            </w:r>
          </w:p>
        </w:tc>
      </w:tr>
      <w:tr w14:paraId="4A5A896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1603" w:type="dxa"/>
            <w:noWrap/>
            <w:vAlign w:val="center"/>
          </w:tcPr>
          <w:p w14:paraId="69BA37F0">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各类压路机</w:t>
            </w:r>
          </w:p>
        </w:tc>
        <w:tc>
          <w:tcPr>
            <w:tcW w:w="1145" w:type="dxa"/>
            <w:noWrap/>
            <w:vAlign w:val="center"/>
          </w:tcPr>
          <w:p w14:paraId="2800DE89">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80~90</w:t>
            </w:r>
          </w:p>
        </w:tc>
        <w:tc>
          <w:tcPr>
            <w:tcW w:w="1261" w:type="dxa"/>
            <w:noWrap/>
            <w:vAlign w:val="center"/>
          </w:tcPr>
          <w:p w14:paraId="4465FA45">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76~86</w:t>
            </w:r>
          </w:p>
        </w:tc>
        <w:tc>
          <w:tcPr>
            <w:tcW w:w="1861" w:type="dxa"/>
            <w:noWrap/>
            <w:vAlign w:val="center"/>
          </w:tcPr>
          <w:p w14:paraId="173F145E">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商砼搅拌车</w:t>
            </w:r>
          </w:p>
        </w:tc>
        <w:tc>
          <w:tcPr>
            <w:tcW w:w="1145" w:type="dxa"/>
            <w:noWrap/>
            <w:vAlign w:val="center"/>
          </w:tcPr>
          <w:p w14:paraId="69FD11D1">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85~90</w:t>
            </w:r>
          </w:p>
        </w:tc>
        <w:tc>
          <w:tcPr>
            <w:tcW w:w="1261" w:type="dxa"/>
            <w:noWrap/>
            <w:vAlign w:val="center"/>
          </w:tcPr>
          <w:p w14:paraId="2CA17D8E">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82~84</w:t>
            </w:r>
          </w:p>
        </w:tc>
      </w:tr>
      <w:tr w14:paraId="7B5256E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1603" w:type="dxa"/>
            <w:noWrap/>
            <w:vAlign w:val="center"/>
          </w:tcPr>
          <w:p w14:paraId="0E550B15">
            <w:pPr>
              <w:widowControl/>
              <w:kinsoku w:val="0"/>
              <w:autoSpaceDE w:val="0"/>
              <w:autoSpaceDN w:val="0"/>
              <w:spacing w:line="240" w:lineRule="auto"/>
              <w:jc w:val="center"/>
              <w:textAlignment w:val="baseline"/>
              <w:outlineLvl w:val="1"/>
              <w:rPr>
                <w:bCs/>
                <w:color w:val="000000"/>
                <w:kern w:val="28"/>
                <w:sz w:val="18"/>
                <w:szCs w:val="18"/>
              </w:rPr>
            </w:pPr>
            <w:r>
              <w:rPr>
                <w:rFonts w:hint="eastAsia" w:ascii="宋体" w:hAnsi="宋体"/>
                <w:bCs/>
                <w:color w:val="000000"/>
                <w:kern w:val="28"/>
                <w:sz w:val="18"/>
                <w:szCs w:val="18"/>
              </w:rPr>
              <w:t>重型运输车</w:t>
            </w:r>
          </w:p>
        </w:tc>
        <w:tc>
          <w:tcPr>
            <w:tcW w:w="1145" w:type="dxa"/>
            <w:noWrap/>
            <w:vAlign w:val="center"/>
          </w:tcPr>
          <w:p w14:paraId="6F96EAFC">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82~90</w:t>
            </w:r>
          </w:p>
        </w:tc>
        <w:tc>
          <w:tcPr>
            <w:tcW w:w="1261" w:type="dxa"/>
            <w:noWrap/>
            <w:vAlign w:val="center"/>
          </w:tcPr>
          <w:p w14:paraId="0BC1B4E5">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78~86</w:t>
            </w:r>
          </w:p>
        </w:tc>
        <w:tc>
          <w:tcPr>
            <w:tcW w:w="1861" w:type="dxa"/>
            <w:noWrap/>
            <w:vAlign w:val="center"/>
          </w:tcPr>
          <w:p w14:paraId="214565AC">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混凝土振捣器</w:t>
            </w:r>
          </w:p>
        </w:tc>
        <w:tc>
          <w:tcPr>
            <w:tcW w:w="1145" w:type="dxa"/>
            <w:noWrap/>
            <w:vAlign w:val="center"/>
          </w:tcPr>
          <w:p w14:paraId="7E5A3EF6">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80~88</w:t>
            </w:r>
          </w:p>
        </w:tc>
        <w:tc>
          <w:tcPr>
            <w:tcW w:w="1261" w:type="dxa"/>
            <w:noWrap/>
            <w:vAlign w:val="center"/>
          </w:tcPr>
          <w:p w14:paraId="672E6E82">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75~84</w:t>
            </w:r>
          </w:p>
        </w:tc>
      </w:tr>
      <w:tr w14:paraId="72074EB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1603" w:type="dxa"/>
            <w:noWrap/>
            <w:vAlign w:val="center"/>
          </w:tcPr>
          <w:p w14:paraId="20DCC86B">
            <w:pPr>
              <w:widowControl/>
              <w:kinsoku w:val="0"/>
              <w:autoSpaceDE w:val="0"/>
              <w:autoSpaceDN w:val="0"/>
              <w:spacing w:line="240" w:lineRule="auto"/>
              <w:jc w:val="center"/>
              <w:textAlignment w:val="baseline"/>
              <w:outlineLvl w:val="1"/>
              <w:rPr>
                <w:rFonts w:hint="eastAsia" w:ascii="宋体" w:hAnsi="宋体"/>
                <w:bCs/>
                <w:color w:val="000000"/>
                <w:kern w:val="28"/>
                <w:sz w:val="18"/>
                <w:szCs w:val="18"/>
              </w:rPr>
            </w:pPr>
            <w:r>
              <w:rPr>
                <w:rFonts w:ascii="宋体" w:hAnsi="宋体"/>
                <w:bCs/>
                <w:color w:val="000000"/>
                <w:kern w:val="28"/>
                <w:sz w:val="18"/>
                <w:szCs w:val="18"/>
              </w:rPr>
              <w:t>木工电锯</w:t>
            </w:r>
          </w:p>
        </w:tc>
        <w:tc>
          <w:tcPr>
            <w:tcW w:w="1145" w:type="dxa"/>
            <w:noWrap/>
            <w:vAlign w:val="center"/>
          </w:tcPr>
          <w:p w14:paraId="510164F2">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93~99</w:t>
            </w:r>
          </w:p>
        </w:tc>
        <w:tc>
          <w:tcPr>
            <w:tcW w:w="1261" w:type="dxa"/>
            <w:noWrap/>
            <w:vAlign w:val="center"/>
          </w:tcPr>
          <w:p w14:paraId="3D8A7AF8">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90~95</w:t>
            </w:r>
          </w:p>
        </w:tc>
        <w:tc>
          <w:tcPr>
            <w:tcW w:w="1861" w:type="dxa"/>
            <w:noWrap/>
            <w:vAlign w:val="center"/>
          </w:tcPr>
          <w:p w14:paraId="049C5AE2">
            <w:pPr>
              <w:widowControl/>
              <w:kinsoku w:val="0"/>
              <w:autoSpaceDE w:val="0"/>
              <w:autoSpaceDN w:val="0"/>
              <w:spacing w:line="240" w:lineRule="auto"/>
              <w:jc w:val="center"/>
              <w:textAlignment w:val="baseline"/>
              <w:outlineLvl w:val="1"/>
              <w:rPr>
                <w:rFonts w:hint="eastAsia" w:ascii="宋体" w:hAnsi="宋体"/>
                <w:bCs/>
                <w:color w:val="000000"/>
                <w:kern w:val="28"/>
                <w:sz w:val="18"/>
                <w:szCs w:val="18"/>
              </w:rPr>
            </w:pPr>
            <w:r>
              <w:rPr>
                <w:rFonts w:ascii="宋体" w:hAnsi="宋体"/>
                <w:bCs/>
                <w:color w:val="000000"/>
                <w:kern w:val="28"/>
                <w:sz w:val="18"/>
                <w:szCs w:val="18"/>
              </w:rPr>
              <w:t>云石机、角磨机</w:t>
            </w:r>
          </w:p>
        </w:tc>
        <w:tc>
          <w:tcPr>
            <w:tcW w:w="1145" w:type="dxa"/>
            <w:noWrap/>
            <w:vAlign w:val="center"/>
          </w:tcPr>
          <w:p w14:paraId="7D573AF5">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90~96</w:t>
            </w:r>
          </w:p>
        </w:tc>
        <w:tc>
          <w:tcPr>
            <w:tcW w:w="1261" w:type="dxa"/>
            <w:noWrap/>
            <w:vAlign w:val="center"/>
          </w:tcPr>
          <w:p w14:paraId="167DC550">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84~90</w:t>
            </w:r>
          </w:p>
        </w:tc>
      </w:tr>
      <w:tr w14:paraId="6A9ED5C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15" w:type="dxa"/>
            <w:left w:w="15" w:type="dxa"/>
            <w:bottom w:w="15" w:type="dxa"/>
            <w:right w:w="15" w:type="dxa"/>
          </w:tblCellMar>
        </w:tblPrEx>
        <w:trPr>
          <w:trHeight w:val="340" w:hRule="atLeast"/>
          <w:jc w:val="center"/>
        </w:trPr>
        <w:tc>
          <w:tcPr>
            <w:tcW w:w="1603" w:type="dxa"/>
            <w:noWrap/>
            <w:vAlign w:val="center"/>
          </w:tcPr>
          <w:p w14:paraId="1D64060C">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电锤</w:t>
            </w:r>
          </w:p>
        </w:tc>
        <w:tc>
          <w:tcPr>
            <w:tcW w:w="1145" w:type="dxa"/>
            <w:noWrap/>
            <w:vAlign w:val="center"/>
          </w:tcPr>
          <w:p w14:paraId="2148B122">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100~105</w:t>
            </w:r>
          </w:p>
        </w:tc>
        <w:tc>
          <w:tcPr>
            <w:tcW w:w="1261" w:type="dxa"/>
            <w:noWrap/>
            <w:vAlign w:val="center"/>
          </w:tcPr>
          <w:p w14:paraId="7CC036B8">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95~99</w:t>
            </w:r>
          </w:p>
        </w:tc>
        <w:tc>
          <w:tcPr>
            <w:tcW w:w="4267" w:type="dxa"/>
            <w:gridSpan w:val="3"/>
            <w:noWrap/>
            <w:vAlign w:val="center"/>
          </w:tcPr>
          <w:p w14:paraId="64033897">
            <w:pPr>
              <w:widowControl/>
              <w:kinsoku w:val="0"/>
              <w:autoSpaceDE w:val="0"/>
              <w:autoSpaceDN w:val="0"/>
              <w:spacing w:line="240" w:lineRule="auto"/>
              <w:jc w:val="center"/>
              <w:textAlignment w:val="baseline"/>
              <w:outlineLvl w:val="1"/>
              <w:rPr>
                <w:bCs/>
                <w:color w:val="000000"/>
                <w:kern w:val="28"/>
                <w:sz w:val="18"/>
                <w:szCs w:val="18"/>
              </w:rPr>
            </w:pPr>
          </w:p>
        </w:tc>
      </w:tr>
      <w:bookmarkEnd w:id="79"/>
    </w:tbl>
    <w:p w14:paraId="35E8BC61">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2</w:t>
      </w:r>
      <w:r>
        <w:rPr>
          <w:rFonts w:ascii="宋体" w:hAnsi="宋体"/>
          <w:b/>
          <w:bCs/>
          <w:color w:val="000000"/>
          <w:kern w:val="0"/>
          <w:szCs w:val="21"/>
        </w:rPr>
        <w:t>、运营期噪声</w:t>
      </w:r>
    </w:p>
    <w:p w14:paraId="3C8FA197">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本项目营运期噪声为车辆行驶产生的交通噪声。交通噪声大小与交通量的大小密切相关，同时又取决于车辆类型和运行车辆车况。</w:t>
      </w:r>
    </w:p>
    <w:p w14:paraId="6D36FB37">
      <w:pPr>
        <w:ind w:firstLine="420" w:firstLineChars="200"/>
      </w:pPr>
      <w:r>
        <w:t>根据本工程项目设计单位给出的建成后各预测年的小时均车流量（见</w:t>
      </w:r>
      <w:r>
        <w:rPr>
          <w:rFonts w:hint="eastAsia"/>
        </w:rPr>
        <w:fldChar w:fldCharType="begin"/>
      </w:r>
      <w:r>
        <w:rPr>
          <w:rFonts w:hint="eastAsia"/>
        </w:rPr>
        <w:instrText xml:space="preserve"> </w:instrText>
      </w:r>
      <w:r>
        <w:instrText xml:space="preserve">REF _Ref233212998 \h</w:instrText>
      </w:r>
      <w:r>
        <w:rPr>
          <w:rFonts w:hint="eastAsia"/>
        </w:rPr>
        <w:instrText xml:space="preserve">  \* MERGEFORMAT </w:instrText>
      </w:r>
      <w:r>
        <w:rPr>
          <w:rFonts w:hint="eastAsia"/>
        </w:rPr>
        <w:fldChar w:fldCharType="separate"/>
      </w:r>
      <w:r>
        <w:t>专项表 4</w:t>
      </w:r>
      <w:r>
        <w:rPr>
          <w:rFonts w:hint="eastAsia"/>
        </w:rPr>
        <w:fldChar w:fldCharType="end"/>
      </w:r>
      <w:r>
        <w:t>）及各预测年车型比例（见</w:t>
      </w:r>
      <w:r>
        <w:rPr>
          <w:rFonts w:hint="eastAsia"/>
        </w:rPr>
        <w:fldChar w:fldCharType="begin"/>
      </w:r>
      <w:r>
        <w:rPr>
          <w:rFonts w:hint="eastAsia"/>
        </w:rPr>
        <w:instrText xml:space="preserve"> </w:instrText>
      </w:r>
      <w:r>
        <w:instrText xml:space="preserve">REF _Ref233640111 \h</w:instrText>
      </w:r>
      <w:r>
        <w:rPr>
          <w:rFonts w:hint="eastAsia"/>
        </w:rPr>
        <w:instrText xml:space="preserve">  \* MERGEFORMAT </w:instrText>
      </w:r>
      <w:r>
        <w:rPr>
          <w:rFonts w:hint="eastAsia"/>
        </w:rPr>
        <w:fldChar w:fldCharType="separate"/>
      </w:r>
      <w:r>
        <w:t>专项表 7</w:t>
      </w:r>
      <w:r>
        <w:rPr>
          <w:rFonts w:hint="eastAsia"/>
        </w:rPr>
        <w:fldChar w:fldCharType="end"/>
      </w:r>
      <w:r>
        <w:t>）。根据可研资料中建设工期，预计202</w:t>
      </w:r>
      <w:r>
        <w:rPr>
          <w:rFonts w:hint="eastAsia"/>
        </w:rPr>
        <w:t>7</w:t>
      </w:r>
      <w:r>
        <w:t>年完成项目的施工，本环评报告选取投入运营后第1年（2027年）为近期，第7年（2033年）为中期，第15年（2041年）为远期，对本工程运营期进行预测评价。通过高峰小时系数法将小时均车流量换算为日均车流量</w:t>
      </w:r>
      <w:r>
        <w:rPr>
          <w:rFonts w:hint="eastAsia"/>
        </w:rPr>
        <w:t>，之后</w:t>
      </w:r>
      <w:r>
        <w:t>通过内插法计算</w:t>
      </w:r>
      <w:r>
        <w:rPr>
          <w:rFonts w:hint="eastAsia"/>
        </w:rPr>
        <w:t>得到</w:t>
      </w:r>
      <w:r>
        <w:t>本环评评价</w:t>
      </w:r>
      <w:r>
        <w:rPr>
          <w:rFonts w:hint="eastAsia"/>
        </w:rPr>
        <w:t>特征年的</w:t>
      </w:r>
      <w:r>
        <w:t>年交通量。本项目昼间小时均车流量与夜间小时均车流量</w:t>
      </w:r>
      <w:r>
        <w:rPr>
          <w:rFonts w:hint="eastAsia"/>
        </w:rPr>
        <w:t>均由交通工程设计方预测计算所得</w:t>
      </w:r>
      <w:r>
        <w:t>，</w:t>
      </w:r>
      <w:r>
        <w:rPr>
          <w:rFonts w:hint="eastAsia"/>
        </w:rPr>
        <w:t>昼间按</w:t>
      </w:r>
      <w:r>
        <w:t>16</w:t>
      </w:r>
      <w:r>
        <w:rPr>
          <w:rFonts w:hint="eastAsia"/>
        </w:rPr>
        <w:t>小时计（昼间指早</w:t>
      </w:r>
      <w:r>
        <w:t>6:00</w:t>
      </w:r>
      <w:r>
        <w:rPr>
          <w:rFonts w:hint="eastAsia"/>
        </w:rPr>
        <w:t>－晚</w:t>
      </w:r>
      <w:r>
        <w:t>22:00</w:t>
      </w:r>
      <w:r>
        <w:rPr>
          <w:rFonts w:hint="eastAsia"/>
        </w:rPr>
        <w:t>），夜间按</w:t>
      </w:r>
      <w:r>
        <w:t>8</w:t>
      </w:r>
      <w:r>
        <w:rPr>
          <w:rFonts w:hint="eastAsia"/>
        </w:rPr>
        <w:t>小时计（夜间指晚</w:t>
      </w:r>
      <w:r>
        <w:t>22:00</w:t>
      </w:r>
      <w:r>
        <w:rPr>
          <w:rFonts w:hint="eastAsia"/>
        </w:rPr>
        <w:t>～早</w:t>
      </w:r>
      <w:r>
        <w:t>6:00</w:t>
      </w:r>
      <w:r>
        <w:rPr>
          <w:rFonts w:hint="eastAsia"/>
        </w:rPr>
        <w:t>）</w:t>
      </w:r>
      <w:r>
        <w:t>，</w:t>
      </w:r>
      <w:r>
        <w:rPr>
          <w:rFonts w:hint="eastAsia"/>
        </w:rPr>
        <w:t>高峰小时车流量按全天</w:t>
      </w:r>
      <w:r>
        <w:t>10%</w:t>
      </w:r>
      <w:r>
        <w:rPr>
          <w:rFonts w:hint="eastAsia"/>
        </w:rPr>
        <w:t>计</w:t>
      </w:r>
      <w:r>
        <w:t>。根据上述交通量推得</w:t>
      </w:r>
      <w:r>
        <w:rPr>
          <w:rFonts w:hint="eastAsia"/>
        </w:rPr>
        <w:t>专项表8</w:t>
      </w:r>
      <w:r>
        <w:t>昼、夜平均小时车流量预测结果，结合《环境影响评价技术导则 声环境》（HJ 2.4—2021）附录</w:t>
      </w:r>
      <w:r>
        <w:rPr>
          <w:rFonts w:hint="eastAsia"/>
        </w:rPr>
        <w:t>B</w:t>
      </w:r>
      <w:r>
        <w:t>公路</w:t>
      </w:r>
      <w:r>
        <w:rPr>
          <w:rFonts w:hint="eastAsia"/>
        </w:rPr>
        <w:t>（道路）</w:t>
      </w:r>
      <w:r>
        <w:t>交通噪声预测</w:t>
      </w:r>
      <w:r>
        <w:rPr>
          <w:rFonts w:hint="eastAsia"/>
        </w:rPr>
        <w:t>模型</w:t>
      </w:r>
      <w:r>
        <w:t>最终得到</w:t>
      </w:r>
      <w:r>
        <w:rPr>
          <w:rFonts w:hint="eastAsia"/>
        </w:rPr>
        <w:fldChar w:fldCharType="begin"/>
      </w:r>
      <w:r>
        <w:rPr>
          <w:rFonts w:hint="eastAsia"/>
        </w:rPr>
        <w:instrText xml:space="preserve"> </w:instrText>
      </w:r>
      <w:r>
        <w:instrText xml:space="preserve">REF _Ref233702764 \h</w:instrText>
      </w:r>
      <w:r>
        <w:rPr>
          <w:rFonts w:hint="eastAsia"/>
        </w:rPr>
        <w:instrText xml:space="preserve">  \* MERGEFORMAT </w:instrText>
      </w:r>
      <w:r>
        <w:rPr>
          <w:rFonts w:hint="eastAsia"/>
        </w:rPr>
        <w:fldChar w:fldCharType="separate"/>
      </w:r>
      <w:r>
        <w:t>专项表 9</w:t>
      </w:r>
      <w:r>
        <w:rPr>
          <w:rFonts w:hint="eastAsia"/>
        </w:rPr>
        <w:fldChar w:fldCharType="end"/>
      </w:r>
      <w:r>
        <w:t>各车型声源强。</w:t>
      </w:r>
    </w:p>
    <w:p w14:paraId="71505341">
      <w:pPr>
        <w:pStyle w:val="9"/>
        <w:spacing w:before="212"/>
      </w:pPr>
      <w:bookmarkStart w:id="80" w:name="_Ref233212998"/>
      <w:r>
        <w:t xml:space="preserve">专项表 </w:t>
      </w:r>
      <w:r>
        <w:fldChar w:fldCharType="begin"/>
      </w:r>
      <w:r>
        <w:instrText xml:space="preserve"> SEQ 专项表 \* ARABIC </w:instrText>
      </w:r>
      <w:r>
        <w:fldChar w:fldCharType="separate"/>
      </w:r>
      <w:r>
        <w:t>4</w:t>
      </w:r>
      <w:r>
        <w:fldChar w:fldCharType="end"/>
      </w:r>
      <w:bookmarkEnd w:id="80"/>
      <w:r>
        <w:t>初步设计特征年路段高峰小时交通量预测表（pcu/h）</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051"/>
        <w:gridCol w:w="1459"/>
        <w:gridCol w:w="1312"/>
        <w:gridCol w:w="1316"/>
        <w:gridCol w:w="1384"/>
      </w:tblGrid>
      <w:tr w14:paraId="0CEDF9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90" w:type="pct"/>
            <w:vMerge w:val="restart"/>
            <w:tcBorders>
              <w:top w:val="single" w:color="auto" w:sz="12" w:space="0"/>
              <w:left w:val="single" w:color="auto" w:sz="12" w:space="0"/>
              <w:bottom w:val="single" w:color="auto" w:sz="4" w:space="0"/>
              <w:right w:val="single" w:color="auto" w:sz="4" w:space="0"/>
            </w:tcBorders>
            <w:vAlign w:val="center"/>
          </w:tcPr>
          <w:p w14:paraId="3196E292">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路段</w:t>
            </w:r>
          </w:p>
        </w:tc>
        <w:tc>
          <w:tcPr>
            <w:tcW w:w="3210" w:type="pct"/>
            <w:gridSpan w:val="4"/>
            <w:tcBorders>
              <w:top w:val="single" w:color="auto" w:sz="12" w:space="0"/>
              <w:left w:val="single" w:color="auto" w:sz="4" w:space="0"/>
              <w:bottom w:val="single" w:color="auto" w:sz="4" w:space="0"/>
              <w:right w:val="single" w:color="auto" w:sz="12" w:space="0"/>
            </w:tcBorders>
            <w:vAlign w:val="center"/>
          </w:tcPr>
          <w:p w14:paraId="047EBB8E">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特征年</w:t>
            </w:r>
          </w:p>
        </w:tc>
      </w:tr>
      <w:tr w14:paraId="3AD6C2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90" w:type="pct"/>
            <w:vMerge w:val="continue"/>
            <w:tcBorders>
              <w:top w:val="single" w:color="auto" w:sz="8" w:space="0"/>
              <w:left w:val="single" w:color="auto" w:sz="12" w:space="0"/>
              <w:bottom w:val="single" w:color="auto" w:sz="4" w:space="0"/>
              <w:right w:val="single" w:color="auto" w:sz="4" w:space="0"/>
            </w:tcBorders>
            <w:vAlign w:val="center"/>
          </w:tcPr>
          <w:p w14:paraId="207AFF7E">
            <w:pPr>
              <w:widowControl/>
              <w:adjustRightInd/>
              <w:snapToGrid/>
              <w:spacing w:line="240" w:lineRule="auto"/>
              <w:jc w:val="left"/>
              <w:rPr>
                <w:b/>
                <w:bCs/>
                <w:color w:val="000000"/>
                <w:kern w:val="28"/>
                <w:sz w:val="18"/>
                <w:szCs w:val="18"/>
              </w:rPr>
            </w:pPr>
          </w:p>
        </w:tc>
        <w:tc>
          <w:tcPr>
            <w:tcW w:w="856" w:type="pct"/>
            <w:tcBorders>
              <w:top w:val="single" w:color="auto" w:sz="4" w:space="0"/>
              <w:left w:val="single" w:color="auto" w:sz="4" w:space="0"/>
              <w:bottom w:val="single" w:color="auto" w:sz="4" w:space="0"/>
              <w:right w:val="single" w:color="auto" w:sz="4" w:space="0"/>
            </w:tcBorders>
            <w:vAlign w:val="center"/>
          </w:tcPr>
          <w:p w14:paraId="29A84776">
            <w:pPr>
              <w:widowControl/>
              <w:kinsoku w:val="0"/>
              <w:autoSpaceDE w:val="0"/>
              <w:autoSpaceDN w:val="0"/>
              <w:spacing w:line="240" w:lineRule="auto"/>
              <w:jc w:val="center"/>
              <w:textAlignment w:val="baseline"/>
              <w:outlineLvl w:val="1"/>
              <w:rPr>
                <w:b/>
                <w:color w:val="000000"/>
                <w:kern w:val="28"/>
                <w:sz w:val="18"/>
                <w:szCs w:val="18"/>
              </w:rPr>
            </w:pPr>
            <w:r>
              <w:rPr>
                <w:rFonts w:hint="eastAsia"/>
                <w:b/>
                <w:color w:val="000000"/>
                <w:kern w:val="28"/>
                <w:sz w:val="18"/>
                <w:szCs w:val="18"/>
              </w:rPr>
              <w:t>2027</w:t>
            </w:r>
          </w:p>
        </w:tc>
        <w:tc>
          <w:tcPr>
            <w:tcW w:w="770" w:type="pct"/>
            <w:tcBorders>
              <w:top w:val="single" w:color="auto" w:sz="4" w:space="0"/>
              <w:left w:val="single" w:color="auto" w:sz="4" w:space="0"/>
              <w:bottom w:val="single" w:color="auto" w:sz="4" w:space="0"/>
              <w:right w:val="single" w:color="auto" w:sz="4" w:space="0"/>
            </w:tcBorders>
            <w:vAlign w:val="center"/>
          </w:tcPr>
          <w:p w14:paraId="37CA46AB">
            <w:pPr>
              <w:widowControl/>
              <w:kinsoku w:val="0"/>
              <w:autoSpaceDE w:val="0"/>
              <w:autoSpaceDN w:val="0"/>
              <w:spacing w:line="240" w:lineRule="auto"/>
              <w:jc w:val="center"/>
              <w:textAlignment w:val="baseline"/>
              <w:outlineLvl w:val="1"/>
              <w:rPr>
                <w:b/>
                <w:color w:val="000000"/>
                <w:kern w:val="28"/>
                <w:sz w:val="18"/>
                <w:szCs w:val="18"/>
              </w:rPr>
            </w:pPr>
            <w:r>
              <w:rPr>
                <w:rFonts w:hint="eastAsia"/>
                <w:b/>
                <w:color w:val="000000"/>
                <w:kern w:val="28"/>
                <w:sz w:val="18"/>
                <w:szCs w:val="18"/>
              </w:rPr>
              <w:t>2032</w:t>
            </w:r>
          </w:p>
        </w:tc>
        <w:tc>
          <w:tcPr>
            <w:tcW w:w="772" w:type="pct"/>
            <w:tcBorders>
              <w:top w:val="single" w:color="auto" w:sz="4" w:space="0"/>
              <w:left w:val="single" w:color="auto" w:sz="4" w:space="0"/>
              <w:bottom w:val="single" w:color="auto" w:sz="4" w:space="0"/>
              <w:right w:val="single" w:color="auto" w:sz="4" w:space="0"/>
            </w:tcBorders>
            <w:vAlign w:val="center"/>
          </w:tcPr>
          <w:p w14:paraId="6605EEED">
            <w:pPr>
              <w:widowControl/>
              <w:kinsoku w:val="0"/>
              <w:autoSpaceDE w:val="0"/>
              <w:autoSpaceDN w:val="0"/>
              <w:spacing w:line="240" w:lineRule="auto"/>
              <w:jc w:val="center"/>
              <w:textAlignment w:val="baseline"/>
              <w:outlineLvl w:val="1"/>
              <w:rPr>
                <w:b/>
                <w:color w:val="000000"/>
                <w:kern w:val="28"/>
                <w:sz w:val="18"/>
                <w:szCs w:val="18"/>
              </w:rPr>
            </w:pPr>
            <w:r>
              <w:rPr>
                <w:rFonts w:hint="eastAsia"/>
                <w:b/>
                <w:color w:val="000000"/>
                <w:kern w:val="28"/>
                <w:sz w:val="18"/>
                <w:szCs w:val="18"/>
              </w:rPr>
              <w:t>2037</w:t>
            </w:r>
          </w:p>
        </w:tc>
        <w:tc>
          <w:tcPr>
            <w:tcW w:w="813" w:type="pct"/>
            <w:tcBorders>
              <w:top w:val="single" w:color="auto" w:sz="4" w:space="0"/>
              <w:left w:val="single" w:color="auto" w:sz="4" w:space="0"/>
              <w:bottom w:val="single" w:color="auto" w:sz="4" w:space="0"/>
              <w:right w:val="single" w:color="auto" w:sz="12" w:space="0"/>
            </w:tcBorders>
            <w:vAlign w:val="center"/>
          </w:tcPr>
          <w:p w14:paraId="0CABEE04">
            <w:pPr>
              <w:widowControl/>
              <w:kinsoku w:val="0"/>
              <w:autoSpaceDE w:val="0"/>
              <w:autoSpaceDN w:val="0"/>
              <w:spacing w:line="240" w:lineRule="auto"/>
              <w:jc w:val="center"/>
              <w:textAlignment w:val="baseline"/>
              <w:outlineLvl w:val="1"/>
              <w:rPr>
                <w:b/>
                <w:color w:val="000000"/>
                <w:kern w:val="28"/>
                <w:sz w:val="18"/>
                <w:szCs w:val="18"/>
              </w:rPr>
            </w:pPr>
            <w:r>
              <w:rPr>
                <w:rFonts w:hint="eastAsia"/>
                <w:b/>
                <w:color w:val="000000"/>
                <w:kern w:val="28"/>
                <w:sz w:val="18"/>
                <w:szCs w:val="18"/>
              </w:rPr>
              <w:t>2042</w:t>
            </w:r>
          </w:p>
        </w:tc>
      </w:tr>
      <w:tr w14:paraId="5BBEB1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90" w:type="pct"/>
            <w:tcBorders>
              <w:top w:val="single" w:color="auto" w:sz="4" w:space="0"/>
              <w:left w:val="single" w:color="auto" w:sz="12" w:space="0"/>
              <w:bottom w:val="single" w:color="auto" w:sz="12" w:space="0"/>
              <w:right w:val="single" w:color="auto" w:sz="4" w:space="0"/>
            </w:tcBorders>
            <w:vAlign w:val="center"/>
          </w:tcPr>
          <w:p w14:paraId="5BFE1643">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青西二路（江东大道-河景路）</w:t>
            </w:r>
          </w:p>
        </w:tc>
        <w:tc>
          <w:tcPr>
            <w:tcW w:w="856" w:type="pct"/>
            <w:tcBorders>
              <w:top w:val="single" w:color="auto" w:sz="4" w:space="0"/>
              <w:left w:val="single" w:color="auto" w:sz="4" w:space="0"/>
              <w:bottom w:val="single" w:color="auto" w:sz="12" w:space="0"/>
              <w:right w:val="single" w:color="auto" w:sz="4" w:space="0"/>
            </w:tcBorders>
            <w:vAlign w:val="center"/>
          </w:tcPr>
          <w:p w14:paraId="3DA8E5DA">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1104</w:t>
            </w:r>
          </w:p>
        </w:tc>
        <w:tc>
          <w:tcPr>
            <w:tcW w:w="770" w:type="pct"/>
            <w:tcBorders>
              <w:top w:val="single" w:color="auto" w:sz="4" w:space="0"/>
              <w:left w:val="single" w:color="auto" w:sz="4" w:space="0"/>
              <w:bottom w:val="single" w:color="auto" w:sz="12" w:space="0"/>
              <w:right w:val="single" w:color="auto" w:sz="4" w:space="0"/>
            </w:tcBorders>
            <w:vAlign w:val="center"/>
          </w:tcPr>
          <w:p w14:paraId="1386AA0D">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1279</w:t>
            </w:r>
          </w:p>
        </w:tc>
        <w:tc>
          <w:tcPr>
            <w:tcW w:w="772" w:type="pct"/>
            <w:tcBorders>
              <w:top w:val="single" w:color="auto" w:sz="4" w:space="0"/>
              <w:left w:val="single" w:color="auto" w:sz="4" w:space="0"/>
              <w:bottom w:val="single" w:color="auto" w:sz="12" w:space="0"/>
              <w:right w:val="single" w:color="auto" w:sz="4" w:space="0"/>
            </w:tcBorders>
            <w:vAlign w:val="center"/>
          </w:tcPr>
          <w:p w14:paraId="30365DA3">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1448</w:t>
            </w:r>
          </w:p>
        </w:tc>
        <w:tc>
          <w:tcPr>
            <w:tcW w:w="813" w:type="pct"/>
            <w:tcBorders>
              <w:top w:val="single" w:color="auto" w:sz="4" w:space="0"/>
              <w:left w:val="single" w:color="auto" w:sz="4" w:space="0"/>
              <w:bottom w:val="single" w:color="auto" w:sz="12" w:space="0"/>
              <w:right w:val="single" w:color="auto" w:sz="12" w:space="0"/>
            </w:tcBorders>
            <w:vAlign w:val="center"/>
          </w:tcPr>
          <w:p w14:paraId="30B2F06F">
            <w:pPr>
              <w:keepNext/>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1638</w:t>
            </w:r>
          </w:p>
        </w:tc>
      </w:tr>
    </w:tbl>
    <w:p w14:paraId="50CEEE67">
      <w:bookmarkStart w:id="81" w:name="_Ref176181550"/>
      <w:bookmarkEnd w:id="81"/>
      <w:bookmarkStart w:id="82" w:name="_Ref233702150"/>
    </w:p>
    <w:p w14:paraId="21F5464F">
      <w:pPr>
        <w:pStyle w:val="9"/>
        <w:spacing w:before="212"/>
      </w:pPr>
      <w:r>
        <w:t xml:space="preserve">专项表 </w:t>
      </w:r>
      <w:r>
        <w:fldChar w:fldCharType="begin"/>
      </w:r>
      <w:r>
        <w:instrText xml:space="preserve"> SEQ 专项表 \* ARABIC </w:instrText>
      </w:r>
      <w:r>
        <w:fldChar w:fldCharType="separate"/>
      </w:r>
      <w:r>
        <w:t>5</w:t>
      </w:r>
      <w:r>
        <w:fldChar w:fldCharType="end"/>
      </w:r>
      <w:bookmarkEnd w:id="82"/>
      <w:r>
        <w:t>本环评特征年路段交通量预测表（pcu/d）</w:t>
      </w:r>
    </w:p>
    <w:tbl>
      <w:tblPr>
        <w:tblStyle w:val="30"/>
        <w:tblW w:w="4998" w:type="pct"/>
        <w:jc w:val="center"/>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634"/>
        <w:gridCol w:w="1605"/>
        <w:gridCol w:w="1603"/>
        <w:gridCol w:w="1677"/>
      </w:tblGrid>
      <w:tr w14:paraId="056C3870">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3" w:type="pct"/>
            <w:vMerge w:val="restart"/>
            <w:vAlign w:val="center"/>
          </w:tcPr>
          <w:p w14:paraId="59970669">
            <w:pPr>
              <w:widowControl/>
              <w:kinsoku w:val="0"/>
              <w:autoSpaceDE w:val="0"/>
              <w:autoSpaceDN w:val="0"/>
              <w:spacing w:line="312" w:lineRule="auto"/>
              <w:jc w:val="center"/>
              <w:textAlignment w:val="baseline"/>
              <w:outlineLvl w:val="1"/>
              <w:rPr>
                <w:b/>
                <w:bCs/>
                <w:color w:val="000000"/>
                <w:kern w:val="28"/>
                <w:sz w:val="18"/>
                <w:szCs w:val="18"/>
              </w:rPr>
            </w:pPr>
            <w:r>
              <w:rPr>
                <w:rFonts w:ascii="宋体" w:hAnsi="宋体"/>
                <w:b/>
                <w:bCs/>
                <w:color w:val="000000"/>
                <w:kern w:val="28"/>
                <w:sz w:val="18"/>
                <w:szCs w:val="18"/>
              </w:rPr>
              <w:t>路段</w:t>
            </w:r>
          </w:p>
        </w:tc>
        <w:tc>
          <w:tcPr>
            <w:tcW w:w="2867" w:type="pct"/>
            <w:gridSpan w:val="3"/>
            <w:vAlign w:val="center"/>
          </w:tcPr>
          <w:p w14:paraId="11DDCF73">
            <w:pPr>
              <w:widowControl/>
              <w:kinsoku w:val="0"/>
              <w:autoSpaceDE w:val="0"/>
              <w:autoSpaceDN w:val="0"/>
              <w:spacing w:line="312" w:lineRule="auto"/>
              <w:jc w:val="center"/>
              <w:textAlignment w:val="baseline"/>
              <w:outlineLvl w:val="1"/>
              <w:rPr>
                <w:b/>
                <w:bCs/>
                <w:color w:val="000000"/>
                <w:kern w:val="28"/>
                <w:sz w:val="18"/>
                <w:szCs w:val="18"/>
              </w:rPr>
            </w:pPr>
            <w:r>
              <w:rPr>
                <w:rFonts w:ascii="宋体" w:hAnsi="宋体"/>
                <w:b/>
                <w:bCs/>
                <w:color w:val="000000"/>
                <w:kern w:val="28"/>
                <w:sz w:val="18"/>
                <w:szCs w:val="18"/>
              </w:rPr>
              <w:t>特征年</w:t>
            </w:r>
          </w:p>
        </w:tc>
      </w:tr>
      <w:tr w14:paraId="4B0AC37D">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3" w:type="pct"/>
            <w:vMerge w:val="continue"/>
            <w:vAlign w:val="center"/>
          </w:tcPr>
          <w:p w14:paraId="23BDC302">
            <w:pPr>
              <w:widowControl/>
              <w:adjustRightInd/>
              <w:snapToGrid/>
              <w:spacing w:line="240" w:lineRule="auto"/>
              <w:jc w:val="left"/>
              <w:rPr>
                <w:b/>
                <w:bCs/>
                <w:color w:val="000000"/>
                <w:kern w:val="28"/>
                <w:sz w:val="18"/>
                <w:szCs w:val="18"/>
              </w:rPr>
            </w:pPr>
          </w:p>
        </w:tc>
        <w:tc>
          <w:tcPr>
            <w:tcW w:w="942" w:type="pct"/>
            <w:vAlign w:val="center"/>
          </w:tcPr>
          <w:p w14:paraId="41EEDE8C">
            <w:pPr>
              <w:widowControl/>
              <w:kinsoku w:val="0"/>
              <w:autoSpaceDE w:val="0"/>
              <w:autoSpaceDN w:val="0"/>
              <w:spacing w:line="312" w:lineRule="auto"/>
              <w:jc w:val="center"/>
              <w:textAlignment w:val="baseline"/>
              <w:outlineLvl w:val="1"/>
              <w:rPr>
                <w:bCs/>
                <w:color w:val="000000"/>
                <w:kern w:val="28"/>
                <w:sz w:val="18"/>
                <w:szCs w:val="18"/>
              </w:rPr>
            </w:pPr>
            <w:r>
              <w:rPr>
                <w:bCs/>
                <w:color w:val="000000"/>
                <w:kern w:val="28"/>
                <w:sz w:val="18"/>
                <w:szCs w:val="18"/>
              </w:rPr>
              <w:t>202</w:t>
            </w:r>
            <w:r>
              <w:rPr>
                <w:rFonts w:hint="eastAsia"/>
                <w:bCs/>
                <w:color w:val="000000"/>
                <w:kern w:val="28"/>
                <w:sz w:val="18"/>
                <w:szCs w:val="18"/>
              </w:rPr>
              <w:t>7</w:t>
            </w:r>
          </w:p>
        </w:tc>
        <w:tc>
          <w:tcPr>
            <w:tcW w:w="941" w:type="pct"/>
            <w:vAlign w:val="center"/>
          </w:tcPr>
          <w:p w14:paraId="03DC6AE4">
            <w:pPr>
              <w:widowControl/>
              <w:kinsoku w:val="0"/>
              <w:autoSpaceDE w:val="0"/>
              <w:autoSpaceDN w:val="0"/>
              <w:spacing w:line="312" w:lineRule="auto"/>
              <w:jc w:val="center"/>
              <w:textAlignment w:val="baseline"/>
              <w:outlineLvl w:val="1"/>
              <w:rPr>
                <w:bCs/>
                <w:color w:val="000000"/>
                <w:kern w:val="28"/>
                <w:sz w:val="18"/>
                <w:szCs w:val="18"/>
              </w:rPr>
            </w:pPr>
            <w:r>
              <w:rPr>
                <w:rFonts w:hint="eastAsia"/>
                <w:bCs/>
                <w:color w:val="000000"/>
                <w:kern w:val="28"/>
                <w:sz w:val="18"/>
                <w:szCs w:val="18"/>
              </w:rPr>
              <w:t>2033</w:t>
            </w:r>
          </w:p>
        </w:tc>
        <w:tc>
          <w:tcPr>
            <w:tcW w:w="984" w:type="pct"/>
            <w:vAlign w:val="center"/>
          </w:tcPr>
          <w:p w14:paraId="39FD71FD">
            <w:pPr>
              <w:widowControl/>
              <w:kinsoku w:val="0"/>
              <w:autoSpaceDE w:val="0"/>
              <w:autoSpaceDN w:val="0"/>
              <w:spacing w:line="312" w:lineRule="auto"/>
              <w:jc w:val="center"/>
              <w:textAlignment w:val="baseline"/>
              <w:outlineLvl w:val="1"/>
              <w:rPr>
                <w:bCs/>
                <w:color w:val="000000"/>
                <w:kern w:val="28"/>
                <w:sz w:val="18"/>
                <w:szCs w:val="18"/>
              </w:rPr>
            </w:pPr>
            <w:r>
              <w:rPr>
                <w:bCs/>
                <w:color w:val="000000"/>
                <w:kern w:val="28"/>
                <w:sz w:val="18"/>
                <w:szCs w:val="18"/>
              </w:rPr>
              <w:t>20</w:t>
            </w:r>
            <w:r>
              <w:rPr>
                <w:rFonts w:hint="eastAsia"/>
                <w:bCs/>
                <w:color w:val="000000"/>
                <w:kern w:val="28"/>
                <w:sz w:val="18"/>
                <w:szCs w:val="18"/>
              </w:rPr>
              <w:t>41</w:t>
            </w:r>
          </w:p>
        </w:tc>
      </w:tr>
      <w:tr w14:paraId="5B7AD42F">
        <w:tblPrEx>
          <w:tblBorders>
            <w:top w:val="single" w:color="auto" w:sz="12" w:space="0"/>
            <w:left w:val="single" w:color="auto" w:sz="12" w:space="0"/>
            <w:bottom w:val="single" w:color="auto" w:sz="4"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33" w:type="pct"/>
            <w:vAlign w:val="center"/>
          </w:tcPr>
          <w:p w14:paraId="76FA5E4F">
            <w:pPr>
              <w:widowControl/>
              <w:kinsoku w:val="0"/>
              <w:autoSpaceDE w:val="0"/>
              <w:autoSpaceDN w:val="0"/>
              <w:spacing w:line="312" w:lineRule="auto"/>
              <w:jc w:val="center"/>
              <w:textAlignment w:val="baseline"/>
              <w:outlineLvl w:val="1"/>
              <w:rPr>
                <w:bCs/>
                <w:color w:val="000000"/>
                <w:kern w:val="28"/>
                <w:sz w:val="18"/>
                <w:szCs w:val="18"/>
                <w:highlight w:val="yellow"/>
              </w:rPr>
            </w:pPr>
            <w:r>
              <w:rPr>
                <w:rFonts w:hint="eastAsia"/>
                <w:bCs/>
                <w:color w:val="000000"/>
                <w:kern w:val="28"/>
                <w:sz w:val="18"/>
                <w:szCs w:val="18"/>
              </w:rPr>
              <w:t>青西二路（江东大道-河景路）</w:t>
            </w:r>
          </w:p>
        </w:tc>
        <w:tc>
          <w:tcPr>
            <w:tcW w:w="942" w:type="pct"/>
            <w:vAlign w:val="center"/>
          </w:tcPr>
          <w:p w14:paraId="7E00FCF9">
            <w:pPr>
              <w:widowControl/>
              <w:kinsoku w:val="0"/>
              <w:autoSpaceDE w:val="0"/>
              <w:autoSpaceDN w:val="0"/>
              <w:spacing w:line="312" w:lineRule="auto"/>
              <w:jc w:val="center"/>
              <w:textAlignment w:val="baseline"/>
              <w:outlineLvl w:val="1"/>
              <w:rPr>
                <w:bCs/>
                <w:color w:val="000000"/>
                <w:kern w:val="28"/>
                <w:sz w:val="18"/>
                <w:szCs w:val="18"/>
              </w:rPr>
            </w:pPr>
            <w:r>
              <w:rPr>
                <w:rFonts w:hint="eastAsia"/>
                <w:bCs/>
                <w:color w:val="000000"/>
                <w:kern w:val="28"/>
                <w:sz w:val="18"/>
                <w:szCs w:val="18"/>
              </w:rPr>
              <w:t>11040</w:t>
            </w:r>
          </w:p>
        </w:tc>
        <w:tc>
          <w:tcPr>
            <w:tcW w:w="941" w:type="pct"/>
            <w:vAlign w:val="center"/>
          </w:tcPr>
          <w:p w14:paraId="06F5DB77">
            <w:pPr>
              <w:widowControl/>
              <w:kinsoku w:val="0"/>
              <w:autoSpaceDE w:val="0"/>
              <w:autoSpaceDN w:val="0"/>
              <w:spacing w:line="312" w:lineRule="auto"/>
              <w:jc w:val="center"/>
              <w:textAlignment w:val="baseline"/>
              <w:outlineLvl w:val="1"/>
              <w:rPr>
                <w:bCs/>
                <w:color w:val="000000"/>
                <w:kern w:val="28"/>
                <w:sz w:val="18"/>
                <w:szCs w:val="18"/>
              </w:rPr>
            </w:pPr>
            <w:r>
              <w:rPr>
                <w:rFonts w:hint="eastAsia"/>
                <w:bCs/>
                <w:color w:val="000000"/>
                <w:kern w:val="28"/>
                <w:sz w:val="18"/>
                <w:szCs w:val="18"/>
              </w:rPr>
              <w:t>13128</w:t>
            </w:r>
          </w:p>
        </w:tc>
        <w:tc>
          <w:tcPr>
            <w:tcW w:w="984" w:type="pct"/>
            <w:vAlign w:val="center"/>
          </w:tcPr>
          <w:p w14:paraId="20F11336">
            <w:pPr>
              <w:widowControl/>
              <w:kinsoku w:val="0"/>
              <w:autoSpaceDE w:val="0"/>
              <w:autoSpaceDN w:val="0"/>
              <w:spacing w:line="312" w:lineRule="auto"/>
              <w:jc w:val="center"/>
              <w:textAlignment w:val="baseline"/>
              <w:outlineLvl w:val="1"/>
              <w:rPr>
                <w:bCs/>
                <w:color w:val="000000"/>
                <w:kern w:val="28"/>
                <w:sz w:val="18"/>
                <w:szCs w:val="18"/>
              </w:rPr>
            </w:pPr>
            <w:r>
              <w:rPr>
                <w:rFonts w:hint="eastAsia"/>
                <w:bCs/>
                <w:color w:val="000000"/>
                <w:kern w:val="28"/>
                <w:sz w:val="18"/>
                <w:szCs w:val="18"/>
              </w:rPr>
              <w:t>16000</w:t>
            </w:r>
          </w:p>
        </w:tc>
      </w:tr>
    </w:tbl>
    <w:p w14:paraId="122AF98D">
      <w:pPr>
        <w:spacing w:line="240" w:lineRule="auto"/>
      </w:pPr>
      <w:r>
        <w:rPr>
          <w:rFonts w:hint="eastAsia"/>
        </w:rPr>
        <w:t>注：根据类似项目及资料查询，小时均车流量与日均车流量换算高峰小时系数取10。</w:t>
      </w:r>
    </w:p>
    <w:p w14:paraId="41200254">
      <w:pPr>
        <w:pStyle w:val="9"/>
        <w:spacing w:before="212"/>
      </w:pPr>
      <w:r>
        <w:t xml:space="preserve">专项表 </w:t>
      </w:r>
      <w:r>
        <w:fldChar w:fldCharType="begin"/>
      </w:r>
      <w:r>
        <w:instrText xml:space="preserve"> SEQ 专项表 \* ARABIC </w:instrText>
      </w:r>
      <w:r>
        <w:fldChar w:fldCharType="separate"/>
      </w:r>
      <w:r>
        <w:t>6</w:t>
      </w:r>
      <w:r>
        <w:fldChar w:fldCharType="end"/>
      </w:r>
      <w:r>
        <w:t>车型分类</w:t>
      </w:r>
      <w:r>
        <w:rPr>
          <w:rFonts w:hint="eastAsia"/>
        </w:rPr>
        <w:t>和折算系数</w:t>
      </w:r>
      <w:r>
        <w:t>表</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1697"/>
        <w:gridCol w:w="1451"/>
        <w:gridCol w:w="3833"/>
      </w:tblGrid>
      <w:tr w14:paraId="1BED73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7" w:type="dxa"/>
            <w:vAlign w:val="center"/>
          </w:tcPr>
          <w:p w14:paraId="04062530">
            <w:pPr>
              <w:widowControl/>
              <w:kinsoku w:val="0"/>
              <w:autoSpaceDE w:val="0"/>
              <w:autoSpaceDN w:val="0"/>
              <w:spacing w:line="240" w:lineRule="auto"/>
              <w:jc w:val="center"/>
              <w:textAlignment w:val="baseline"/>
              <w:outlineLvl w:val="1"/>
              <w:rPr>
                <w:b/>
                <w:bCs/>
                <w:color w:val="000000"/>
                <w:kern w:val="28"/>
                <w:sz w:val="18"/>
                <w:szCs w:val="18"/>
              </w:rPr>
            </w:pPr>
            <w:bookmarkStart w:id="83" w:name="_Hlk174434716"/>
            <w:r>
              <w:rPr>
                <w:rFonts w:ascii="宋体" w:hAnsi="宋体"/>
                <w:b/>
                <w:bCs/>
                <w:color w:val="000000"/>
                <w:kern w:val="28"/>
                <w:sz w:val="18"/>
                <w:szCs w:val="18"/>
              </w:rPr>
              <w:t>车型</w:t>
            </w:r>
            <w:bookmarkEnd w:id="83"/>
          </w:p>
        </w:tc>
        <w:tc>
          <w:tcPr>
            <w:tcW w:w="1648" w:type="dxa"/>
            <w:vAlign w:val="center"/>
          </w:tcPr>
          <w:p w14:paraId="7ACD5FA7">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汽车代表车型</w:t>
            </w:r>
          </w:p>
        </w:tc>
        <w:tc>
          <w:tcPr>
            <w:tcW w:w="1409" w:type="dxa"/>
            <w:vAlign w:val="center"/>
          </w:tcPr>
          <w:p w14:paraId="33DB72DE">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车辆折算系数</w:t>
            </w:r>
          </w:p>
        </w:tc>
        <w:tc>
          <w:tcPr>
            <w:tcW w:w="3722" w:type="dxa"/>
            <w:vAlign w:val="center"/>
          </w:tcPr>
          <w:p w14:paraId="04D28964">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车型划分标准</w:t>
            </w:r>
          </w:p>
        </w:tc>
      </w:tr>
      <w:tr w14:paraId="7D34CE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7" w:type="dxa"/>
            <w:vAlign w:val="center"/>
          </w:tcPr>
          <w:p w14:paraId="7F75F6B4">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小</w:t>
            </w:r>
          </w:p>
        </w:tc>
        <w:tc>
          <w:tcPr>
            <w:tcW w:w="1648" w:type="dxa"/>
            <w:vAlign w:val="center"/>
          </w:tcPr>
          <w:p w14:paraId="6B865079">
            <w:pPr>
              <w:autoSpaceDE w:val="0"/>
              <w:autoSpaceDN w:val="0"/>
              <w:snapToGrid/>
              <w:spacing w:line="240" w:lineRule="auto"/>
              <w:jc w:val="center"/>
              <w:rPr>
                <w:color w:val="000000"/>
                <w:kern w:val="0"/>
                <w:sz w:val="18"/>
                <w:szCs w:val="18"/>
              </w:rPr>
            </w:pPr>
            <w:r>
              <w:rPr>
                <w:rFonts w:ascii="宋体" w:hAnsi="宋体"/>
                <w:color w:val="000000"/>
                <w:kern w:val="0"/>
                <w:sz w:val="18"/>
                <w:szCs w:val="18"/>
              </w:rPr>
              <w:t>小型车</w:t>
            </w:r>
          </w:p>
        </w:tc>
        <w:tc>
          <w:tcPr>
            <w:tcW w:w="1409" w:type="dxa"/>
            <w:vAlign w:val="center"/>
          </w:tcPr>
          <w:p w14:paraId="1ACA202E">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1.0</w:t>
            </w:r>
          </w:p>
        </w:tc>
        <w:tc>
          <w:tcPr>
            <w:tcW w:w="3722" w:type="dxa"/>
            <w:vAlign w:val="center"/>
          </w:tcPr>
          <w:p w14:paraId="57413FAE">
            <w:pPr>
              <w:spacing w:line="240" w:lineRule="auto"/>
              <w:jc w:val="center"/>
              <w:rPr>
                <w:sz w:val="18"/>
                <w:szCs w:val="18"/>
              </w:rPr>
            </w:pPr>
            <w:r>
              <w:rPr>
                <w:sz w:val="18"/>
                <w:szCs w:val="18"/>
              </w:rPr>
              <w:t>座位≤19座的客车和载质量≤2t货车</w:t>
            </w:r>
          </w:p>
        </w:tc>
      </w:tr>
      <w:tr w14:paraId="25764E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7" w:type="dxa"/>
            <w:vAlign w:val="center"/>
          </w:tcPr>
          <w:p w14:paraId="6DD677A0">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中</w:t>
            </w:r>
          </w:p>
        </w:tc>
        <w:tc>
          <w:tcPr>
            <w:tcW w:w="1648" w:type="dxa"/>
            <w:vAlign w:val="center"/>
          </w:tcPr>
          <w:p w14:paraId="57B828E3">
            <w:pPr>
              <w:autoSpaceDE w:val="0"/>
              <w:autoSpaceDN w:val="0"/>
              <w:snapToGrid/>
              <w:spacing w:line="240" w:lineRule="auto"/>
              <w:jc w:val="center"/>
              <w:rPr>
                <w:color w:val="000000"/>
                <w:kern w:val="0"/>
                <w:sz w:val="18"/>
                <w:szCs w:val="18"/>
              </w:rPr>
            </w:pPr>
            <w:r>
              <w:rPr>
                <w:rFonts w:ascii="宋体" w:hAnsi="宋体"/>
                <w:color w:val="000000"/>
                <w:kern w:val="0"/>
                <w:sz w:val="18"/>
                <w:szCs w:val="18"/>
              </w:rPr>
              <w:t>中型车</w:t>
            </w:r>
          </w:p>
        </w:tc>
        <w:tc>
          <w:tcPr>
            <w:tcW w:w="1409" w:type="dxa"/>
            <w:vAlign w:val="center"/>
          </w:tcPr>
          <w:p w14:paraId="4F057EBB">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1.5</w:t>
            </w:r>
          </w:p>
        </w:tc>
        <w:tc>
          <w:tcPr>
            <w:tcW w:w="3722" w:type="dxa"/>
            <w:vAlign w:val="center"/>
          </w:tcPr>
          <w:p w14:paraId="20DBA5DA">
            <w:pPr>
              <w:spacing w:line="240" w:lineRule="auto"/>
              <w:jc w:val="center"/>
              <w:rPr>
                <w:sz w:val="18"/>
                <w:szCs w:val="18"/>
              </w:rPr>
            </w:pPr>
            <w:r>
              <w:rPr>
                <w:sz w:val="18"/>
                <w:szCs w:val="18"/>
              </w:rPr>
              <w:t>座位＞19座的客车和2t＜载质量≤7t货车</w:t>
            </w:r>
          </w:p>
        </w:tc>
      </w:tr>
      <w:tr w14:paraId="3AE9E4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97" w:type="dxa"/>
            <w:vMerge w:val="restart"/>
            <w:vAlign w:val="center"/>
          </w:tcPr>
          <w:p w14:paraId="46AD4D3A">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大</w:t>
            </w:r>
          </w:p>
        </w:tc>
        <w:tc>
          <w:tcPr>
            <w:tcW w:w="1648" w:type="dxa"/>
            <w:vAlign w:val="center"/>
          </w:tcPr>
          <w:p w14:paraId="017878AD">
            <w:pPr>
              <w:autoSpaceDE w:val="0"/>
              <w:autoSpaceDN w:val="0"/>
              <w:snapToGrid/>
              <w:spacing w:line="240" w:lineRule="auto"/>
              <w:jc w:val="center"/>
              <w:rPr>
                <w:color w:val="000000"/>
                <w:kern w:val="0"/>
                <w:sz w:val="18"/>
                <w:szCs w:val="18"/>
              </w:rPr>
            </w:pPr>
            <w:r>
              <w:rPr>
                <w:rFonts w:ascii="宋体" w:hAnsi="宋体"/>
                <w:color w:val="000000"/>
                <w:kern w:val="0"/>
                <w:sz w:val="18"/>
                <w:szCs w:val="18"/>
              </w:rPr>
              <w:t>大型车</w:t>
            </w:r>
          </w:p>
        </w:tc>
        <w:tc>
          <w:tcPr>
            <w:tcW w:w="1409" w:type="dxa"/>
            <w:vAlign w:val="center"/>
          </w:tcPr>
          <w:p w14:paraId="05BA26B8">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2.5</w:t>
            </w:r>
          </w:p>
        </w:tc>
        <w:tc>
          <w:tcPr>
            <w:tcW w:w="3722" w:type="dxa"/>
            <w:vAlign w:val="center"/>
          </w:tcPr>
          <w:p w14:paraId="516C1837">
            <w:pPr>
              <w:spacing w:line="240" w:lineRule="auto"/>
              <w:jc w:val="center"/>
              <w:rPr>
                <w:sz w:val="18"/>
                <w:szCs w:val="18"/>
              </w:rPr>
            </w:pPr>
            <w:r>
              <w:rPr>
                <w:sz w:val="18"/>
                <w:szCs w:val="18"/>
              </w:rPr>
              <w:t>7t＜载质量≤20t货车</w:t>
            </w:r>
          </w:p>
        </w:tc>
      </w:tr>
      <w:tr w14:paraId="5D91A9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vAlign w:val="center"/>
          </w:tcPr>
          <w:p w14:paraId="39E59BC0">
            <w:pPr>
              <w:widowControl/>
              <w:adjustRightInd/>
              <w:snapToGrid/>
              <w:spacing w:line="240" w:lineRule="auto"/>
              <w:jc w:val="left"/>
              <w:rPr>
                <w:bCs/>
                <w:color w:val="000000"/>
                <w:kern w:val="28"/>
                <w:sz w:val="18"/>
                <w:szCs w:val="18"/>
              </w:rPr>
            </w:pPr>
          </w:p>
        </w:tc>
        <w:tc>
          <w:tcPr>
            <w:tcW w:w="1648" w:type="dxa"/>
            <w:vAlign w:val="center"/>
          </w:tcPr>
          <w:p w14:paraId="3894F94E">
            <w:pPr>
              <w:autoSpaceDE w:val="0"/>
              <w:autoSpaceDN w:val="0"/>
              <w:snapToGrid/>
              <w:spacing w:line="240" w:lineRule="auto"/>
              <w:jc w:val="center"/>
              <w:rPr>
                <w:color w:val="000000"/>
                <w:kern w:val="0"/>
                <w:sz w:val="18"/>
                <w:szCs w:val="18"/>
              </w:rPr>
            </w:pPr>
            <w:r>
              <w:rPr>
                <w:rFonts w:ascii="宋体" w:hAnsi="宋体"/>
                <w:color w:val="000000"/>
                <w:kern w:val="0"/>
                <w:sz w:val="18"/>
                <w:szCs w:val="18"/>
              </w:rPr>
              <w:t>汽车列车</w:t>
            </w:r>
          </w:p>
        </w:tc>
        <w:tc>
          <w:tcPr>
            <w:tcW w:w="1409" w:type="dxa"/>
            <w:vAlign w:val="center"/>
          </w:tcPr>
          <w:p w14:paraId="462CF609">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4.0</w:t>
            </w:r>
          </w:p>
        </w:tc>
        <w:tc>
          <w:tcPr>
            <w:tcW w:w="3722" w:type="dxa"/>
            <w:vAlign w:val="center"/>
          </w:tcPr>
          <w:p w14:paraId="45E782CC">
            <w:pPr>
              <w:spacing w:line="240" w:lineRule="auto"/>
              <w:jc w:val="center"/>
              <w:rPr>
                <w:sz w:val="18"/>
                <w:szCs w:val="18"/>
              </w:rPr>
            </w:pPr>
            <w:r>
              <w:rPr>
                <w:sz w:val="18"/>
                <w:szCs w:val="18"/>
              </w:rPr>
              <w:t xml:space="preserve">载质量＞20 </w:t>
            </w:r>
            <w:r>
              <w:rPr>
                <w:rFonts w:hint="eastAsia"/>
                <w:sz w:val="18"/>
                <w:szCs w:val="18"/>
              </w:rPr>
              <w:t xml:space="preserve">t </w:t>
            </w:r>
            <w:r>
              <w:rPr>
                <w:sz w:val="18"/>
                <w:szCs w:val="18"/>
              </w:rPr>
              <w:t>的货车</w:t>
            </w:r>
          </w:p>
        </w:tc>
      </w:tr>
    </w:tbl>
    <w:p w14:paraId="11351A6C">
      <w:pPr>
        <w:pStyle w:val="9"/>
        <w:spacing w:before="212"/>
      </w:pPr>
      <w:bookmarkStart w:id="84" w:name="_Ref176181498"/>
      <w:bookmarkEnd w:id="84"/>
      <w:bookmarkStart w:id="85" w:name="_Ref233640111"/>
      <w:r>
        <w:t xml:space="preserve">专项表 </w:t>
      </w:r>
      <w:r>
        <w:fldChar w:fldCharType="begin"/>
      </w:r>
      <w:r>
        <w:instrText xml:space="preserve"> SEQ 专项表 \* ARABIC </w:instrText>
      </w:r>
      <w:r>
        <w:fldChar w:fldCharType="separate"/>
      </w:r>
      <w:r>
        <w:t>7</w:t>
      </w:r>
      <w:r>
        <w:fldChar w:fldCharType="end"/>
      </w:r>
      <w:bookmarkEnd w:id="85"/>
      <w:commentRangeStart w:id="79"/>
      <w:commentRangeStart w:id="80"/>
      <w:commentRangeStart w:id="81"/>
      <w:commentRangeStart w:id="82"/>
      <w:r>
        <w:t>车型比例（%）</w:t>
      </w:r>
      <w:commentRangeEnd w:id="79"/>
      <w:r>
        <w:rPr>
          <w:rStyle w:val="38"/>
        </w:rPr>
        <w:commentReference w:id="79"/>
      </w:r>
      <w:commentRangeEnd w:id="80"/>
      <w:r>
        <w:rPr>
          <w:rStyle w:val="38"/>
        </w:rPr>
        <w:commentReference w:id="80"/>
      </w:r>
      <w:commentRangeEnd w:id="81"/>
      <w:r>
        <w:rPr>
          <w:rStyle w:val="38"/>
        </w:rPr>
        <w:commentReference w:id="81"/>
      </w:r>
      <w:commentRangeEnd w:id="82"/>
      <w:r>
        <w:rPr>
          <w:rStyle w:val="38"/>
        </w:rPr>
        <w:commentReference w:id="82"/>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08"/>
        <w:gridCol w:w="1339"/>
        <w:gridCol w:w="1339"/>
        <w:gridCol w:w="1337"/>
      </w:tblGrid>
      <w:tr w14:paraId="708933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8" w:type="dxa"/>
            <w:vAlign w:val="center"/>
          </w:tcPr>
          <w:p w14:paraId="3D435B14">
            <w:pPr>
              <w:kinsoku w:val="0"/>
              <w:autoSpaceDE w:val="0"/>
              <w:autoSpaceDN w:val="0"/>
              <w:spacing w:line="240" w:lineRule="auto"/>
              <w:jc w:val="center"/>
              <w:textAlignment w:val="baseline"/>
              <w:outlineLvl w:val="1"/>
              <w:rPr>
                <w:b/>
                <w:color w:val="000000"/>
                <w:kern w:val="28"/>
                <w:sz w:val="18"/>
                <w:szCs w:val="18"/>
              </w:rPr>
            </w:pPr>
            <w:r>
              <w:rPr>
                <w:rFonts w:hint="eastAsia" w:ascii="宋体" w:hAnsi="宋体"/>
                <w:b/>
                <w:color w:val="000000"/>
                <w:kern w:val="28"/>
                <w:sz w:val="18"/>
                <w:szCs w:val="18"/>
              </w:rPr>
              <w:t>路段</w:t>
            </w:r>
          </w:p>
        </w:tc>
        <w:tc>
          <w:tcPr>
            <w:tcW w:w="1300" w:type="dxa"/>
            <w:vAlign w:val="center"/>
          </w:tcPr>
          <w:p w14:paraId="5C09F0CC">
            <w:pPr>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小型车</w:t>
            </w:r>
          </w:p>
        </w:tc>
        <w:tc>
          <w:tcPr>
            <w:tcW w:w="1300" w:type="dxa"/>
            <w:vAlign w:val="center"/>
          </w:tcPr>
          <w:p w14:paraId="0467967C">
            <w:pPr>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中型车</w:t>
            </w:r>
          </w:p>
        </w:tc>
        <w:tc>
          <w:tcPr>
            <w:tcW w:w="1298" w:type="dxa"/>
            <w:vAlign w:val="center"/>
          </w:tcPr>
          <w:p w14:paraId="1504B465">
            <w:pPr>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大型车</w:t>
            </w:r>
          </w:p>
        </w:tc>
      </w:tr>
      <w:tr w14:paraId="2FE3F6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8" w:type="dxa"/>
            <w:vAlign w:val="center"/>
          </w:tcPr>
          <w:p w14:paraId="5A8F408B">
            <w:pPr>
              <w:kinsoku w:val="0"/>
              <w:autoSpaceDE w:val="0"/>
              <w:autoSpaceDN w:val="0"/>
              <w:spacing w:line="240" w:lineRule="auto"/>
              <w:jc w:val="center"/>
              <w:textAlignment w:val="baseline"/>
              <w:outlineLvl w:val="1"/>
              <w:rPr>
                <w:rFonts w:hint="eastAsia" w:ascii="宋体" w:hAnsi="宋体"/>
                <w:b/>
                <w:color w:val="000000"/>
                <w:kern w:val="28"/>
                <w:sz w:val="18"/>
                <w:szCs w:val="18"/>
              </w:rPr>
            </w:pPr>
            <w:r>
              <w:rPr>
                <w:rFonts w:hint="eastAsia"/>
                <w:bCs/>
                <w:color w:val="000000"/>
                <w:kern w:val="28"/>
                <w:sz w:val="18"/>
                <w:szCs w:val="18"/>
              </w:rPr>
              <w:t>青西二路（江东大道-河景路）2027年</w:t>
            </w:r>
          </w:p>
        </w:tc>
        <w:tc>
          <w:tcPr>
            <w:tcW w:w="1300" w:type="dxa"/>
            <w:vAlign w:val="center"/>
          </w:tcPr>
          <w:p w14:paraId="44ABFB39">
            <w:pPr>
              <w:spacing w:line="240" w:lineRule="auto"/>
              <w:jc w:val="center"/>
              <w:rPr>
                <w:rFonts w:hint="eastAsia" w:ascii="宋体" w:hAnsi="宋体"/>
                <w:b/>
                <w:kern w:val="28"/>
                <w:sz w:val="18"/>
                <w:szCs w:val="18"/>
              </w:rPr>
            </w:pPr>
            <w:r>
              <w:rPr>
                <w:rFonts w:hint="eastAsia"/>
                <w:sz w:val="18"/>
                <w:szCs w:val="18"/>
              </w:rPr>
              <w:t>65.54</w:t>
            </w:r>
          </w:p>
        </w:tc>
        <w:tc>
          <w:tcPr>
            <w:tcW w:w="1300" w:type="dxa"/>
            <w:vAlign w:val="center"/>
          </w:tcPr>
          <w:p w14:paraId="14D194AC">
            <w:pPr>
              <w:spacing w:line="240" w:lineRule="auto"/>
              <w:jc w:val="center"/>
              <w:rPr>
                <w:rFonts w:hint="eastAsia" w:ascii="宋体" w:hAnsi="宋体"/>
                <w:b/>
                <w:kern w:val="28"/>
                <w:sz w:val="18"/>
                <w:szCs w:val="18"/>
              </w:rPr>
            </w:pPr>
            <w:r>
              <w:rPr>
                <w:rFonts w:hint="eastAsia"/>
                <w:sz w:val="18"/>
                <w:szCs w:val="18"/>
              </w:rPr>
              <w:t>22.97</w:t>
            </w:r>
          </w:p>
        </w:tc>
        <w:tc>
          <w:tcPr>
            <w:tcW w:w="1298" w:type="dxa"/>
            <w:vAlign w:val="center"/>
          </w:tcPr>
          <w:p w14:paraId="47415197">
            <w:pPr>
              <w:spacing w:line="240" w:lineRule="auto"/>
              <w:jc w:val="center"/>
              <w:rPr>
                <w:rFonts w:hint="eastAsia" w:ascii="宋体" w:hAnsi="宋体"/>
                <w:b/>
                <w:kern w:val="28"/>
                <w:sz w:val="18"/>
                <w:szCs w:val="18"/>
              </w:rPr>
            </w:pPr>
            <w:r>
              <w:rPr>
                <w:rFonts w:hint="eastAsia"/>
                <w:sz w:val="18"/>
                <w:szCs w:val="18"/>
              </w:rPr>
              <w:t>11.49</w:t>
            </w:r>
          </w:p>
        </w:tc>
      </w:tr>
      <w:tr w14:paraId="1AEE0E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8" w:type="dxa"/>
            <w:vAlign w:val="center"/>
          </w:tcPr>
          <w:p w14:paraId="657C552C">
            <w:pPr>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青西二路（江东大道-河景路）2033年</w:t>
            </w:r>
          </w:p>
        </w:tc>
        <w:tc>
          <w:tcPr>
            <w:tcW w:w="1300" w:type="dxa"/>
            <w:shd w:val="clear" w:color="auto" w:fill="FFFFFF"/>
            <w:vAlign w:val="center"/>
          </w:tcPr>
          <w:p w14:paraId="6DDC6926">
            <w:pPr>
              <w:spacing w:line="240" w:lineRule="auto"/>
              <w:jc w:val="center"/>
              <w:rPr>
                <w:sz w:val="18"/>
                <w:szCs w:val="18"/>
              </w:rPr>
            </w:pPr>
            <w:r>
              <w:rPr>
                <w:color w:val="0F1115"/>
                <w:sz w:val="18"/>
                <w:szCs w:val="18"/>
              </w:rPr>
              <w:t>65.18</w:t>
            </w:r>
          </w:p>
        </w:tc>
        <w:tc>
          <w:tcPr>
            <w:tcW w:w="1300" w:type="dxa"/>
            <w:shd w:val="clear" w:color="auto" w:fill="FFFFFF"/>
            <w:vAlign w:val="center"/>
          </w:tcPr>
          <w:p w14:paraId="3BBAD3C9">
            <w:pPr>
              <w:spacing w:line="240" w:lineRule="auto"/>
              <w:jc w:val="center"/>
              <w:rPr>
                <w:sz w:val="18"/>
                <w:szCs w:val="18"/>
              </w:rPr>
            </w:pPr>
            <w:r>
              <w:rPr>
                <w:color w:val="0F1115"/>
                <w:sz w:val="18"/>
                <w:szCs w:val="18"/>
              </w:rPr>
              <w:t>22.55</w:t>
            </w:r>
          </w:p>
        </w:tc>
        <w:tc>
          <w:tcPr>
            <w:tcW w:w="1298" w:type="dxa"/>
            <w:shd w:val="clear" w:color="auto" w:fill="FFFFFF"/>
            <w:vAlign w:val="center"/>
          </w:tcPr>
          <w:p w14:paraId="095B9EF7">
            <w:pPr>
              <w:spacing w:line="240" w:lineRule="auto"/>
              <w:jc w:val="center"/>
              <w:rPr>
                <w:sz w:val="18"/>
                <w:szCs w:val="18"/>
              </w:rPr>
            </w:pPr>
            <w:r>
              <w:rPr>
                <w:color w:val="0F1115"/>
                <w:sz w:val="18"/>
                <w:szCs w:val="18"/>
              </w:rPr>
              <w:t>12.27</w:t>
            </w:r>
          </w:p>
        </w:tc>
      </w:tr>
      <w:tr w14:paraId="6D869D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78" w:type="dxa"/>
            <w:vAlign w:val="center"/>
          </w:tcPr>
          <w:p w14:paraId="13C65A1B">
            <w:pPr>
              <w:kinsoku w:val="0"/>
              <w:autoSpaceDE w:val="0"/>
              <w:autoSpaceDN w:val="0"/>
              <w:spacing w:line="240" w:lineRule="auto"/>
              <w:jc w:val="center"/>
              <w:textAlignment w:val="baseline"/>
              <w:outlineLvl w:val="1"/>
              <w:rPr>
                <w:bCs/>
                <w:color w:val="000000"/>
                <w:kern w:val="28"/>
                <w:sz w:val="18"/>
                <w:szCs w:val="18"/>
              </w:rPr>
            </w:pPr>
            <w:bookmarkStart w:id="86" w:name="_Hlk235456675"/>
            <w:r>
              <w:rPr>
                <w:rFonts w:hint="eastAsia"/>
                <w:bCs/>
                <w:color w:val="000000"/>
                <w:kern w:val="28"/>
                <w:sz w:val="18"/>
                <w:szCs w:val="18"/>
              </w:rPr>
              <w:t>青西二路（江东大道-河景路）2041年</w:t>
            </w:r>
          </w:p>
        </w:tc>
        <w:tc>
          <w:tcPr>
            <w:tcW w:w="1300" w:type="dxa"/>
            <w:shd w:val="clear" w:color="auto" w:fill="FFFFFF"/>
            <w:vAlign w:val="center"/>
          </w:tcPr>
          <w:p w14:paraId="3B7B66CC">
            <w:pPr>
              <w:spacing w:line="240" w:lineRule="auto"/>
              <w:jc w:val="center"/>
              <w:rPr>
                <w:sz w:val="18"/>
                <w:szCs w:val="18"/>
              </w:rPr>
            </w:pPr>
            <w:r>
              <w:rPr>
                <w:color w:val="0F1115"/>
                <w:sz w:val="18"/>
                <w:szCs w:val="18"/>
              </w:rPr>
              <w:t>64.68</w:t>
            </w:r>
          </w:p>
        </w:tc>
        <w:tc>
          <w:tcPr>
            <w:tcW w:w="1300" w:type="dxa"/>
            <w:shd w:val="clear" w:color="auto" w:fill="FFFFFF"/>
            <w:vAlign w:val="center"/>
          </w:tcPr>
          <w:p w14:paraId="0823614D">
            <w:pPr>
              <w:spacing w:line="240" w:lineRule="auto"/>
              <w:jc w:val="center"/>
              <w:rPr>
                <w:sz w:val="18"/>
                <w:szCs w:val="18"/>
              </w:rPr>
            </w:pPr>
            <w:r>
              <w:rPr>
                <w:color w:val="0F1115"/>
                <w:sz w:val="18"/>
                <w:szCs w:val="18"/>
              </w:rPr>
              <w:t>22.46</w:t>
            </w:r>
          </w:p>
        </w:tc>
        <w:tc>
          <w:tcPr>
            <w:tcW w:w="1298" w:type="dxa"/>
            <w:shd w:val="clear" w:color="auto" w:fill="FFFFFF"/>
            <w:vAlign w:val="center"/>
          </w:tcPr>
          <w:p w14:paraId="50587B7F">
            <w:pPr>
              <w:spacing w:line="240" w:lineRule="auto"/>
              <w:jc w:val="center"/>
              <w:rPr>
                <w:sz w:val="18"/>
                <w:szCs w:val="18"/>
              </w:rPr>
            </w:pPr>
            <w:r>
              <w:rPr>
                <w:color w:val="0F1115"/>
                <w:sz w:val="18"/>
                <w:szCs w:val="18"/>
              </w:rPr>
              <w:t>12.85</w:t>
            </w:r>
          </w:p>
        </w:tc>
      </w:tr>
      <w:tr w14:paraId="648D9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76" w:type="dxa"/>
            <w:gridSpan w:val="4"/>
            <w:vAlign w:val="center"/>
          </w:tcPr>
          <w:p w14:paraId="273CDA40">
            <w:pPr>
              <w:spacing w:line="240" w:lineRule="auto"/>
              <w:rPr>
                <w:color w:val="0F1115"/>
                <w:sz w:val="18"/>
                <w:szCs w:val="18"/>
              </w:rPr>
            </w:pPr>
            <w:r>
              <w:rPr>
                <w:rFonts w:hint="eastAsia"/>
                <w:color w:val="0F1115"/>
                <w:sz w:val="18"/>
                <w:szCs w:val="18"/>
              </w:rPr>
              <w:t>注：车型比例为一类车型占总车辆数的相对占比</w:t>
            </w:r>
          </w:p>
        </w:tc>
      </w:tr>
      <w:bookmarkEnd w:id="86"/>
    </w:tbl>
    <w:p w14:paraId="1DFF4E65">
      <w:pPr>
        <w:pStyle w:val="9"/>
        <w:spacing w:before="212"/>
      </w:pPr>
      <w:bookmarkStart w:id="87" w:name="_Ref176181580"/>
      <w:bookmarkEnd w:id="87"/>
      <w:r>
        <w:t xml:space="preserve">专项表 </w:t>
      </w:r>
      <w:r>
        <w:fldChar w:fldCharType="begin"/>
      </w:r>
      <w:r>
        <w:instrText xml:space="preserve"> SEQ 专项表 \* ARABIC </w:instrText>
      </w:r>
      <w:r>
        <w:fldChar w:fldCharType="separate"/>
      </w:r>
      <w:r>
        <w:t>8</w:t>
      </w:r>
      <w:r>
        <w:fldChar w:fldCharType="end"/>
      </w:r>
      <w:r>
        <w:t>各预测年昼、夜平均小时车流量预测结果</w:t>
      </w:r>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417"/>
        <w:gridCol w:w="1291"/>
        <w:gridCol w:w="783"/>
        <w:gridCol w:w="781"/>
        <w:gridCol w:w="782"/>
        <w:gridCol w:w="657"/>
        <w:gridCol w:w="657"/>
        <w:gridCol w:w="657"/>
        <w:gridCol w:w="658"/>
        <w:gridCol w:w="679"/>
      </w:tblGrid>
      <w:tr w14:paraId="05357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dxa"/>
            <w:vMerge w:val="restart"/>
            <w:tcBorders>
              <w:top w:val="single" w:color="auto" w:sz="12" w:space="0"/>
              <w:left w:val="single" w:color="auto" w:sz="12" w:space="0"/>
              <w:bottom w:val="single" w:color="auto" w:sz="4" w:space="0"/>
              <w:right w:val="single" w:color="auto" w:sz="4" w:space="0"/>
            </w:tcBorders>
            <w:vAlign w:val="center"/>
          </w:tcPr>
          <w:p w14:paraId="666F2BA4">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路段</w:t>
            </w:r>
          </w:p>
        </w:tc>
        <w:tc>
          <w:tcPr>
            <w:tcW w:w="1278" w:type="dxa"/>
            <w:vMerge w:val="restart"/>
            <w:tcBorders>
              <w:top w:val="single" w:color="auto" w:sz="12" w:space="0"/>
              <w:left w:val="single" w:color="auto" w:sz="4" w:space="0"/>
              <w:bottom w:val="single" w:color="auto" w:sz="4" w:space="0"/>
              <w:right w:val="single" w:color="auto" w:sz="4" w:space="0"/>
            </w:tcBorders>
            <w:vAlign w:val="center"/>
          </w:tcPr>
          <w:p w14:paraId="51EA2033">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时期</w:t>
            </w:r>
          </w:p>
        </w:tc>
        <w:tc>
          <w:tcPr>
            <w:tcW w:w="5595" w:type="dxa"/>
            <w:gridSpan w:val="8"/>
            <w:tcBorders>
              <w:top w:val="single" w:color="auto" w:sz="12" w:space="0"/>
              <w:left w:val="single" w:color="auto" w:sz="4" w:space="0"/>
              <w:bottom w:val="single" w:color="auto" w:sz="4" w:space="0"/>
              <w:right w:val="single" w:color="auto" w:sz="12" w:space="0"/>
            </w:tcBorders>
            <w:vAlign w:val="center"/>
          </w:tcPr>
          <w:p w14:paraId="1DE21467">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车流量（辆</w:t>
            </w:r>
            <w:r>
              <w:rPr>
                <w:b/>
                <w:bCs/>
                <w:color w:val="000000"/>
                <w:kern w:val="28"/>
                <w:sz w:val="18"/>
                <w:szCs w:val="18"/>
              </w:rPr>
              <w:t>/h</w:t>
            </w:r>
            <w:r>
              <w:rPr>
                <w:rFonts w:ascii="宋体" w:hAnsi="宋体"/>
                <w:b/>
                <w:bCs/>
                <w:color w:val="000000"/>
                <w:kern w:val="28"/>
                <w:sz w:val="18"/>
                <w:szCs w:val="18"/>
              </w:rPr>
              <w:t>）</w:t>
            </w:r>
          </w:p>
        </w:tc>
      </w:tr>
      <w:tr w14:paraId="51ED81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dxa"/>
            <w:vMerge w:val="continue"/>
            <w:tcBorders>
              <w:top w:val="single" w:color="auto" w:sz="8" w:space="0"/>
              <w:left w:val="single" w:color="auto" w:sz="12" w:space="0"/>
              <w:bottom w:val="single" w:color="auto" w:sz="4" w:space="0"/>
              <w:right w:val="single" w:color="auto" w:sz="4" w:space="0"/>
            </w:tcBorders>
            <w:vAlign w:val="center"/>
          </w:tcPr>
          <w:p w14:paraId="7056C738">
            <w:pPr>
              <w:widowControl/>
              <w:adjustRightInd/>
              <w:snapToGrid/>
              <w:spacing w:line="240" w:lineRule="auto"/>
              <w:jc w:val="left"/>
              <w:rPr>
                <w:b/>
                <w:bCs/>
                <w:color w:val="000000"/>
                <w:kern w:val="28"/>
                <w:sz w:val="18"/>
                <w:szCs w:val="18"/>
              </w:rPr>
            </w:pPr>
          </w:p>
        </w:tc>
        <w:tc>
          <w:tcPr>
            <w:tcW w:w="1278" w:type="dxa"/>
            <w:vMerge w:val="continue"/>
            <w:tcBorders>
              <w:top w:val="single" w:color="auto" w:sz="8" w:space="0"/>
              <w:left w:val="single" w:color="auto" w:sz="4" w:space="0"/>
              <w:bottom w:val="single" w:color="auto" w:sz="4" w:space="0"/>
              <w:right w:val="single" w:color="auto" w:sz="4" w:space="0"/>
            </w:tcBorders>
            <w:vAlign w:val="center"/>
          </w:tcPr>
          <w:p w14:paraId="4C259878">
            <w:pPr>
              <w:widowControl/>
              <w:adjustRightInd/>
              <w:snapToGrid/>
              <w:spacing w:line="240" w:lineRule="auto"/>
              <w:jc w:val="left"/>
              <w:rPr>
                <w:b/>
                <w:bCs/>
                <w:color w:val="000000"/>
                <w:kern w:val="28"/>
                <w:sz w:val="18"/>
                <w:szCs w:val="18"/>
              </w:rPr>
            </w:pP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59570770">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小型车</w:t>
            </w:r>
          </w:p>
        </w:tc>
        <w:tc>
          <w:tcPr>
            <w:tcW w:w="1424" w:type="dxa"/>
            <w:gridSpan w:val="2"/>
            <w:tcBorders>
              <w:top w:val="single" w:color="auto" w:sz="4" w:space="0"/>
              <w:left w:val="single" w:color="auto" w:sz="4" w:space="0"/>
              <w:bottom w:val="single" w:color="auto" w:sz="4" w:space="0"/>
              <w:right w:val="single" w:color="auto" w:sz="4" w:space="0"/>
            </w:tcBorders>
            <w:vAlign w:val="center"/>
          </w:tcPr>
          <w:p w14:paraId="7AC53757">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中型车</w:t>
            </w:r>
          </w:p>
        </w:tc>
        <w:tc>
          <w:tcPr>
            <w:tcW w:w="1300" w:type="dxa"/>
            <w:gridSpan w:val="2"/>
            <w:tcBorders>
              <w:top w:val="single" w:color="auto" w:sz="4" w:space="0"/>
              <w:left w:val="single" w:color="auto" w:sz="4" w:space="0"/>
              <w:bottom w:val="single" w:color="auto" w:sz="4" w:space="0"/>
              <w:right w:val="single" w:color="auto" w:sz="4" w:space="0"/>
            </w:tcBorders>
            <w:vAlign w:val="center"/>
          </w:tcPr>
          <w:p w14:paraId="7AE8F4C5">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大型车</w:t>
            </w:r>
          </w:p>
        </w:tc>
        <w:tc>
          <w:tcPr>
            <w:tcW w:w="1323" w:type="dxa"/>
            <w:gridSpan w:val="2"/>
            <w:tcBorders>
              <w:top w:val="single" w:color="auto" w:sz="4" w:space="0"/>
              <w:left w:val="single" w:color="auto" w:sz="4" w:space="0"/>
              <w:bottom w:val="single" w:color="auto" w:sz="4" w:space="0"/>
              <w:right w:val="single" w:color="auto" w:sz="12" w:space="0"/>
            </w:tcBorders>
            <w:vAlign w:val="center"/>
          </w:tcPr>
          <w:p w14:paraId="5603269F">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合计</w:t>
            </w:r>
          </w:p>
        </w:tc>
      </w:tr>
      <w:tr w14:paraId="31E5AB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dxa"/>
            <w:vMerge w:val="continue"/>
            <w:tcBorders>
              <w:top w:val="single" w:color="auto" w:sz="8" w:space="0"/>
              <w:left w:val="single" w:color="auto" w:sz="12" w:space="0"/>
              <w:bottom w:val="single" w:color="auto" w:sz="4" w:space="0"/>
              <w:right w:val="single" w:color="auto" w:sz="4" w:space="0"/>
            </w:tcBorders>
            <w:vAlign w:val="center"/>
          </w:tcPr>
          <w:p w14:paraId="1F974A04">
            <w:pPr>
              <w:widowControl/>
              <w:adjustRightInd/>
              <w:snapToGrid/>
              <w:spacing w:line="240" w:lineRule="auto"/>
              <w:jc w:val="left"/>
              <w:rPr>
                <w:b/>
                <w:bCs/>
                <w:color w:val="000000"/>
                <w:kern w:val="28"/>
                <w:sz w:val="18"/>
                <w:szCs w:val="18"/>
              </w:rPr>
            </w:pPr>
          </w:p>
        </w:tc>
        <w:tc>
          <w:tcPr>
            <w:tcW w:w="1278" w:type="dxa"/>
            <w:vMerge w:val="continue"/>
            <w:tcBorders>
              <w:top w:val="single" w:color="auto" w:sz="8" w:space="0"/>
              <w:left w:val="single" w:color="auto" w:sz="4" w:space="0"/>
              <w:bottom w:val="single" w:color="auto" w:sz="4" w:space="0"/>
              <w:right w:val="single" w:color="auto" w:sz="4" w:space="0"/>
            </w:tcBorders>
            <w:vAlign w:val="center"/>
          </w:tcPr>
          <w:p w14:paraId="09FF35D3">
            <w:pPr>
              <w:widowControl/>
              <w:adjustRightInd/>
              <w:snapToGrid/>
              <w:spacing w:line="240" w:lineRule="auto"/>
              <w:jc w:val="left"/>
              <w:rPr>
                <w:b/>
                <w:bCs/>
                <w:color w:val="000000"/>
                <w:kern w:val="28"/>
                <w:sz w:val="18"/>
                <w:szCs w:val="18"/>
              </w:rPr>
            </w:pPr>
          </w:p>
        </w:tc>
        <w:tc>
          <w:tcPr>
            <w:tcW w:w="775" w:type="dxa"/>
            <w:tcBorders>
              <w:top w:val="single" w:color="auto" w:sz="4" w:space="0"/>
              <w:left w:val="single" w:color="auto" w:sz="4" w:space="0"/>
              <w:bottom w:val="single" w:color="auto" w:sz="4" w:space="0"/>
              <w:right w:val="single" w:color="auto" w:sz="4" w:space="0"/>
            </w:tcBorders>
            <w:vAlign w:val="center"/>
          </w:tcPr>
          <w:p w14:paraId="1EC0A63D">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昼间</w:t>
            </w:r>
          </w:p>
        </w:tc>
        <w:tc>
          <w:tcPr>
            <w:tcW w:w="773" w:type="dxa"/>
            <w:tcBorders>
              <w:top w:val="single" w:color="auto" w:sz="4" w:space="0"/>
              <w:left w:val="single" w:color="auto" w:sz="4" w:space="0"/>
              <w:bottom w:val="single" w:color="auto" w:sz="4" w:space="0"/>
              <w:right w:val="single" w:color="auto" w:sz="4" w:space="0"/>
            </w:tcBorders>
            <w:vAlign w:val="center"/>
          </w:tcPr>
          <w:p w14:paraId="5FB629AE">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夜间</w:t>
            </w:r>
          </w:p>
        </w:tc>
        <w:tc>
          <w:tcPr>
            <w:tcW w:w="774" w:type="dxa"/>
            <w:tcBorders>
              <w:top w:val="single" w:color="auto" w:sz="4" w:space="0"/>
              <w:left w:val="single" w:color="auto" w:sz="4" w:space="0"/>
              <w:bottom w:val="single" w:color="auto" w:sz="4" w:space="0"/>
              <w:right w:val="single" w:color="auto" w:sz="4" w:space="0"/>
            </w:tcBorders>
            <w:vAlign w:val="center"/>
          </w:tcPr>
          <w:p w14:paraId="6A69E8E7">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昼间</w:t>
            </w:r>
          </w:p>
        </w:tc>
        <w:tc>
          <w:tcPr>
            <w:tcW w:w="650" w:type="dxa"/>
            <w:tcBorders>
              <w:top w:val="single" w:color="auto" w:sz="4" w:space="0"/>
              <w:left w:val="single" w:color="auto" w:sz="4" w:space="0"/>
              <w:bottom w:val="single" w:color="auto" w:sz="4" w:space="0"/>
              <w:right w:val="single" w:color="auto" w:sz="4" w:space="0"/>
            </w:tcBorders>
            <w:vAlign w:val="center"/>
          </w:tcPr>
          <w:p w14:paraId="7C18C6F2">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夜间</w:t>
            </w:r>
          </w:p>
        </w:tc>
        <w:tc>
          <w:tcPr>
            <w:tcW w:w="650" w:type="dxa"/>
            <w:tcBorders>
              <w:top w:val="single" w:color="auto" w:sz="4" w:space="0"/>
              <w:left w:val="single" w:color="auto" w:sz="4" w:space="0"/>
              <w:bottom w:val="single" w:color="auto" w:sz="4" w:space="0"/>
              <w:right w:val="single" w:color="auto" w:sz="4" w:space="0"/>
            </w:tcBorders>
            <w:vAlign w:val="center"/>
          </w:tcPr>
          <w:p w14:paraId="5D953ABB">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昼间</w:t>
            </w:r>
          </w:p>
        </w:tc>
        <w:tc>
          <w:tcPr>
            <w:tcW w:w="650" w:type="dxa"/>
            <w:tcBorders>
              <w:top w:val="single" w:color="auto" w:sz="4" w:space="0"/>
              <w:left w:val="single" w:color="auto" w:sz="4" w:space="0"/>
              <w:bottom w:val="single" w:color="auto" w:sz="4" w:space="0"/>
              <w:right w:val="single" w:color="auto" w:sz="4" w:space="0"/>
            </w:tcBorders>
            <w:vAlign w:val="center"/>
          </w:tcPr>
          <w:p w14:paraId="40FB0BD9">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夜间</w:t>
            </w:r>
          </w:p>
        </w:tc>
        <w:tc>
          <w:tcPr>
            <w:tcW w:w="651" w:type="dxa"/>
            <w:tcBorders>
              <w:top w:val="single" w:color="auto" w:sz="4" w:space="0"/>
              <w:left w:val="single" w:color="auto" w:sz="4" w:space="0"/>
              <w:bottom w:val="single" w:color="auto" w:sz="4" w:space="0"/>
              <w:right w:val="single" w:color="auto" w:sz="4" w:space="0"/>
            </w:tcBorders>
            <w:vAlign w:val="center"/>
          </w:tcPr>
          <w:p w14:paraId="7A025D98">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昼间</w:t>
            </w:r>
          </w:p>
        </w:tc>
        <w:tc>
          <w:tcPr>
            <w:tcW w:w="672" w:type="dxa"/>
            <w:tcBorders>
              <w:top w:val="single" w:color="auto" w:sz="4" w:space="0"/>
              <w:left w:val="single" w:color="auto" w:sz="4" w:space="0"/>
              <w:bottom w:val="single" w:color="auto" w:sz="4" w:space="0"/>
              <w:right w:val="single" w:color="auto" w:sz="12" w:space="0"/>
            </w:tcBorders>
            <w:vAlign w:val="center"/>
          </w:tcPr>
          <w:p w14:paraId="47CD8149">
            <w:pPr>
              <w:widowControl/>
              <w:kinsoku w:val="0"/>
              <w:autoSpaceDE w:val="0"/>
              <w:autoSpaceDN w:val="0"/>
              <w:spacing w:line="240" w:lineRule="auto"/>
              <w:jc w:val="center"/>
              <w:textAlignment w:val="baseline"/>
              <w:outlineLvl w:val="1"/>
              <w:rPr>
                <w:b/>
                <w:bCs/>
                <w:color w:val="000000"/>
                <w:kern w:val="28"/>
                <w:sz w:val="18"/>
                <w:szCs w:val="18"/>
              </w:rPr>
            </w:pPr>
            <w:r>
              <w:rPr>
                <w:rFonts w:ascii="宋体" w:hAnsi="宋体"/>
                <w:b/>
                <w:bCs/>
                <w:color w:val="000000"/>
                <w:kern w:val="28"/>
                <w:sz w:val="18"/>
                <w:szCs w:val="18"/>
              </w:rPr>
              <w:t>夜间</w:t>
            </w:r>
          </w:p>
        </w:tc>
      </w:tr>
      <w:tr w14:paraId="19CDA1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dxa"/>
            <w:vMerge w:val="restart"/>
            <w:tcBorders>
              <w:top w:val="single" w:color="auto" w:sz="4" w:space="0"/>
              <w:left w:val="single" w:color="auto" w:sz="12" w:space="0"/>
              <w:bottom w:val="single" w:color="auto" w:sz="4" w:space="0"/>
              <w:right w:val="single" w:color="auto" w:sz="4" w:space="0"/>
            </w:tcBorders>
            <w:vAlign w:val="center"/>
          </w:tcPr>
          <w:p w14:paraId="52E1FFA0">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青西二路（江东大道-河景路）</w:t>
            </w:r>
          </w:p>
        </w:tc>
        <w:tc>
          <w:tcPr>
            <w:tcW w:w="1278" w:type="dxa"/>
            <w:tcBorders>
              <w:top w:val="single" w:color="auto" w:sz="4" w:space="0"/>
              <w:left w:val="single" w:color="auto" w:sz="4" w:space="0"/>
              <w:bottom w:val="single" w:color="auto" w:sz="4" w:space="0"/>
              <w:right w:val="single" w:color="auto" w:sz="4" w:space="0"/>
            </w:tcBorders>
            <w:vAlign w:val="center"/>
          </w:tcPr>
          <w:p w14:paraId="43188EA4">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近期</w:t>
            </w:r>
            <w:r>
              <w:rPr>
                <w:rFonts w:hint="eastAsia"/>
                <w:bCs/>
                <w:color w:val="000000"/>
                <w:kern w:val="28"/>
                <w:sz w:val="18"/>
                <w:szCs w:val="18"/>
              </w:rPr>
              <w:t>（2027）</w:t>
            </w:r>
          </w:p>
        </w:tc>
        <w:tc>
          <w:tcPr>
            <w:tcW w:w="775" w:type="dxa"/>
            <w:tcBorders>
              <w:top w:val="nil"/>
              <w:left w:val="nil"/>
              <w:bottom w:val="single" w:color="000000" w:sz="8" w:space="0"/>
              <w:right w:val="single" w:color="000000" w:sz="8" w:space="0"/>
            </w:tcBorders>
            <w:vAlign w:val="center"/>
          </w:tcPr>
          <w:p w14:paraId="20250A8A">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426</w:t>
            </w:r>
          </w:p>
        </w:tc>
        <w:tc>
          <w:tcPr>
            <w:tcW w:w="773" w:type="dxa"/>
            <w:tcBorders>
              <w:top w:val="nil"/>
              <w:left w:val="nil"/>
              <w:bottom w:val="single" w:color="000000" w:sz="8" w:space="0"/>
              <w:right w:val="single" w:color="000000" w:sz="8" w:space="0"/>
            </w:tcBorders>
            <w:vAlign w:val="center"/>
          </w:tcPr>
          <w:p w14:paraId="48120542">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53</w:t>
            </w:r>
          </w:p>
        </w:tc>
        <w:tc>
          <w:tcPr>
            <w:tcW w:w="774" w:type="dxa"/>
            <w:tcBorders>
              <w:top w:val="nil"/>
              <w:left w:val="nil"/>
              <w:bottom w:val="single" w:color="000000" w:sz="8" w:space="0"/>
              <w:right w:val="single" w:color="000000" w:sz="8" w:space="0"/>
            </w:tcBorders>
            <w:vAlign w:val="center"/>
          </w:tcPr>
          <w:p w14:paraId="7660867F">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149</w:t>
            </w:r>
          </w:p>
        </w:tc>
        <w:tc>
          <w:tcPr>
            <w:tcW w:w="650" w:type="dxa"/>
            <w:tcBorders>
              <w:top w:val="nil"/>
              <w:left w:val="nil"/>
              <w:bottom w:val="single" w:color="000000" w:sz="8" w:space="0"/>
              <w:right w:val="single" w:color="000000" w:sz="8" w:space="0"/>
            </w:tcBorders>
            <w:vAlign w:val="center"/>
          </w:tcPr>
          <w:p w14:paraId="7014A7F3">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19</w:t>
            </w:r>
          </w:p>
        </w:tc>
        <w:tc>
          <w:tcPr>
            <w:tcW w:w="650" w:type="dxa"/>
            <w:tcBorders>
              <w:top w:val="nil"/>
              <w:left w:val="nil"/>
              <w:bottom w:val="single" w:color="000000" w:sz="8" w:space="0"/>
              <w:right w:val="single" w:color="000000" w:sz="8" w:space="0"/>
            </w:tcBorders>
            <w:vAlign w:val="center"/>
          </w:tcPr>
          <w:p w14:paraId="637C122E">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75</w:t>
            </w:r>
          </w:p>
        </w:tc>
        <w:tc>
          <w:tcPr>
            <w:tcW w:w="650" w:type="dxa"/>
            <w:tcBorders>
              <w:top w:val="nil"/>
              <w:left w:val="nil"/>
              <w:bottom w:val="single" w:color="000000" w:sz="8" w:space="0"/>
              <w:right w:val="single" w:color="000000" w:sz="8" w:space="0"/>
            </w:tcBorders>
            <w:vAlign w:val="center"/>
          </w:tcPr>
          <w:p w14:paraId="29D2671F">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9</w:t>
            </w:r>
          </w:p>
        </w:tc>
        <w:tc>
          <w:tcPr>
            <w:tcW w:w="651" w:type="dxa"/>
            <w:tcBorders>
              <w:top w:val="nil"/>
              <w:left w:val="nil"/>
              <w:bottom w:val="single" w:color="000000" w:sz="8" w:space="0"/>
              <w:right w:val="single" w:color="000000" w:sz="8" w:space="0"/>
            </w:tcBorders>
            <w:vAlign w:val="center"/>
          </w:tcPr>
          <w:p w14:paraId="07CAE622">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650</w:t>
            </w:r>
          </w:p>
        </w:tc>
        <w:tc>
          <w:tcPr>
            <w:tcW w:w="672" w:type="dxa"/>
            <w:tcBorders>
              <w:top w:val="nil"/>
              <w:left w:val="nil"/>
              <w:bottom w:val="single" w:color="000000" w:sz="8" w:space="0"/>
              <w:right w:val="single" w:color="auto" w:sz="12" w:space="0"/>
            </w:tcBorders>
            <w:vAlign w:val="center"/>
          </w:tcPr>
          <w:p w14:paraId="0DEB5FFA">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81</w:t>
            </w:r>
          </w:p>
        </w:tc>
      </w:tr>
      <w:tr w14:paraId="2E8F5C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dxa"/>
            <w:vMerge w:val="continue"/>
            <w:tcBorders>
              <w:top w:val="single" w:color="auto" w:sz="4" w:space="0"/>
              <w:left w:val="single" w:color="auto" w:sz="12" w:space="0"/>
              <w:bottom w:val="single" w:color="auto" w:sz="4" w:space="0"/>
              <w:right w:val="single" w:color="auto" w:sz="4" w:space="0"/>
            </w:tcBorders>
            <w:vAlign w:val="center"/>
          </w:tcPr>
          <w:p w14:paraId="00A9835E">
            <w:pPr>
              <w:widowControl/>
              <w:adjustRightInd/>
              <w:snapToGrid/>
              <w:spacing w:line="240" w:lineRule="auto"/>
              <w:jc w:val="left"/>
              <w:rPr>
                <w:bCs/>
                <w:color w:val="000000"/>
                <w:kern w:val="28"/>
                <w:sz w:val="18"/>
                <w:szCs w:val="18"/>
              </w:rPr>
            </w:pPr>
          </w:p>
        </w:tc>
        <w:tc>
          <w:tcPr>
            <w:tcW w:w="1278" w:type="dxa"/>
            <w:tcBorders>
              <w:top w:val="single" w:color="auto" w:sz="4" w:space="0"/>
              <w:left w:val="single" w:color="auto" w:sz="4" w:space="0"/>
              <w:bottom w:val="single" w:color="auto" w:sz="4" w:space="0"/>
              <w:right w:val="single" w:color="auto" w:sz="4" w:space="0"/>
            </w:tcBorders>
            <w:vAlign w:val="center"/>
          </w:tcPr>
          <w:p w14:paraId="02214D5F">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中期</w:t>
            </w:r>
            <w:r>
              <w:rPr>
                <w:rFonts w:hint="eastAsia"/>
                <w:bCs/>
                <w:color w:val="000000"/>
                <w:kern w:val="28"/>
                <w:sz w:val="18"/>
                <w:szCs w:val="18"/>
              </w:rPr>
              <w:t>（2033）</w:t>
            </w:r>
          </w:p>
        </w:tc>
        <w:tc>
          <w:tcPr>
            <w:tcW w:w="775" w:type="dxa"/>
            <w:tcBorders>
              <w:top w:val="nil"/>
              <w:left w:val="nil"/>
              <w:bottom w:val="single" w:color="000000" w:sz="8" w:space="0"/>
              <w:right w:val="single" w:color="000000" w:sz="8" w:space="0"/>
            </w:tcBorders>
            <w:vAlign w:val="center"/>
          </w:tcPr>
          <w:p w14:paraId="52A1ED09">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503</w:t>
            </w:r>
          </w:p>
        </w:tc>
        <w:tc>
          <w:tcPr>
            <w:tcW w:w="773" w:type="dxa"/>
            <w:tcBorders>
              <w:top w:val="nil"/>
              <w:left w:val="nil"/>
              <w:bottom w:val="single" w:color="000000" w:sz="8" w:space="0"/>
              <w:right w:val="single" w:color="000000" w:sz="8" w:space="0"/>
            </w:tcBorders>
            <w:vAlign w:val="center"/>
          </w:tcPr>
          <w:p w14:paraId="290F4819">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63</w:t>
            </w:r>
          </w:p>
        </w:tc>
        <w:tc>
          <w:tcPr>
            <w:tcW w:w="774" w:type="dxa"/>
            <w:tcBorders>
              <w:top w:val="nil"/>
              <w:left w:val="nil"/>
              <w:bottom w:val="single" w:color="000000" w:sz="8" w:space="0"/>
              <w:right w:val="single" w:color="000000" w:sz="8" w:space="0"/>
            </w:tcBorders>
            <w:vAlign w:val="center"/>
          </w:tcPr>
          <w:p w14:paraId="4A4DBFCC">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174</w:t>
            </w:r>
          </w:p>
        </w:tc>
        <w:tc>
          <w:tcPr>
            <w:tcW w:w="650" w:type="dxa"/>
            <w:tcBorders>
              <w:top w:val="nil"/>
              <w:left w:val="nil"/>
              <w:bottom w:val="single" w:color="000000" w:sz="8" w:space="0"/>
              <w:right w:val="single" w:color="000000" w:sz="8" w:space="0"/>
            </w:tcBorders>
            <w:vAlign w:val="center"/>
          </w:tcPr>
          <w:p w14:paraId="23C3D159">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22</w:t>
            </w:r>
          </w:p>
        </w:tc>
        <w:tc>
          <w:tcPr>
            <w:tcW w:w="650" w:type="dxa"/>
            <w:tcBorders>
              <w:top w:val="nil"/>
              <w:left w:val="nil"/>
              <w:bottom w:val="single" w:color="000000" w:sz="8" w:space="0"/>
              <w:right w:val="single" w:color="000000" w:sz="8" w:space="0"/>
            </w:tcBorders>
            <w:vAlign w:val="center"/>
          </w:tcPr>
          <w:p w14:paraId="2A430DD0">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95</w:t>
            </w:r>
          </w:p>
        </w:tc>
        <w:tc>
          <w:tcPr>
            <w:tcW w:w="650" w:type="dxa"/>
            <w:tcBorders>
              <w:top w:val="nil"/>
              <w:left w:val="nil"/>
              <w:bottom w:val="single" w:color="000000" w:sz="8" w:space="0"/>
              <w:right w:val="single" w:color="000000" w:sz="8" w:space="0"/>
            </w:tcBorders>
            <w:vAlign w:val="center"/>
          </w:tcPr>
          <w:p w14:paraId="6975AD2A">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12</w:t>
            </w:r>
          </w:p>
        </w:tc>
        <w:tc>
          <w:tcPr>
            <w:tcW w:w="651" w:type="dxa"/>
            <w:tcBorders>
              <w:top w:val="nil"/>
              <w:left w:val="nil"/>
              <w:bottom w:val="single" w:color="000000" w:sz="8" w:space="0"/>
              <w:right w:val="single" w:color="000000" w:sz="8" w:space="0"/>
            </w:tcBorders>
            <w:vAlign w:val="center"/>
          </w:tcPr>
          <w:p w14:paraId="628124D5">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772</w:t>
            </w:r>
          </w:p>
        </w:tc>
        <w:tc>
          <w:tcPr>
            <w:tcW w:w="672" w:type="dxa"/>
            <w:tcBorders>
              <w:top w:val="nil"/>
              <w:left w:val="nil"/>
              <w:bottom w:val="single" w:color="000000" w:sz="8" w:space="0"/>
              <w:right w:val="single" w:color="auto" w:sz="12" w:space="0"/>
            </w:tcBorders>
            <w:vAlign w:val="center"/>
          </w:tcPr>
          <w:p w14:paraId="0F6EF3E5">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97</w:t>
            </w:r>
          </w:p>
        </w:tc>
      </w:tr>
      <w:tr w14:paraId="3DF79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3" w:type="dxa"/>
            <w:vMerge w:val="continue"/>
            <w:tcBorders>
              <w:top w:val="single" w:color="auto" w:sz="4" w:space="0"/>
              <w:left w:val="single" w:color="auto" w:sz="12" w:space="0"/>
              <w:bottom w:val="single" w:color="auto" w:sz="12" w:space="0"/>
              <w:right w:val="single" w:color="auto" w:sz="4" w:space="0"/>
            </w:tcBorders>
            <w:vAlign w:val="center"/>
          </w:tcPr>
          <w:p w14:paraId="4CEEB2EB">
            <w:pPr>
              <w:widowControl/>
              <w:adjustRightInd/>
              <w:snapToGrid/>
              <w:spacing w:line="240" w:lineRule="auto"/>
              <w:jc w:val="left"/>
              <w:rPr>
                <w:bCs/>
                <w:color w:val="000000"/>
                <w:kern w:val="28"/>
                <w:sz w:val="18"/>
                <w:szCs w:val="18"/>
              </w:rPr>
            </w:pPr>
          </w:p>
        </w:tc>
        <w:tc>
          <w:tcPr>
            <w:tcW w:w="1278" w:type="dxa"/>
            <w:tcBorders>
              <w:top w:val="single" w:color="auto" w:sz="4" w:space="0"/>
              <w:left w:val="single" w:color="auto" w:sz="4" w:space="0"/>
              <w:bottom w:val="single" w:color="auto" w:sz="12" w:space="0"/>
              <w:right w:val="single" w:color="auto" w:sz="4" w:space="0"/>
            </w:tcBorders>
            <w:vAlign w:val="center"/>
          </w:tcPr>
          <w:p w14:paraId="7C52C1E0">
            <w:pPr>
              <w:widowControl/>
              <w:kinsoku w:val="0"/>
              <w:autoSpaceDE w:val="0"/>
              <w:autoSpaceDN w:val="0"/>
              <w:spacing w:line="240" w:lineRule="auto"/>
              <w:jc w:val="center"/>
              <w:textAlignment w:val="baseline"/>
              <w:outlineLvl w:val="1"/>
              <w:rPr>
                <w:bCs/>
                <w:color w:val="000000"/>
                <w:kern w:val="28"/>
                <w:sz w:val="18"/>
                <w:szCs w:val="18"/>
              </w:rPr>
            </w:pPr>
            <w:r>
              <w:rPr>
                <w:bCs/>
                <w:color w:val="000000"/>
                <w:kern w:val="28"/>
                <w:sz w:val="18"/>
                <w:szCs w:val="18"/>
              </w:rPr>
              <w:t>远期</w:t>
            </w:r>
            <w:r>
              <w:rPr>
                <w:rFonts w:hint="eastAsia"/>
                <w:bCs/>
                <w:color w:val="000000"/>
                <w:kern w:val="28"/>
                <w:sz w:val="18"/>
                <w:szCs w:val="18"/>
              </w:rPr>
              <w:t>（2041）</w:t>
            </w:r>
          </w:p>
        </w:tc>
        <w:tc>
          <w:tcPr>
            <w:tcW w:w="775" w:type="dxa"/>
            <w:tcBorders>
              <w:top w:val="nil"/>
              <w:left w:val="nil"/>
              <w:bottom w:val="single" w:color="auto" w:sz="12" w:space="0"/>
              <w:right w:val="single" w:color="000000" w:sz="8" w:space="0"/>
            </w:tcBorders>
            <w:vAlign w:val="center"/>
          </w:tcPr>
          <w:p w14:paraId="0DE4ACC8">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609</w:t>
            </w:r>
          </w:p>
        </w:tc>
        <w:tc>
          <w:tcPr>
            <w:tcW w:w="773" w:type="dxa"/>
            <w:tcBorders>
              <w:top w:val="nil"/>
              <w:left w:val="nil"/>
              <w:bottom w:val="single" w:color="auto" w:sz="12" w:space="0"/>
              <w:right w:val="single" w:color="000000" w:sz="8" w:space="0"/>
            </w:tcBorders>
            <w:vAlign w:val="center"/>
          </w:tcPr>
          <w:p w14:paraId="18C5389E">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76</w:t>
            </w:r>
          </w:p>
        </w:tc>
        <w:tc>
          <w:tcPr>
            <w:tcW w:w="774" w:type="dxa"/>
            <w:tcBorders>
              <w:top w:val="nil"/>
              <w:left w:val="nil"/>
              <w:bottom w:val="single" w:color="auto" w:sz="12" w:space="0"/>
              <w:right w:val="single" w:color="000000" w:sz="8" w:space="0"/>
            </w:tcBorders>
            <w:vAlign w:val="center"/>
          </w:tcPr>
          <w:p w14:paraId="6119D592">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211</w:t>
            </w:r>
          </w:p>
        </w:tc>
        <w:tc>
          <w:tcPr>
            <w:tcW w:w="650" w:type="dxa"/>
            <w:tcBorders>
              <w:top w:val="nil"/>
              <w:left w:val="nil"/>
              <w:bottom w:val="single" w:color="auto" w:sz="12" w:space="0"/>
              <w:right w:val="single" w:color="000000" w:sz="8" w:space="0"/>
            </w:tcBorders>
            <w:vAlign w:val="center"/>
          </w:tcPr>
          <w:p w14:paraId="37232984">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26</w:t>
            </w:r>
          </w:p>
        </w:tc>
        <w:tc>
          <w:tcPr>
            <w:tcW w:w="650" w:type="dxa"/>
            <w:tcBorders>
              <w:top w:val="nil"/>
              <w:left w:val="nil"/>
              <w:bottom w:val="single" w:color="auto" w:sz="12" w:space="0"/>
              <w:right w:val="single" w:color="000000" w:sz="8" w:space="0"/>
            </w:tcBorders>
            <w:vAlign w:val="center"/>
          </w:tcPr>
          <w:p w14:paraId="5AFC80DF">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121</w:t>
            </w:r>
          </w:p>
        </w:tc>
        <w:tc>
          <w:tcPr>
            <w:tcW w:w="650" w:type="dxa"/>
            <w:tcBorders>
              <w:top w:val="nil"/>
              <w:left w:val="nil"/>
              <w:bottom w:val="single" w:color="auto" w:sz="12" w:space="0"/>
              <w:right w:val="single" w:color="000000" w:sz="8" w:space="0"/>
            </w:tcBorders>
            <w:vAlign w:val="center"/>
          </w:tcPr>
          <w:p w14:paraId="23E8D5A3">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15</w:t>
            </w:r>
          </w:p>
        </w:tc>
        <w:tc>
          <w:tcPr>
            <w:tcW w:w="651" w:type="dxa"/>
            <w:tcBorders>
              <w:top w:val="nil"/>
              <w:left w:val="nil"/>
              <w:bottom w:val="single" w:color="auto" w:sz="12" w:space="0"/>
              <w:right w:val="single" w:color="000000" w:sz="8" w:space="0"/>
            </w:tcBorders>
            <w:vAlign w:val="center"/>
          </w:tcPr>
          <w:p w14:paraId="365893E6">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941</w:t>
            </w:r>
          </w:p>
        </w:tc>
        <w:tc>
          <w:tcPr>
            <w:tcW w:w="672" w:type="dxa"/>
            <w:tcBorders>
              <w:top w:val="nil"/>
              <w:left w:val="nil"/>
              <w:bottom w:val="single" w:color="auto" w:sz="12" w:space="0"/>
              <w:right w:val="single" w:color="auto" w:sz="12" w:space="0"/>
            </w:tcBorders>
            <w:vAlign w:val="center"/>
          </w:tcPr>
          <w:p w14:paraId="7F2EB58B">
            <w:pPr>
              <w:widowControl/>
              <w:kinsoku w:val="0"/>
              <w:autoSpaceDE w:val="0"/>
              <w:autoSpaceDN w:val="0"/>
              <w:spacing w:line="240" w:lineRule="auto"/>
              <w:jc w:val="center"/>
              <w:textAlignment w:val="baseline"/>
              <w:outlineLvl w:val="1"/>
              <w:rPr>
                <w:bCs/>
                <w:color w:val="000000"/>
                <w:kern w:val="28"/>
                <w:sz w:val="18"/>
                <w:szCs w:val="18"/>
              </w:rPr>
            </w:pPr>
            <w:r>
              <w:rPr>
                <w:rFonts w:hint="eastAsia"/>
                <w:bCs/>
                <w:color w:val="000000"/>
                <w:kern w:val="28"/>
                <w:sz w:val="18"/>
                <w:szCs w:val="18"/>
              </w:rPr>
              <w:t>118</w:t>
            </w:r>
          </w:p>
        </w:tc>
      </w:tr>
    </w:tbl>
    <w:p w14:paraId="0C10D5DF">
      <w:pPr>
        <w:pStyle w:val="9"/>
        <w:spacing w:before="212"/>
      </w:pPr>
      <w:bookmarkStart w:id="88" w:name="_Ref233702764"/>
      <w:r>
        <w:t xml:space="preserve">专项表 </w:t>
      </w:r>
      <w:r>
        <w:fldChar w:fldCharType="begin"/>
      </w:r>
      <w:r>
        <w:instrText xml:space="preserve"> SEQ 专项表 \* ARABIC </w:instrText>
      </w:r>
      <w:r>
        <w:fldChar w:fldCharType="separate"/>
      </w:r>
      <w:r>
        <w:t>9</w:t>
      </w:r>
      <w:r>
        <w:fldChar w:fldCharType="end"/>
      </w:r>
      <w:bookmarkEnd w:id="88"/>
      <w:r>
        <w:t>各车型在各特征年声源强</w:t>
      </w:r>
      <w:r>
        <w:rPr>
          <w:rFonts w:hint="eastAsia"/>
        </w:rPr>
        <w:t>（</w:t>
      </w:r>
      <w:r>
        <w:t>dB</w:t>
      </w:r>
      <w:r>
        <w:rPr>
          <w:rFonts w:hint="eastAsia"/>
        </w:rPr>
        <w:t>）</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520"/>
        <w:gridCol w:w="390"/>
        <w:gridCol w:w="456"/>
        <w:gridCol w:w="416"/>
        <w:gridCol w:w="417"/>
        <w:gridCol w:w="388"/>
        <w:gridCol w:w="388"/>
        <w:gridCol w:w="409"/>
        <w:gridCol w:w="389"/>
        <w:gridCol w:w="422"/>
        <w:gridCol w:w="389"/>
        <w:gridCol w:w="389"/>
        <w:gridCol w:w="389"/>
        <w:gridCol w:w="389"/>
        <w:gridCol w:w="434"/>
        <w:gridCol w:w="434"/>
        <w:gridCol w:w="435"/>
        <w:gridCol w:w="436"/>
        <w:gridCol w:w="436"/>
        <w:gridCol w:w="436"/>
      </w:tblGrid>
      <w:tr w14:paraId="67E0F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15" w:type="dxa"/>
            <w:vMerge w:val="restart"/>
            <w:vAlign w:val="center"/>
          </w:tcPr>
          <w:p w14:paraId="7CE98421">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路段</w:t>
            </w:r>
          </w:p>
        </w:tc>
        <w:tc>
          <w:tcPr>
            <w:tcW w:w="386" w:type="dxa"/>
            <w:vMerge w:val="restart"/>
            <w:vAlign w:val="center"/>
          </w:tcPr>
          <w:p w14:paraId="257EE811">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时期</w:t>
            </w:r>
          </w:p>
        </w:tc>
        <w:tc>
          <w:tcPr>
            <w:tcW w:w="2449" w:type="dxa"/>
            <w:gridSpan w:val="6"/>
            <w:vAlign w:val="center"/>
          </w:tcPr>
          <w:p w14:paraId="1099943E">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车流量（辆</w:t>
            </w:r>
            <w:r>
              <w:rPr>
                <w:b/>
                <w:color w:val="000000"/>
                <w:kern w:val="28"/>
                <w:sz w:val="18"/>
                <w:szCs w:val="18"/>
              </w:rPr>
              <w:t>/h</w:t>
            </w:r>
            <w:r>
              <w:rPr>
                <w:rFonts w:ascii="宋体" w:hAnsi="宋体"/>
                <w:b/>
                <w:color w:val="000000"/>
                <w:kern w:val="28"/>
                <w:sz w:val="18"/>
                <w:szCs w:val="18"/>
              </w:rPr>
              <w:t>）</w:t>
            </w:r>
          </w:p>
        </w:tc>
        <w:tc>
          <w:tcPr>
            <w:tcW w:w="2343" w:type="dxa"/>
            <w:gridSpan w:val="6"/>
            <w:vAlign w:val="center"/>
          </w:tcPr>
          <w:p w14:paraId="6ED8CD9C">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车速（</w:t>
            </w:r>
            <w:r>
              <w:rPr>
                <w:b/>
                <w:color w:val="000000"/>
                <w:kern w:val="28"/>
                <w:sz w:val="18"/>
                <w:szCs w:val="18"/>
              </w:rPr>
              <w:t>km/h</w:t>
            </w:r>
            <w:r>
              <w:rPr>
                <w:rFonts w:ascii="宋体" w:hAnsi="宋体"/>
                <w:b/>
                <w:color w:val="000000"/>
                <w:kern w:val="28"/>
                <w:sz w:val="18"/>
                <w:szCs w:val="18"/>
              </w:rPr>
              <w:t>）</w:t>
            </w:r>
          </w:p>
        </w:tc>
        <w:tc>
          <w:tcPr>
            <w:tcW w:w="2583" w:type="dxa"/>
            <w:gridSpan w:val="6"/>
            <w:vAlign w:val="center"/>
          </w:tcPr>
          <w:p w14:paraId="0E54D7A1">
            <w:pPr>
              <w:widowControl/>
              <w:kinsoku w:val="0"/>
              <w:autoSpaceDE w:val="0"/>
              <w:autoSpaceDN w:val="0"/>
              <w:spacing w:line="240" w:lineRule="auto"/>
              <w:jc w:val="center"/>
              <w:textAlignment w:val="baseline"/>
              <w:outlineLvl w:val="1"/>
              <w:rPr>
                <w:b/>
                <w:color w:val="000000"/>
                <w:kern w:val="28"/>
                <w:sz w:val="18"/>
                <w:szCs w:val="18"/>
              </w:rPr>
            </w:pPr>
            <w:commentRangeStart w:id="83"/>
            <w:commentRangeStart w:id="84"/>
            <w:r>
              <w:rPr>
                <w:rFonts w:hint="eastAsia" w:ascii="宋体" w:hAnsi="宋体"/>
                <w:b/>
                <w:color w:val="000000"/>
                <w:kern w:val="28"/>
                <w:sz w:val="18"/>
                <w:szCs w:val="18"/>
              </w:rPr>
              <w:t>源强</w:t>
            </w:r>
            <w:r>
              <w:rPr>
                <w:b/>
                <w:color w:val="000000"/>
                <w:kern w:val="28"/>
                <w:sz w:val="18"/>
                <w:szCs w:val="18"/>
              </w:rPr>
              <w:t>/dB</w:t>
            </w:r>
            <w:commentRangeEnd w:id="83"/>
            <w:r>
              <w:rPr>
                <w:rStyle w:val="38"/>
                <w:b/>
                <w:color w:val="000000"/>
                <w:kern w:val="28"/>
                <w:sz w:val="18"/>
                <w:szCs w:val="18"/>
              </w:rPr>
              <w:commentReference w:id="83"/>
            </w:r>
            <w:commentRangeEnd w:id="84"/>
            <w:r>
              <w:rPr>
                <w:rStyle w:val="38"/>
                <w:b/>
                <w:color w:val="000000"/>
                <w:kern w:val="28"/>
                <w:sz w:val="18"/>
                <w:szCs w:val="18"/>
              </w:rPr>
              <w:commentReference w:id="84"/>
            </w:r>
          </w:p>
        </w:tc>
      </w:tr>
      <w:tr w14:paraId="4C202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0" w:type="auto"/>
            <w:vMerge w:val="continue"/>
            <w:vAlign w:val="center"/>
          </w:tcPr>
          <w:p w14:paraId="3D3074E6">
            <w:pPr>
              <w:widowControl/>
              <w:adjustRightInd/>
              <w:snapToGrid/>
              <w:spacing w:line="240" w:lineRule="auto"/>
              <w:jc w:val="left"/>
              <w:rPr>
                <w:b/>
                <w:color w:val="000000"/>
                <w:kern w:val="28"/>
                <w:sz w:val="18"/>
                <w:szCs w:val="18"/>
              </w:rPr>
            </w:pPr>
          </w:p>
        </w:tc>
        <w:tc>
          <w:tcPr>
            <w:tcW w:w="0" w:type="auto"/>
            <w:vMerge w:val="continue"/>
            <w:vAlign w:val="center"/>
          </w:tcPr>
          <w:p w14:paraId="070180C9">
            <w:pPr>
              <w:widowControl/>
              <w:adjustRightInd/>
              <w:snapToGrid/>
              <w:spacing w:line="240" w:lineRule="auto"/>
              <w:jc w:val="left"/>
              <w:rPr>
                <w:b/>
                <w:color w:val="000000"/>
                <w:kern w:val="28"/>
                <w:sz w:val="18"/>
                <w:szCs w:val="18"/>
              </w:rPr>
            </w:pPr>
          </w:p>
        </w:tc>
        <w:tc>
          <w:tcPr>
            <w:tcW w:w="863" w:type="dxa"/>
            <w:gridSpan w:val="2"/>
            <w:vAlign w:val="center"/>
          </w:tcPr>
          <w:p w14:paraId="5FB661B4">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小型车</w:t>
            </w:r>
          </w:p>
        </w:tc>
        <w:tc>
          <w:tcPr>
            <w:tcW w:w="797" w:type="dxa"/>
            <w:gridSpan w:val="2"/>
            <w:vAlign w:val="center"/>
          </w:tcPr>
          <w:p w14:paraId="72CF298D">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中型车</w:t>
            </w:r>
          </w:p>
        </w:tc>
        <w:tc>
          <w:tcPr>
            <w:tcW w:w="789" w:type="dxa"/>
            <w:gridSpan w:val="2"/>
            <w:vAlign w:val="center"/>
          </w:tcPr>
          <w:p w14:paraId="107A0D66">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大型车</w:t>
            </w:r>
          </w:p>
        </w:tc>
        <w:tc>
          <w:tcPr>
            <w:tcW w:w="803" w:type="dxa"/>
            <w:gridSpan w:val="2"/>
            <w:vAlign w:val="center"/>
          </w:tcPr>
          <w:p w14:paraId="3560A93E">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小型车</w:t>
            </w:r>
          </w:p>
        </w:tc>
        <w:tc>
          <w:tcPr>
            <w:tcW w:w="770" w:type="dxa"/>
            <w:gridSpan w:val="2"/>
            <w:vAlign w:val="center"/>
          </w:tcPr>
          <w:p w14:paraId="58498949">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中型车</w:t>
            </w:r>
          </w:p>
        </w:tc>
        <w:tc>
          <w:tcPr>
            <w:tcW w:w="770" w:type="dxa"/>
            <w:gridSpan w:val="2"/>
            <w:vAlign w:val="center"/>
          </w:tcPr>
          <w:p w14:paraId="1824A697">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大型车</w:t>
            </w:r>
          </w:p>
        </w:tc>
        <w:tc>
          <w:tcPr>
            <w:tcW w:w="860" w:type="dxa"/>
            <w:gridSpan w:val="2"/>
            <w:vAlign w:val="center"/>
          </w:tcPr>
          <w:p w14:paraId="5117A601">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小型车</w:t>
            </w:r>
          </w:p>
        </w:tc>
        <w:tc>
          <w:tcPr>
            <w:tcW w:w="861" w:type="dxa"/>
            <w:gridSpan w:val="2"/>
            <w:vAlign w:val="center"/>
          </w:tcPr>
          <w:p w14:paraId="13484238">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中型车</w:t>
            </w:r>
          </w:p>
        </w:tc>
        <w:tc>
          <w:tcPr>
            <w:tcW w:w="862" w:type="dxa"/>
            <w:gridSpan w:val="2"/>
            <w:vAlign w:val="center"/>
          </w:tcPr>
          <w:p w14:paraId="56210741">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大型车</w:t>
            </w:r>
          </w:p>
        </w:tc>
      </w:tr>
      <w:tr w14:paraId="34FF52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0" w:type="auto"/>
            <w:vMerge w:val="continue"/>
            <w:vAlign w:val="center"/>
          </w:tcPr>
          <w:p w14:paraId="08D9422D">
            <w:pPr>
              <w:widowControl/>
              <w:adjustRightInd/>
              <w:snapToGrid/>
              <w:spacing w:line="240" w:lineRule="auto"/>
              <w:jc w:val="left"/>
              <w:rPr>
                <w:b/>
                <w:color w:val="000000"/>
                <w:kern w:val="28"/>
                <w:sz w:val="18"/>
                <w:szCs w:val="18"/>
              </w:rPr>
            </w:pPr>
          </w:p>
        </w:tc>
        <w:tc>
          <w:tcPr>
            <w:tcW w:w="0" w:type="auto"/>
            <w:vMerge w:val="continue"/>
            <w:vAlign w:val="center"/>
          </w:tcPr>
          <w:p w14:paraId="11CC781D">
            <w:pPr>
              <w:widowControl/>
              <w:adjustRightInd/>
              <w:snapToGrid/>
              <w:spacing w:line="240" w:lineRule="auto"/>
              <w:jc w:val="left"/>
              <w:rPr>
                <w:b/>
                <w:color w:val="000000"/>
                <w:kern w:val="28"/>
                <w:sz w:val="18"/>
                <w:szCs w:val="18"/>
              </w:rPr>
            </w:pPr>
          </w:p>
        </w:tc>
        <w:tc>
          <w:tcPr>
            <w:tcW w:w="451" w:type="dxa"/>
            <w:vAlign w:val="center"/>
          </w:tcPr>
          <w:p w14:paraId="6C28BA1D">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昼间</w:t>
            </w:r>
          </w:p>
        </w:tc>
        <w:tc>
          <w:tcPr>
            <w:tcW w:w="412" w:type="dxa"/>
            <w:vAlign w:val="center"/>
          </w:tcPr>
          <w:p w14:paraId="7178D29C">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夜间</w:t>
            </w:r>
          </w:p>
        </w:tc>
        <w:tc>
          <w:tcPr>
            <w:tcW w:w="413" w:type="dxa"/>
            <w:vAlign w:val="center"/>
          </w:tcPr>
          <w:p w14:paraId="4334900D">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昼间</w:t>
            </w:r>
          </w:p>
        </w:tc>
        <w:tc>
          <w:tcPr>
            <w:tcW w:w="384" w:type="dxa"/>
            <w:vAlign w:val="center"/>
          </w:tcPr>
          <w:p w14:paraId="5287136B">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夜间</w:t>
            </w:r>
          </w:p>
        </w:tc>
        <w:tc>
          <w:tcPr>
            <w:tcW w:w="384" w:type="dxa"/>
            <w:vAlign w:val="center"/>
          </w:tcPr>
          <w:p w14:paraId="2300E1C4">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昼间</w:t>
            </w:r>
          </w:p>
        </w:tc>
        <w:tc>
          <w:tcPr>
            <w:tcW w:w="405" w:type="dxa"/>
            <w:vAlign w:val="center"/>
          </w:tcPr>
          <w:p w14:paraId="73E1D346">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夜间</w:t>
            </w:r>
          </w:p>
        </w:tc>
        <w:tc>
          <w:tcPr>
            <w:tcW w:w="385" w:type="dxa"/>
            <w:vAlign w:val="center"/>
          </w:tcPr>
          <w:p w14:paraId="397311AD">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昼间</w:t>
            </w:r>
          </w:p>
        </w:tc>
        <w:tc>
          <w:tcPr>
            <w:tcW w:w="418" w:type="dxa"/>
            <w:vAlign w:val="center"/>
          </w:tcPr>
          <w:p w14:paraId="0E79ED65">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夜间</w:t>
            </w:r>
          </w:p>
        </w:tc>
        <w:tc>
          <w:tcPr>
            <w:tcW w:w="385" w:type="dxa"/>
            <w:vAlign w:val="center"/>
          </w:tcPr>
          <w:p w14:paraId="76950378">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昼间</w:t>
            </w:r>
          </w:p>
        </w:tc>
        <w:tc>
          <w:tcPr>
            <w:tcW w:w="385" w:type="dxa"/>
            <w:vAlign w:val="center"/>
          </w:tcPr>
          <w:p w14:paraId="4DB3133F">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夜间</w:t>
            </w:r>
          </w:p>
        </w:tc>
        <w:tc>
          <w:tcPr>
            <w:tcW w:w="385" w:type="dxa"/>
            <w:vAlign w:val="center"/>
          </w:tcPr>
          <w:p w14:paraId="69F62D14">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昼间</w:t>
            </w:r>
          </w:p>
        </w:tc>
        <w:tc>
          <w:tcPr>
            <w:tcW w:w="385" w:type="dxa"/>
            <w:vAlign w:val="center"/>
          </w:tcPr>
          <w:p w14:paraId="242C4643">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夜间</w:t>
            </w:r>
          </w:p>
        </w:tc>
        <w:tc>
          <w:tcPr>
            <w:tcW w:w="430" w:type="dxa"/>
            <w:vAlign w:val="center"/>
          </w:tcPr>
          <w:p w14:paraId="519044B1">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昼间</w:t>
            </w:r>
          </w:p>
        </w:tc>
        <w:tc>
          <w:tcPr>
            <w:tcW w:w="430" w:type="dxa"/>
            <w:vAlign w:val="center"/>
          </w:tcPr>
          <w:p w14:paraId="26A817AA">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夜间</w:t>
            </w:r>
          </w:p>
        </w:tc>
        <w:tc>
          <w:tcPr>
            <w:tcW w:w="430" w:type="dxa"/>
            <w:vAlign w:val="center"/>
          </w:tcPr>
          <w:p w14:paraId="19A094AD">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昼间</w:t>
            </w:r>
          </w:p>
        </w:tc>
        <w:tc>
          <w:tcPr>
            <w:tcW w:w="431" w:type="dxa"/>
            <w:vAlign w:val="center"/>
          </w:tcPr>
          <w:p w14:paraId="40746200">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夜间</w:t>
            </w:r>
          </w:p>
        </w:tc>
        <w:tc>
          <w:tcPr>
            <w:tcW w:w="431" w:type="dxa"/>
            <w:vAlign w:val="center"/>
          </w:tcPr>
          <w:p w14:paraId="4BE079D5">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昼间</w:t>
            </w:r>
          </w:p>
        </w:tc>
        <w:tc>
          <w:tcPr>
            <w:tcW w:w="431" w:type="dxa"/>
            <w:vAlign w:val="center"/>
          </w:tcPr>
          <w:p w14:paraId="7DAEC66E">
            <w:pPr>
              <w:widowControl/>
              <w:kinsoku w:val="0"/>
              <w:autoSpaceDE w:val="0"/>
              <w:autoSpaceDN w:val="0"/>
              <w:spacing w:line="240" w:lineRule="auto"/>
              <w:jc w:val="center"/>
              <w:textAlignment w:val="baseline"/>
              <w:outlineLvl w:val="1"/>
              <w:rPr>
                <w:b/>
                <w:color w:val="000000"/>
                <w:kern w:val="28"/>
                <w:sz w:val="18"/>
                <w:szCs w:val="18"/>
              </w:rPr>
            </w:pPr>
            <w:r>
              <w:rPr>
                <w:rFonts w:ascii="宋体" w:hAnsi="宋体"/>
                <w:b/>
                <w:color w:val="000000"/>
                <w:kern w:val="28"/>
                <w:sz w:val="18"/>
                <w:szCs w:val="18"/>
              </w:rPr>
              <w:t>夜间</w:t>
            </w:r>
          </w:p>
        </w:tc>
      </w:tr>
      <w:tr w14:paraId="2C9A3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15" w:type="dxa"/>
            <w:vMerge w:val="restart"/>
            <w:vAlign w:val="center"/>
          </w:tcPr>
          <w:p w14:paraId="421D8719">
            <w:pPr>
              <w:widowControl/>
              <w:kinsoku w:val="0"/>
              <w:autoSpaceDE w:val="0"/>
              <w:autoSpaceDN w:val="0"/>
              <w:spacing w:line="240" w:lineRule="auto"/>
              <w:jc w:val="center"/>
              <w:textAlignment w:val="baseline"/>
              <w:outlineLvl w:val="1"/>
              <w:rPr>
                <w:bCs/>
                <w:color w:val="000000"/>
                <w:kern w:val="28"/>
                <w:sz w:val="18"/>
                <w:szCs w:val="18"/>
                <w:highlight w:val="yellow"/>
              </w:rPr>
            </w:pPr>
            <w:r>
              <w:rPr>
                <w:bCs/>
                <w:color w:val="000000"/>
                <w:kern w:val="28"/>
                <w:sz w:val="18"/>
                <w:szCs w:val="18"/>
              </w:rPr>
              <w:t>青西二路（江东大道-河景路）</w:t>
            </w:r>
          </w:p>
        </w:tc>
        <w:tc>
          <w:tcPr>
            <w:tcW w:w="386" w:type="dxa"/>
            <w:vAlign w:val="center"/>
          </w:tcPr>
          <w:p w14:paraId="01D48F9F">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近期</w:t>
            </w:r>
          </w:p>
        </w:tc>
        <w:tc>
          <w:tcPr>
            <w:tcW w:w="451" w:type="dxa"/>
            <w:tcBorders>
              <w:top w:val="nil"/>
              <w:left w:val="nil"/>
              <w:bottom w:val="single" w:color="000000" w:sz="8" w:space="0"/>
              <w:right w:val="single" w:color="000000" w:sz="8" w:space="0"/>
            </w:tcBorders>
            <w:vAlign w:val="center"/>
          </w:tcPr>
          <w:p w14:paraId="52966974">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426</w:t>
            </w:r>
          </w:p>
        </w:tc>
        <w:tc>
          <w:tcPr>
            <w:tcW w:w="412" w:type="dxa"/>
            <w:tcBorders>
              <w:top w:val="nil"/>
              <w:left w:val="nil"/>
              <w:bottom w:val="single" w:color="000000" w:sz="8" w:space="0"/>
              <w:right w:val="single" w:color="000000" w:sz="8" w:space="0"/>
            </w:tcBorders>
            <w:vAlign w:val="center"/>
          </w:tcPr>
          <w:p w14:paraId="6F5864CD">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53</w:t>
            </w:r>
          </w:p>
        </w:tc>
        <w:tc>
          <w:tcPr>
            <w:tcW w:w="413" w:type="dxa"/>
            <w:tcBorders>
              <w:top w:val="nil"/>
              <w:left w:val="nil"/>
              <w:bottom w:val="single" w:color="000000" w:sz="8" w:space="0"/>
              <w:right w:val="single" w:color="000000" w:sz="8" w:space="0"/>
            </w:tcBorders>
            <w:vAlign w:val="center"/>
          </w:tcPr>
          <w:p w14:paraId="2D1FFF44">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149</w:t>
            </w:r>
          </w:p>
        </w:tc>
        <w:tc>
          <w:tcPr>
            <w:tcW w:w="384" w:type="dxa"/>
            <w:tcBorders>
              <w:top w:val="nil"/>
              <w:left w:val="nil"/>
              <w:bottom w:val="single" w:color="000000" w:sz="8" w:space="0"/>
              <w:right w:val="single" w:color="000000" w:sz="8" w:space="0"/>
            </w:tcBorders>
            <w:vAlign w:val="center"/>
          </w:tcPr>
          <w:p w14:paraId="3F9091AB">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19</w:t>
            </w:r>
          </w:p>
        </w:tc>
        <w:tc>
          <w:tcPr>
            <w:tcW w:w="384" w:type="dxa"/>
            <w:tcBorders>
              <w:top w:val="nil"/>
              <w:left w:val="nil"/>
              <w:bottom w:val="single" w:color="000000" w:sz="8" w:space="0"/>
              <w:right w:val="single" w:color="000000" w:sz="8" w:space="0"/>
            </w:tcBorders>
            <w:vAlign w:val="center"/>
          </w:tcPr>
          <w:p w14:paraId="28312F47">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75</w:t>
            </w:r>
          </w:p>
        </w:tc>
        <w:tc>
          <w:tcPr>
            <w:tcW w:w="405" w:type="dxa"/>
            <w:tcBorders>
              <w:top w:val="nil"/>
              <w:left w:val="nil"/>
              <w:bottom w:val="single" w:color="000000" w:sz="8" w:space="0"/>
              <w:right w:val="single" w:color="000000" w:sz="8" w:space="0"/>
            </w:tcBorders>
            <w:vAlign w:val="center"/>
          </w:tcPr>
          <w:p w14:paraId="01EF8EB0">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9</w:t>
            </w:r>
          </w:p>
        </w:tc>
        <w:tc>
          <w:tcPr>
            <w:tcW w:w="385" w:type="dxa"/>
            <w:vAlign w:val="center"/>
          </w:tcPr>
          <w:p w14:paraId="5E41ABE2">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418" w:type="dxa"/>
            <w:vAlign w:val="center"/>
          </w:tcPr>
          <w:p w14:paraId="186BF4EB">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009F9080">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047729AA">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6A8603D9">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324E7DCC">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430" w:type="dxa"/>
            <w:vAlign w:val="center"/>
          </w:tcPr>
          <w:p w14:paraId="083CCD29">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67.4</w:t>
            </w:r>
          </w:p>
        </w:tc>
        <w:tc>
          <w:tcPr>
            <w:tcW w:w="430" w:type="dxa"/>
            <w:vAlign w:val="center"/>
          </w:tcPr>
          <w:p w14:paraId="1F974D67">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58.3</w:t>
            </w:r>
          </w:p>
        </w:tc>
        <w:tc>
          <w:tcPr>
            <w:tcW w:w="430" w:type="dxa"/>
            <w:vAlign w:val="center"/>
          </w:tcPr>
          <w:p w14:paraId="0A81220B">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67.1</w:t>
            </w:r>
          </w:p>
        </w:tc>
        <w:tc>
          <w:tcPr>
            <w:tcW w:w="431" w:type="dxa"/>
            <w:vAlign w:val="center"/>
          </w:tcPr>
          <w:p w14:paraId="1703A743">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58.1</w:t>
            </w:r>
          </w:p>
        </w:tc>
        <w:tc>
          <w:tcPr>
            <w:tcW w:w="431" w:type="dxa"/>
            <w:vAlign w:val="center"/>
          </w:tcPr>
          <w:p w14:paraId="02346FB7">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69</w:t>
            </w:r>
          </w:p>
        </w:tc>
        <w:tc>
          <w:tcPr>
            <w:tcW w:w="431" w:type="dxa"/>
            <w:vAlign w:val="center"/>
          </w:tcPr>
          <w:p w14:paraId="30AE5FB3">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59.8</w:t>
            </w:r>
          </w:p>
        </w:tc>
      </w:tr>
      <w:tr w14:paraId="6756F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0" w:type="auto"/>
            <w:vMerge w:val="continue"/>
            <w:vAlign w:val="center"/>
          </w:tcPr>
          <w:p w14:paraId="32C67957">
            <w:pPr>
              <w:widowControl/>
              <w:adjustRightInd/>
              <w:snapToGrid/>
              <w:spacing w:line="240" w:lineRule="auto"/>
              <w:jc w:val="left"/>
              <w:rPr>
                <w:bCs/>
                <w:color w:val="000000"/>
                <w:kern w:val="28"/>
                <w:sz w:val="18"/>
                <w:szCs w:val="18"/>
                <w:highlight w:val="yellow"/>
              </w:rPr>
            </w:pPr>
          </w:p>
        </w:tc>
        <w:tc>
          <w:tcPr>
            <w:tcW w:w="386" w:type="dxa"/>
            <w:vAlign w:val="center"/>
          </w:tcPr>
          <w:p w14:paraId="0329D693">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中期</w:t>
            </w:r>
          </w:p>
        </w:tc>
        <w:tc>
          <w:tcPr>
            <w:tcW w:w="451" w:type="dxa"/>
            <w:tcBorders>
              <w:top w:val="nil"/>
              <w:left w:val="nil"/>
              <w:bottom w:val="single" w:color="000000" w:sz="8" w:space="0"/>
              <w:right w:val="single" w:color="000000" w:sz="8" w:space="0"/>
            </w:tcBorders>
            <w:vAlign w:val="center"/>
          </w:tcPr>
          <w:p w14:paraId="77198251">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503</w:t>
            </w:r>
          </w:p>
        </w:tc>
        <w:tc>
          <w:tcPr>
            <w:tcW w:w="412" w:type="dxa"/>
            <w:tcBorders>
              <w:top w:val="nil"/>
              <w:left w:val="nil"/>
              <w:bottom w:val="single" w:color="000000" w:sz="8" w:space="0"/>
              <w:right w:val="single" w:color="000000" w:sz="8" w:space="0"/>
            </w:tcBorders>
            <w:vAlign w:val="center"/>
          </w:tcPr>
          <w:p w14:paraId="28A9511F">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63</w:t>
            </w:r>
          </w:p>
        </w:tc>
        <w:tc>
          <w:tcPr>
            <w:tcW w:w="413" w:type="dxa"/>
            <w:tcBorders>
              <w:top w:val="nil"/>
              <w:left w:val="nil"/>
              <w:bottom w:val="single" w:color="000000" w:sz="8" w:space="0"/>
              <w:right w:val="single" w:color="000000" w:sz="8" w:space="0"/>
            </w:tcBorders>
            <w:vAlign w:val="center"/>
          </w:tcPr>
          <w:p w14:paraId="0299C7D7">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174</w:t>
            </w:r>
          </w:p>
        </w:tc>
        <w:tc>
          <w:tcPr>
            <w:tcW w:w="384" w:type="dxa"/>
            <w:tcBorders>
              <w:top w:val="nil"/>
              <w:left w:val="nil"/>
              <w:bottom w:val="single" w:color="000000" w:sz="8" w:space="0"/>
              <w:right w:val="single" w:color="000000" w:sz="8" w:space="0"/>
            </w:tcBorders>
            <w:vAlign w:val="center"/>
          </w:tcPr>
          <w:p w14:paraId="609431B6">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22</w:t>
            </w:r>
          </w:p>
        </w:tc>
        <w:tc>
          <w:tcPr>
            <w:tcW w:w="384" w:type="dxa"/>
            <w:tcBorders>
              <w:top w:val="nil"/>
              <w:left w:val="nil"/>
              <w:bottom w:val="single" w:color="000000" w:sz="8" w:space="0"/>
              <w:right w:val="single" w:color="000000" w:sz="8" w:space="0"/>
            </w:tcBorders>
            <w:vAlign w:val="center"/>
          </w:tcPr>
          <w:p w14:paraId="3043EC36">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95</w:t>
            </w:r>
          </w:p>
        </w:tc>
        <w:tc>
          <w:tcPr>
            <w:tcW w:w="405" w:type="dxa"/>
            <w:tcBorders>
              <w:top w:val="nil"/>
              <w:left w:val="nil"/>
              <w:bottom w:val="single" w:color="000000" w:sz="8" w:space="0"/>
              <w:right w:val="single" w:color="000000" w:sz="8" w:space="0"/>
            </w:tcBorders>
            <w:vAlign w:val="center"/>
          </w:tcPr>
          <w:p w14:paraId="38C99CF9">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12</w:t>
            </w:r>
          </w:p>
        </w:tc>
        <w:tc>
          <w:tcPr>
            <w:tcW w:w="385" w:type="dxa"/>
            <w:vAlign w:val="center"/>
          </w:tcPr>
          <w:p w14:paraId="2997CFA1">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418" w:type="dxa"/>
            <w:vAlign w:val="center"/>
          </w:tcPr>
          <w:p w14:paraId="40051ECB">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1F7B1A47">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50ABE90A">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6E17F6E7">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2867E6B1">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430" w:type="dxa"/>
            <w:vAlign w:val="center"/>
          </w:tcPr>
          <w:p w14:paraId="3509E7FF">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68.1</w:t>
            </w:r>
          </w:p>
        </w:tc>
        <w:tc>
          <w:tcPr>
            <w:tcW w:w="430" w:type="dxa"/>
            <w:vAlign w:val="center"/>
          </w:tcPr>
          <w:p w14:paraId="5815F75B">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59.1</w:t>
            </w:r>
          </w:p>
        </w:tc>
        <w:tc>
          <w:tcPr>
            <w:tcW w:w="430" w:type="dxa"/>
            <w:vAlign w:val="center"/>
          </w:tcPr>
          <w:p w14:paraId="5DBF301B">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67.8</w:t>
            </w:r>
          </w:p>
        </w:tc>
        <w:tc>
          <w:tcPr>
            <w:tcW w:w="431" w:type="dxa"/>
            <w:vAlign w:val="center"/>
          </w:tcPr>
          <w:p w14:paraId="0AA551AE">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58.8</w:t>
            </w:r>
          </w:p>
        </w:tc>
        <w:tc>
          <w:tcPr>
            <w:tcW w:w="431" w:type="dxa"/>
            <w:vAlign w:val="center"/>
          </w:tcPr>
          <w:p w14:paraId="033B39D6">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70</w:t>
            </w:r>
          </w:p>
        </w:tc>
        <w:tc>
          <w:tcPr>
            <w:tcW w:w="431" w:type="dxa"/>
            <w:vAlign w:val="center"/>
          </w:tcPr>
          <w:p w14:paraId="12266E02">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61</w:t>
            </w:r>
          </w:p>
        </w:tc>
      </w:tr>
      <w:tr w14:paraId="788840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0" w:type="auto"/>
            <w:vMerge w:val="continue"/>
            <w:vAlign w:val="center"/>
          </w:tcPr>
          <w:p w14:paraId="0F3885AC">
            <w:pPr>
              <w:widowControl/>
              <w:adjustRightInd/>
              <w:snapToGrid/>
              <w:spacing w:line="240" w:lineRule="auto"/>
              <w:jc w:val="left"/>
              <w:rPr>
                <w:bCs/>
                <w:color w:val="000000"/>
                <w:kern w:val="28"/>
                <w:sz w:val="18"/>
                <w:szCs w:val="18"/>
                <w:highlight w:val="yellow"/>
              </w:rPr>
            </w:pPr>
          </w:p>
        </w:tc>
        <w:tc>
          <w:tcPr>
            <w:tcW w:w="386" w:type="dxa"/>
            <w:vAlign w:val="center"/>
          </w:tcPr>
          <w:p w14:paraId="066CC5F2">
            <w:pPr>
              <w:widowControl/>
              <w:kinsoku w:val="0"/>
              <w:autoSpaceDE w:val="0"/>
              <w:autoSpaceDN w:val="0"/>
              <w:spacing w:line="240" w:lineRule="auto"/>
              <w:jc w:val="center"/>
              <w:textAlignment w:val="baseline"/>
              <w:outlineLvl w:val="1"/>
              <w:rPr>
                <w:bCs/>
                <w:color w:val="000000"/>
                <w:kern w:val="28"/>
                <w:sz w:val="18"/>
                <w:szCs w:val="18"/>
              </w:rPr>
            </w:pPr>
            <w:r>
              <w:rPr>
                <w:rFonts w:ascii="宋体" w:hAnsi="宋体"/>
                <w:bCs/>
                <w:color w:val="000000"/>
                <w:kern w:val="28"/>
                <w:sz w:val="18"/>
                <w:szCs w:val="18"/>
              </w:rPr>
              <w:t>远期</w:t>
            </w:r>
          </w:p>
        </w:tc>
        <w:tc>
          <w:tcPr>
            <w:tcW w:w="451" w:type="dxa"/>
            <w:tcBorders>
              <w:top w:val="nil"/>
              <w:left w:val="nil"/>
              <w:bottom w:val="single" w:color="auto" w:sz="12" w:space="0"/>
              <w:right w:val="single" w:color="000000" w:sz="8" w:space="0"/>
            </w:tcBorders>
            <w:vAlign w:val="center"/>
          </w:tcPr>
          <w:p w14:paraId="15F279B5">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609</w:t>
            </w:r>
          </w:p>
        </w:tc>
        <w:tc>
          <w:tcPr>
            <w:tcW w:w="412" w:type="dxa"/>
            <w:tcBorders>
              <w:top w:val="nil"/>
              <w:left w:val="nil"/>
              <w:bottom w:val="single" w:color="auto" w:sz="12" w:space="0"/>
              <w:right w:val="single" w:color="000000" w:sz="8" w:space="0"/>
            </w:tcBorders>
            <w:vAlign w:val="center"/>
          </w:tcPr>
          <w:p w14:paraId="1233CF5A">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76</w:t>
            </w:r>
          </w:p>
        </w:tc>
        <w:tc>
          <w:tcPr>
            <w:tcW w:w="413" w:type="dxa"/>
            <w:tcBorders>
              <w:top w:val="nil"/>
              <w:left w:val="nil"/>
              <w:bottom w:val="single" w:color="auto" w:sz="12" w:space="0"/>
              <w:right w:val="single" w:color="000000" w:sz="8" w:space="0"/>
            </w:tcBorders>
            <w:vAlign w:val="center"/>
          </w:tcPr>
          <w:p w14:paraId="68A664D1">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211</w:t>
            </w:r>
          </w:p>
        </w:tc>
        <w:tc>
          <w:tcPr>
            <w:tcW w:w="384" w:type="dxa"/>
            <w:tcBorders>
              <w:top w:val="nil"/>
              <w:left w:val="nil"/>
              <w:bottom w:val="single" w:color="auto" w:sz="12" w:space="0"/>
              <w:right w:val="single" w:color="000000" w:sz="8" w:space="0"/>
            </w:tcBorders>
            <w:vAlign w:val="center"/>
          </w:tcPr>
          <w:p w14:paraId="52769DCF">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26</w:t>
            </w:r>
          </w:p>
        </w:tc>
        <w:tc>
          <w:tcPr>
            <w:tcW w:w="384" w:type="dxa"/>
            <w:tcBorders>
              <w:top w:val="nil"/>
              <w:left w:val="nil"/>
              <w:bottom w:val="single" w:color="auto" w:sz="12" w:space="0"/>
              <w:right w:val="single" w:color="000000" w:sz="8" w:space="0"/>
            </w:tcBorders>
            <w:vAlign w:val="center"/>
          </w:tcPr>
          <w:p w14:paraId="2B910004">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121</w:t>
            </w:r>
          </w:p>
        </w:tc>
        <w:tc>
          <w:tcPr>
            <w:tcW w:w="405" w:type="dxa"/>
            <w:tcBorders>
              <w:top w:val="nil"/>
              <w:left w:val="nil"/>
              <w:bottom w:val="single" w:color="auto" w:sz="12" w:space="0"/>
              <w:right w:val="single" w:color="000000" w:sz="8" w:space="0"/>
            </w:tcBorders>
            <w:vAlign w:val="center"/>
          </w:tcPr>
          <w:p w14:paraId="74BA6FEB">
            <w:pPr>
              <w:widowControl/>
              <w:kinsoku w:val="0"/>
              <w:autoSpaceDE w:val="0"/>
              <w:autoSpaceDN w:val="0"/>
              <w:spacing w:line="240" w:lineRule="auto"/>
              <w:jc w:val="center"/>
              <w:textAlignment w:val="baseline"/>
              <w:outlineLvl w:val="1"/>
              <w:rPr>
                <w:color w:val="000000"/>
                <w:kern w:val="28"/>
                <w:sz w:val="18"/>
                <w:szCs w:val="18"/>
                <w:highlight w:val="yellow"/>
              </w:rPr>
            </w:pPr>
            <w:r>
              <w:rPr>
                <w:rFonts w:hint="eastAsia"/>
                <w:bCs/>
                <w:color w:val="000000"/>
                <w:kern w:val="28"/>
                <w:sz w:val="18"/>
                <w:szCs w:val="18"/>
              </w:rPr>
              <w:t>15</w:t>
            </w:r>
          </w:p>
        </w:tc>
        <w:tc>
          <w:tcPr>
            <w:tcW w:w="385" w:type="dxa"/>
            <w:vAlign w:val="center"/>
          </w:tcPr>
          <w:p w14:paraId="2F647BBD">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418" w:type="dxa"/>
            <w:vAlign w:val="center"/>
          </w:tcPr>
          <w:p w14:paraId="3CEBD4C2">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3E4DDAD0">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4BD02A37">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0BF052DB">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385" w:type="dxa"/>
            <w:vAlign w:val="center"/>
          </w:tcPr>
          <w:p w14:paraId="1DA74AFE">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40</w:t>
            </w:r>
          </w:p>
        </w:tc>
        <w:tc>
          <w:tcPr>
            <w:tcW w:w="430" w:type="dxa"/>
            <w:vAlign w:val="center"/>
          </w:tcPr>
          <w:p w14:paraId="35F4A4ED">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68.9</w:t>
            </w:r>
          </w:p>
        </w:tc>
        <w:tc>
          <w:tcPr>
            <w:tcW w:w="430" w:type="dxa"/>
            <w:vAlign w:val="center"/>
          </w:tcPr>
          <w:p w14:paraId="0567E9D9">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59.9</w:t>
            </w:r>
          </w:p>
        </w:tc>
        <w:tc>
          <w:tcPr>
            <w:tcW w:w="430" w:type="dxa"/>
            <w:vAlign w:val="center"/>
          </w:tcPr>
          <w:p w14:paraId="7E82E3D3">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68.6</w:t>
            </w:r>
          </w:p>
        </w:tc>
        <w:tc>
          <w:tcPr>
            <w:tcW w:w="431" w:type="dxa"/>
            <w:vAlign w:val="center"/>
          </w:tcPr>
          <w:p w14:paraId="7E6B061E">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59.5</w:t>
            </w:r>
          </w:p>
        </w:tc>
        <w:tc>
          <w:tcPr>
            <w:tcW w:w="431" w:type="dxa"/>
            <w:vAlign w:val="center"/>
          </w:tcPr>
          <w:p w14:paraId="6AD69F76">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71.1</w:t>
            </w:r>
          </w:p>
        </w:tc>
        <w:tc>
          <w:tcPr>
            <w:tcW w:w="431" w:type="dxa"/>
            <w:vAlign w:val="center"/>
          </w:tcPr>
          <w:p w14:paraId="46B067BB">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62</w:t>
            </w:r>
          </w:p>
        </w:tc>
      </w:tr>
    </w:tbl>
    <w:p w14:paraId="1E1131F8">
      <w:pPr>
        <w:widowControl/>
        <w:adjustRightInd/>
        <w:snapToGrid/>
        <w:spacing w:beforeAutospacing="1" w:line="240" w:lineRule="auto"/>
        <w:jc w:val="left"/>
        <w:rPr>
          <w:b/>
          <w:bCs/>
          <w:color w:val="000000"/>
          <w:kern w:val="0"/>
          <w:szCs w:val="21"/>
          <w:highlight w:val="yellow"/>
        </w:rPr>
        <w:sectPr>
          <w:pgSz w:w="11906" w:h="16838"/>
          <w:pgMar w:top="1440" w:right="1800" w:bottom="1440" w:left="1800" w:header="851" w:footer="851" w:gutter="0"/>
          <w:cols w:space="720" w:num="1"/>
          <w:titlePg/>
          <w:docGrid w:type="lines" w:linePitch="424" w:charSpace="0"/>
        </w:sectPr>
      </w:pPr>
    </w:p>
    <w:p w14:paraId="14B6B3DD">
      <w:pPr>
        <w:widowControl/>
        <w:kinsoku w:val="0"/>
        <w:autoSpaceDE w:val="0"/>
        <w:autoSpaceDN w:val="0"/>
        <w:ind w:firstLine="482" w:firstLineChars="200"/>
        <w:jc w:val="left"/>
        <w:textAlignment w:val="baseline"/>
        <w:outlineLvl w:val="1"/>
        <w:rPr>
          <w:b/>
          <w:bCs/>
          <w:color w:val="000000"/>
          <w:kern w:val="0"/>
          <w:sz w:val="24"/>
          <w:szCs w:val="24"/>
        </w:rPr>
      </w:pPr>
      <w:r>
        <w:rPr>
          <w:rFonts w:hint="eastAsia" w:ascii="宋体" w:hAnsi="宋体"/>
          <w:b/>
          <w:bCs/>
          <w:color w:val="000000"/>
          <w:kern w:val="0"/>
          <w:sz w:val="24"/>
          <w:szCs w:val="24"/>
        </w:rPr>
        <w:t>三</w:t>
      </w:r>
      <w:r>
        <w:rPr>
          <w:rFonts w:ascii="宋体" w:hAnsi="宋体"/>
          <w:b/>
          <w:bCs/>
          <w:color w:val="000000"/>
          <w:kern w:val="0"/>
          <w:sz w:val="24"/>
          <w:szCs w:val="24"/>
        </w:rPr>
        <w:t>、声环境质量现状评价</w:t>
      </w:r>
    </w:p>
    <w:p w14:paraId="401EE4AD">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1</w:t>
      </w:r>
      <w:r>
        <w:rPr>
          <w:rFonts w:ascii="宋体" w:hAnsi="宋体"/>
          <w:b/>
          <w:bCs/>
          <w:color w:val="000000"/>
          <w:kern w:val="0"/>
          <w:szCs w:val="21"/>
        </w:rPr>
        <w:t>、</w:t>
      </w:r>
      <w:r>
        <w:rPr>
          <w:rFonts w:hint="eastAsia" w:ascii="宋体" w:hAnsi="宋体"/>
          <w:b/>
          <w:bCs/>
          <w:color w:val="000000"/>
          <w:kern w:val="0"/>
          <w:szCs w:val="21"/>
        </w:rPr>
        <w:t>声</w:t>
      </w:r>
      <w:r>
        <w:rPr>
          <w:rFonts w:ascii="宋体" w:hAnsi="宋体"/>
          <w:b/>
          <w:bCs/>
          <w:color w:val="000000"/>
          <w:kern w:val="0"/>
          <w:szCs w:val="21"/>
        </w:rPr>
        <w:t>环境现状调查</w:t>
      </w:r>
    </w:p>
    <w:p w14:paraId="7C378DF2">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）调查目的</w:t>
      </w:r>
    </w:p>
    <w:p w14:paraId="7A4D7997">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为了解本工程沿线声环境现状，为噪声预测计算提供背景资料。</w:t>
      </w:r>
    </w:p>
    <w:p w14:paraId="093E9FA7">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w:t>
      </w:r>
      <w:r>
        <w:rPr>
          <w:color w:val="000000"/>
          <w:kern w:val="0"/>
          <w:szCs w:val="21"/>
        </w:rPr>
        <w:t>2</w:t>
      </w:r>
      <w:r>
        <w:rPr>
          <w:rFonts w:ascii="宋体" w:hAnsi="宋体"/>
          <w:color w:val="000000"/>
          <w:kern w:val="0"/>
          <w:szCs w:val="21"/>
        </w:rPr>
        <w:t>）调查方法</w:t>
      </w:r>
    </w:p>
    <w:p w14:paraId="427F7EA4">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调查范围主要为评价范围内声环境保护目标。本工程主要调查对象为沿线声环境敏感点，调查方法为按照设计单位提供的地形图，实地查看建筑物，询问当地干部、群众，了解该敏感点概况，尤其注意沿路两侧的住户分布情况，如相对于方位、沿路第一排户数、第一排建筑物与边界线（中心线）的距离、该敏感点沿路分布的长度等。</w:t>
      </w:r>
    </w:p>
    <w:p w14:paraId="302A4387">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2</w:t>
      </w:r>
      <w:r>
        <w:rPr>
          <w:rFonts w:ascii="宋体" w:hAnsi="宋体"/>
          <w:b/>
          <w:bCs/>
          <w:color w:val="000000"/>
          <w:kern w:val="0"/>
          <w:szCs w:val="21"/>
        </w:rPr>
        <w:t>、声环境现状监测</w:t>
      </w:r>
    </w:p>
    <w:p w14:paraId="5FE4D960">
      <w:pPr>
        <w:widowControl/>
        <w:kinsoku w:val="0"/>
        <w:autoSpaceDE w:val="0"/>
        <w:autoSpaceDN w:val="0"/>
        <w:ind w:firstLine="420" w:firstLineChars="200"/>
        <w:jc w:val="left"/>
        <w:textAlignment w:val="baseline"/>
        <w:rPr>
          <w:rFonts w:hint="eastAsia" w:ascii="宋体" w:hAnsi="宋体"/>
          <w:color w:val="000000"/>
          <w:kern w:val="0"/>
          <w:szCs w:val="21"/>
        </w:rPr>
      </w:pPr>
      <w:r>
        <w:t>根据《环境影响评价技术导则 声环境》（HJ2.4-2021）：（a）布点应覆盖整个评价范围，包括厂界（场界、边界）和声环境保护目标。当声环境保护目标高于（含）三层建筑时，还应按照噪声垂直分布规律、建设项目与声环境保护目标高差等因素选取有代表性的声环境保护目标的代表性楼层设置测点；（b）评价范围内没有明显的声源时（如工业噪声、交通运输噪声、建设施工噪声、社会生活噪声等），可选择有代表性的区域布设测点</w:t>
      </w:r>
      <w:r>
        <w:rPr>
          <w:rFonts w:hint="eastAsia"/>
          <w:color w:val="000000"/>
          <w:kern w:val="0"/>
          <w:szCs w:val="21"/>
        </w:rPr>
        <w:t>；</w:t>
      </w:r>
      <w:r>
        <w:rPr>
          <w:rFonts w:hint="eastAsia" w:ascii="宋体" w:hAnsi="宋体"/>
          <w:color w:val="000000"/>
          <w:kern w:val="0"/>
          <w:szCs w:val="21"/>
        </w:rPr>
        <w:t>本次监测原计划</w:t>
      </w:r>
      <w:r>
        <w:rPr>
          <w:rFonts w:hint="eastAsia"/>
        </w:rPr>
        <w:t>在工程施工范围内平均布设北、中、南3个噪声监测点，其中工程北段由于紧邻明镜控股办公大厦施工工地，工地目前正在进行施工，受施工噪声影响监测数据不具有代表性，所以仅在工程中段和南段2</w:t>
      </w:r>
      <w:r>
        <w:t>个点位进行监测</w:t>
      </w:r>
      <w:r>
        <w:rPr>
          <w:rFonts w:hint="eastAsia"/>
        </w:rPr>
        <w:t>。</w:t>
      </w:r>
      <w:r>
        <w:t>本项目声环境质量现状委托浙江楚迪检测技术有限公司进行监测，</w:t>
      </w:r>
      <w:r>
        <w:rPr>
          <w:rFonts w:hint="eastAsia"/>
        </w:rPr>
        <w:t>第一次监测</w:t>
      </w:r>
      <w:r>
        <w:t>于2026年6月26日进行，</w:t>
      </w:r>
      <w:r>
        <w:rPr>
          <w:rFonts w:hint="eastAsia"/>
        </w:rPr>
        <w:t>由于并未对河景路交通进行观测，</w:t>
      </w:r>
      <w:r>
        <w:t>后又在8月13日进行交通流量与现状噪声补充监测</w:t>
      </w:r>
      <w:r>
        <w:rPr>
          <w:rFonts w:hint="eastAsia"/>
        </w:rPr>
        <w:t>。</w:t>
      </w:r>
      <w:r>
        <w:t>2个噪声监测点位设置具有一定代表性，能满足导则要求。每个测点监测1天，每天昼间和夜间各测一次，每次监测20min</w:t>
      </w:r>
      <w:r>
        <w:rPr>
          <w:rFonts w:hint="eastAsia" w:ascii="宋体" w:hAnsi="宋体"/>
          <w:color w:val="000000"/>
          <w:kern w:val="0"/>
          <w:szCs w:val="21"/>
        </w:rPr>
        <w:t>监测点位布设情况见下图。</w:t>
      </w:r>
    </w:p>
    <w:p w14:paraId="69743048">
      <w:pPr>
        <w:keepNext/>
        <w:widowControl/>
        <w:kinsoku w:val="0"/>
        <w:autoSpaceDE w:val="0"/>
        <w:autoSpaceDN w:val="0"/>
        <w:spacing w:line="240" w:lineRule="auto"/>
        <w:jc w:val="center"/>
        <w:textAlignment w:val="baseline"/>
      </w:pPr>
      <w:r>
        <w:rPr>
          <w:color w:val="000000"/>
          <w:kern w:val="0"/>
          <w:szCs w:val="21"/>
          <w:highlight w:val="yellow"/>
        </w:rPr>
        <w:drawing>
          <wp:inline distT="0" distB="0" distL="0" distR="0">
            <wp:extent cx="3995420" cy="2769235"/>
            <wp:effectExtent l="0" t="0" r="5080" b="0"/>
            <wp:docPr id="10820597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59744" name="图片 4"/>
                    <pic:cNvPicPr>
                      <a:picLocks noChangeAspect="1" noChangeArrowheads="1"/>
                    </pic:cNvPicPr>
                  </pic:nvPicPr>
                  <pic:blipFill>
                    <a:blip r:embed="rId41"/>
                    <a:srcRect/>
                    <a:stretch>
                      <a:fillRect/>
                    </a:stretch>
                  </pic:blipFill>
                  <pic:spPr>
                    <a:xfrm>
                      <a:off x="0" y="0"/>
                      <a:ext cx="4016292" cy="2783708"/>
                    </a:xfrm>
                    <a:prstGeom prst="rect">
                      <a:avLst/>
                    </a:prstGeom>
                    <a:noFill/>
                  </pic:spPr>
                </pic:pic>
              </a:graphicData>
            </a:graphic>
          </wp:inline>
        </w:drawing>
      </w:r>
    </w:p>
    <w:p w14:paraId="296D3664">
      <w:pPr>
        <w:pStyle w:val="9"/>
        <w:spacing w:before="156"/>
        <w:rPr>
          <w:highlight w:val="yellow"/>
        </w:rPr>
      </w:pPr>
      <w:r>
        <w:t xml:space="preserve">专项图 </w:t>
      </w:r>
      <w:r>
        <w:fldChar w:fldCharType="begin"/>
      </w:r>
      <w:r>
        <w:instrText xml:space="preserve"> SEQ 专项图 \* ARABIC </w:instrText>
      </w:r>
      <w:r>
        <w:fldChar w:fldCharType="separate"/>
      </w:r>
      <w:r>
        <w:t>2</w:t>
      </w:r>
      <w:r>
        <w:fldChar w:fldCharType="end"/>
      </w:r>
      <w:r>
        <w:t>噪声现状监测点位图</w:t>
      </w:r>
    </w:p>
    <w:p w14:paraId="5DCC53F2">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w:t>
      </w:r>
      <w:r>
        <w:rPr>
          <w:color w:val="000000"/>
          <w:kern w:val="0"/>
          <w:szCs w:val="21"/>
        </w:rPr>
        <w:t>2</w:t>
      </w:r>
      <w:r>
        <w:rPr>
          <w:rFonts w:ascii="宋体" w:hAnsi="宋体"/>
          <w:color w:val="000000"/>
          <w:kern w:val="0"/>
          <w:szCs w:val="21"/>
        </w:rPr>
        <w:t>）检测点位代表性说明</w:t>
      </w:r>
    </w:p>
    <w:p w14:paraId="02BD5EE8">
      <w:pPr>
        <w:pStyle w:val="9"/>
        <w:spacing w:before="156"/>
      </w:pPr>
      <w:r>
        <w:t xml:space="preserve">专项表 </w:t>
      </w:r>
      <w:r>
        <w:fldChar w:fldCharType="begin"/>
      </w:r>
      <w:r>
        <w:instrText xml:space="preserve"> SEQ 专项表 \* ARABIC </w:instrText>
      </w:r>
      <w:r>
        <w:fldChar w:fldCharType="separate"/>
      </w:r>
      <w:r>
        <w:t>10</w:t>
      </w:r>
      <w:r>
        <w:fldChar w:fldCharType="end"/>
      </w:r>
      <w:r>
        <w:t>检测点位代表性说明</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53"/>
        <w:gridCol w:w="1606"/>
        <w:gridCol w:w="1604"/>
        <w:gridCol w:w="4160"/>
      </w:tblGrid>
      <w:tr w14:paraId="131A8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pct"/>
            <w:vAlign w:val="center"/>
          </w:tcPr>
          <w:p w14:paraId="35EEA4A7">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噪声监测点编号</w:t>
            </w:r>
          </w:p>
        </w:tc>
        <w:tc>
          <w:tcPr>
            <w:tcW w:w="942" w:type="pct"/>
            <w:vAlign w:val="center"/>
          </w:tcPr>
          <w:p w14:paraId="1F2F6141">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点位说明</w:t>
            </w:r>
          </w:p>
        </w:tc>
        <w:tc>
          <w:tcPr>
            <w:tcW w:w="941" w:type="pct"/>
            <w:vAlign w:val="center"/>
          </w:tcPr>
          <w:p w14:paraId="77B2C923">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声环境功能区划</w:t>
            </w:r>
          </w:p>
        </w:tc>
        <w:tc>
          <w:tcPr>
            <w:tcW w:w="2440" w:type="pct"/>
            <w:vAlign w:val="center"/>
          </w:tcPr>
          <w:p w14:paraId="20DB2B58">
            <w:pPr>
              <w:widowControl/>
              <w:kinsoku w:val="0"/>
              <w:autoSpaceDE w:val="0"/>
              <w:autoSpaceDN w:val="0"/>
              <w:spacing w:line="240" w:lineRule="auto"/>
              <w:jc w:val="center"/>
              <w:textAlignment w:val="baseline"/>
              <w:rPr>
                <w:b/>
                <w:color w:val="000000"/>
                <w:kern w:val="0"/>
                <w:sz w:val="18"/>
                <w:szCs w:val="18"/>
              </w:rPr>
            </w:pPr>
            <w:r>
              <w:rPr>
                <w:rFonts w:ascii="宋体" w:hAnsi="宋体"/>
                <w:b/>
                <w:color w:val="000000"/>
                <w:kern w:val="0"/>
                <w:sz w:val="18"/>
                <w:szCs w:val="18"/>
              </w:rPr>
              <w:t>代表性说明</w:t>
            </w:r>
          </w:p>
        </w:tc>
      </w:tr>
      <w:tr w14:paraId="199BF4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pct"/>
            <w:vAlign w:val="center"/>
          </w:tcPr>
          <w:p w14:paraId="7C41931E">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N1</w:t>
            </w:r>
          </w:p>
        </w:tc>
        <w:tc>
          <w:tcPr>
            <w:tcW w:w="942" w:type="pct"/>
            <w:vAlign w:val="center"/>
          </w:tcPr>
          <w:p w14:paraId="7AB5CE92">
            <w:pPr>
              <w:widowControl/>
              <w:kinsoku w:val="0"/>
              <w:autoSpaceDE w:val="0"/>
              <w:autoSpaceDN w:val="0"/>
              <w:spacing w:line="240" w:lineRule="auto"/>
              <w:jc w:val="center"/>
              <w:textAlignment w:val="baseline"/>
              <w:rPr>
                <w:color w:val="000000"/>
                <w:kern w:val="0"/>
                <w:sz w:val="18"/>
                <w:szCs w:val="18"/>
              </w:rPr>
            </w:pPr>
            <w:r>
              <w:rPr>
                <w:rFonts w:hint="eastAsia" w:ascii="宋体" w:hAnsi="宋体"/>
                <w:bCs/>
              </w:rPr>
              <w:t>青西二路工程中点</w:t>
            </w:r>
          </w:p>
        </w:tc>
        <w:tc>
          <w:tcPr>
            <w:tcW w:w="941" w:type="pct"/>
            <w:vAlign w:val="center"/>
          </w:tcPr>
          <w:p w14:paraId="2BC2ADCD">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2</w:t>
            </w:r>
            <w:r>
              <w:rPr>
                <w:rFonts w:ascii="宋体" w:hAnsi="宋体"/>
                <w:color w:val="000000"/>
                <w:kern w:val="0"/>
                <w:sz w:val="18"/>
                <w:szCs w:val="18"/>
              </w:rPr>
              <w:t>类区</w:t>
            </w:r>
          </w:p>
        </w:tc>
        <w:tc>
          <w:tcPr>
            <w:tcW w:w="2440" w:type="pct"/>
            <w:vAlign w:val="center"/>
          </w:tcPr>
          <w:p w14:paraId="66926790">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工程区中部，反映工程区背景噪声</w:t>
            </w:r>
          </w:p>
        </w:tc>
      </w:tr>
      <w:tr w14:paraId="1DD2FB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6" w:type="pct"/>
            <w:vAlign w:val="center"/>
          </w:tcPr>
          <w:p w14:paraId="0EF43028">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N</w:t>
            </w:r>
            <w:r>
              <w:rPr>
                <w:rFonts w:hint="eastAsia"/>
                <w:color w:val="000000"/>
                <w:kern w:val="0"/>
                <w:sz w:val="18"/>
                <w:szCs w:val="18"/>
              </w:rPr>
              <w:t>2</w:t>
            </w:r>
          </w:p>
        </w:tc>
        <w:tc>
          <w:tcPr>
            <w:tcW w:w="942" w:type="pct"/>
            <w:vAlign w:val="center"/>
          </w:tcPr>
          <w:p w14:paraId="48E82A06">
            <w:pPr>
              <w:widowControl/>
              <w:kinsoku w:val="0"/>
              <w:autoSpaceDE w:val="0"/>
              <w:autoSpaceDN w:val="0"/>
              <w:spacing w:line="240" w:lineRule="auto"/>
              <w:jc w:val="center"/>
              <w:textAlignment w:val="baseline"/>
              <w:rPr>
                <w:color w:val="000000"/>
                <w:kern w:val="0"/>
                <w:sz w:val="18"/>
                <w:szCs w:val="18"/>
              </w:rPr>
            </w:pPr>
            <w:r>
              <w:rPr>
                <w:rFonts w:hint="eastAsia" w:ascii="宋体" w:hAnsi="宋体"/>
                <w:bCs/>
              </w:rPr>
              <w:t>青西二路工程河景路交叉口</w:t>
            </w:r>
          </w:p>
        </w:tc>
        <w:tc>
          <w:tcPr>
            <w:tcW w:w="941" w:type="pct"/>
            <w:vAlign w:val="center"/>
          </w:tcPr>
          <w:p w14:paraId="0DA10A90">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4a</w:t>
            </w:r>
            <w:r>
              <w:rPr>
                <w:color w:val="000000"/>
                <w:kern w:val="0"/>
                <w:sz w:val="18"/>
                <w:szCs w:val="18"/>
              </w:rPr>
              <w:t>类</w:t>
            </w:r>
            <w:r>
              <w:rPr>
                <w:rFonts w:hint="eastAsia"/>
                <w:color w:val="000000"/>
                <w:kern w:val="0"/>
                <w:sz w:val="18"/>
                <w:szCs w:val="18"/>
              </w:rPr>
              <w:t>区</w:t>
            </w:r>
          </w:p>
        </w:tc>
        <w:tc>
          <w:tcPr>
            <w:tcW w:w="2440" w:type="pct"/>
            <w:vAlign w:val="center"/>
          </w:tcPr>
          <w:p w14:paraId="761EFCBE">
            <w:pPr>
              <w:widowControl/>
              <w:kinsoku w:val="0"/>
              <w:autoSpaceDE w:val="0"/>
              <w:autoSpaceDN w:val="0"/>
              <w:spacing w:line="240" w:lineRule="auto"/>
              <w:jc w:val="center"/>
              <w:textAlignment w:val="baseline"/>
              <w:rPr>
                <w:color w:val="000000"/>
                <w:kern w:val="0"/>
                <w:sz w:val="18"/>
                <w:szCs w:val="18"/>
              </w:rPr>
            </w:pPr>
            <w:r>
              <w:rPr>
                <w:rFonts w:hint="eastAsia"/>
                <w:color w:val="000000"/>
                <w:kern w:val="0"/>
                <w:sz w:val="18"/>
                <w:szCs w:val="18"/>
              </w:rPr>
              <w:t>工程区南侧，反映周边城市主干道交通对背景环境的影响</w:t>
            </w:r>
          </w:p>
        </w:tc>
      </w:tr>
    </w:tbl>
    <w:p w14:paraId="4200E4E3">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w:t>
      </w:r>
      <w:r>
        <w:rPr>
          <w:color w:val="000000"/>
          <w:kern w:val="0"/>
          <w:szCs w:val="21"/>
        </w:rPr>
        <w:t>3</w:t>
      </w:r>
      <w:r>
        <w:rPr>
          <w:rFonts w:ascii="宋体" w:hAnsi="宋体"/>
          <w:color w:val="000000"/>
          <w:kern w:val="0"/>
          <w:szCs w:val="21"/>
        </w:rPr>
        <w:t>）监测结果及评价</w:t>
      </w:r>
    </w:p>
    <w:p w14:paraId="3759BFB8">
      <w:pPr>
        <w:widowControl/>
        <w:kinsoku w:val="0"/>
        <w:autoSpaceDE w:val="0"/>
        <w:autoSpaceDN w:val="0"/>
        <w:ind w:firstLine="420" w:firstLineChars="200"/>
        <w:jc w:val="left"/>
        <w:textAlignment w:val="baseline"/>
        <w:rPr>
          <w:rFonts w:hint="eastAsia" w:ascii="宋体" w:hAnsi="宋体"/>
          <w:color w:val="000000"/>
          <w:kern w:val="0"/>
          <w:szCs w:val="21"/>
        </w:rPr>
      </w:pPr>
      <w:r>
        <w:rPr>
          <w:rFonts w:ascii="宋体" w:hAnsi="宋体"/>
          <w:color w:val="000000"/>
          <w:kern w:val="0"/>
          <w:szCs w:val="21"/>
        </w:rPr>
        <w:t>声环境现状监测结果见下表。</w:t>
      </w:r>
    </w:p>
    <w:p w14:paraId="46C8AAC7">
      <w:pPr>
        <w:pStyle w:val="9"/>
        <w:keepNext/>
        <w:spacing w:before="156"/>
      </w:pPr>
      <w:r>
        <w:rPr>
          <w:rFonts w:hint="eastAsia"/>
        </w:rPr>
        <w:t xml:space="preserve">专项表 </w:t>
      </w:r>
      <w:r>
        <w:fldChar w:fldCharType="begin"/>
      </w:r>
      <w:r>
        <w:instrText xml:space="preserve"> </w:instrText>
      </w:r>
      <w:r>
        <w:rPr>
          <w:rFonts w:hint="eastAsia"/>
        </w:rPr>
        <w:instrText xml:space="preserve">SEQ 专项表 \* ARABIC</w:instrText>
      </w:r>
      <w:r>
        <w:instrText xml:space="preserve"> </w:instrText>
      </w:r>
      <w:r>
        <w:fldChar w:fldCharType="separate"/>
      </w:r>
      <w:r>
        <w:t>11</w:t>
      </w:r>
      <w:r>
        <w:fldChar w:fldCharType="end"/>
      </w:r>
      <w:r>
        <w:t>沿线噪声现状监测结果</w:t>
      </w:r>
    </w:p>
    <w:tbl>
      <w:tblPr>
        <w:tblStyle w:val="20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066"/>
        <w:gridCol w:w="1340"/>
        <w:gridCol w:w="791"/>
        <w:gridCol w:w="1066"/>
        <w:gridCol w:w="1066"/>
        <w:gridCol w:w="1066"/>
        <w:gridCol w:w="1066"/>
      </w:tblGrid>
      <w:tr w14:paraId="1A0D19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35" w:type="dxa"/>
            <w:vAlign w:val="center"/>
          </w:tcPr>
          <w:p w14:paraId="053A536B">
            <w:pPr>
              <w:spacing w:line="240" w:lineRule="auto"/>
              <w:jc w:val="center"/>
              <w:rPr>
                <w:rFonts w:eastAsia="Times New Roman"/>
                <w:b/>
                <w:bCs/>
                <w:sz w:val="18"/>
                <w:szCs w:val="18"/>
              </w:rPr>
            </w:pPr>
            <w:r>
              <w:rPr>
                <w:rFonts w:eastAsia="Times New Roman"/>
                <w:b/>
                <w:bCs/>
                <w:sz w:val="18"/>
                <w:szCs w:val="18"/>
              </w:rPr>
              <w:t>测点编号</w:t>
            </w:r>
          </w:p>
        </w:tc>
        <w:tc>
          <w:tcPr>
            <w:tcW w:w="1036" w:type="dxa"/>
            <w:vAlign w:val="center"/>
          </w:tcPr>
          <w:p w14:paraId="299ED869">
            <w:pPr>
              <w:spacing w:line="240" w:lineRule="auto"/>
              <w:jc w:val="center"/>
              <w:rPr>
                <w:rFonts w:eastAsia="Times New Roman"/>
                <w:b/>
                <w:bCs/>
                <w:sz w:val="18"/>
                <w:szCs w:val="18"/>
              </w:rPr>
            </w:pPr>
            <w:r>
              <w:rPr>
                <w:rFonts w:eastAsia="Times New Roman"/>
                <w:b/>
                <w:bCs/>
                <w:sz w:val="18"/>
                <w:szCs w:val="18"/>
              </w:rPr>
              <w:t>测点位置</w:t>
            </w:r>
          </w:p>
        </w:tc>
        <w:tc>
          <w:tcPr>
            <w:tcW w:w="1303" w:type="dxa"/>
            <w:vAlign w:val="center"/>
          </w:tcPr>
          <w:p w14:paraId="4DE0F1E3">
            <w:pPr>
              <w:spacing w:line="240" w:lineRule="auto"/>
              <w:jc w:val="center"/>
              <w:rPr>
                <w:rFonts w:eastAsia="Times New Roman"/>
                <w:b/>
                <w:bCs/>
                <w:sz w:val="18"/>
                <w:szCs w:val="18"/>
              </w:rPr>
            </w:pPr>
            <w:r>
              <w:rPr>
                <w:rFonts w:eastAsia="Times New Roman"/>
                <w:b/>
                <w:bCs/>
                <w:sz w:val="18"/>
                <w:szCs w:val="18"/>
              </w:rPr>
              <w:t>检测时间</w:t>
            </w:r>
          </w:p>
        </w:tc>
        <w:tc>
          <w:tcPr>
            <w:tcW w:w="769" w:type="dxa"/>
            <w:vAlign w:val="center"/>
          </w:tcPr>
          <w:p w14:paraId="49AC5EB7">
            <w:pPr>
              <w:spacing w:line="240" w:lineRule="auto"/>
              <w:jc w:val="center"/>
              <w:rPr>
                <w:rFonts w:eastAsia="Times New Roman"/>
                <w:b/>
                <w:bCs/>
                <w:sz w:val="18"/>
                <w:szCs w:val="18"/>
              </w:rPr>
            </w:pPr>
            <w:r>
              <w:rPr>
                <w:rFonts w:ascii="宋体" w:hAnsi="宋体" w:eastAsia="Times New Roman" w:cs="宋体"/>
                <w:b/>
                <w:bCs/>
                <w:sz w:val="18"/>
                <w:szCs w:val="18"/>
              </w:rPr>
              <w:t>时间段</w:t>
            </w:r>
          </w:p>
        </w:tc>
        <w:tc>
          <w:tcPr>
            <w:tcW w:w="1036" w:type="dxa"/>
            <w:vAlign w:val="center"/>
          </w:tcPr>
          <w:p w14:paraId="74BA76BB">
            <w:pPr>
              <w:spacing w:line="240" w:lineRule="auto"/>
              <w:jc w:val="center"/>
              <w:rPr>
                <w:rFonts w:eastAsia="Times New Roman"/>
                <w:b/>
                <w:bCs/>
                <w:sz w:val="18"/>
                <w:szCs w:val="18"/>
              </w:rPr>
            </w:pPr>
            <w:r>
              <w:rPr>
                <w:rFonts w:eastAsia="Times New Roman"/>
                <w:b/>
                <w:bCs/>
                <w:sz w:val="18"/>
                <w:szCs w:val="18"/>
              </w:rPr>
              <w:t>等效声级L</w:t>
            </w:r>
            <w:r>
              <w:rPr>
                <w:rFonts w:eastAsia="Times New Roman"/>
                <w:b/>
                <w:bCs/>
                <w:sz w:val="18"/>
                <w:szCs w:val="18"/>
                <w:vertAlign w:val="subscript"/>
              </w:rPr>
              <w:t xml:space="preserve">eq </w:t>
            </w:r>
            <w:r>
              <w:rPr>
                <w:rFonts w:eastAsia="Times New Roman"/>
                <w:b/>
                <w:bCs/>
                <w:sz w:val="18"/>
                <w:szCs w:val="18"/>
              </w:rPr>
              <w:t>dB（A）</w:t>
            </w:r>
          </w:p>
        </w:tc>
        <w:tc>
          <w:tcPr>
            <w:tcW w:w="1036" w:type="dxa"/>
            <w:vAlign w:val="center"/>
          </w:tcPr>
          <w:p w14:paraId="3069E57C">
            <w:pPr>
              <w:spacing w:line="240" w:lineRule="auto"/>
              <w:jc w:val="center"/>
              <w:rPr>
                <w:rFonts w:eastAsia="Times New Roman"/>
                <w:b/>
                <w:bCs/>
                <w:sz w:val="18"/>
                <w:szCs w:val="18"/>
              </w:rPr>
            </w:pPr>
            <w:r>
              <w:rPr>
                <w:rFonts w:eastAsia="Times New Roman"/>
                <w:b/>
                <w:bCs/>
                <w:sz w:val="18"/>
                <w:szCs w:val="18"/>
              </w:rPr>
              <w:t>最大声级L</w:t>
            </w:r>
            <w:r>
              <w:rPr>
                <w:rFonts w:eastAsia="Times New Roman"/>
                <w:b/>
                <w:bCs/>
                <w:sz w:val="18"/>
                <w:szCs w:val="18"/>
                <w:vertAlign w:val="subscript"/>
              </w:rPr>
              <w:t xml:space="preserve">max </w:t>
            </w:r>
            <w:r>
              <w:rPr>
                <w:rFonts w:eastAsia="Times New Roman"/>
                <w:b/>
                <w:bCs/>
                <w:sz w:val="18"/>
                <w:szCs w:val="18"/>
              </w:rPr>
              <w:t>dB</w:t>
            </w:r>
            <w:r>
              <w:rPr>
                <w:rFonts w:hint="eastAsia" w:ascii="宋体" w:hAnsi="宋体" w:eastAsia="Times New Roman" w:cs="宋体"/>
                <w:b/>
                <w:bCs/>
                <w:sz w:val="18"/>
                <w:szCs w:val="18"/>
              </w:rPr>
              <w:t>（</w:t>
            </w:r>
            <w:r>
              <w:rPr>
                <w:rFonts w:eastAsia="Times New Roman"/>
                <w:b/>
                <w:bCs/>
                <w:sz w:val="18"/>
                <w:szCs w:val="18"/>
              </w:rPr>
              <w:t>A</w:t>
            </w:r>
            <w:r>
              <w:rPr>
                <w:rFonts w:hint="eastAsia" w:ascii="宋体" w:hAnsi="宋体" w:eastAsia="Times New Roman" w:cs="宋体"/>
                <w:b/>
                <w:bCs/>
                <w:sz w:val="18"/>
                <w:szCs w:val="18"/>
              </w:rPr>
              <w:t>）</w:t>
            </w:r>
          </w:p>
        </w:tc>
        <w:tc>
          <w:tcPr>
            <w:tcW w:w="1036" w:type="dxa"/>
            <w:vAlign w:val="center"/>
          </w:tcPr>
          <w:p w14:paraId="6995A222">
            <w:pPr>
              <w:spacing w:line="240" w:lineRule="auto"/>
              <w:jc w:val="center"/>
              <w:rPr>
                <w:rFonts w:eastAsia="Times New Roman"/>
                <w:b/>
                <w:bCs/>
                <w:sz w:val="18"/>
                <w:szCs w:val="18"/>
              </w:rPr>
            </w:pPr>
            <w:r>
              <w:rPr>
                <w:rFonts w:hint="eastAsia" w:ascii="宋体" w:hAnsi="宋体" w:eastAsia="Times New Roman" w:cs="宋体"/>
                <w:b/>
                <w:bCs/>
                <w:sz w:val="18"/>
                <w:szCs w:val="18"/>
              </w:rPr>
              <w:t>标准值</w:t>
            </w:r>
          </w:p>
          <w:p w14:paraId="2C79D542">
            <w:pPr>
              <w:spacing w:line="240" w:lineRule="auto"/>
              <w:jc w:val="center"/>
              <w:rPr>
                <w:rFonts w:eastAsia="Times New Roman"/>
                <w:b/>
                <w:bCs/>
                <w:sz w:val="18"/>
                <w:szCs w:val="18"/>
              </w:rPr>
            </w:pPr>
            <w:r>
              <w:rPr>
                <w:rFonts w:eastAsia="Times New Roman"/>
                <w:b/>
                <w:bCs/>
                <w:sz w:val="18"/>
                <w:szCs w:val="18"/>
              </w:rPr>
              <w:t>dB</w:t>
            </w:r>
            <w:r>
              <w:rPr>
                <w:rFonts w:hint="eastAsia" w:ascii="宋体" w:hAnsi="宋体" w:eastAsia="Times New Roman" w:cs="宋体"/>
                <w:b/>
                <w:bCs/>
                <w:sz w:val="18"/>
                <w:szCs w:val="18"/>
              </w:rPr>
              <w:t>（</w:t>
            </w:r>
            <w:r>
              <w:rPr>
                <w:rFonts w:eastAsia="Times New Roman"/>
                <w:b/>
                <w:bCs/>
                <w:sz w:val="18"/>
                <w:szCs w:val="18"/>
              </w:rPr>
              <w:t>A</w:t>
            </w:r>
            <w:r>
              <w:rPr>
                <w:rFonts w:hint="eastAsia" w:ascii="宋体" w:hAnsi="宋体" w:eastAsia="Times New Roman" w:cs="宋体"/>
                <w:b/>
                <w:bCs/>
                <w:sz w:val="18"/>
                <w:szCs w:val="18"/>
              </w:rPr>
              <w:t>）</w:t>
            </w:r>
          </w:p>
        </w:tc>
        <w:tc>
          <w:tcPr>
            <w:tcW w:w="1036" w:type="dxa"/>
            <w:vAlign w:val="center"/>
          </w:tcPr>
          <w:p w14:paraId="58F715D3">
            <w:pPr>
              <w:spacing w:line="240" w:lineRule="auto"/>
              <w:jc w:val="center"/>
              <w:rPr>
                <w:rFonts w:eastAsia="Times New Roman"/>
                <w:b/>
                <w:bCs/>
                <w:sz w:val="18"/>
                <w:szCs w:val="18"/>
              </w:rPr>
            </w:pPr>
            <w:r>
              <w:rPr>
                <w:rFonts w:ascii="宋体" w:hAnsi="宋体" w:eastAsia="Times New Roman" w:cs="宋体"/>
                <w:b/>
                <w:bCs/>
                <w:sz w:val="18"/>
                <w:szCs w:val="18"/>
              </w:rPr>
              <w:t>达标情况</w:t>
            </w:r>
          </w:p>
        </w:tc>
      </w:tr>
      <w:tr w14:paraId="4FF9BF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restart"/>
            <w:vAlign w:val="center"/>
          </w:tcPr>
          <w:p w14:paraId="03896919">
            <w:pPr>
              <w:spacing w:line="240" w:lineRule="auto"/>
              <w:jc w:val="center"/>
              <w:rPr>
                <w:rFonts w:eastAsia="Times New Roman"/>
                <w:sz w:val="18"/>
                <w:szCs w:val="18"/>
              </w:rPr>
            </w:pPr>
            <w:r>
              <w:rPr>
                <w:rFonts w:eastAsia="Times New Roman"/>
                <w:sz w:val="18"/>
                <w:szCs w:val="18"/>
              </w:rPr>
              <w:t>N1</w:t>
            </w:r>
          </w:p>
        </w:tc>
        <w:tc>
          <w:tcPr>
            <w:tcW w:w="1036" w:type="dxa"/>
            <w:vMerge w:val="restart"/>
            <w:vAlign w:val="center"/>
          </w:tcPr>
          <w:p w14:paraId="4991855A">
            <w:pPr>
              <w:spacing w:line="240" w:lineRule="auto"/>
              <w:jc w:val="center"/>
              <w:rPr>
                <w:rFonts w:eastAsia="Times New Roman"/>
                <w:sz w:val="18"/>
                <w:szCs w:val="18"/>
              </w:rPr>
            </w:pPr>
            <w:r>
              <w:rPr>
                <w:rFonts w:hint="eastAsia" w:ascii="宋体" w:hAnsi="宋体" w:eastAsia="Times New Roman" w:cs="宋体"/>
                <w:sz w:val="18"/>
                <w:szCs w:val="18"/>
              </w:rPr>
              <w:t>青西二路工程中点</w:t>
            </w:r>
          </w:p>
        </w:tc>
        <w:tc>
          <w:tcPr>
            <w:tcW w:w="1303" w:type="dxa"/>
            <w:vAlign w:val="center"/>
          </w:tcPr>
          <w:p w14:paraId="6EB59A0B">
            <w:pPr>
              <w:spacing w:line="240" w:lineRule="auto"/>
              <w:jc w:val="center"/>
              <w:rPr>
                <w:rFonts w:eastAsia="Times New Roman"/>
                <w:sz w:val="18"/>
                <w:szCs w:val="18"/>
              </w:rPr>
            </w:pPr>
            <w:r>
              <w:rPr>
                <w:rFonts w:eastAsia="Times New Roman"/>
                <w:sz w:val="18"/>
                <w:szCs w:val="18"/>
              </w:rPr>
              <w:t>2026.06.26 10:12-10:32</w:t>
            </w:r>
          </w:p>
        </w:tc>
        <w:tc>
          <w:tcPr>
            <w:tcW w:w="769" w:type="dxa"/>
            <w:vAlign w:val="center"/>
          </w:tcPr>
          <w:p w14:paraId="47E39BB8">
            <w:pPr>
              <w:spacing w:line="240" w:lineRule="auto"/>
              <w:jc w:val="center"/>
              <w:rPr>
                <w:rFonts w:eastAsia="Times New Roman"/>
                <w:sz w:val="18"/>
                <w:szCs w:val="18"/>
              </w:rPr>
            </w:pPr>
            <w:r>
              <w:rPr>
                <w:rFonts w:ascii="宋体" w:hAnsi="宋体" w:eastAsia="Times New Roman" w:cs="宋体"/>
                <w:sz w:val="18"/>
                <w:szCs w:val="18"/>
              </w:rPr>
              <w:t>昼</w:t>
            </w:r>
          </w:p>
        </w:tc>
        <w:tc>
          <w:tcPr>
            <w:tcW w:w="1036" w:type="dxa"/>
            <w:vAlign w:val="center"/>
          </w:tcPr>
          <w:p w14:paraId="01D9C846">
            <w:pPr>
              <w:spacing w:line="240" w:lineRule="auto"/>
              <w:jc w:val="center"/>
              <w:rPr>
                <w:rFonts w:eastAsia="Times New Roman"/>
                <w:sz w:val="18"/>
                <w:szCs w:val="18"/>
              </w:rPr>
            </w:pPr>
            <w:r>
              <w:rPr>
                <w:rFonts w:eastAsia="Times New Roman"/>
                <w:sz w:val="18"/>
                <w:szCs w:val="18"/>
              </w:rPr>
              <w:t>52</w:t>
            </w:r>
          </w:p>
        </w:tc>
        <w:tc>
          <w:tcPr>
            <w:tcW w:w="1036" w:type="dxa"/>
            <w:vAlign w:val="center"/>
          </w:tcPr>
          <w:p w14:paraId="1AE4E486">
            <w:pPr>
              <w:spacing w:line="240" w:lineRule="auto"/>
              <w:jc w:val="center"/>
              <w:rPr>
                <w:rFonts w:eastAsia="Times New Roman"/>
                <w:sz w:val="18"/>
                <w:szCs w:val="18"/>
              </w:rPr>
            </w:pPr>
            <w:r>
              <w:rPr>
                <w:rFonts w:eastAsia="Times New Roman"/>
                <w:sz w:val="18"/>
                <w:szCs w:val="18"/>
              </w:rPr>
              <w:t>/</w:t>
            </w:r>
          </w:p>
        </w:tc>
        <w:tc>
          <w:tcPr>
            <w:tcW w:w="1036" w:type="dxa"/>
            <w:vAlign w:val="center"/>
          </w:tcPr>
          <w:p w14:paraId="5A1F99E9">
            <w:pPr>
              <w:spacing w:line="240" w:lineRule="auto"/>
              <w:jc w:val="center"/>
              <w:rPr>
                <w:rFonts w:eastAsia="Times New Roman"/>
                <w:sz w:val="18"/>
                <w:szCs w:val="18"/>
              </w:rPr>
            </w:pPr>
            <w:r>
              <w:rPr>
                <w:rFonts w:eastAsia="Times New Roman"/>
                <w:sz w:val="18"/>
                <w:szCs w:val="18"/>
              </w:rPr>
              <w:t>60</w:t>
            </w:r>
          </w:p>
        </w:tc>
        <w:tc>
          <w:tcPr>
            <w:tcW w:w="1036" w:type="dxa"/>
            <w:vAlign w:val="center"/>
          </w:tcPr>
          <w:p w14:paraId="09605717">
            <w:pPr>
              <w:spacing w:line="240" w:lineRule="auto"/>
              <w:jc w:val="center"/>
              <w:rPr>
                <w:rFonts w:eastAsia="Times New Roman"/>
                <w:sz w:val="18"/>
                <w:szCs w:val="18"/>
              </w:rPr>
            </w:pPr>
            <w:r>
              <w:rPr>
                <w:rFonts w:ascii="宋体" w:hAnsi="宋体" w:eastAsia="Times New Roman" w:cs="宋体"/>
                <w:sz w:val="18"/>
                <w:szCs w:val="18"/>
              </w:rPr>
              <w:t>达标</w:t>
            </w:r>
          </w:p>
        </w:tc>
      </w:tr>
      <w:tr w14:paraId="51B3E0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3B421EBC">
            <w:pPr>
              <w:spacing w:line="240" w:lineRule="auto"/>
              <w:jc w:val="center"/>
              <w:rPr>
                <w:rFonts w:eastAsia="Times New Roman"/>
                <w:sz w:val="18"/>
                <w:szCs w:val="18"/>
              </w:rPr>
            </w:pPr>
          </w:p>
        </w:tc>
        <w:tc>
          <w:tcPr>
            <w:tcW w:w="1036" w:type="dxa"/>
            <w:vMerge w:val="continue"/>
            <w:vAlign w:val="center"/>
          </w:tcPr>
          <w:p w14:paraId="72A1D488">
            <w:pPr>
              <w:spacing w:line="240" w:lineRule="auto"/>
              <w:jc w:val="center"/>
              <w:rPr>
                <w:rFonts w:eastAsia="Times New Roman"/>
                <w:sz w:val="18"/>
                <w:szCs w:val="18"/>
              </w:rPr>
            </w:pPr>
          </w:p>
        </w:tc>
        <w:tc>
          <w:tcPr>
            <w:tcW w:w="1303" w:type="dxa"/>
            <w:vAlign w:val="center"/>
          </w:tcPr>
          <w:p w14:paraId="45635520">
            <w:pPr>
              <w:spacing w:line="240" w:lineRule="auto"/>
              <w:jc w:val="center"/>
              <w:rPr>
                <w:rFonts w:eastAsia="Times New Roman"/>
                <w:sz w:val="18"/>
                <w:szCs w:val="18"/>
              </w:rPr>
            </w:pPr>
            <w:r>
              <w:rPr>
                <w:rFonts w:eastAsia="Times New Roman"/>
                <w:sz w:val="18"/>
                <w:szCs w:val="18"/>
              </w:rPr>
              <w:t>2026.06.26 22:39-22:59</w:t>
            </w:r>
          </w:p>
        </w:tc>
        <w:tc>
          <w:tcPr>
            <w:tcW w:w="769" w:type="dxa"/>
            <w:vAlign w:val="center"/>
          </w:tcPr>
          <w:p w14:paraId="0EC57FE0">
            <w:pPr>
              <w:spacing w:line="240" w:lineRule="auto"/>
              <w:jc w:val="center"/>
              <w:rPr>
                <w:rFonts w:eastAsia="Times New Roman"/>
                <w:sz w:val="18"/>
                <w:szCs w:val="18"/>
              </w:rPr>
            </w:pPr>
            <w:r>
              <w:rPr>
                <w:rFonts w:ascii="宋体" w:hAnsi="宋体" w:eastAsia="Times New Roman" w:cs="宋体"/>
                <w:sz w:val="18"/>
                <w:szCs w:val="18"/>
              </w:rPr>
              <w:t>夜</w:t>
            </w:r>
          </w:p>
        </w:tc>
        <w:tc>
          <w:tcPr>
            <w:tcW w:w="1036" w:type="dxa"/>
            <w:vAlign w:val="center"/>
          </w:tcPr>
          <w:p w14:paraId="49C76048">
            <w:pPr>
              <w:spacing w:line="240" w:lineRule="auto"/>
              <w:jc w:val="center"/>
              <w:rPr>
                <w:rFonts w:eastAsia="Times New Roman"/>
                <w:sz w:val="18"/>
                <w:szCs w:val="18"/>
              </w:rPr>
            </w:pPr>
            <w:r>
              <w:rPr>
                <w:rFonts w:eastAsia="Times New Roman"/>
                <w:sz w:val="18"/>
                <w:szCs w:val="18"/>
              </w:rPr>
              <w:t>43</w:t>
            </w:r>
          </w:p>
        </w:tc>
        <w:tc>
          <w:tcPr>
            <w:tcW w:w="1036" w:type="dxa"/>
            <w:vAlign w:val="center"/>
          </w:tcPr>
          <w:p w14:paraId="00C594EF">
            <w:pPr>
              <w:spacing w:line="240" w:lineRule="auto"/>
              <w:jc w:val="center"/>
              <w:rPr>
                <w:rFonts w:eastAsia="Times New Roman"/>
                <w:sz w:val="18"/>
                <w:szCs w:val="18"/>
              </w:rPr>
            </w:pPr>
            <w:r>
              <w:rPr>
                <w:rFonts w:eastAsia="Times New Roman"/>
                <w:sz w:val="18"/>
                <w:szCs w:val="18"/>
              </w:rPr>
              <w:t>55</w:t>
            </w:r>
          </w:p>
        </w:tc>
        <w:tc>
          <w:tcPr>
            <w:tcW w:w="1036" w:type="dxa"/>
            <w:vAlign w:val="center"/>
          </w:tcPr>
          <w:p w14:paraId="36EF4215">
            <w:pPr>
              <w:spacing w:line="240" w:lineRule="auto"/>
              <w:jc w:val="center"/>
              <w:rPr>
                <w:rFonts w:eastAsia="Times New Roman"/>
                <w:sz w:val="18"/>
                <w:szCs w:val="18"/>
              </w:rPr>
            </w:pPr>
            <w:r>
              <w:rPr>
                <w:rFonts w:eastAsia="Times New Roman"/>
                <w:sz w:val="18"/>
                <w:szCs w:val="18"/>
              </w:rPr>
              <w:t>50</w:t>
            </w:r>
          </w:p>
        </w:tc>
        <w:tc>
          <w:tcPr>
            <w:tcW w:w="1036" w:type="dxa"/>
            <w:vAlign w:val="center"/>
          </w:tcPr>
          <w:p w14:paraId="13C6EE62">
            <w:pPr>
              <w:spacing w:line="240" w:lineRule="auto"/>
              <w:jc w:val="center"/>
              <w:rPr>
                <w:rFonts w:eastAsia="Times New Roman"/>
                <w:sz w:val="18"/>
                <w:szCs w:val="18"/>
              </w:rPr>
            </w:pPr>
            <w:r>
              <w:rPr>
                <w:rFonts w:ascii="宋体" w:hAnsi="宋体" w:eastAsia="Times New Roman" w:cs="宋体"/>
                <w:sz w:val="18"/>
                <w:szCs w:val="18"/>
              </w:rPr>
              <w:t>达标</w:t>
            </w:r>
          </w:p>
        </w:tc>
      </w:tr>
      <w:tr w14:paraId="085475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7CC6987C">
            <w:pPr>
              <w:spacing w:line="240" w:lineRule="auto"/>
              <w:jc w:val="center"/>
              <w:rPr>
                <w:rFonts w:eastAsia="Times New Roman"/>
                <w:sz w:val="18"/>
                <w:szCs w:val="18"/>
              </w:rPr>
            </w:pPr>
          </w:p>
        </w:tc>
        <w:tc>
          <w:tcPr>
            <w:tcW w:w="1036" w:type="dxa"/>
            <w:vMerge w:val="continue"/>
            <w:vAlign w:val="center"/>
          </w:tcPr>
          <w:p w14:paraId="69D4C634">
            <w:pPr>
              <w:spacing w:line="240" w:lineRule="auto"/>
              <w:jc w:val="center"/>
              <w:rPr>
                <w:rFonts w:eastAsia="Times New Roman"/>
                <w:sz w:val="18"/>
                <w:szCs w:val="18"/>
              </w:rPr>
            </w:pPr>
          </w:p>
        </w:tc>
        <w:tc>
          <w:tcPr>
            <w:tcW w:w="1303" w:type="dxa"/>
            <w:vAlign w:val="center"/>
          </w:tcPr>
          <w:p w14:paraId="22C4AE28">
            <w:pPr>
              <w:spacing w:line="240" w:lineRule="auto"/>
              <w:jc w:val="center"/>
              <w:rPr>
                <w:rFonts w:eastAsia="Times New Roman"/>
                <w:sz w:val="18"/>
                <w:szCs w:val="18"/>
              </w:rPr>
            </w:pPr>
            <w:r>
              <w:rPr>
                <w:rFonts w:eastAsia="Times New Roman"/>
                <w:sz w:val="18"/>
                <w:szCs w:val="18"/>
              </w:rPr>
              <w:t>2026.08.13</w:t>
            </w:r>
          </w:p>
          <w:p w14:paraId="6E59F245">
            <w:pPr>
              <w:spacing w:line="240" w:lineRule="auto"/>
              <w:jc w:val="center"/>
              <w:rPr>
                <w:rFonts w:eastAsia="Times New Roman"/>
                <w:sz w:val="18"/>
                <w:szCs w:val="18"/>
              </w:rPr>
            </w:pPr>
            <w:r>
              <w:rPr>
                <w:rFonts w:eastAsia="Times New Roman"/>
                <w:sz w:val="18"/>
                <w:szCs w:val="18"/>
              </w:rPr>
              <w:t>17:18~17:38</w:t>
            </w:r>
          </w:p>
        </w:tc>
        <w:tc>
          <w:tcPr>
            <w:tcW w:w="769" w:type="dxa"/>
            <w:vAlign w:val="center"/>
          </w:tcPr>
          <w:p w14:paraId="0BB034AF">
            <w:pPr>
              <w:spacing w:line="240" w:lineRule="auto"/>
              <w:jc w:val="center"/>
              <w:rPr>
                <w:rFonts w:ascii="宋体" w:hAnsi="宋体" w:eastAsia="Times New Roman" w:cs="宋体"/>
                <w:sz w:val="18"/>
                <w:szCs w:val="18"/>
              </w:rPr>
            </w:pPr>
            <w:r>
              <w:rPr>
                <w:rFonts w:ascii="宋体" w:hAnsi="宋体" w:eastAsia="Times New Roman" w:cs="宋体"/>
                <w:sz w:val="18"/>
                <w:szCs w:val="18"/>
              </w:rPr>
              <w:t>昼</w:t>
            </w:r>
          </w:p>
        </w:tc>
        <w:tc>
          <w:tcPr>
            <w:tcW w:w="1036" w:type="dxa"/>
            <w:vAlign w:val="center"/>
          </w:tcPr>
          <w:p w14:paraId="01E1DB8B">
            <w:pPr>
              <w:spacing w:line="240" w:lineRule="auto"/>
              <w:jc w:val="center"/>
              <w:rPr>
                <w:rFonts w:eastAsiaTheme="minorEastAsia"/>
                <w:sz w:val="18"/>
                <w:szCs w:val="18"/>
              </w:rPr>
            </w:pPr>
            <w:r>
              <w:rPr>
                <w:rFonts w:eastAsiaTheme="minorEastAsia"/>
                <w:sz w:val="18"/>
                <w:szCs w:val="18"/>
              </w:rPr>
              <w:t>52</w:t>
            </w:r>
          </w:p>
        </w:tc>
        <w:tc>
          <w:tcPr>
            <w:tcW w:w="1036" w:type="dxa"/>
            <w:vAlign w:val="center"/>
          </w:tcPr>
          <w:p w14:paraId="50B01F4A">
            <w:pPr>
              <w:spacing w:line="240" w:lineRule="auto"/>
              <w:jc w:val="center"/>
              <w:rPr>
                <w:rFonts w:eastAsiaTheme="minorEastAsia"/>
                <w:sz w:val="18"/>
                <w:szCs w:val="18"/>
              </w:rPr>
            </w:pPr>
            <w:r>
              <w:rPr>
                <w:rFonts w:eastAsiaTheme="minorEastAsia"/>
                <w:sz w:val="18"/>
                <w:szCs w:val="18"/>
              </w:rPr>
              <w:t>/</w:t>
            </w:r>
          </w:p>
        </w:tc>
        <w:tc>
          <w:tcPr>
            <w:tcW w:w="1036" w:type="dxa"/>
            <w:vAlign w:val="center"/>
          </w:tcPr>
          <w:p w14:paraId="0FAD31C8">
            <w:pPr>
              <w:spacing w:line="240" w:lineRule="auto"/>
              <w:jc w:val="center"/>
              <w:rPr>
                <w:rFonts w:eastAsiaTheme="minorEastAsia"/>
                <w:sz w:val="18"/>
                <w:szCs w:val="18"/>
              </w:rPr>
            </w:pPr>
            <w:r>
              <w:rPr>
                <w:rFonts w:eastAsiaTheme="minorEastAsia"/>
                <w:sz w:val="18"/>
                <w:szCs w:val="18"/>
              </w:rPr>
              <w:t>60</w:t>
            </w:r>
          </w:p>
        </w:tc>
        <w:tc>
          <w:tcPr>
            <w:tcW w:w="1036" w:type="dxa"/>
            <w:vAlign w:val="center"/>
          </w:tcPr>
          <w:p w14:paraId="025B6C40">
            <w:pPr>
              <w:spacing w:line="240" w:lineRule="auto"/>
              <w:jc w:val="center"/>
              <w:rPr>
                <w:rFonts w:ascii="宋体" w:hAnsi="宋体" w:eastAsia="Times New Roman" w:cs="宋体"/>
                <w:sz w:val="18"/>
                <w:szCs w:val="18"/>
              </w:rPr>
            </w:pPr>
            <w:r>
              <w:rPr>
                <w:rFonts w:ascii="宋体" w:hAnsi="宋体" w:eastAsia="Times New Roman" w:cs="宋体"/>
                <w:sz w:val="18"/>
                <w:szCs w:val="18"/>
              </w:rPr>
              <w:t>达标</w:t>
            </w:r>
          </w:p>
        </w:tc>
      </w:tr>
      <w:tr w14:paraId="336FE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2B239D61">
            <w:pPr>
              <w:spacing w:line="240" w:lineRule="auto"/>
              <w:jc w:val="center"/>
              <w:rPr>
                <w:rFonts w:eastAsia="Times New Roman"/>
                <w:sz w:val="18"/>
                <w:szCs w:val="18"/>
              </w:rPr>
            </w:pPr>
          </w:p>
        </w:tc>
        <w:tc>
          <w:tcPr>
            <w:tcW w:w="1036" w:type="dxa"/>
            <w:vMerge w:val="continue"/>
            <w:vAlign w:val="center"/>
          </w:tcPr>
          <w:p w14:paraId="10595D63">
            <w:pPr>
              <w:spacing w:line="240" w:lineRule="auto"/>
              <w:jc w:val="center"/>
              <w:rPr>
                <w:rFonts w:eastAsia="Times New Roman"/>
                <w:sz w:val="18"/>
                <w:szCs w:val="18"/>
              </w:rPr>
            </w:pPr>
          </w:p>
        </w:tc>
        <w:tc>
          <w:tcPr>
            <w:tcW w:w="1303" w:type="dxa"/>
            <w:vAlign w:val="center"/>
          </w:tcPr>
          <w:p w14:paraId="4F604A4F">
            <w:pPr>
              <w:spacing w:line="240" w:lineRule="auto"/>
              <w:jc w:val="center"/>
              <w:rPr>
                <w:rFonts w:eastAsia="Times New Roman"/>
                <w:sz w:val="18"/>
                <w:szCs w:val="18"/>
              </w:rPr>
            </w:pPr>
            <w:r>
              <w:rPr>
                <w:rFonts w:eastAsia="Times New Roman"/>
                <w:sz w:val="18"/>
                <w:szCs w:val="18"/>
              </w:rPr>
              <w:t>2026.08.13</w:t>
            </w:r>
          </w:p>
          <w:p w14:paraId="3C0FA8C1">
            <w:pPr>
              <w:spacing w:line="240" w:lineRule="auto"/>
              <w:jc w:val="center"/>
              <w:rPr>
                <w:rFonts w:eastAsia="Times New Roman"/>
                <w:sz w:val="18"/>
                <w:szCs w:val="18"/>
              </w:rPr>
            </w:pPr>
            <w:r>
              <w:rPr>
                <w:rFonts w:eastAsia="Times New Roman"/>
                <w:sz w:val="18"/>
                <w:szCs w:val="18"/>
              </w:rPr>
              <w:t>22:00~22:20</w:t>
            </w:r>
          </w:p>
        </w:tc>
        <w:tc>
          <w:tcPr>
            <w:tcW w:w="769" w:type="dxa"/>
            <w:vAlign w:val="center"/>
          </w:tcPr>
          <w:p w14:paraId="3FC9D36C">
            <w:pPr>
              <w:spacing w:line="240" w:lineRule="auto"/>
              <w:jc w:val="center"/>
              <w:rPr>
                <w:rFonts w:ascii="宋体" w:hAnsi="宋体" w:eastAsia="Times New Roman" w:cs="宋体"/>
                <w:sz w:val="18"/>
                <w:szCs w:val="18"/>
              </w:rPr>
            </w:pPr>
            <w:r>
              <w:rPr>
                <w:rFonts w:ascii="宋体" w:hAnsi="宋体" w:eastAsia="Times New Roman" w:cs="宋体"/>
                <w:sz w:val="18"/>
                <w:szCs w:val="18"/>
              </w:rPr>
              <w:t>夜</w:t>
            </w:r>
          </w:p>
        </w:tc>
        <w:tc>
          <w:tcPr>
            <w:tcW w:w="1036" w:type="dxa"/>
            <w:vAlign w:val="center"/>
          </w:tcPr>
          <w:p w14:paraId="3CC0B1DF">
            <w:pPr>
              <w:spacing w:line="240" w:lineRule="auto"/>
              <w:jc w:val="center"/>
              <w:rPr>
                <w:rFonts w:eastAsiaTheme="minorEastAsia"/>
                <w:sz w:val="18"/>
                <w:szCs w:val="18"/>
              </w:rPr>
            </w:pPr>
            <w:r>
              <w:rPr>
                <w:rFonts w:eastAsiaTheme="minorEastAsia"/>
                <w:sz w:val="18"/>
                <w:szCs w:val="18"/>
              </w:rPr>
              <w:t>44</w:t>
            </w:r>
          </w:p>
        </w:tc>
        <w:tc>
          <w:tcPr>
            <w:tcW w:w="1036" w:type="dxa"/>
            <w:vAlign w:val="center"/>
          </w:tcPr>
          <w:p w14:paraId="47749778">
            <w:pPr>
              <w:spacing w:line="240" w:lineRule="auto"/>
              <w:jc w:val="center"/>
              <w:rPr>
                <w:rFonts w:eastAsiaTheme="minorEastAsia"/>
                <w:sz w:val="18"/>
                <w:szCs w:val="18"/>
              </w:rPr>
            </w:pPr>
            <w:r>
              <w:rPr>
                <w:rFonts w:eastAsiaTheme="minorEastAsia"/>
                <w:sz w:val="18"/>
                <w:szCs w:val="18"/>
              </w:rPr>
              <w:t>58</w:t>
            </w:r>
          </w:p>
        </w:tc>
        <w:tc>
          <w:tcPr>
            <w:tcW w:w="1036" w:type="dxa"/>
            <w:vAlign w:val="center"/>
          </w:tcPr>
          <w:p w14:paraId="5EE3C02B">
            <w:pPr>
              <w:spacing w:line="240" w:lineRule="auto"/>
              <w:jc w:val="center"/>
              <w:rPr>
                <w:rFonts w:eastAsiaTheme="minorEastAsia"/>
                <w:sz w:val="18"/>
                <w:szCs w:val="18"/>
              </w:rPr>
            </w:pPr>
            <w:r>
              <w:rPr>
                <w:rFonts w:eastAsiaTheme="minorEastAsia"/>
                <w:sz w:val="18"/>
                <w:szCs w:val="18"/>
              </w:rPr>
              <w:t>50</w:t>
            </w:r>
          </w:p>
        </w:tc>
        <w:tc>
          <w:tcPr>
            <w:tcW w:w="1036" w:type="dxa"/>
            <w:vAlign w:val="center"/>
          </w:tcPr>
          <w:p w14:paraId="625008D6">
            <w:pPr>
              <w:spacing w:line="240" w:lineRule="auto"/>
              <w:jc w:val="center"/>
              <w:rPr>
                <w:rFonts w:ascii="宋体" w:hAnsi="宋体" w:eastAsia="Times New Roman" w:cs="宋体"/>
                <w:sz w:val="18"/>
                <w:szCs w:val="18"/>
              </w:rPr>
            </w:pPr>
            <w:r>
              <w:rPr>
                <w:rFonts w:ascii="宋体" w:hAnsi="宋体" w:eastAsia="Times New Roman" w:cs="宋体"/>
                <w:sz w:val="18"/>
                <w:szCs w:val="18"/>
              </w:rPr>
              <w:t>达标</w:t>
            </w:r>
          </w:p>
        </w:tc>
      </w:tr>
      <w:tr w14:paraId="64AD1E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restart"/>
            <w:vAlign w:val="center"/>
          </w:tcPr>
          <w:p w14:paraId="668D3059">
            <w:pPr>
              <w:spacing w:line="240" w:lineRule="auto"/>
              <w:jc w:val="center"/>
              <w:rPr>
                <w:rFonts w:eastAsia="Times New Roman"/>
                <w:sz w:val="18"/>
                <w:szCs w:val="18"/>
              </w:rPr>
            </w:pPr>
            <w:r>
              <w:rPr>
                <w:rFonts w:eastAsia="Times New Roman"/>
                <w:sz w:val="18"/>
                <w:szCs w:val="18"/>
              </w:rPr>
              <w:t>N2</w:t>
            </w:r>
          </w:p>
        </w:tc>
        <w:tc>
          <w:tcPr>
            <w:tcW w:w="1036" w:type="dxa"/>
            <w:vMerge w:val="restart"/>
            <w:vAlign w:val="center"/>
          </w:tcPr>
          <w:p w14:paraId="5184ADCF">
            <w:pPr>
              <w:spacing w:line="240" w:lineRule="auto"/>
              <w:jc w:val="center"/>
              <w:rPr>
                <w:rFonts w:eastAsia="Times New Roman"/>
                <w:sz w:val="18"/>
                <w:szCs w:val="18"/>
              </w:rPr>
            </w:pPr>
            <w:r>
              <w:rPr>
                <w:rFonts w:hint="eastAsia" w:ascii="宋体" w:hAnsi="宋体" w:eastAsia="Times New Roman" w:cs="宋体"/>
                <w:sz w:val="18"/>
                <w:szCs w:val="18"/>
              </w:rPr>
              <w:t>青西二路工程河景路交叉口</w:t>
            </w:r>
          </w:p>
        </w:tc>
        <w:tc>
          <w:tcPr>
            <w:tcW w:w="1303" w:type="dxa"/>
            <w:vAlign w:val="center"/>
          </w:tcPr>
          <w:p w14:paraId="6A0CB21E">
            <w:pPr>
              <w:spacing w:line="240" w:lineRule="auto"/>
              <w:jc w:val="center"/>
              <w:rPr>
                <w:rFonts w:eastAsia="Times New Roman"/>
                <w:sz w:val="18"/>
                <w:szCs w:val="18"/>
              </w:rPr>
            </w:pPr>
            <w:r>
              <w:rPr>
                <w:rFonts w:eastAsia="Times New Roman"/>
                <w:sz w:val="18"/>
                <w:szCs w:val="18"/>
              </w:rPr>
              <w:t>2026.06.26 09:23-09:43</w:t>
            </w:r>
          </w:p>
        </w:tc>
        <w:tc>
          <w:tcPr>
            <w:tcW w:w="769" w:type="dxa"/>
            <w:vAlign w:val="center"/>
          </w:tcPr>
          <w:p w14:paraId="041A1386">
            <w:pPr>
              <w:spacing w:line="240" w:lineRule="auto"/>
              <w:jc w:val="center"/>
              <w:rPr>
                <w:rFonts w:eastAsia="Times New Roman"/>
                <w:sz w:val="18"/>
                <w:szCs w:val="18"/>
              </w:rPr>
            </w:pPr>
            <w:r>
              <w:rPr>
                <w:rFonts w:ascii="宋体" w:hAnsi="宋体" w:eastAsia="Times New Roman" w:cs="宋体"/>
                <w:sz w:val="18"/>
                <w:szCs w:val="18"/>
              </w:rPr>
              <w:t>昼</w:t>
            </w:r>
          </w:p>
        </w:tc>
        <w:tc>
          <w:tcPr>
            <w:tcW w:w="1036" w:type="dxa"/>
            <w:vAlign w:val="center"/>
          </w:tcPr>
          <w:p w14:paraId="776BC15C">
            <w:pPr>
              <w:spacing w:line="240" w:lineRule="auto"/>
              <w:jc w:val="center"/>
              <w:rPr>
                <w:rFonts w:eastAsia="Times New Roman"/>
                <w:sz w:val="18"/>
                <w:szCs w:val="18"/>
              </w:rPr>
            </w:pPr>
            <w:r>
              <w:rPr>
                <w:rFonts w:eastAsia="Times New Roman"/>
                <w:sz w:val="18"/>
                <w:szCs w:val="18"/>
              </w:rPr>
              <w:t>54</w:t>
            </w:r>
          </w:p>
        </w:tc>
        <w:tc>
          <w:tcPr>
            <w:tcW w:w="1036" w:type="dxa"/>
            <w:vAlign w:val="center"/>
          </w:tcPr>
          <w:p w14:paraId="7BE5E3C6">
            <w:pPr>
              <w:spacing w:line="240" w:lineRule="auto"/>
              <w:jc w:val="center"/>
              <w:rPr>
                <w:rFonts w:eastAsia="Times New Roman"/>
                <w:sz w:val="18"/>
                <w:szCs w:val="18"/>
              </w:rPr>
            </w:pPr>
            <w:r>
              <w:rPr>
                <w:rFonts w:eastAsia="Times New Roman"/>
                <w:sz w:val="18"/>
                <w:szCs w:val="18"/>
              </w:rPr>
              <w:t>/</w:t>
            </w:r>
          </w:p>
        </w:tc>
        <w:tc>
          <w:tcPr>
            <w:tcW w:w="1036" w:type="dxa"/>
            <w:vAlign w:val="center"/>
          </w:tcPr>
          <w:p w14:paraId="3D601EC9">
            <w:pPr>
              <w:spacing w:line="240" w:lineRule="auto"/>
              <w:jc w:val="center"/>
              <w:rPr>
                <w:rFonts w:eastAsia="Times New Roman"/>
                <w:sz w:val="18"/>
                <w:szCs w:val="18"/>
              </w:rPr>
            </w:pPr>
            <w:r>
              <w:rPr>
                <w:rFonts w:eastAsia="Times New Roman"/>
                <w:sz w:val="18"/>
                <w:szCs w:val="18"/>
              </w:rPr>
              <w:t>70</w:t>
            </w:r>
          </w:p>
        </w:tc>
        <w:tc>
          <w:tcPr>
            <w:tcW w:w="1036" w:type="dxa"/>
            <w:vAlign w:val="center"/>
          </w:tcPr>
          <w:p w14:paraId="2B89E89A">
            <w:pPr>
              <w:spacing w:line="240" w:lineRule="auto"/>
              <w:jc w:val="center"/>
              <w:rPr>
                <w:rFonts w:eastAsia="Times New Roman"/>
                <w:sz w:val="18"/>
                <w:szCs w:val="18"/>
              </w:rPr>
            </w:pPr>
            <w:r>
              <w:rPr>
                <w:rFonts w:ascii="宋体" w:hAnsi="宋体" w:eastAsia="Times New Roman" w:cs="宋体"/>
                <w:sz w:val="18"/>
                <w:szCs w:val="18"/>
              </w:rPr>
              <w:t>达标</w:t>
            </w:r>
          </w:p>
        </w:tc>
      </w:tr>
      <w:tr w14:paraId="156DB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6082B965">
            <w:pPr>
              <w:spacing w:line="240" w:lineRule="auto"/>
              <w:jc w:val="center"/>
              <w:rPr>
                <w:rFonts w:eastAsia="Times New Roman"/>
                <w:sz w:val="18"/>
                <w:szCs w:val="18"/>
              </w:rPr>
            </w:pPr>
          </w:p>
        </w:tc>
        <w:tc>
          <w:tcPr>
            <w:tcW w:w="1036" w:type="dxa"/>
            <w:vMerge w:val="continue"/>
            <w:vAlign w:val="center"/>
          </w:tcPr>
          <w:p w14:paraId="120F3043">
            <w:pPr>
              <w:spacing w:line="240" w:lineRule="auto"/>
              <w:jc w:val="center"/>
              <w:rPr>
                <w:rFonts w:eastAsia="Times New Roman"/>
                <w:sz w:val="18"/>
                <w:szCs w:val="18"/>
              </w:rPr>
            </w:pPr>
          </w:p>
        </w:tc>
        <w:tc>
          <w:tcPr>
            <w:tcW w:w="1303" w:type="dxa"/>
            <w:vAlign w:val="center"/>
          </w:tcPr>
          <w:p w14:paraId="6BBB2246">
            <w:pPr>
              <w:spacing w:line="240" w:lineRule="auto"/>
              <w:jc w:val="center"/>
              <w:rPr>
                <w:rFonts w:eastAsia="Times New Roman"/>
                <w:sz w:val="18"/>
                <w:szCs w:val="18"/>
              </w:rPr>
            </w:pPr>
            <w:r>
              <w:rPr>
                <w:rFonts w:eastAsia="Times New Roman"/>
                <w:sz w:val="18"/>
                <w:szCs w:val="18"/>
              </w:rPr>
              <w:t>2026.06.26 22:00-22:20</w:t>
            </w:r>
          </w:p>
        </w:tc>
        <w:tc>
          <w:tcPr>
            <w:tcW w:w="769" w:type="dxa"/>
            <w:vAlign w:val="center"/>
          </w:tcPr>
          <w:p w14:paraId="051ED085">
            <w:pPr>
              <w:spacing w:line="240" w:lineRule="auto"/>
              <w:jc w:val="center"/>
              <w:rPr>
                <w:rFonts w:eastAsia="Times New Roman"/>
                <w:sz w:val="18"/>
                <w:szCs w:val="18"/>
              </w:rPr>
            </w:pPr>
            <w:r>
              <w:rPr>
                <w:rFonts w:ascii="宋体" w:hAnsi="宋体" w:eastAsia="Times New Roman" w:cs="宋体"/>
                <w:sz w:val="18"/>
                <w:szCs w:val="18"/>
              </w:rPr>
              <w:t>夜</w:t>
            </w:r>
          </w:p>
        </w:tc>
        <w:tc>
          <w:tcPr>
            <w:tcW w:w="1036" w:type="dxa"/>
            <w:vAlign w:val="center"/>
          </w:tcPr>
          <w:p w14:paraId="0A321FD0">
            <w:pPr>
              <w:spacing w:line="240" w:lineRule="auto"/>
              <w:jc w:val="center"/>
              <w:rPr>
                <w:rFonts w:eastAsia="Times New Roman"/>
                <w:sz w:val="18"/>
                <w:szCs w:val="18"/>
              </w:rPr>
            </w:pPr>
            <w:commentRangeStart w:id="85"/>
            <w:commentRangeStart w:id="86"/>
            <w:r>
              <w:rPr>
                <w:rFonts w:eastAsia="Times New Roman"/>
                <w:sz w:val="18"/>
                <w:szCs w:val="18"/>
              </w:rPr>
              <w:t>51</w:t>
            </w:r>
            <w:commentRangeEnd w:id="85"/>
            <w:r>
              <w:rPr>
                <w:rStyle w:val="38"/>
                <w:rFonts w:eastAsia="Times New Roman"/>
                <w:sz w:val="18"/>
                <w:szCs w:val="18"/>
              </w:rPr>
              <w:commentReference w:id="85"/>
            </w:r>
            <w:commentRangeEnd w:id="86"/>
            <w:r>
              <w:rPr>
                <w:rStyle w:val="38"/>
                <w:rFonts w:eastAsia="Times New Roman"/>
                <w:sz w:val="18"/>
                <w:szCs w:val="18"/>
              </w:rPr>
              <w:commentReference w:id="86"/>
            </w:r>
          </w:p>
        </w:tc>
        <w:tc>
          <w:tcPr>
            <w:tcW w:w="1036" w:type="dxa"/>
            <w:vAlign w:val="center"/>
          </w:tcPr>
          <w:p w14:paraId="3FFB2975">
            <w:pPr>
              <w:spacing w:line="240" w:lineRule="auto"/>
              <w:jc w:val="center"/>
              <w:rPr>
                <w:rFonts w:eastAsia="Times New Roman"/>
                <w:sz w:val="18"/>
                <w:szCs w:val="18"/>
              </w:rPr>
            </w:pPr>
            <w:r>
              <w:rPr>
                <w:rFonts w:eastAsia="Times New Roman"/>
                <w:sz w:val="18"/>
                <w:szCs w:val="18"/>
              </w:rPr>
              <w:t>65</w:t>
            </w:r>
          </w:p>
        </w:tc>
        <w:tc>
          <w:tcPr>
            <w:tcW w:w="1036" w:type="dxa"/>
            <w:vAlign w:val="center"/>
          </w:tcPr>
          <w:p w14:paraId="21723E81">
            <w:pPr>
              <w:spacing w:line="240" w:lineRule="auto"/>
              <w:jc w:val="center"/>
              <w:rPr>
                <w:rFonts w:eastAsia="Times New Roman"/>
                <w:sz w:val="18"/>
                <w:szCs w:val="18"/>
              </w:rPr>
            </w:pPr>
            <w:r>
              <w:rPr>
                <w:rFonts w:eastAsia="Times New Roman"/>
                <w:sz w:val="18"/>
                <w:szCs w:val="18"/>
              </w:rPr>
              <w:t>55</w:t>
            </w:r>
          </w:p>
        </w:tc>
        <w:tc>
          <w:tcPr>
            <w:tcW w:w="1036" w:type="dxa"/>
            <w:vAlign w:val="center"/>
          </w:tcPr>
          <w:p w14:paraId="36D49BE7">
            <w:pPr>
              <w:spacing w:line="240" w:lineRule="auto"/>
              <w:jc w:val="center"/>
              <w:rPr>
                <w:rFonts w:eastAsia="Times New Roman"/>
                <w:sz w:val="18"/>
                <w:szCs w:val="18"/>
              </w:rPr>
            </w:pPr>
            <w:r>
              <w:rPr>
                <w:rFonts w:ascii="宋体" w:hAnsi="宋体" w:eastAsia="Times New Roman" w:cs="宋体"/>
                <w:sz w:val="18"/>
                <w:szCs w:val="18"/>
              </w:rPr>
              <w:t>达标</w:t>
            </w:r>
          </w:p>
        </w:tc>
      </w:tr>
      <w:tr w14:paraId="350434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2D806865">
            <w:pPr>
              <w:spacing w:line="240" w:lineRule="auto"/>
              <w:jc w:val="center"/>
              <w:rPr>
                <w:rFonts w:eastAsia="Times New Roman"/>
                <w:sz w:val="18"/>
                <w:szCs w:val="18"/>
              </w:rPr>
            </w:pPr>
          </w:p>
        </w:tc>
        <w:tc>
          <w:tcPr>
            <w:tcW w:w="1036" w:type="dxa"/>
            <w:vMerge w:val="continue"/>
            <w:vAlign w:val="center"/>
          </w:tcPr>
          <w:p w14:paraId="3231B000">
            <w:pPr>
              <w:spacing w:line="240" w:lineRule="auto"/>
              <w:jc w:val="center"/>
              <w:rPr>
                <w:rFonts w:eastAsia="Times New Roman"/>
                <w:sz w:val="18"/>
                <w:szCs w:val="18"/>
              </w:rPr>
            </w:pPr>
          </w:p>
        </w:tc>
        <w:tc>
          <w:tcPr>
            <w:tcW w:w="1303" w:type="dxa"/>
            <w:vAlign w:val="center"/>
          </w:tcPr>
          <w:p w14:paraId="3739CA84">
            <w:pPr>
              <w:spacing w:line="240" w:lineRule="auto"/>
              <w:jc w:val="center"/>
              <w:rPr>
                <w:rFonts w:eastAsia="Times New Roman"/>
                <w:sz w:val="18"/>
                <w:szCs w:val="18"/>
              </w:rPr>
            </w:pPr>
            <w:r>
              <w:rPr>
                <w:rFonts w:eastAsia="Times New Roman"/>
                <w:sz w:val="18"/>
                <w:szCs w:val="18"/>
              </w:rPr>
              <w:t xml:space="preserve">2026.08.13 </w:t>
            </w:r>
          </w:p>
          <w:p w14:paraId="3F1AED9D">
            <w:pPr>
              <w:spacing w:line="240" w:lineRule="auto"/>
              <w:jc w:val="center"/>
              <w:rPr>
                <w:rFonts w:eastAsiaTheme="minorEastAsia"/>
                <w:sz w:val="18"/>
                <w:szCs w:val="18"/>
              </w:rPr>
            </w:pPr>
            <w:r>
              <w:rPr>
                <w:rFonts w:eastAsia="Times New Roman"/>
                <w:sz w:val="18"/>
                <w:szCs w:val="18"/>
              </w:rPr>
              <w:t>17:48~18:08</w:t>
            </w:r>
          </w:p>
        </w:tc>
        <w:tc>
          <w:tcPr>
            <w:tcW w:w="769" w:type="dxa"/>
            <w:vAlign w:val="center"/>
          </w:tcPr>
          <w:p w14:paraId="071A7AB4">
            <w:pPr>
              <w:spacing w:line="240" w:lineRule="auto"/>
              <w:jc w:val="center"/>
              <w:rPr>
                <w:rFonts w:ascii="宋体" w:hAnsi="宋体" w:eastAsia="Times New Roman" w:cs="宋体"/>
                <w:sz w:val="18"/>
                <w:szCs w:val="18"/>
              </w:rPr>
            </w:pPr>
            <w:r>
              <w:rPr>
                <w:rFonts w:ascii="宋体" w:hAnsi="宋体" w:eastAsia="Times New Roman" w:cs="宋体"/>
                <w:sz w:val="18"/>
                <w:szCs w:val="18"/>
              </w:rPr>
              <w:t>昼</w:t>
            </w:r>
          </w:p>
        </w:tc>
        <w:tc>
          <w:tcPr>
            <w:tcW w:w="1036" w:type="dxa"/>
            <w:vAlign w:val="center"/>
          </w:tcPr>
          <w:p w14:paraId="1DE1F6A0">
            <w:pPr>
              <w:spacing w:line="240" w:lineRule="auto"/>
              <w:jc w:val="center"/>
              <w:rPr>
                <w:rFonts w:eastAsiaTheme="minorEastAsia"/>
                <w:sz w:val="18"/>
                <w:szCs w:val="18"/>
              </w:rPr>
            </w:pPr>
            <w:r>
              <w:rPr>
                <w:rFonts w:eastAsiaTheme="minorEastAsia"/>
                <w:sz w:val="18"/>
                <w:szCs w:val="18"/>
              </w:rPr>
              <w:t>56</w:t>
            </w:r>
          </w:p>
        </w:tc>
        <w:tc>
          <w:tcPr>
            <w:tcW w:w="1036" w:type="dxa"/>
            <w:vAlign w:val="center"/>
          </w:tcPr>
          <w:p w14:paraId="00BF2A8D">
            <w:pPr>
              <w:spacing w:line="240" w:lineRule="auto"/>
              <w:jc w:val="center"/>
              <w:rPr>
                <w:rFonts w:eastAsia="Times New Roman"/>
                <w:sz w:val="18"/>
                <w:szCs w:val="18"/>
              </w:rPr>
            </w:pPr>
            <w:r>
              <w:rPr>
                <w:rFonts w:ascii="宋体" w:hAnsi="宋体" w:eastAsia="Times New Roman" w:cs="宋体"/>
                <w:sz w:val="18"/>
                <w:szCs w:val="18"/>
              </w:rPr>
              <w:t>/</w:t>
            </w:r>
          </w:p>
        </w:tc>
        <w:tc>
          <w:tcPr>
            <w:tcW w:w="1036" w:type="dxa"/>
            <w:vAlign w:val="center"/>
          </w:tcPr>
          <w:p w14:paraId="40D00F35">
            <w:pPr>
              <w:spacing w:line="240" w:lineRule="auto"/>
              <w:jc w:val="center"/>
              <w:rPr>
                <w:rFonts w:eastAsia="Times New Roman"/>
                <w:sz w:val="18"/>
                <w:szCs w:val="18"/>
              </w:rPr>
            </w:pPr>
            <w:r>
              <w:rPr>
                <w:rFonts w:eastAsia="Times New Roman"/>
                <w:sz w:val="18"/>
                <w:szCs w:val="18"/>
              </w:rPr>
              <w:t>70</w:t>
            </w:r>
          </w:p>
        </w:tc>
        <w:tc>
          <w:tcPr>
            <w:tcW w:w="1036" w:type="dxa"/>
            <w:vAlign w:val="center"/>
          </w:tcPr>
          <w:p w14:paraId="08E42FA3">
            <w:pPr>
              <w:spacing w:line="240" w:lineRule="auto"/>
              <w:jc w:val="center"/>
              <w:rPr>
                <w:rFonts w:ascii="宋体" w:hAnsi="宋体" w:eastAsia="Times New Roman" w:cs="宋体"/>
                <w:sz w:val="18"/>
                <w:szCs w:val="18"/>
              </w:rPr>
            </w:pPr>
            <w:r>
              <w:rPr>
                <w:rFonts w:ascii="宋体" w:hAnsi="宋体" w:eastAsia="Times New Roman" w:cs="宋体"/>
                <w:sz w:val="18"/>
                <w:szCs w:val="18"/>
              </w:rPr>
              <w:t>达标</w:t>
            </w:r>
          </w:p>
        </w:tc>
      </w:tr>
      <w:tr w14:paraId="1C87B8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035" w:type="dxa"/>
            <w:vMerge w:val="continue"/>
            <w:vAlign w:val="center"/>
          </w:tcPr>
          <w:p w14:paraId="7D6AFD08">
            <w:pPr>
              <w:spacing w:line="240" w:lineRule="auto"/>
              <w:jc w:val="center"/>
              <w:rPr>
                <w:rFonts w:eastAsia="Times New Roman"/>
                <w:sz w:val="18"/>
                <w:szCs w:val="18"/>
              </w:rPr>
            </w:pPr>
          </w:p>
        </w:tc>
        <w:tc>
          <w:tcPr>
            <w:tcW w:w="1036" w:type="dxa"/>
            <w:vMerge w:val="continue"/>
            <w:vAlign w:val="center"/>
          </w:tcPr>
          <w:p w14:paraId="0C7A0436">
            <w:pPr>
              <w:spacing w:line="240" w:lineRule="auto"/>
              <w:jc w:val="center"/>
              <w:rPr>
                <w:rFonts w:eastAsia="Times New Roman"/>
                <w:sz w:val="18"/>
                <w:szCs w:val="18"/>
              </w:rPr>
            </w:pPr>
          </w:p>
        </w:tc>
        <w:tc>
          <w:tcPr>
            <w:tcW w:w="1303" w:type="dxa"/>
            <w:vAlign w:val="center"/>
          </w:tcPr>
          <w:p w14:paraId="40003919">
            <w:pPr>
              <w:spacing w:line="240" w:lineRule="auto"/>
              <w:jc w:val="center"/>
              <w:rPr>
                <w:rFonts w:eastAsiaTheme="minorEastAsia"/>
                <w:sz w:val="18"/>
                <w:szCs w:val="18"/>
              </w:rPr>
            </w:pPr>
            <w:r>
              <w:rPr>
                <w:rFonts w:eastAsia="Times New Roman"/>
                <w:sz w:val="18"/>
                <w:szCs w:val="18"/>
              </w:rPr>
              <w:t>2026.08.13</w:t>
            </w:r>
          </w:p>
          <w:p w14:paraId="639B57BC">
            <w:pPr>
              <w:spacing w:line="240" w:lineRule="auto"/>
              <w:jc w:val="center"/>
              <w:rPr>
                <w:rFonts w:eastAsia="Times New Roman"/>
                <w:sz w:val="18"/>
                <w:szCs w:val="18"/>
              </w:rPr>
            </w:pPr>
            <w:r>
              <w:rPr>
                <w:rFonts w:eastAsia="Times New Roman"/>
                <w:sz w:val="18"/>
                <w:szCs w:val="18"/>
              </w:rPr>
              <w:t>22:31~22:51</w:t>
            </w:r>
          </w:p>
        </w:tc>
        <w:tc>
          <w:tcPr>
            <w:tcW w:w="769" w:type="dxa"/>
            <w:vAlign w:val="center"/>
          </w:tcPr>
          <w:p w14:paraId="5981B777">
            <w:pPr>
              <w:spacing w:line="240" w:lineRule="auto"/>
              <w:jc w:val="center"/>
              <w:rPr>
                <w:rFonts w:ascii="宋体" w:hAnsi="宋体" w:eastAsia="Times New Roman" w:cs="宋体"/>
                <w:sz w:val="18"/>
                <w:szCs w:val="18"/>
              </w:rPr>
            </w:pPr>
            <w:r>
              <w:rPr>
                <w:rFonts w:ascii="宋体" w:hAnsi="宋体" w:eastAsia="Times New Roman" w:cs="宋体"/>
                <w:sz w:val="18"/>
                <w:szCs w:val="18"/>
              </w:rPr>
              <w:t>夜</w:t>
            </w:r>
          </w:p>
        </w:tc>
        <w:tc>
          <w:tcPr>
            <w:tcW w:w="1036" w:type="dxa"/>
            <w:vAlign w:val="center"/>
          </w:tcPr>
          <w:p w14:paraId="606826D9">
            <w:pPr>
              <w:spacing w:line="240" w:lineRule="auto"/>
              <w:jc w:val="center"/>
              <w:rPr>
                <w:rFonts w:eastAsiaTheme="minorEastAsia"/>
                <w:sz w:val="18"/>
                <w:szCs w:val="18"/>
              </w:rPr>
            </w:pPr>
            <w:r>
              <w:rPr>
                <w:rFonts w:eastAsiaTheme="minorEastAsia"/>
                <w:sz w:val="18"/>
                <w:szCs w:val="18"/>
              </w:rPr>
              <w:t>52</w:t>
            </w:r>
          </w:p>
        </w:tc>
        <w:tc>
          <w:tcPr>
            <w:tcW w:w="1036" w:type="dxa"/>
            <w:vAlign w:val="center"/>
          </w:tcPr>
          <w:p w14:paraId="16A72BC6">
            <w:pPr>
              <w:spacing w:line="240" w:lineRule="auto"/>
              <w:jc w:val="center"/>
              <w:rPr>
                <w:rFonts w:eastAsiaTheme="minorEastAsia"/>
                <w:sz w:val="18"/>
                <w:szCs w:val="18"/>
              </w:rPr>
            </w:pPr>
            <w:r>
              <w:rPr>
                <w:rFonts w:eastAsiaTheme="minorEastAsia"/>
                <w:sz w:val="18"/>
                <w:szCs w:val="18"/>
              </w:rPr>
              <w:t>62</w:t>
            </w:r>
          </w:p>
        </w:tc>
        <w:tc>
          <w:tcPr>
            <w:tcW w:w="1036" w:type="dxa"/>
            <w:vAlign w:val="center"/>
          </w:tcPr>
          <w:p w14:paraId="264715B6">
            <w:pPr>
              <w:spacing w:line="240" w:lineRule="auto"/>
              <w:jc w:val="center"/>
              <w:rPr>
                <w:rFonts w:eastAsia="Times New Roman"/>
                <w:sz w:val="18"/>
                <w:szCs w:val="18"/>
              </w:rPr>
            </w:pPr>
            <w:r>
              <w:rPr>
                <w:rFonts w:eastAsia="Times New Roman"/>
                <w:sz w:val="18"/>
                <w:szCs w:val="18"/>
              </w:rPr>
              <w:t>55</w:t>
            </w:r>
          </w:p>
        </w:tc>
        <w:tc>
          <w:tcPr>
            <w:tcW w:w="1036" w:type="dxa"/>
            <w:vAlign w:val="center"/>
          </w:tcPr>
          <w:p w14:paraId="1018A53C">
            <w:pPr>
              <w:spacing w:line="240" w:lineRule="auto"/>
              <w:jc w:val="center"/>
              <w:rPr>
                <w:rFonts w:ascii="宋体" w:hAnsi="宋体" w:eastAsia="Times New Roman" w:cs="宋体"/>
                <w:sz w:val="18"/>
                <w:szCs w:val="18"/>
              </w:rPr>
            </w:pPr>
            <w:r>
              <w:rPr>
                <w:rFonts w:ascii="宋体" w:hAnsi="宋体" w:eastAsia="Times New Roman" w:cs="宋体"/>
                <w:sz w:val="18"/>
                <w:szCs w:val="18"/>
              </w:rPr>
              <w:t>达标</w:t>
            </w:r>
          </w:p>
        </w:tc>
      </w:tr>
    </w:tbl>
    <w:p w14:paraId="35CB392A">
      <w:pPr>
        <w:pStyle w:val="9"/>
        <w:keepNext/>
        <w:spacing w:before="156"/>
      </w:pPr>
      <w:r>
        <w:rPr>
          <w:rFonts w:hint="eastAsia"/>
        </w:rPr>
        <w:t xml:space="preserve">专项表 </w:t>
      </w:r>
      <w:r>
        <w:fldChar w:fldCharType="begin"/>
      </w:r>
      <w:r>
        <w:instrText xml:space="preserve"> </w:instrText>
      </w:r>
      <w:r>
        <w:rPr>
          <w:rFonts w:hint="eastAsia"/>
        </w:rPr>
        <w:instrText xml:space="preserve">SEQ 专项表 \* ARABIC</w:instrText>
      </w:r>
      <w:r>
        <w:instrText xml:space="preserve"> </w:instrText>
      </w:r>
      <w:r>
        <w:fldChar w:fldCharType="separate"/>
      </w:r>
      <w:r>
        <w:t>12</w:t>
      </w:r>
      <w:r>
        <w:fldChar w:fldCharType="end"/>
      </w:r>
      <w:r>
        <w:t>河景路车流量观测结果</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44"/>
        <w:gridCol w:w="2364"/>
        <w:gridCol w:w="1704"/>
        <w:gridCol w:w="1705"/>
        <w:gridCol w:w="1706"/>
      </w:tblGrid>
      <w:tr w14:paraId="0A5BAE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Merge w:val="restart"/>
            <w:vAlign w:val="center"/>
          </w:tcPr>
          <w:p w14:paraId="3F0B7D5D">
            <w:pPr>
              <w:spacing w:line="240" w:lineRule="auto"/>
              <w:jc w:val="center"/>
              <w:rPr>
                <w:b/>
                <w:bCs/>
                <w:sz w:val="18"/>
                <w:szCs w:val="18"/>
              </w:rPr>
            </w:pPr>
            <w:r>
              <w:rPr>
                <w:b/>
                <w:bCs/>
                <w:sz w:val="18"/>
                <w:szCs w:val="18"/>
              </w:rPr>
              <w:t>测点编号</w:t>
            </w:r>
          </w:p>
        </w:tc>
        <w:tc>
          <w:tcPr>
            <w:tcW w:w="2299" w:type="dxa"/>
            <w:vMerge w:val="restart"/>
            <w:vAlign w:val="center"/>
          </w:tcPr>
          <w:p w14:paraId="36D52331">
            <w:pPr>
              <w:spacing w:line="240" w:lineRule="auto"/>
              <w:jc w:val="center"/>
              <w:rPr>
                <w:b/>
                <w:bCs/>
                <w:sz w:val="18"/>
                <w:szCs w:val="18"/>
              </w:rPr>
            </w:pPr>
            <w:r>
              <w:rPr>
                <w:b/>
                <w:bCs/>
                <w:sz w:val="18"/>
                <w:szCs w:val="18"/>
              </w:rPr>
              <w:t>测点位置</w:t>
            </w:r>
          </w:p>
        </w:tc>
        <w:tc>
          <w:tcPr>
            <w:tcW w:w="1657" w:type="dxa"/>
            <w:vMerge w:val="restart"/>
            <w:vAlign w:val="center"/>
          </w:tcPr>
          <w:p w14:paraId="29B3D071">
            <w:pPr>
              <w:spacing w:line="240" w:lineRule="auto"/>
              <w:jc w:val="center"/>
              <w:rPr>
                <w:b/>
                <w:bCs/>
                <w:sz w:val="18"/>
                <w:szCs w:val="18"/>
              </w:rPr>
            </w:pPr>
            <w:r>
              <w:rPr>
                <w:b/>
                <w:bCs/>
                <w:sz w:val="18"/>
                <w:szCs w:val="18"/>
              </w:rPr>
              <w:t>观测时间</w:t>
            </w:r>
          </w:p>
        </w:tc>
        <w:tc>
          <w:tcPr>
            <w:tcW w:w="3316" w:type="dxa"/>
            <w:gridSpan w:val="2"/>
            <w:vAlign w:val="center"/>
          </w:tcPr>
          <w:p w14:paraId="72503705">
            <w:pPr>
              <w:spacing w:line="240" w:lineRule="auto"/>
              <w:jc w:val="center"/>
              <w:rPr>
                <w:b/>
                <w:bCs/>
                <w:sz w:val="18"/>
                <w:szCs w:val="18"/>
              </w:rPr>
            </w:pPr>
            <w:r>
              <w:rPr>
                <w:b/>
                <w:bCs/>
                <w:sz w:val="18"/>
                <w:szCs w:val="18"/>
              </w:rPr>
              <w:t>车流量（辆/20min）</w:t>
            </w:r>
          </w:p>
        </w:tc>
      </w:tr>
      <w:tr w14:paraId="79F412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15" w:type="dxa"/>
            <w:vMerge w:val="continue"/>
            <w:vAlign w:val="center"/>
          </w:tcPr>
          <w:p w14:paraId="7A53B575">
            <w:pPr>
              <w:spacing w:line="240" w:lineRule="auto"/>
              <w:jc w:val="center"/>
              <w:rPr>
                <w:b/>
                <w:bCs/>
                <w:sz w:val="18"/>
                <w:szCs w:val="18"/>
              </w:rPr>
            </w:pPr>
          </w:p>
        </w:tc>
        <w:tc>
          <w:tcPr>
            <w:tcW w:w="2299" w:type="dxa"/>
            <w:vMerge w:val="continue"/>
            <w:vAlign w:val="center"/>
          </w:tcPr>
          <w:p w14:paraId="78653C24">
            <w:pPr>
              <w:spacing w:line="240" w:lineRule="auto"/>
              <w:jc w:val="center"/>
              <w:rPr>
                <w:b/>
                <w:bCs/>
                <w:sz w:val="18"/>
                <w:szCs w:val="18"/>
              </w:rPr>
            </w:pPr>
          </w:p>
        </w:tc>
        <w:tc>
          <w:tcPr>
            <w:tcW w:w="1657" w:type="dxa"/>
            <w:vMerge w:val="continue"/>
            <w:vAlign w:val="center"/>
          </w:tcPr>
          <w:p w14:paraId="5EC12DFB">
            <w:pPr>
              <w:spacing w:line="240" w:lineRule="auto"/>
              <w:jc w:val="center"/>
              <w:rPr>
                <w:b/>
                <w:bCs/>
                <w:sz w:val="18"/>
                <w:szCs w:val="18"/>
              </w:rPr>
            </w:pPr>
          </w:p>
        </w:tc>
        <w:tc>
          <w:tcPr>
            <w:tcW w:w="1658" w:type="dxa"/>
            <w:vAlign w:val="center"/>
          </w:tcPr>
          <w:p w14:paraId="340DEE98">
            <w:pPr>
              <w:spacing w:line="240" w:lineRule="auto"/>
              <w:jc w:val="center"/>
              <w:rPr>
                <w:b/>
                <w:bCs/>
                <w:sz w:val="18"/>
                <w:szCs w:val="18"/>
              </w:rPr>
            </w:pPr>
            <w:r>
              <w:rPr>
                <w:b/>
                <w:bCs/>
                <w:sz w:val="18"/>
                <w:szCs w:val="18"/>
              </w:rPr>
              <w:t>大型车</w:t>
            </w:r>
          </w:p>
        </w:tc>
        <w:tc>
          <w:tcPr>
            <w:tcW w:w="1658" w:type="dxa"/>
            <w:vAlign w:val="center"/>
          </w:tcPr>
          <w:p w14:paraId="15871317">
            <w:pPr>
              <w:spacing w:line="240" w:lineRule="auto"/>
              <w:jc w:val="center"/>
              <w:rPr>
                <w:b/>
                <w:bCs/>
                <w:sz w:val="18"/>
                <w:szCs w:val="18"/>
              </w:rPr>
            </w:pPr>
            <w:r>
              <w:rPr>
                <w:b/>
                <w:bCs/>
                <w:sz w:val="18"/>
                <w:szCs w:val="18"/>
              </w:rPr>
              <w:t>中小型车</w:t>
            </w:r>
          </w:p>
        </w:tc>
      </w:tr>
      <w:tr w14:paraId="2BB9A3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015" w:type="dxa"/>
            <w:vMerge w:val="restart"/>
            <w:vAlign w:val="center"/>
          </w:tcPr>
          <w:p w14:paraId="2388CE73">
            <w:pPr>
              <w:spacing w:line="240" w:lineRule="auto"/>
              <w:jc w:val="center"/>
              <w:rPr>
                <w:sz w:val="18"/>
                <w:szCs w:val="18"/>
              </w:rPr>
            </w:pPr>
            <w:r>
              <w:rPr>
                <w:sz w:val="18"/>
                <w:szCs w:val="18"/>
              </w:rPr>
              <w:t>02</w:t>
            </w:r>
          </w:p>
        </w:tc>
        <w:tc>
          <w:tcPr>
            <w:tcW w:w="2299" w:type="dxa"/>
            <w:vMerge w:val="restart"/>
            <w:vAlign w:val="center"/>
          </w:tcPr>
          <w:p w14:paraId="5264CC25">
            <w:pPr>
              <w:spacing w:line="240" w:lineRule="auto"/>
              <w:jc w:val="center"/>
              <w:rPr>
                <w:sz w:val="18"/>
                <w:szCs w:val="18"/>
              </w:rPr>
            </w:pPr>
            <w:r>
              <w:rPr>
                <w:sz w:val="18"/>
                <w:szCs w:val="18"/>
              </w:rPr>
              <w:t>N2青西二路工程河景路交叉口20m</w:t>
            </w:r>
          </w:p>
        </w:tc>
        <w:tc>
          <w:tcPr>
            <w:tcW w:w="1657" w:type="dxa"/>
            <w:vAlign w:val="center"/>
          </w:tcPr>
          <w:p w14:paraId="7FF89462">
            <w:pPr>
              <w:spacing w:line="240" w:lineRule="auto"/>
              <w:jc w:val="center"/>
              <w:rPr>
                <w:sz w:val="18"/>
                <w:szCs w:val="18"/>
              </w:rPr>
            </w:pPr>
            <w:r>
              <w:rPr>
                <w:sz w:val="18"/>
                <w:szCs w:val="18"/>
              </w:rPr>
              <w:t>2026.08.13</w:t>
            </w:r>
          </w:p>
          <w:p w14:paraId="7E6177D9">
            <w:pPr>
              <w:spacing w:line="240" w:lineRule="auto"/>
              <w:jc w:val="center"/>
              <w:rPr>
                <w:sz w:val="18"/>
                <w:szCs w:val="18"/>
              </w:rPr>
            </w:pPr>
            <w:r>
              <w:rPr>
                <w:sz w:val="18"/>
                <w:szCs w:val="18"/>
              </w:rPr>
              <w:t>17:48~18:08</w:t>
            </w:r>
          </w:p>
        </w:tc>
        <w:tc>
          <w:tcPr>
            <w:tcW w:w="1658" w:type="dxa"/>
            <w:vAlign w:val="center"/>
          </w:tcPr>
          <w:p w14:paraId="7C3FB099">
            <w:pPr>
              <w:spacing w:line="240" w:lineRule="auto"/>
              <w:jc w:val="center"/>
              <w:rPr>
                <w:sz w:val="18"/>
                <w:szCs w:val="18"/>
              </w:rPr>
            </w:pPr>
            <w:r>
              <w:rPr>
                <w:sz w:val="18"/>
                <w:szCs w:val="18"/>
              </w:rPr>
              <w:t>20</w:t>
            </w:r>
          </w:p>
        </w:tc>
        <w:tc>
          <w:tcPr>
            <w:tcW w:w="1658" w:type="dxa"/>
            <w:vAlign w:val="center"/>
          </w:tcPr>
          <w:p w14:paraId="3266C5A9">
            <w:pPr>
              <w:spacing w:line="240" w:lineRule="auto"/>
              <w:jc w:val="center"/>
              <w:rPr>
                <w:sz w:val="18"/>
                <w:szCs w:val="18"/>
              </w:rPr>
            </w:pPr>
            <w:r>
              <w:rPr>
                <w:sz w:val="18"/>
                <w:szCs w:val="18"/>
              </w:rPr>
              <w:t>124</w:t>
            </w:r>
          </w:p>
        </w:tc>
      </w:tr>
      <w:tr w14:paraId="03F579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015" w:type="dxa"/>
            <w:vMerge w:val="continue"/>
            <w:vAlign w:val="center"/>
          </w:tcPr>
          <w:p w14:paraId="0BBEC3C5">
            <w:pPr>
              <w:spacing w:line="240" w:lineRule="auto"/>
              <w:jc w:val="center"/>
              <w:rPr>
                <w:sz w:val="18"/>
                <w:szCs w:val="18"/>
              </w:rPr>
            </w:pPr>
          </w:p>
        </w:tc>
        <w:tc>
          <w:tcPr>
            <w:tcW w:w="2299" w:type="dxa"/>
            <w:vMerge w:val="continue"/>
            <w:vAlign w:val="center"/>
          </w:tcPr>
          <w:p w14:paraId="30692121">
            <w:pPr>
              <w:spacing w:line="240" w:lineRule="auto"/>
              <w:jc w:val="center"/>
              <w:rPr>
                <w:sz w:val="18"/>
                <w:szCs w:val="18"/>
              </w:rPr>
            </w:pPr>
          </w:p>
        </w:tc>
        <w:tc>
          <w:tcPr>
            <w:tcW w:w="1657" w:type="dxa"/>
            <w:vAlign w:val="center"/>
          </w:tcPr>
          <w:p w14:paraId="4C28AA2E">
            <w:pPr>
              <w:spacing w:line="240" w:lineRule="auto"/>
              <w:jc w:val="center"/>
              <w:rPr>
                <w:sz w:val="18"/>
                <w:szCs w:val="18"/>
              </w:rPr>
            </w:pPr>
            <w:r>
              <w:rPr>
                <w:sz w:val="18"/>
                <w:szCs w:val="18"/>
              </w:rPr>
              <w:t>2026.08.13</w:t>
            </w:r>
          </w:p>
          <w:p w14:paraId="4F159395">
            <w:pPr>
              <w:spacing w:line="240" w:lineRule="auto"/>
              <w:jc w:val="center"/>
              <w:rPr>
                <w:sz w:val="18"/>
                <w:szCs w:val="18"/>
              </w:rPr>
            </w:pPr>
            <w:r>
              <w:rPr>
                <w:sz w:val="18"/>
                <w:szCs w:val="18"/>
              </w:rPr>
              <w:t>22:31~22:51</w:t>
            </w:r>
          </w:p>
        </w:tc>
        <w:tc>
          <w:tcPr>
            <w:tcW w:w="1658" w:type="dxa"/>
            <w:vAlign w:val="center"/>
          </w:tcPr>
          <w:p w14:paraId="09CB920D">
            <w:pPr>
              <w:spacing w:line="240" w:lineRule="auto"/>
              <w:jc w:val="center"/>
              <w:rPr>
                <w:sz w:val="18"/>
                <w:szCs w:val="18"/>
              </w:rPr>
            </w:pPr>
            <w:r>
              <w:rPr>
                <w:sz w:val="18"/>
                <w:szCs w:val="18"/>
              </w:rPr>
              <w:t>10</w:t>
            </w:r>
          </w:p>
        </w:tc>
        <w:tc>
          <w:tcPr>
            <w:tcW w:w="1658" w:type="dxa"/>
            <w:vAlign w:val="center"/>
          </w:tcPr>
          <w:p w14:paraId="61AEA4CF">
            <w:pPr>
              <w:spacing w:line="240" w:lineRule="auto"/>
              <w:jc w:val="center"/>
              <w:rPr>
                <w:sz w:val="18"/>
                <w:szCs w:val="18"/>
              </w:rPr>
            </w:pPr>
            <w:r>
              <w:rPr>
                <w:sz w:val="18"/>
                <w:szCs w:val="18"/>
              </w:rPr>
              <w:t>34</w:t>
            </w:r>
          </w:p>
        </w:tc>
      </w:tr>
    </w:tbl>
    <w:p w14:paraId="36D746FC">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w:t>
      </w:r>
      <w:r>
        <w:rPr>
          <w:color w:val="000000"/>
          <w:kern w:val="0"/>
          <w:szCs w:val="21"/>
        </w:rPr>
        <w:t>4</w:t>
      </w:r>
      <w:r>
        <w:rPr>
          <w:rFonts w:ascii="宋体" w:hAnsi="宋体"/>
          <w:color w:val="000000"/>
          <w:kern w:val="0"/>
          <w:szCs w:val="21"/>
        </w:rPr>
        <w:t>）沿线声环境现状评价</w:t>
      </w:r>
    </w:p>
    <w:p w14:paraId="05AB3670">
      <w:pPr>
        <w:widowControl/>
        <w:kinsoku w:val="0"/>
        <w:autoSpaceDE w:val="0"/>
        <w:autoSpaceDN w:val="0"/>
        <w:ind w:firstLine="420" w:firstLineChars="200"/>
        <w:jc w:val="left"/>
        <w:textAlignment w:val="baseline"/>
        <w:rPr>
          <w:rFonts w:hint="eastAsia" w:ascii="宋体" w:hAnsi="宋体"/>
          <w:color w:val="000000"/>
          <w:kern w:val="0"/>
          <w:szCs w:val="21"/>
        </w:rPr>
      </w:pPr>
      <w:r>
        <w:rPr>
          <w:rFonts w:hint="eastAsia" w:ascii="宋体" w:hAnsi="宋体"/>
          <w:color w:val="000000"/>
          <w:kern w:val="0"/>
          <w:szCs w:val="21"/>
        </w:rPr>
        <w:t>根据监测结果，本次监测的</w:t>
      </w:r>
      <w:r>
        <w:rPr>
          <w:rFonts w:hint="eastAsia"/>
          <w:color w:val="000000"/>
          <w:kern w:val="0"/>
          <w:szCs w:val="21"/>
        </w:rPr>
        <w:t>2</w:t>
      </w:r>
      <w:r>
        <w:rPr>
          <w:rFonts w:hint="eastAsia" w:ascii="宋体" w:hAnsi="宋体"/>
          <w:color w:val="000000"/>
          <w:kern w:val="0"/>
          <w:szCs w:val="21"/>
        </w:rPr>
        <w:t>个点位昼间、夜间声环境质量现状值均满足《声环境质量标准》（</w:t>
      </w:r>
      <w:r>
        <w:rPr>
          <w:rFonts w:hint="eastAsia"/>
          <w:color w:val="000000"/>
          <w:kern w:val="0"/>
          <w:szCs w:val="21"/>
        </w:rPr>
        <w:t>GB 3096</w:t>
      </w:r>
      <w:r>
        <w:rPr>
          <w:rFonts w:hint="eastAsia" w:ascii="宋体" w:hAnsi="宋体"/>
          <w:color w:val="000000"/>
          <w:kern w:val="0"/>
          <w:szCs w:val="21"/>
        </w:rPr>
        <w:t>—</w:t>
      </w:r>
      <w:r>
        <w:rPr>
          <w:rFonts w:hint="eastAsia"/>
          <w:color w:val="000000"/>
          <w:kern w:val="0"/>
          <w:szCs w:val="21"/>
        </w:rPr>
        <w:t>2008</w:t>
      </w:r>
      <w:r>
        <w:rPr>
          <w:rFonts w:hint="eastAsia" w:ascii="宋体" w:hAnsi="宋体"/>
          <w:color w:val="000000"/>
          <w:kern w:val="0"/>
          <w:szCs w:val="21"/>
        </w:rPr>
        <w:t>）相应类别标准限值要求。其中，</w:t>
      </w:r>
      <w:r>
        <w:rPr>
          <w:rFonts w:hint="eastAsia"/>
          <w:color w:val="000000"/>
          <w:kern w:val="0"/>
          <w:szCs w:val="21"/>
        </w:rPr>
        <w:t>N1</w:t>
      </w:r>
      <w:r>
        <w:rPr>
          <w:rFonts w:hint="eastAsia" w:ascii="宋体" w:hAnsi="宋体"/>
          <w:color w:val="000000"/>
          <w:kern w:val="0"/>
          <w:szCs w:val="21"/>
        </w:rPr>
        <w:t>属于</w:t>
      </w:r>
      <w:r>
        <w:rPr>
          <w:rFonts w:hint="eastAsia"/>
          <w:color w:val="000000"/>
          <w:kern w:val="0"/>
          <w:szCs w:val="21"/>
        </w:rPr>
        <w:t>2</w:t>
      </w:r>
      <w:r>
        <w:rPr>
          <w:rFonts w:hint="eastAsia" w:ascii="宋体" w:hAnsi="宋体"/>
          <w:color w:val="000000"/>
          <w:kern w:val="0"/>
          <w:szCs w:val="21"/>
        </w:rPr>
        <w:t>类声功能区，执行</w:t>
      </w:r>
      <w:r>
        <w:rPr>
          <w:rFonts w:hint="eastAsia"/>
          <w:color w:val="000000"/>
          <w:kern w:val="0"/>
          <w:szCs w:val="21"/>
        </w:rPr>
        <w:t>2</w:t>
      </w:r>
      <w:r>
        <w:rPr>
          <w:rFonts w:hint="eastAsia" w:ascii="宋体" w:hAnsi="宋体"/>
          <w:color w:val="000000"/>
          <w:kern w:val="0"/>
          <w:szCs w:val="21"/>
        </w:rPr>
        <w:t>类标准；</w:t>
      </w:r>
      <w:r>
        <w:rPr>
          <w:rFonts w:hint="eastAsia"/>
          <w:color w:val="000000"/>
          <w:kern w:val="0"/>
          <w:szCs w:val="21"/>
        </w:rPr>
        <w:t>N2</w:t>
      </w:r>
      <w:r>
        <w:rPr>
          <w:rFonts w:hint="eastAsia" w:ascii="宋体" w:hAnsi="宋体"/>
          <w:color w:val="000000"/>
          <w:kern w:val="0"/>
          <w:szCs w:val="21"/>
        </w:rPr>
        <w:t>距离南侧河景路约</w:t>
      </w:r>
      <w:r>
        <w:rPr>
          <w:rFonts w:hint="eastAsia"/>
          <w:color w:val="000000"/>
          <w:kern w:val="0"/>
          <w:szCs w:val="21"/>
        </w:rPr>
        <w:t>20m</w:t>
      </w:r>
      <w:r>
        <w:rPr>
          <w:rFonts w:hint="eastAsia" w:ascii="宋体" w:hAnsi="宋体"/>
          <w:color w:val="000000"/>
          <w:kern w:val="0"/>
          <w:szCs w:val="21"/>
        </w:rPr>
        <w:t>，应当执行</w:t>
      </w:r>
      <w:r>
        <w:rPr>
          <w:rFonts w:hint="eastAsia"/>
          <w:color w:val="000000"/>
          <w:kern w:val="0"/>
          <w:szCs w:val="21"/>
        </w:rPr>
        <w:t>4a</w:t>
      </w:r>
      <w:r>
        <w:rPr>
          <w:rFonts w:hint="eastAsia" w:ascii="宋体" w:hAnsi="宋体"/>
          <w:color w:val="000000"/>
          <w:kern w:val="0"/>
          <w:szCs w:val="21"/>
        </w:rPr>
        <w:t>类标准，但是目标现状受河景路交通噪声影响，</w:t>
      </w:r>
      <w:r>
        <w:rPr>
          <w:rFonts w:ascii="宋体" w:hAnsi="宋体"/>
          <w:color w:val="000000"/>
          <w:kern w:val="0"/>
          <w:szCs w:val="21"/>
        </w:rPr>
        <w:t>其中以夜间噪声更为明显，</w:t>
      </w:r>
      <w:r>
        <w:rPr>
          <w:rFonts w:hint="eastAsia" w:ascii="宋体" w:hAnsi="宋体"/>
          <w:color w:val="000000"/>
          <w:kern w:val="0"/>
          <w:szCs w:val="21"/>
        </w:rPr>
        <w:t>最大声有级超标</w:t>
      </w:r>
      <w:r>
        <w:rPr>
          <w:rFonts w:ascii="宋体" w:hAnsi="宋体"/>
          <w:color w:val="000000"/>
          <w:kern w:val="0"/>
          <w:szCs w:val="21"/>
        </w:rPr>
        <w:t>但是整体</w:t>
      </w:r>
      <w:r>
        <w:rPr>
          <w:rFonts w:hint="eastAsia" w:ascii="宋体" w:hAnsi="宋体"/>
          <w:color w:val="000000"/>
          <w:kern w:val="0"/>
          <w:szCs w:val="21"/>
        </w:rPr>
        <w:t>等效声级</w:t>
      </w:r>
      <w:r>
        <w:rPr>
          <w:rFonts w:ascii="宋体" w:hAnsi="宋体"/>
          <w:color w:val="000000"/>
          <w:kern w:val="0"/>
          <w:szCs w:val="21"/>
        </w:rPr>
        <w:t>依然可以满足声环境标准限值</w:t>
      </w:r>
      <w:r>
        <w:rPr>
          <w:rFonts w:hint="eastAsia" w:ascii="宋体" w:hAnsi="宋体"/>
          <w:color w:val="000000"/>
          <w:kern w:val="0"/>
          <w:szCs w:val="21"/>
        </w:rPr>
        <w:t>（夜间</w:t>
      </w:r>
      <w:r>
        <w:rPr>
          <w:rFonts w:hint="eastAsia"/>
          <w:color w:val="000000"/>
          <w:kern w:val="0"/>
          <w:szCs w:val="21"/>
        </w:rPr>
        <w:t>55 dB(A)</w:t>
      </w:r>
      <w:r>
        <w:rPr>
          <w:rFonts w:hint="eastAsia" w:ascii="宋体" w:hAnsi="宋体"/>
          <w:color w:val="000000"/>
          <w:kern w:val="0"/>
          <w:szCs w:val="21"/>
        </w:rPr>
        <w:t>）</w:t>
      </w:r>
      <w:r>
        <w:rPr>
          <w:rFonts w:ascii="宋体" w:hAnsi="宋体"/>
          <w:color w:val="000000"/>
          <w:kern w:val="0"/>
          <w:szCs w:val="21"/>
        </w:rPr>
        <w:t>要求。</w:t>
      </w:r>
    </w:p>
    <w:p w14:paraId="3372F553">
      <w:pPr>
        <w:widowControl/>
        <w:kinsoku w:val="0"/>
        <w:autoSpaceDE w:val="0"/>
        <w:autoSpaceDN w:val="0"/>
        <w:ind w:firstLine="420" w:firstLineChars="200"/>
        <w:jc w:val="left"/>
        <w:textAlignment w:val="baseline"/>
        <w:rPr>
          <w:rFonts w:ascii="Arial" w:hAnsi="Arial" w:cs="Arial"/>
          <w:color w:val="000000"/>
          <w:kern w:val="0"/>
          <w:szCs w:val="21"/>
        </w:rPr>
      </w:pPr>
      <w:r>
        <w:rPr>
          <w:rFonts w:hint="eastAsia" w:ascii="宋体" w:hAnsi="宋体"/>
          <w:color w:val="000000"/>
          <w:kern w:val="0"/>
          <w:szCs w:val="21"/>
        </w:rPr>
        <w:t>总体来看，评价范围内各声环境敏感目标现状声环境质量良好，且工程区整体环境较为相似，数据可作为本项目声环境影响评价的背景值基础。</w:t>
      </w:r>
    </w:p>
    <w:p w14:paraId="5C3A4226">
      <w:pPr>
        <w:widowControl/>
        <w:adjustRightInd/>
        <w:snapToGrid/>
        <w:spacing w:beforeAutospacing="1" w:line="240" w:lineRule="auto"/>
        <w:jc w:val="left"/>
        <w:rPr>
          <w:rFonts w:ascii="Arial" w:hAnsi="Arial" w:cs="Arial"/>
          <w:color w:val="000000"/>
          <w:kern w:val="0"/>
          <w:szCs w:val="21"/>
          <w:highlight w:val="yellow"/>
        </w:rPr>
        <w:sectPr>
          <w:pgSz w:w="11907" w:h="16839"/>
          <w:pgMar w:top="1440" w:right="1800" w:bottom="1440" w:left="1800" w:header="851" w:footer="967" w:gutter="0"/>
          <w:cols w:space="720" w:num="1"/>
          <w:docGrid w:type="lines" w:linePitch="312" w:charSpace="0"/>
        </w:sectPr>
      </w:pPr>
    </w:p>
    <w:p w14:paraId="42089335">
      <w:pPr>
        <w:outlineLvl w:val="1"/>
        <w:rPr>
          <w:b/>
          <w:bCs/>
          <w:szCs w:val="21"/>
        </w:rPr>
      </w:pPr>
      <w:r>
        <w:rPr>
          <w:rFonts w:ascii="宋体" w:hAnsi="宋体"/>
          <w:b/>
          <w:bCs/>
          <w:szCs w:val="21"/>
        </w:rPr>
        <w:t>四、声环境影响评价</w:t>
      </w:r>
    </w:p>
    <w:p w14:paraId="5E042534">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1</w:t>
      </w:r>
      <w:r>
        <w:rPr>
          <w:rFonts w:ascii="宋体" w:hAnsi="宋体"/>
          <w:b/>
          <w:bCs/>
          <w:color w:val="000000"/>
          <w:kern w:val="0"/>
          <w:szCs w:val="21"/>
        </w:rPr>
        <w:t>、施工期声环境影响评价</w:t>
      </w:r>
    </w:p>
    <w:p w14:paraId="60142AA2">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本工程施工期噪声主要来源于施工机械和施工车辆，产生噪声污染的施工过程主要包括前期迁改、土建施工以及施工运输。在前期动迁改中，一般使用推土机、钻孔机、装载机等；路基路面等土建施工中主要</w:t>
      </w:r>
      <w:r>
        <w:rPr>
          <w:rFonts w:hint="eastAsia" w:ascii="宋体" w:hAnsi="宋体"/>
          <w:color w:val="000000"/>
          <w:kern w:val="0"/>
          <w:szCs w:val="21"/>
        </w:rPr>
        <w:t>使用</w:t>
      </w:r>
      <w:r>
        <w:rPr>
          <w:rFonts w:ascii="宋体" w:hAnsi="宋体"/>
          <w:color w:val="000000"/>
          <w:kern w:val="0"/>
          <w:szCs w:val="21"/>
        </w:rPr>
        <w:t>挖掘机、压路机、摊铺机、混凝土泵等；在整个施工过程中，需要使用自卸式运输车辆等。</w:t>
      </w:r>
    </w:p>
    <w:p w14:paraId="00B47487">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）施工期声环境影响分析</w:t>
      </w:r>
    </w:p>
    <w:p w14:paraId="25E71332">
      <w:pPr>
        <w:widowControl/>
        <w:kinsoku w:val="0"/>
        <w:autoSpaceDE w:val="0"/>
        <w:autoSpaceDN w:val="0"/>
        <w:ind w:firstLine="420" w:firstLineChars="200"/>
        <w:textAlignment w:val="baseline"/>
        <w:rPr>
          <w:color w:val="000000"/>
          <w:kern w:val="0"/>
          <w:szCs w:val="21"/>
        </w:rPr>
      </w:pPr>
      <w:r>
        <w:rPr>
          <w:rFonts w:hint="eastAsia" w:ascii="Cambria Math" w:hAnsi="Cambria Math" w:cs="Arial"/>
          <w:color w:val="000000"/>
          <w:kern w:val="0"/>
          <w:szCs w:val="21"/>
        </w:rPr>
        <w:t>①</w:t>
      </w:r>
      <w:r>
        <w:rPr>
          <w:rFonts w:ascii="宋体" w:hAnsi="宋体"/>
          <w:color w:val="000000"/>
          <w:kern w:val="0"/>
          <w:szCs w:val="21"/>
        </w:rPr>
        <w:t>施工噪声源强</w:t>
      </w:r>
    </w:p>
    <w:p w14:paraId="2CD828D4">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筑路施工期噪声可分为机械噪声、施工作业噪声和运输车辆噪声，机械噪声由施工机械造成如挖土机械、推土机、打桩机等多为点声源；</w:t>
      </w:r>
      <w:bookmarkStart w:id="89" w:name="OLE_LINK43"/>
      <w:bookmarkEnd w:id="89"/>
      <w:bookmarkStart w:id="90" w:name="OLE_LINK38"/>
      <w:r>
        <w:rPr>
          <w:rFonts w:ascii="宋体" w:hAnsi="宋体"/>
          <w:color w:val="000000"/>
          <w:kern w:val="0"/>
          <w:szCs w:val="21"/>
        </w:rPr>
        <w:t>施工作业噪声主要指一些零星的敲打声、装卸车辆的撞击声等，多为瞬间噪声；</w:t>
      </w:r>
      <w:bookmarkEnd w:id="90"/>
      <w:r>
        <w:rPr>
          <w:rFonts w:ascii="宋体" w:hAnsi="宋体"/>
          <w:color w:val="000000"/>
          <w:kern w:val="0"/>
          <w:szCs w:val="21"/>
        </w:rPr>
        <w:t>运输车辆的噪声属于交通噪声，在这些施工噪声中对声环境影响最大的是机械噪声，往往施工作业噪声比较容易造成纠纷。</w:t>
      </w:r>
    </w:p>
    <w:p w14:paraId="045E8CED">
      <w:pPr>
        <w:widowControl/>
        <w:kinsoku w:val="0"/>
        <w:autoSpaceDE w:val="0"/>
        <w:autoSpaceDN w:val="0"/>
        <w:ind w:firstLine="420" w:firstLineChars="200"/>
        <w:jc w:val="left"/>
        <w:textAlignment w:val="baseline"/>
        <w:rPr>
          <w:color w:val="000000"/>
          <w:kern w:val="0"/>
          <w:szCs w:val="21"/>
        </w:rPr>
      </w:pPr>
      <w:r>
        <w:rPr>
          <w:rFonts w:hint="eastAsia" w:ascii="Cambria Math" w:hAnsi="Cambria Math" w:cs="Arial"/>
          <w:color w:val="000000"/>
          <w:kern w:val="0"/>
          <w:szCs w:val="21"/>
        </w:rPr>
        <w:t>②</w:t>
      </w:r>
      <w:r>
        <w:rPr>
          <w:rFonts w:ascii="宋体" w:hAnsi="宋体"/>
          <w:color w:val="000000"/>
          <w:kern w:val="0"/>
          <w:szCs w:val="21"/>
        </w:rPr>
        <w:t>施工期机械噪声影响分析</w:t>
      </w:r>
    </w:p>
    <w:p w14:paraId="3A5102DD">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单台施工机械噪声随距离的衰减计算公式如下：</w:t>
      </w:r>
    </w:p>
    <w:p w14:paraId="50E7BCEA">
      <w:pPr>
        <w:widowControl/>
        <w:kinsoku w:val="0"/>
        <w:autoSpaceDE w:val="0"/>
        <w:autoSpaceDN w:val="0"/>
        <w:jc w:val="center"/>
        <w:textAlignment w:val="baseline"/>
        <w:rPr>
          <w:color w:val="000000"/>
          <w:kern w:val="0"/>
          <w:sz w:val="24"/>
          <w:szCs w:val="24"/>
        </w:rPr>
      </w:pPr>
      <w:r>
        <w:rPr>
          <w:rFonts w:ascii="Arial" w:hAnsi="Arial" w:cs="Arial"/>
          <w:color w:val="000000"/>
          <w:kern w:val="0"/>
          <w:szCs w:val="21"/>
        </w:rPr>
        <w:drawing>
          <wp:inline distT="0" distB="0" distL="0" distR="0">
            <wp:extent cx="1561465" cy="440055"/>
            <wp:effectExtent l="0" t="0" r="63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42"/>
                    <a:srcRect/>
                    <a:stretch>
                      <a:fillRect/>
                    </a:stretch>
                  </pic:blipFill>
                  <pic:spPr>
                    <a:xfrm>
                      <a:off x="0" y="0"/>
                      <a:ext cx="1561465" cy="440055"/>
                    </a:xfrm>
                    <a:prstGeom prst="rect">
                      <a:avLst/>
                    </a:prstGeom>
                    <a:noFill/>
                    <a:ln>
                      <a:noFill/>
                    </a:ln>
                  </pic:spPr>
                </pic:pic>
              </a:graphicData>
            </a:graphic>
          </wp:inline>
        </w:drawing>
      </w:r>
      <w:r>
        <w:rPr>
          <w:color w:val="000000"/>
          <w:kern w:val="0"/>
          <w:sz w:val="24"/>
          <w:szCs w:val="24"/>
        </w:rPr>
        <w:t xml:space="preserve"> </w:t>
      </w:r>
    </w:p>
    <w:p w14:paraId="654734AC">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式中：</w:t>
      </w:r>
    </w:p>
    <w:p w14:paraId="77BC9840">
      <w:pPr>
        <w:widowControl/>
        <w:kinsoku w:val="0"/>
        <w:autoSpaceDE w:val="0"/>
        <w:autoSpaceDN w:val="0"/>
        <w:ind w:firstLine="2975" w:firstLineChars="1417"/>
        <w:jc w:val="left"/>
        <w:textAlignment w:val="baseline"/>
        <w:rPr>
          <w:color w:val="000000"/>
          <w:kern w:val="0"/>
          <w:szCs w:val="21"/>
        </w:rPr>
      </w:pPr>
      <w:r>
        <w:rPr>
          <w:i/>
          <w:color w:val="000000"/>
          <w:kern w:val="0"/>
          <w:szCs w:val="21"/>
        </w:rPr>
        <w:t>LA</w:t>
      </w:r>
      <w:r>
        <w:rPr>
          <w:rFonts w:ascii="宋体" w:hAnsi="宋体"/>
          <w:i/>
          <w:color w:val="000000"/>
          <w:kern w:val="0"/>
          <w:szCs w:val="21"/>
        </w:rPr>
        <w:t>（</w:t>
      </w:r>
      <w:r>
        <w:rPr>
          <w:i/>
          <w:color w:val="000000"/>
          <w:kern w:val="0"/>
          <w:szCs w:val="21"/>
        </w:rPr>
        <w:t>r</w:t>
      </w:r>
      <w:r>
        <w:rPr>
          <w:rFonts w:ascii="宋体" w:hAnsi="宋体"/>
          <w:i/>
          <w:color w:val="000000"/>
          <w:kern w:val="0"/>
          <w:szCs w:val="21"/>
        </w:rPr>
        <w:t>）</w:t>
      </w:r>
      <w:r>
        <w:rPr>
          <w:color w:val="000000"/>
          <w:kern w:val="0"/>
          <w:szCs w:val="21"/>
        </w:rPr>
        <w:t>——</w:t>
      </w:r>
      <w:r>
        <w:rPr>
          <w:rFonts w:ascii="宋体" w:hAnsi="宋体"/>
          <w:color w:val="000000"/>
          <w:kern w:val="0"/>
          <w:szCs w:val="21"/>
        </w:rPr>
        <w:t>预测点的噪声值；</w:t>
      </w:r>
    </w:p>
    <w:p w14:paraId="1929D36D">
      <w:pPr>
        <w:widowControl/>
        <w:kinsoku w:val="0"/>
        <w:autoSpaceDE w:val="0"/>
        <w:autoSpaceDN w:val="0"/>
        <w:ind w:firstLine="2975" w:firstLineChars="1417"/>
        <w:jc w:val="left"/>
        <w:textAlignment w:val="baseline"/>
        <w:rPr>
          <w:color w:val="000000"/>
          <w:kern w:val="0"/>
          <w:szCs w:val="21"/>
        </w:rPr>
      </w:pPr>
      <w:r>
        <w:rPr>
          <w:i/>
          <w:color w:val="000000"/>
          <w:kern w:val="0"/>
          <w:szCs w:val="21"/>
        </w:rPr>
        <w:t>LA</w:t>
      </w:r>
      <w:r>
        <w:rPr>
          <w:rFonts w:ascii="宋体" w:hAnsi="宋体"/>
          <w:i/>
          <w:color w:val="000000"/>
          <w:kern w:val="0"/>
          <w:szCs w:val="21"/>
        </w:rPr>
        <w:t>（</w:t>
      </w:r>
      <w:r>
        <w:rPr>
          <w:i/>
          <w:color w:val="000000"/>
          <w:kern w:val="0"/>
          <w:szCs w:val="21"/>
        </w:rPr>
        <w:t>r</w:t>
      </w:r>
      <w:r>
        <w:rPr>
          <w:i/>
          <w:color w:val="000000"/>
          <w:kern w:val="0"/>
          <w:szCs w:val="21"/>
          <w:vertAlign w:val="subscript"/>
        </w:rPr>
        <w:t>0</w:t>
      </w:r>
      <w:r>
        <w:rPr>
          <w:rFonts w:ascii="宋体" w:hAnsi="宋体"/>
          <w:i/>
          <w:color w:val="000000"/>
          <w:kern w:val="0"/>
          <w:szCs w:val="21"/>
        </w:rPr>
        <w:t>）</w:t>
      </w:r>
      <w:r>
        <w:rPr>
          <w:color w:val="000000"/>
          <w:kern w:val="0"/>
          <w:szCs w:val="21"/>
        </w:rPr>
        <w:t>——</w:t>
      </w:r>
      <w:r>
        <w:rPr>
          <w:rFonts w:ascii="宋体" w:hAnsi="宋体"/>
          <w:color w:val="000000"/>
          <w:kern w:val="0"/>
          <w:szCs w:val="21"/>
        </w:rPr>
        <w:t>参照点的噪声值；</w:t>
      </w:r>
    </w:p>
    <w:p w14:paraId="74A0BFF5">
      <w:pPr>
        <w:widowControl/>
        <w:kinsoku w:val="0"/>
        <w:autoSpaceDE w:val="0"/>
        <w:autoSpaceDN w:val="0"/>
        <w:ind w:firstLine="2975" w:firstLineChars="1417"/>
        <w:jc w:val="left"/>
        <w:textAlignment w:val="baseline"/>
        <w:rPr>
          <w:color w:val="000000"/>
          <w:kern w:val="0"/>
          <w:szCs w:val="21"/>
        </w:rPr>
      </w:pPr>
      <w:r>
        <w:rPr>
          <w:i/>
          <w:color w:val="000000"/>
          <w:kern w:val="0"/>
          <w:szCs w:val="21"/>
        </w:rPr>
        <w:t>r</w:t>
      </w:r>
      <w:r>
        <w:rPr>
          <w:rFonts w:ascii="宋体" w:hAnsi="宋体"/>
          <w:i/>
          <w:color w:val="000000"/>
          <w:kern w:val="0"/>
          <w:szCs w:val="21"/>
        </w:rPr>
        <w:t>、</w:t>
      </w:r>
      <w:r>
        <w:rPr>
          <w:i/>
          <w:color w:val="000000"/>
          <w:kern w:val="0"/>
          <w:szCs w:val="21"/>
        </w:rPr>
        <w:t>r</w:t>
      </w:r>
      <w:r>
        <w:rPr>
          <w:i/>
          <w:color w:val="000000"/>
          <w:kern w:val="0"/>
          <w:szCs w:val="21"/>
          <w:vertAlign w:val="subscript"/>
        </w:rPr>
        <w:t>0</w:t>
      </w:r>
      <w:r>
        <w:rPr>
          <w:color w:val="000000"/>
          <w:kern w:val="0"/>
          <w:szCs w:val="21"/>
        </w:rPr>
        <w:t>——</w:t>
      </w:r>
      <w:r>
        <w:rPr>
          <w:rFonts w:ascii="宋体" w:hAnsi="宋体"/>
          <w:color w:val="000000"/>
          <w:kern w:val="0"/>
          <w:szCs w:val="21"/>
        </w:rPr>
        <w:t>预测点、参照点到噪声源处的距离。</w:t>
      </w:r>
    </w:p>
    <w:p w14:paraId="55F0FF28">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主要施工机械的噪声随距离的衰减情况见下表。</w:t>
      </w:r>
    </w:p>
    <w:p w14:paraId="197983C4">
      <w:pPr>
        <w:pStyle w:val="9"/>
        <w:spacing w:before="156"/>
      </w:pPr>
      <w:r>
        <w:t xml:space="preserve">专项表 </w:t>
      </w:r>
      <w:r>
        <w:fldChar w:fldCharType="begin"/>
      </w:r>
      <w:r>
        <w:instrText xml:space="preserve"> SEQ 专项表 \* ARABIC </w:instrText>
      </w:r>
      <w:r>
        <w:fldChar w:fldCharType="separate"/>
      </w:r>
      <w:r>
        <w:t>13</w:t>
      </w:r>
      <w:r>
        <w:fldChar w:fldCharType="end"/>
      </w:r>
      <w:r>
        <w:t>常用筑路机械设备噪声级随距离的衰减变化情况单位：dB</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911"/>
        <w:gridCol w:w="715"/>
        <w:gridCol w:w="771"/>
        <w:gridCol w:w="718"/>
        <w:gridCol w:w="783"/>
        <w:gridCol w:w="776"/>
        <w:gridCol w:w="825"/>
        <w:gridCol w:w="731"/>
        <w:gridCol w:w="731"/>
      </w:tblGrid>
      <w:tr w14:paraId="529EF3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Merge w:val="restart"/>
            <w:vAlign w:val="center"/>
          </w:tcPr>
          <w:p w14:paraId="65C0AEB2">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声源</w:t>
            </w:r>
          </w:p>
        </w:tc>
        <w:tc>
          <w:tcPr>
            <w:tcW w:w="6760" w:type="dxa"/>
            <w:gridSpan w:val="9"/>
            <w:vAlign w:val="center"/>
          </w:tcPr>
          <w:p w14:paraId="2BFAE138">
            <w:pPr>
              <w:widowControl/>
              <w:kinsoku w:val="0"/>
              <w:autoSpaceDE w:val="0"/>
              <w:autoSpaceDN w:val="0"/>
              <w:spacing w:line="240" w:lineRule="auto"/>
              <w:contextualSpacing/>
              <w:jc w:val="center"/>
              <w:textAlignment w:val="baseline"/>
              <w:rPr>
                <w:b/>
                <w:color w:val="000000"/>
                <w:kern w:val="0"/>
                <w:sz w:val="18"/>
                <w:szCs w:val="18"/>
              </w:rPr>
            </w:pPr>
            <w:r>
              <w:rPr>
                <w:rFonts w:ascii="宋体" w:hAnsi="宋体"/>
                <w:b/>
                <w:color w:val="000000"/>
                <w:kern w:val="0"/>
                <w:sz w:val="18"/>
                <w:szCs w:val="18"/>
              </w:rPr>
              <w:t>离机械设备距离（</w:t>
            </w:r>
            <w:r>
              <w:rPr>
                <w:b/>
                <w:color w:val="000000"/>
                <w:kern w:val="0"/>
                <w:sz w:val="18"/>
                <w:szCs w:val="18"/>
              </w:rPr>
              <w:t>m</w:t>
            </w:r>
            <w:r>
              <w:rPr>
                <w:rFonts w:ascii="宋体" w:hAnsi="宋体"/>
                <w:b/>
                <w:color w:val="000000"/>
                <w:kern w:val="0"/>
                <w:sz w:val="18"/>
                <w:szCs w:val="18"/>
              </w:rPr>
              <w:t>）</w:t>
            </w:r>
          </w:p>
        </w:tc>
      </w:tr>
      <w:tr w14:paraId="1A49D6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Merge w:val="continue"/>
            <w:vAlign w:val="center"/>
          </w:tcPr>
          <w:p w14:paraId="36E37996">
            <w:pPr>
              <w:widowControl/>
              <w:adjustRightInd/>
              <w:snapToGrid/>
              <w:spacing w:line="240" w:lineRule="auto"/>
              <w:jc w:val="left"/>
              <w:rPr>
                <w:b/>
                <w:color w:val="000000"/>
                <w:kern w:val="0"/>
                <w:sz w:val="18"/>
                <w:szCs w:val="18"/>
              </w:rPr>
            </w:pPr>
          </w:p>
        </w:tc>
        <w:tc>
          <w:tcPr>
            <w:tcW w:w="885" w:type="dxa"/>
            <w:vAlign w:val="center"/>
          </w:tcPr>
          <w:p w14:paraId="4FBC3579">
            <w:pPr>
              <w:widowControl/>
              <w:kinsoku w:val="0"/>
              <w:autoSpaceDE w:val="0"/>
              <w:autoSpaceDN w:val="0"/>
              <w:spacing w:line="240" w:lineRule="auto"/>
              <w:contextualSpacing/>
              <w:jc w:val="center"/>
              <w:textAlignment w:val="baseline"/>
              <w:rPr>
                <w:b/>
                <w:bCs/>
                <w:color w:val="000000"/>
                <w:kern w:val="0"/>
                <w:sz w:val="18"/>
                <w:szCs w:val="18"/>
              </w:rPr>
            </w:pPr>
            <w:r>
              <w:rPr>
                <w:b/>
                <w:bCs/>
                <w:color w:val="000000"/>
                <w:kern w:val="0"/>
                <w:sz w:val="18"/>
                <w:szCs w:val="18"/>
              </w:rPr>
              <w:t>10</w:t>
            </w:r>
          </w:p>
        </w:tc>
        <w:tc>
          <w:tcPr>
            <w:tcW w:w="694" w:type="dxa"/>
            <w:vAlign w:val="center"/>
          </w:tcPr>
          <w:p w14:paraId="025C55D4">
            <w:pPr>
              <w:widowControl/>
              <w:kinsoku w:val="0"/>
              <w:autoSpaceDE w:val="0"/>
              <w:autoSpaceDN w:val="0"/>
              <w:spacing w:line="240" w:lineRule="auto"/>
              <w:contextualSpacing/>
              <w:jc w:val="center"/>
              <w:textAlignment w:val="baseline"/>
              <w:rPr>
                <w:b/>
                <w:bCs/>
                <w:color w:val="000000"/>
                <w:kern w:val="0"/>
                <w:sz w:val="18"/>
                <w:szCs w:val="18"/>
              </w:rPr>
            </w:pPr>
            <w:r>
              <w:rPr>
                <w:b/>
                <w:bCs/>
                <w:color w:val="000000"/>
                <w:kern w:val="0"/>
                <w:sz w:val="18"/>
                <w:szCs w:val="18"/>
              </w:rPr>
              <w:t>20</w:t>
            </w:r>
          </w:p>
        </w:tc>
        <w:tc>
          <w:tcPr>
            <w:tcW w:w="749" w:type="dxa"/>
            <w:vAlign w:val="center"/>
          </w:tcPr>
          <w:p w14:paraId="2B554497">
            <w:pPr>
              <w:widowControl/>
              <w:kinsoku w:val="0"/>
              <w:autoSpaceDE w:val="0"/>
              <w:autoSpaceDN w:val="0"/>
              <w:spacing w:line="240" w:lineRule="auto"/>
              <w:contextualSpacing/>
              <w:jc w:val="center"/>
              <w:textAlignment w:val="baseline"/>
              <w:rPr>
                <w:b/>
                <w:bCs/>
                <w:color w:val="000000"/>
                <w:kern w:val="0"/>
                <w:sz w:val="18"/>
                <w:szCs w:val="18"/>
              </w:rPr>
            </w:pPr>
            <w:r>
              <w:rPr>
                <w:b/>
                <w:bCs/>
                <w:color w:val="000000"/>
                <w:kern w:val="0"/>
                <w:sz w:val="18"/>
                <w:szCs w:val="18"/>
              </w:rPr>
              <w:t>40</w:t>
            </w:r>
          </w:p>
        </w:tc>
        <w:tc>
          <w:tcPr>
            <w:tcW w:w="697" w:type="dxa"/>
            <w:vAlign w:val="center"/>
          </w:tcPr>
          <w:p w14:paraId="01350C89">
            <w:pPr>
              <w:widowControl/>
              <w:kinsoku w:val="0"/>
              <w:autoSpaceDE w:val="0"/>
              <w:autoSpaceDN w:val="0"/>
              <w:spacing w:line="240" w:lineRule="auto"/>
              <w:contextualSpacing/>
              <w:jc w:val="center"/>
              <w:textAlignment w:val="baseline"/>
              <w:rPr>
                <w:b/>
                <w:bCs/>
                <w:color w:val="000000"/>
                <w:kern w:val="0"/>
                <w:sz w:val="18"/>
                <w:szCs w:val="18"/>
              </w:rPr>
            </w:pPr>
            <w:r>
              <w:rPr>
                <w:b/>
                <w:bCs/>
                <w:color w:val="000000"/>
                <w:kern w:val="0"/>
                <w:sz w:val="18"/>
                <w:szCs w:val="18"/>
              </w:rPr>
              <w:t>50</w:t>
            </w:r>
          </w:p>
        </w:tc>
        <w:tc>
          <w:tcPr>
            <w:tcW w:w="760" w:type="dxa"/>
            <w:vAlign w:val="center"/>
          </w:tcPr>
          <w:p w14:paraId="6B2E864F">
            <w:pPr>
              <w:widowControl/>
              <w:kinsoku w:val="0"/>
              <w:autoSpaceDE w:val="0"/>
              <w:autoSpaceDN w:val="0"/>
              <w:spacing w:line="240" w:lineRule="auto"/>
              <w:contextualSpacing/>
              <w:jc w:val="center"/>
              <w:textAlignment w:val="baseline"/>
              <w:rPr>
                <w:b/>
                <w:bCs/>
                <w:color w:val="000000"/>
                <w:kern w:val="0"/>
                <w:sz w:val="18"/>
                <w:szCs w:val="18"/>
              </w:rPr>
            </w:pPr>
            <w:r>
              <w:rPr>
                <w:rFonts w:hint="eastAsia"/>
                <w:b/>
                <w:bCs/>
                <w:color w:val="000000"/>
                <w:kern w:val="0"/>
                <w:sz w:val="18"/>
                <w:szCs w:val="18"/>
              </w:rPr>
              <w:t>60</w:t>
            </w:r>
          </w:p>
        </w:tc>
        <w:tc>
          <w:tcPr>
            <w:tcW w:w="754" w:type="dxa"/>
            <w:vAlign w:val="center"/>
          </w:tcPr>
          <w:p w14:paraId="72E37AC9">
            <w:pPr>
              <w:widowControl/>
              <w:kinsoku w:val="0"/>
              <w:autoSpaceDE w:val="0"/>
              <w:autoSpaceDN w:val="0"/>
              <w:spacing w:line="240" w:lineRule="auto"/>
              <w:contextualSpacing/>
              <w:jc w:val="center"/>
              <w:textAlignment w:val="baseline"/>
              <w:rPr>
                <w:b/>
                <w:bCs/>
                <w:color w:val="000000"/>
                <w:kern w:val="0"/>
                <w:sz w:val="18"/>
                <w:szCs w:val="18"/>
              </w:rPr>
            </w:pPr>
            <w:r>
              <w:rPr>
                <w:b/>
                <w:bCs/>
                <w:color w:val="000000"/>
                <w:kern w:val="0"/>
                <w:sz w:val="18"/>
                <w:szCs w:val="18"/>
              </w:rPr>
              <w:t>80</w:t>
            </w:r>
          </w:p>
        </w:tc>
        <w:tc>
          <w:tcPr>
            <w:tcW w:w="801" w:type="dxa"/>
            <w:vAlign w:val="center"/>
          </w:tcPr>
          <w:p w14:paraId="1BEA6097">
            <w:pPr>
              <w:widowControl/>
              <w:kinsoku w:val="0"/>
              <w:autoSpaceDE w:val="0"/>
              <w:autoSpaceDN w:val="0"/>
              <w:spacing w:line="240" w:lineRule="auto"/>
              <w:contextualSpacing/>
              <w:jc w:val="center"/>
              <w:textAlignment w:val="baseline"/>
              <w:rPr>
                <w:b/>
                <w:bCs/>
                <w:color w:val="000000"/>
                <w:kern w:val="0"/>
                <w:sz w:val="18"/>
                <w:szCs w:val="18"/>
              </w:rPr>
            </w:pPr>
            <w:r>
              <w:rPr>
                <w:b/>
                <w:bCs/>
                <w:color w:val="000000"/>
                <w:kern w:val="0"/>
                <w:sz w:val="18"/>
                <w:szCs w:val="18"/>
              </w:rPr>
              <w:t>100</w:t>
            </w:r>
          </w:p>
        </w:tc>
        <w:tc>
          <w:tcPr>
            <w:tcW w:w="710" w:type="dxa"/>
            <w:vAlign w:val="center"/>
          </w:tcPr>
          <w:p w14:paraId="0988462B">
            <w:pPr>
              <w:widowControl/>
              <w:kinsoku w:val="0"/>
              <w:autoSpaceDE w:val="0"/>
              <w:autoSpaceDN w:val="0"/>
              <w:spacing w:line="240" w:lineRule="auto"/>
              <w:contextualSpacing/>
              <w:jc w:val="center"/>
              <w:textAlignment w:val="baseline"/>
              <w:rPr>
                <w:b/>
                <w:bCs/>
                <w:color w:val="000000"/>
                <w:kern w:val="0"/>
                <w:sz w:val="18"/>
                <w:szCs w:val="18"/>
              </w:rPr>
            </w:pPr>
            <w:r>
              <w:rPr>
                <w:b/>
                <w:bCs/>
                <w:color w:val="000000"/>
                <w:kern w:val="0"/>
                <w:sz w:val="18"/>
                <w:szCs w:val="18"/>
              </w:rPr>
              <w:t>150</w:t>
            </w:r>
          </w:p>
        </w:tc>
        <w:tc>
          <w:tcPr>
            <w:tcW w:w="710" w:type="dxa"/>
            <w:vAlign w:val="center"/>
          </w:tcPr>
          <w:p w14:paraId="4BF893C5">
            <w:pPr>
              <w:widowControl/>
              <w:kinsoku w:val="0"/>
              <w:autoSpaceDE w:val="0"/>
              <w:autoSpaceDN w:val="0"/>
              <w:spacing w:line="240" w:lineRule="auto"/>
              <w:contextualSpacing/>
              <w:jc w:val="center"/>
              <w:textAlignment w:val="baseline"/>
              <w:rPr>
                <w:b/>
                <w:bCs/>
                <w:color w:val="000000"/>
                <w:kern w:val="0"/>
                <w:sz w:val="18"/>
                <w:szCs w:val="18"/>
              </w:rPr>
            </w:pPr>
            <w:r>
              <w:rPr>
                <w:b/>
                <w:bCs/>
                <w:color w:val="000000"/>
                <w:kern w:val="0"/>
                <w:sz w:val="18"/>
                <w:szCs w:val="18"/>
              </w:rPr>
              <w:t>200</w:t>
            </w:r>
          </w:p>
        </w:tc>
      </w:tr>
      <w:tr w14:paraId="5700BE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1DBA3985">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载重机</w:t>
            </w:r>
          </w:p>
        </w:tc>
        <w:tc>
          <w:tcPr>
            <w:tcW w:w="885" w:type="dxa"/>
            <w:vAlign w:val="center"/>
          </w:tcPr>
          <w:p w14:paraId="0C3D74E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84</w:t>
            </w:r>
          </w:p>
        </w:tc>
        <w:tc>
          <w:tcPr>
            <w:tcW w:w="694" w:type="dxa"/>
            <w:vAlign w:val="center"/>
          </w:tcPr>
          <w:p w14:paraId="2CBB076E">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78</w:t>
            </w:r>
          </w:p>
        </w:tc>
        <w:tc>
          <w:tcPr>
            <w:tcW w:w="749" w:type="dxa"/>
            <w:vAlign w:val="center"/>
          </w:tcPr>
          <w:p w14:paraId="1E18D94F">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72</w:t>
            </w:r>
          </w:p>
        </w:tc>
        <w:tc>
          <w:tcPr>
            <w:tcW w:w="697" w:type="dxa"/>
            <w:vAlign w:val="center"/>
          </w:tcPr>
          <w:p w14:paraId="3A55771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70</w:t>
            </w:r>
          </w:p>
        </w:tc>
        <w:tc>
          <w:tcPr>
            <w:tcW w:w="760" w:type="dxa"/>
            <w:vAlign w:val="center"/>
          </w:tcPr>
          <w:p w14:paraId="7BC609C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68</w:t>
            </w:r>
          </w:p>
        </w:tc>
        <w:tc>
          <w:tcPr>
            <w:tcW w:w="754" w:type="dxa"/>
            <w:vAlign w:val="center"/>
          </w:tcPr>
          <w:p w14:paraId="7771735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66</w:t>
            </w:r>
          </w:p>
        </w:tc>
        <w:tc>
          <w:tcPr>
            <w:tcW w:w="801" w:type="dxa"/>
            <w:vAlign w:val="center"/>
          </w:tcPr>
          <w:p w14:paraId="56623029">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64</w:t>
            </w:r>
          </w:p>
        </w:tc>
        <w:tc>
          <w:tcPr>
            <w:tcW w:w="710" w:type="dxa"/>
            <w:vAlign w:val="center"/>
          </w:tcPr>
          <w:p w14:paraId="0FDE7C39">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60</w:t>
            </w:r>
            <w:r>
              <w:rPr>
                <w:color w:val="000000"/>
                <w:kern w:val="0"/>
                <w:sz w:val="18"/>
                <w:szCs w:val="18"/>
              </w:rPr>
              <w:t>.5</w:t>
            </w:r>
          </w:p>
        </w:tc>
        <w:tc>
          <w:tcPr>
            <w:tcW w:w="710" w:type="dxa"/>
            <w:vAlign w:val="center"/>
          </w:tcPr>
          <w:p w14:paraId="65505CB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58</w:t>
            </w:r>
          </w:p>
        </w:tc>
      </w:tr>
      <w:tr w14:paraId="528E56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52A4A9C5">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商砼搅拌车</w:t>
            </w:r>
          </w:p>
        </w:tc>
        <w:tc>
          <w:tcPr>
            <w:tcW w:w="885" w:type="dxa"/>
            <w:vAlign w:val="center"/>
          </w:tcPr>
          <w:p w14:paraId="1211C89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84</w:t>
            </w:r>
          </w:p>
        </w:tc>
        <w:tc>
          <w:tcPr>
            <w:tcW w:w="694" w:type="dxa"/>
            <w:vAlign w:val="center"/>
          </w:tcPr>
          <w:p w14:paraId="4F499436">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78</w:t>
            </w:r>
          </w:p>
        </w:tc>
        <w:tc>
          <w:tcPr>
            <w:tcW w:w="749" w:type="dxa"/>
            <w:vAlign w:val="center"/>
          </w:tcPr>
          <w:p w14:paraId="54C7B468">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72</w:t>
            </w:r>
          </w:p>
        </w:tc>
        <w:tc>
          <w:tcPr>
            <w:tcW w:w="697" w:type="dxa"/>
            <w:vAlign w:val="center"/>
          </w:tcPr>
          <w:p w14:paraId="0C60DCF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70</w:t>
            </w:r>
          </w:p>
        </w:tc>
        <w:tc>
          <w:tcPr>
            <w:tcW w:w="760" w:type="dxa"/>
            <w:vAlign w:val="center"/>
          </w:tcPr>
          <w:p w14:paraId="7B0A9C4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68</w:t>
            </w:r>
          </w:p>
        </w:tc>
        <w:tc>
          <w:tcPr>
            <w:tcW w:w="754" w:type="dxa"/>
            <w:vAlign w:val="center"/>
          </w:tcPr>
          <w:p w14:paraId="6119CC0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66</w:t>
            </w:r>
          </w:p>
        </w:tc>
        <w:tc>
          <w:tcPr>
            <w:tcW w:w="801" w:type="dxa"/>
            <w:vAlign w:val="center"/>
          </w:tcPr>
          <w:p w14:paraId="35B5BF3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64</w:t>
            </w:r>
          </w:p>
        </w:tc>
        <w:tc>
          <w:tcPr>
            <w:tcW w:w="710" w:type="dxa"/>
            <w:vAlign w:val="center"/>
          </w:tcPr>
          <w:p w14:paraId="1874F560">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60</w:t>
            </w:r>
            <w:r>
              <w:rPr>
                <w:color w:val="000000"/>
                <w:kern w:val="0"/>
                <w:sz w:val="18"/>
                <w:szCs w:val="18"/>
              </w:rPr>
              <w:t>.5</w:t>
            </w:r>
          </w:p>
        </w:tc>
        <w:tc>
          <w:tcPr>
            <w:tcW w:w="710" w:type="dxa"/>
            <w:vAlign w:val="center"/>
          </w:tcPr>
          <w:p w14:paraId="59F6224A">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58</w:t>
            </w:r>
          </w:p>
        </w:tc>
      </w:tr>
      <w:tr w14:paraId="44B198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3998B893">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钻孔机</w:t>
            </w:r>
          </w:p>
        </w:tc>
        <w:tc>
          <w:tcPr>
            <w:tcW w:w="885" w:type="dxa"/>
            <w:vAlign w:val="center"/>
          </w:tcPr>
          <w:p w14:paraId="32EDBDF7">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89</w:t>
            </w:r>
          </w:p>
        </w:tc>
        <w:tc>
          <w:tcPr>
            <w:tcW w:w="694" w:type="dxa"/>
            <w:vAlign w:val="center"/>
          </w:tcPr>
          <w:p w14:paraId="659D690C">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83</w:t>
            </w:r>
          </w:p>
        </w:tc>
        <w:tc>
          <w:tcPr>
            <w:tcW w:w="749" w:type="dxa"/>
            <w:vAlign w:val="center"/>
          </w:tcPr>
          <w:p w14:paraId="62D3D3AA">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77</w:t>
            </w:r>
          </w:p>
        </w:tc>
        <w:tc>
          <w:tcPr>
            <w:tcW w:w="697" w:type="dxa"/>
            <w:vAlign w:val="center"/>
          </w:tcPr>
          <w:p w14:paraId="736C069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75</w:t>
            </w:r>
          </w:p>
        </w:tc>
        <w:tc>
          <w:tcPr>
            <w:tcW w:w="760" w:type="dxa"/>
            <w:vAlign w:val="center"/>
          </w:tcPr>
          <w:p w14:paraId="12457C9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73</w:t>
            </w:r>
          </w:p>
        </w:tc>
        <w:tc>
          <w:tcPr>
            <w:tcW w:w="754" w:type="dxa"/>
            <w:vAlign w:val="center"/>
          </w:tcPr>
          <w:p w14:paraId="0EC872A9">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71</w:t>
            </w:r>
          </w:p>
        </w:tc>
        <w:tc>
          <w:tcPr>
            <w:tcW w:w="801" w:type="dxa"/>
            <w:vAlign w:val="center"/>
          </w:tcPr>
          <w:p w14:paraId="3AE388C6">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69</w:t>
            </w:r>
          </w:p>
        </w:tc>
        <w:tc>
          <w:tcPr>
            <w:tcW w:w="710" w:type="dxa"/>
            <w:vAlign w:val="center"/>
          </w:tcPr>
          <w:p w14:paraId="4602E36E">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65</w:t>
            </w:r>
          </w:p>
        </w:tc>
        <w:tc>
          <w:tcPr>
            <w:tcW w:w="710" w:type="dxa"/>
            <w:vAlign w:val="center"/>
          </w:tcPr>
          <w:p w14:paraId="77DBC21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63</w:t>
            </w:r>
          </w:p>
        </w:tc>
      </w:tr>
      <w:tr w14:paraId="5206BF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6C398C8A">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推土机</w:t>
            </w:r>
          </w:p>
        </w:tc>
        <w:tc>
          <w:tcPr>
            <w:tcW w:w="885" w:type="dxa"/>
            <w:vAlign w:val="center"/>
          </w:tcPr>
          <w:p w14:paraId="76D1767A">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80</w:t>
            </w:r>
          </w:p>
        </w:tc>
        <w:tc>
          <w:tcPr>
            <w:tcW w:w="694" w:type="dxa"/>
            <w:vAlign w:val="center"/>
          </w:tcPr>
          <w:p w14:paraId="5CBB195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74</w:t>
            </w:r>
          </w:p>
        </w:tc>
        <w:tc>
          <w:tcPr>
            <w:tcW w:w="749" w:type="dxa"/>
            <w:vAlign w:val="center"/>
          </w:tcPr>
          <w:p w14:paraId="10C7CB3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68</w:t>
            </w:r>
          </w:p>
        </w:tc>
        <w:tc>
          <w:tcPr>
            <w:tcW w:w="697" w:type="dxa"/>
            <w:vAlign w:val="center"/>
          </w:tcPr>
          <w:p w14:paraId="5BCACD3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66</w:t>
            </w:r>
          </w:p>
        </w:tc>
        <w:tc>
          <w:tcPr>
            <w:tcW w:w="760" w:type="dxa"/>
            <w:vAlign w:val="center"/>
          </w:tcPr>
          <w:p w14:paraId="0E2EF26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64</w:t>
            </w:r>
          </w:p>
        </w:tc>
        <w:tc>
          <w:tcPr>
            <w:tcW w:w="754" w:type="dxa"/>
            <w:vAlign w:val="center"/>
          </w:tcPr>
          <w:p w14:paraId="3A16EB5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62</w:t>
            </w:r>
          </w:p>
        </w:tc>
        <w:tc>
          <w:tcPr>
            <w:tcW w:w="801" w:type="dxa"/>
            <w:vAlign w:val="center"/>
          </w:tcPr>
          <w:p w14:paraId="1C4FDEE6">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60</w:t>
            </w:r>
          </w:p>
        </w:tc>
        <w:tc>
          <w:tcPr>
            <w:tcW w:w="710" w:type="dxa"/>
            <w:vAlign w:val="center"/>
          </w:tcPr>
          <w:p w14:paraId="3F26D30E">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56.5</w:t>
            </w:r>
          </w:p>
        </w:tc>
        <w:tc>
          <w:tcPr>
            <w:tcW w:w="710" w:type="dxa"/>
            <w:vAlign w:val="center"/>
          </w:tcPr>
          <w:p w14:paraId="4F7B8E16">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54</w:t>
            </w:r>
          </w:p>
        </w:tc>
      </w:tr>
      <w:tr w14:paraId="39B40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67E2063B">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铺路机</w:t>
            </w:r>
          </w:p>
        </w:tc>
        <w:tc>
          <w:tcPr>
            <w:tcW w:w="885" w:type="dxa"/>
            <w:vAlign w:val="center"/>
          </w:tcPr>
          <w:p w14:paraId="6515E53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81</w:t>
            </w:r>
          </w:p>
        </w:tc>
        <w:tc>
          <w:tcPr>
            <w:tcW w:w="694" w:type="dxa"/>
            <w:vAlign w:val="center"/>
          </w:tcPr>
          <w:p w14:paraId="140667E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75</w:t>
            </w:r>
          </w:p>
        </w:tc>
        <w:tc>
          <w:tcPr>
            <w:tcW w:w="749" w:type="dxa"/>
            <w:vAlign w:val="center"/>
          </w:tcPr>
          <w:p w14:paraId="54CC3632">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69</w:t>
            </w:r>
          </w:p>
        </w:tc>
        <w:tc>
          <w:tcPr>
            <w:tcW w:w="697" w:type="dxa"/>
            <w:vAlign w:val="center"/>
          </w:tcPr>
          <w:p w14:paraId="394807F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67</w:t>
            </w:r>
          </w:p>
        </w:tc>
        <w:tc>
          <w:tcPr>
            <w:tcW w:w="760" w:type="dxa"/>
            <w:vAlign w:val="center"/>
          </w:tcPr>
          <w:p w14:paraId="1B67370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65</w:t>
            </w:r>
          </w:p>
        </w:tc>
        <w:tc>
          <w:tcPr>
            <w:tcW w:w="754" w:type="dxa"/>
            <w:vAlign w:val="center"/>
          </w:tcPr>
          <w:p w14:paraId="61B5B66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63</w:t>
            </w:r>
          </w:p>
        </w:tc>
        <w:tc>
          <w:tcPr>
            <w:tcW w:w="801" w:type="dxa"/>
            <w:vAlign w:val="center"/>
          </w:tcPr>
          <w:p w14:paraId="13240249">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61</w:t>
            </w:r>
          </w:p>
        </w:tc>
        <w:tc>
          <w:tcPr>
            <w:tcW w:w="710" w:type="dxa"/>
            <w:vAlign w:val="center"/>
          </w:tcPr>
          <w:p w14:paraId="67787512">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57.5</w:t>
            </w:r>
          </w:p>
        </w:tc>
        <w:tc>
          <w:tcPr>
            <w:tcW w:w="710" w:type="dxa"/>
            <w:vAlign w:val="center"/>
          </w:tcPr>
          <w:p w14:paraId="1330297B">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55</w:t>
            </w:r>
          </w:p>
        </w:tc>
      </w:tr>
      <w:tr w14:paraId="26699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49F3C808">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压路机</w:t>
            </w:r>
          </w:p>
        </w:tc>
        <w:tc>
          <w:tcPr>
            <w:tcW w:w="885" w:type="dxa"/>
            <w:vAlign w:val="center"/>
          </w:tcPr>
          <w:p w14:paraId="284DC289">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84</w:t>
            </w:r>
          </w:p>
        </w:tc>
        <w:tc>
          <w:tcPr>
            <w:tcW w:w="694" w:type="dxa"/>
            <w:vAlign w:val="center"/>
          </w:tcPr>
          <w:p w14:paraId="4A2CBD4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78</w:t>
            </w:r>
          </w:p>
        </w:tc>
        <w:tc>
          <w:tcPr>
            <w:tcW w:w="749" w:type="dxa"/>
            <w:vAlign w:val="center"/>
          </w:tcPr>
          <w:p w14:paraId="316595B9">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72</w:t>
            </w:r>
          </w:p>
        </w:tc>
        <w:tc>
          <w:tcPr>
            <w:tcW w:w="697" w:type="dxa"/>
            <w:vAlign w:val="center"/>
          </w:tcPr>
          <w:p w14:paraId="212DA0A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70</w:t>
            </w:r>
          </w:p>
        </w:tc>
        <w:tc>
          <w:tcPr>
            <w:tcW w:w="760" w:type="dxa"/>
            <w:vAlign w:val="center"/>
          </w:tcPr>
          <w:p w14:paraId="6E788386">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68</w:t>
            </w:r>
          </w:p>
        </w:tc>
        <w:tc>
          <w:tcPr>
            <w:tcW w:w="754" w:type="dxa"/>
            <w:vAlign w:val="center"/>
          </w:tcPr>
          <w:p w14:paraId="205AA49E">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66</w:t>
            </w:r>
          </w:p>
        </w:tc>
        <w:tc>
          <w:tcPr>
            <w:tcW w:w="801" w:type="dxa"/>
            <w:vAlign w:val="center"/>
          </w:tcPr>
          <w:p w14:paraId="5069FB78">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64</w:t>
            </w:r>
          </w:p>
        </w:tc>
        <w:tc>
          <w:tcPr>
            <w:tcW w:w="710" w:type="dxa"/>
            <w:vAlign w:val="center"/>
          </w:tcPr>
          <w:p w14:paraId="0CE0FBAB">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60</w:t>
            </w:r>
            <w:r>
              <w:rPr>
                <w:color w:val="000000"/>
                <w:kern w:val="0"/>
                <w:sz w:val="18"/>
                <w:szCs w:val="18"/>
              </w:rPr>
              <w:t>.5</w:t>
            </w:r>
          </w:p>
        </w:tc>
        <w:tc>
          <w:tcPr>
            <w:tcW w:w="710" w:type="dxa"/>
            <w:vAlign w:val="center"/>
          </w:tcPr>
          <w:p w14:paraId="2E23972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58</w:t>
            </w:r>
          </w:p>
        </w:tc>
      </w:tr>
      <w:tr w14:paraId="68A490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3BA5620C">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挖掘机</w:t>
            </w:r>
          </w:p>
        </w:tc>
        <w:tc>
          <w:tcPr>
            <w:tcW w:w="885" w:type="dxa"/>
            <w:vAlign w:val="center"/>
          </w:tcPr>
          <w:p w14:paraId="52AF282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83</w:t>
            </w:r>
          </w:p>
        </w:tc>
        <w:tc>
          <w:tcPr>
            <w:tcW w:w="694" w:type="dxa"/>
            <w:vAlign w:val="center"/>
          </w:tcPr>
          <w:p w14:paraId="24A3FFB7">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77</w:t>
            </w:r>
          </w:p>
        </w:tc>
        <w:tc>
          <w:tcPr>
            <w:tcW w:w="749" w:type="dxa"/>
            <w:vAlign w:val="center"/>
          </w:tcPr>
          <w:p w14:paraId="4295D50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71</w:t>
            </w:r>
          </w:p>
        </w:tc>
        <w:tc>
          <w:tcPr>
            <w:tcW w:w="697" w:type="dxa"/>
            <w:vAlign w:val="center"/>
          </w:tcPr>
          <w:p w14:paraId="0919C38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69</w:t>
            </w:r>
          </w:p>
        </w:tc>
        <w:tc>
          <w:tcPr>
            <w:tcW w:w="760" w:type="dxa"/>
            <w:vAlign w:val="center"/>
          </w:tcPr>
          <w:p w14:paraId="3C6E2FE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67</w:t>
            </w:r>
          </w:p>
        </w:tc>
        <w:tc>
          <w:tcPr>
            <w:tcW w:w="754" w:type="dxa"/>
            <w:vAlign w:val="center"/>
          </w:tcPr>
          <w:p w14:paraId="6A2FF34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65</w:t>
            </w:r>
          </w:p>
        </w:tc>
        <w:tc>
          <w:tcPr>
            <w:tcW w:w="801" w:type="dxa"/>
            <w:vAlign w:val="center"/>
          </w:tcPr>
          <w:p w14:paraId="4C93CBA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63</w:t>
            </w:r>
          </w:p>
        </w:tc>
        <w:tc>
          <w:tcPr>
            <w:tcW w:w="710" w:type="dxa"/>
            <w:vAlign w:val="center"/>
          </w:tcPr>
          <w:p w14:paraId="5CF85A46">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59.5</w:t>
            </w:r>
          </w:p>
        </w:tc>
        <w:tc>
          <w:tcPr>
            <w:tcW w:w="710" w:type="dxa"/>
            <w:vAlign w:val="center"/>
          </w:tcPr>
          <w:p w14:paraId="3EAC076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55</w:t>
            </w:r>
          </w:p>
        </w:tc>
      </w:tr>
      <w:tr w14:paraId="4CC2A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218D4717">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泥浆泵</w:t>
            </w:r>
          </w:p>
        </w:tc>
        <w:tc>
          <w:tcPr>
            <w:tcW w:w="885" w:type="dxa"/>
            <w:vAlign w:val="center"/>
          </w:tcPr>
          <w:p w14:paraId="43ED112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79</w:t>
            </w:r>
          </w:p>
        </w:tc>
        <w:tc>
          <w:tcPr>
            <w:tcW w:w="694" w:type="dxa"/>
            <w:vAlign w:val="center"/>
          </w:tcPr>
          <w:p w14:paraId="78B6D54F">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73</w:t>
            </w:r>
          </w:p>
        </w:tc>
        <w:tc>
          <w:tcPr>
            <w:tcW w:w="749" w:type="dxa"/>
            <w:vAlign w:val="center"/>
          </w:tcPr>
          <w:p w14:paraId="19222BFE">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67</w:t>
            </w:r>
          </w:p>
        </w:tc>
        <w:tc>
          <w:tcPr>
            <w:tcW w:w="697" w:type="dxa"/>
            <w:vAlign w:val="center"/>
          </w:tcPr>
          <w:p w14:paraId="4EFE5F27">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65</w:t>
            </w:r>
          </w:p>
        </w:tc>
        <w:tc>
          <w:tcPr>
            <w:tcW w:w="760" w:type="dxa"/>
            <w:vAlign w:val="center"/>
          </w:tcPr>
          <w:p w14:paraId="0F9537A2">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63.4</w:t>
            </w:r>
          </w:p>
        </w:tc>
        <w:tc>
          <w:tcPr>
            <w:tcW w:w="754" w:type="dxa"/>
            <w:vAlign w:val="center"/>
          </w:tcPr>
          <w:p w14:paraId="6A83FADF">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61</w:t>
            </w:r>
          </w:p>
        </w:tc>
        <w:tc>
          <w:tcPr>
            <w:tcW w:w="801" w:type="dxa"/>
            <w:vAlign w:val="center"/>
          </w:tcPr>
          <w:p w14:paraId="643C1F9E">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59</w:t>
            </w:r>
          </w:p>
        </w:tc>
        <w:tc>
          <w:tcPr>
            <w:tcW w:w="710" w:type="dxa"/>
            <w:vAlign w:val="center"/>
          </w:tcPr>
          <w:p w14:paraId="7195CBBC">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55.5</w:t>
            </w:r>
          </w:p>
        </w:tc>
        <w:tc>
          <w:tcPr>
            <w:tcW w:w="710" w:type="dxa"/>
            <w:vAlign w:val="center"/>
          </w:tcPr>
          <w:p w14:paraId="1AB5D54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53</w:t>
            </w:r>
          </w:p>
        </w:tc>
      </w:tr>
      <w:tr w14:paraId="4BFDD3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625CDA96">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混凝土输送</w:t>
            </w:r>
          </w:p>
        </w:tc>
        <w:tc>
          <w:tcPr>
            <w:tcW w:w="885" w:type="dxa"/>
            <w:vAlign w:val="center"/>
          </w:tcPr>
          <w:p w14:paraId="1F3A9CAA">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87</w:t>
            </w:r>
          </w:p>
        </w:tc>
        <w:tc>
          <w:tcPr>
            <w:tcW w:w="694" w:type="dxa"/>
            <w:vAlign w:val="center"/>
          </w:tcPr>
          <w:p w14:paraId="2698D603">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81</w:t>
            </w:r>
          </w:p>
        </w:tc>
        <w:tc>
          <w:tcPr>
            <w:tcW w:w="749" w:type="dxa"/>
            <w:vAlign w:val="center"/>
          </w:tcPr>
          <w:p w14:paraId="50570A07">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76.4</w:t>
            </w:r>
          </w:p>
        </w:tc>
        <w:tc>
          <w:tcPr>
            <w:tcW w:w="697" w:type="dxa"/>
            <w:vAlign w:val="center"/>
          </w:tcPr>
          <w:p w14:paraId="36289FB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72.7</w:t>
            </w:r>
          </w:p>
        </w:tc>
        <w:tc>
          <w:tcPr>
            <w:tcW w:w="760" w:type="dxa"/>
            <w:vAlign w:val="center"/>
          </w:tcPr>
          <w:p w14:paraId="4F82E10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68.7</w:t>
            </w:r>
          </w:p>
        </w:tc>
        <w:tc>
          <w:tcPr>
            <w:tcW w:w="754" w:type="dxa"/>
            <w:vAlign w:val="center"/>
          </w:tcPr>
          <w:p w14:paraId="6B009FD0">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65.2</w:t>
            </w:r>
          </w:p>
        </w:tc>
        <w:tc>
          <w:tcPr>
            <w:tcW w:w="801" w:type="dxa"/>
            <w:vAlign w:val="center"/>
          </w:tcPr>
          <w:p w14:paraId="11FFE494">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63</w:t>
            </w:r>
          </w:p>
        </w:tc>
        <w:tc>
          <w:tcPr>
            <w:tcW w:w="710" w:type="dxa"/>
            <w:vAlign w:val="center"/>
          </w:tcPr>
          <w:p w14:paraId="20F0B88A">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58.2</w:t>
            </w:r>
          </w:p>
        </w:tc>
        <w:tc>
          <w:tcPr>
            <w:tcW w:w="710" w:type="dxa"/>
            <w:vAlign w:val="center"/>
          </w:tcPr>
          <w:p w14:paraId="4DE45781">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53.9</w:t>
            </w:r>
          </w:p>
        </w:tc>
      </w:tr>
      <w:tr w14:paraId="7AE251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517" w:type="dxa"/>
            <w:vAlign w:val="center"/>
          </w:tcPr>
          <w:p w14:paraId="63B0FEBB">
            <w:pPr>
              <w:widowControl/>
              <w:kinsoku w:val="0"/>
              <w:autoSpaceDE w:val="0"/>
              <w:autoSpaceDN w:val="0"/>
              <w:spacing w:line="240" w:lineRule="auto"/>
              <w:contextualSpacing/>
              <w:jc w:val="center"/>
              <w:textAlignment w:val="baseline"/>
              <w:rPr>
                <w:color w:val="000000"/>
                <w:kern w:val="0"/>
                <w:sz w:val="18"/>
                <w:szCs w:val="18"/>
              </w:rPr>
            </w:pPr>
            <w:r>
              <w:rPr>
                <w:rFonts w:ascii="宋体" w:hAnsi="宋体"/>
                <w:color w:val="000000"/>
                <w:kern w:val="0"/>
                <w:sz w:val="18"/>
                <w:szCs w:val="18"/>
              </w:rPr>
              <w:t>混凝土振捣器</w:t>
            </w:r>
          </w:p>
        </w:tc>
        <w:tc>
          <w:tcPr>
            <w:tcW w:w="885" w:type="dxa"/>
            <w:vAlign w:val="center"/>
          </w:tcPr>
          <w:p w14:paraId="18293C8E">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79.5</w:t>
            </w:r>
          </w:p>
        </w:tc>
        <w:tc>
          <w:tcPr>
            <w:tcW w:w="694" w:type="dxa"/>
            <w:vAlign w:val="center"/>
          </w:tcPr>
          <w:p w14:paraId="0104C74A">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73.5</w:t>
            </w:r>
          </w:p>
        </w:tc>
        <w:tc>
          <w:tcPr>
            <w:tcW w:w="749" w:type="dxa"/>
            <w:vAlign w:val="center"/>
          </w:tcPr>
          <w:p w14:paraId="2F5E2219">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68.9</w:t>
            </w:r>
          </w:p>
        </w:tc>
        <w:tc>
          <w:tcPr>
            <w:tcW w:w="697" w:type="dxa"/>
            <w:vAlign w:val="center"/>
          </w:tcPr>
          <w:p w14:paraId="494EE61C">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65.2</w:t>
            </w:r>
          </w:p>
        </w:tc>
        <w:tc>
          <w:tcPr>
            <w:tcW w:w="760" w:type="dxa"/>
            <w:vAlign w:val="center"/>
          </w:tcPr>
          <w:p w14:paraId="72DE9B05">
            <w:pPr>
              <w:widowControl/>
              <w:kinsoku w:val="0"/>
              <w:autoSpaceDE w:val="0"/>
              <w:autoSpaceDN w:val="0"/>
              <w:spacing w:line="240" w:lineRule="auto"/>
              <w:contextualSpacing/>
              <w:jc w:val="center"/>
              <w:textAlignment w:val="baseline"/>
              <w:rPr>
                <w:color w:val="000000"/>
                <w:kern w:val="0"/>
                <w:sz w:val="18"/>
                <w:szCs w:val="18"/>
              </w:rPr>
            </w:pPr>
            <w:r>
              <w:rPr>
                <w:rFonts w:hint="eastAsia"/>
                <w:color w:val="000000"/>
                <w:kern w:val="0"/>
                <w:sz w:val="18"/>
                <w:szCs w:val="18"/>
              </w:rPr>
              <w:t>60</w:t>
            </w:r>
            <w:r>
              <w:rPr>
                <w:color w:val="000000"/>
                <w:kern w:val="0"/>
                <w:sz w:val="18"/>
                <w:szCs w:val="18"/>
              </w:rPr>
              <w:t>.6</w:t>
            </w:r>
          </w:p>
        </w:tc>
        <w:tc>
          <w:tcPr>
            <w:tcW w:w="754" w:type="dxa"/>
            <w:vAlign w:val="center"/>
          </w:tcPr>
          <w:p w14:paraId="60EE050D">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57.7</w:t>
            </w:r>
          </w:p>
        </w:tc>
        <w:tc>
          <w:tcPr>
            <w:tcW w:w="801" w:type="dxa"/>
            <w:vAlign w:val="center"/>
          </w:tcPr>
          <w:p w14:paraId="2644B5D7">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55.5</w:t>
            </w:r>
          </w:p>
        </w:tc>
        <w:tc>
          <w:tcPr>
            <w:tcW w:w="710" w:type="dxa"/>
            <w:vAlign w:val="center"/>
          </w:tcPr>
          <w:p w14:paraId="3500C515">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50.7</w:t>
            </w:r>
          </w:p>
        </w:tc>
        <w:tc>
          <w:tcPr>
            <w:tcW w:w="710" w:type="dxa"/>
            <w:vAlign w:val="center"/>
          </w:tcPr>
          <w:p w14:paraId="79959782">
            <w:pPr>
              <w:widowControl/>
              <w:kinsoku w:val="0"/>
              <w:autoSpaceDE w:val="0"/>
              <w:autoSpaceDN w:val="0"/>
              <w:spacing w:line="240" w:lineRule="auto"/>
              <w:contextualSpacing/>
              <w:jc w:val="center"/>
              <w:textAlignment w:val="baseline"/>
              <w:rPr>
                <w:color w:val="000000"/>
                <w:kern w:val="0"/>
                <w:sz w:val="18"/>
                <w:szCs w:val="18"/>
              </w:rPr>
            </w:pPr>
            <w:r>
              <w:rPr>
                <w:color w:val="000000"/>
                <w:kern w:val="0"/>
                <w:sz w:val="18"/>
                <w:szCs w:val="18"/>
              </w:rPr>
              <w:t>46.4</w:t>
            </w:r>
          </w:p>
        </w:tc>
      </w:tr>
    </w:tbl>
    <w:p w14:paraId="574E74D0">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根据《建筑施工噪声排放标准》（</w:t>
      </w:r>
      <w:r>
        <w:rPr>
          <w:color w:val="000000"/>
          <w:kern w:val="0"/>
          <w:szCs w:val="21"/>
        </w:rPr>
        <w:t>GB12523-2025</w:t>
      </w:r>
      <w:r>
        <w:rPr>
          <w:rFonts w:ascii="宋体" w:hAnsi="宋体"/>
          <w:color w:val="000000"/>
          <w:kern w:val="0"/>
          <w:szCs w:val="21"/>
        </w:rPr>
        <w:t>）的规定，施工场界昼间的噪声限值为</w:t>
      </w:r>
      <w:r>
        <w:rPr>
          <w:color w:val="000000"/>
          <w:kern w:val="0"/>
          <w:szCs w:val="21"/>
        </w:rPr>
        <w:t>70dB</w:t>
      </w:r>
      <w:r>
        <w:rPr>
          <w:rFonts w:ascii="宋体" w:hAnsi="宋体"/>
          <w:color w:val="000000"/>
          <w:kern w:val="0"/>
          <w:szCs w:val="21"/>
        </w:rPr>
        <w:t>（</w:t>
      </w:r>
      <w:r>
        <w:rPr>
          <w:color w:val="000000"/>
          <w:kern w:val="0"/>
          <w:szCs w:val="21"/>
        </w:rPr>
        <w:t>A</w:t>
      </w:r>
      <w:r>
        <w:rPr>
          <w:rFonts w:ascii="宋体" w:hAnsi="宋体"/>
          <w:color w:val="000000"/>
          <w:kern w:val="0"/>
          <w:szCs w:val="21"/>
        </w:rPr>
        <w:t>），夜间限值为</w:t>
      </w:r>
      <w:r>
        <w:rPr>
          <w:color w:val="000000"/>
          <w:kern w:val="0"/>
          <w:szCs w:val="21"/>
        </w:rPr>
        <w:t>55dB</w:t>
      </w:r>
      <w:r>
        <w:rPr>
          <w:rFonts w:ascii="宋体" w:hAnsi="宋体"/>
          <w:color w:val="000000"/>
          <w:kern w:val="0"/>
          <w:szCs w:val="21"/>
        </w:rPr>
        <w:t>（</w:t>
      </w:r>
      <w:r>
        <w:rPr>
          <w:color w:val="000000"/>
          <w:kern w:val="0"/>
          <w:szCs w:val="21"/>
        </w:rPr>
        <w:t>A</w:t>
      </w:r>
      <w:r>
        <w:rPr>
          <w:rFonts w:ascii="宋体" w:hAnsi="宋体"/>
          <w:color w:val="000000"/>
          <w:kern w:val="0"/>
          <w:szCs w:val="21"/>
        </w:rPr>
        <w:t>），根据上面施工现场机械噪声影响的类比调查分析，在一般情况下，施工噪声昼间至少</w:t>
      </w:r>
      <w:r>
        <w:rPr>
          <w:color w:val="000000"/>
          <w:kern w:val="0"/>
          <w:szCs w:val="21"/>
        </w:rPr>
        <w:t>50m</w:t>
      </w:r>
      <w:r>
        <w:rPr>
          <w:rFonts w:ascii="宋体" w:hAnsi="宋体"/>
          <w:color w:val="000000"/>
          <w:kern w:val="0"/>
          <w:szCs w:val="21"/>
        </w:rPr>
        <w:t>外基本能达标，夜间则至少在</w:t>
      </w:r>
      <w:r>
        <w:rPr>
          <w:color w:val="000000"/>
          <w:kern w:val="0"/>
          <w:szCs w:val="21"/>
        </w:rPr>
        <w:t>200m</w:t>
      </w:r>
      <w:r>
        <w:rPr>
          <w:rFonts w:ascii="宋体" w:hAnsi="宋体"/>
          <w:color w:val="000000"/>
          <w:kern w:val="0"/>
          <w:szCs w:val="21"/>
        </w:rPr>
        <w:t>以外才能达标。因此，无论是昼间施工噪声还是夜间施工噪声均会给各敏感点造成一定的影响，特别是夜间施工噪声对周围敏感点影响较大，因此，除工程必须，并取得生态环境部门批准外，严禁在</w:t>
      </w:r>
      <w:r>
        <w:rPr>
          <w:color w:val="000000"/>
          <w:kern w:val="0"/>
          <w:szCs w:val="21"/>
        </w:rPr>
        <w:t>22:00</w:t>
      </w:r>
      <w:r>
        <w:rPr>
          <w:rFonts w:ascii="宋体" w:hAnsi="宋体"/>
          <w:color w:val="000000"/>
          <w:kern w:val="0"/>
          <w:szCs w:val="21"/>
        </w:rPr>
        <w:t>～</w:t>
      </w:r>
      <w:r>
        <w:rPr>
          <w:color w:val="000000"/>
          <w:kern w:val="0"/>
          <w:szCs w:val="21"/>
        </w:rPr>
        <w:t>6:00</w:t>
      </w:r>
      <w:r>
        <w:rPr>
          <w:rFonts w:ascii="宋体" w:hAnsi="宋体"/>
          <w:color w:val="000000"/>
          <w:kern w:val="0"/>
          <w:szCs w:val="21"/>
        </w:rPr>
        <w:t>期间施工。如要夜间施工，施工单位应当持所在地建设行政主管部门的施工意见书，向所在地生态环境部门申领夜间作业证明。同时，施工单位应当将夜间作业证明提前三日向附近居民公告，并按照夜间作业证明载明的作业时间、作业内容、作业方式以及避免或者减轻干扰附近居民正常生活的防范措施等要求进行施工。在施工期间必须按《建筑施工噪声排放标准》（</w:t>
      </w:r>
      <w:r>
        <w:rPr>
          <w:color w:val="000000"/>
          <w:kern w:val="0"/>
          <w:szCs w:val="21"/>
        </w:rPr>
        <w:t>GB12523-2025</w:t>
      </w:r>
      <w:r>
        <w:rPr>
          <w:rFonts w:ascii="宋体" w:hAnsi="宋体"/>
          <w:color w:val="000000"/>
          <w:kern w:val="0"/>
          <w:szCs w:val="21"/>
        </w:rPr>
        <w:t>）进行施工时间、施工噪声的控制。</w:t>
      </w:r>
    </w:p>
    <w:p w14:paraId="77E44113">
      <w:pPr>
        <w:widowControl/>
        <w:kinsoku w:val="0"/>
        <w:autoSpaceDE w:val="0"/>
        <w:autoSpaceDN w:val="0"/>
        <w:ind w:firstLine="420" w:firstLineChars="200"/>
        <w:textAlignment w:val="baseline"/>
        <w:rPr>
          <w:color w:val="000000"/>
          <w:kern w:val="0"/>
          <w:szCs w:val="21"/>
        </w:rPr>
      </w:pPr>
      <w:r>
        <w:rPr>
          <w:rFonts w:hint="eastAsia" w:ascii="Cambria Math" w:hAnsi="Cambria Math" w:cs="Arial"/>
          <w:color w:val="000000"/>
          <w:kern w:val="0"/>
          <w:szCs w:val="21"/>
        </w:rPr>
        <w:t>③</w:t>
      </w:r>
      <w:r>
        <w:rPr>
          <w:rFonts w:ascii="宋体" w:hAnsi="宋体"/>
          <w:color w:val="000000"/>
          <w:kern w:val="0"/>
          <w:szCs w:val="21"/>
        </w:rPr>
        <w:t>施工期运输车辆噪声</w:t>
      </w:r>
    </w:p>
    <w:p w14:paraId="0AA17D3A">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施工期需运输大量物料进出施工现场，因此运输车辆多为重型运输车，其产生的噪声比一般车辆要高。本环评提出本项目施工时要协调好施工车辆通行的时间，在既有交通繁忙的情况下，工程建设方、施工方及交管部门应加强沟通、协调工作，避免交通堵塞，夜间运输要采取减速缓行、禁止鸣笛等措施。并且随着施工结束，影响便随之结束，因此，本项目施工期运输车辆所产生的噪声影响是短暂的。</w:t>
      </w:r>
    </w:p>
    <w:p w14:paraId="704DCF57">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w:t>
      </w:r>
      <w:r>
        <w:rPr>
          <w:rFonts w:hint="eastAsia"/>
          <w:color w:val="000000"/>
          <w:kern w:val="0"/>
          <w:szCs w:val="21"/>
        </w:rPr>
        <w:t>2</w:t>
      </w:r>
      <w:r>
        <w:rPr>
          <w:rFonts w:ascii="宋体" w:hAnsi="宋体"/>
          <w:color w:val="000000"/>
          <w:kern w:val="0"/>
          <w:szCs w:val="21"/>
        </w:rPr>
        <w:t>）声环境预测</w:t>
      </w:r>
    </w:p>
    <w:p w14:paraId="7418426D">
      <w:pPr>
        <w:widowControl/>
        <w:kinsoku w:val="0"/>
        <w:autoSpaceDE w:val="0"/>
        <w:autoSpaceDN w:val="0"/>
        <w:ind w:firstLine="420" w:firstLineChars="200"/>
        <w:jc w:val="left"/>
        <w:textAlignment w:val="baseline"/>
        <w:rPr>
          <w:rFonts w:ascii="Arial" w:hAnsi="Arial" w:cs="Arial"/>
          <w:color w:val="000000"/>
          <w:kern w:val="0"/>
          <w:szCs w:val="21"/>
        </w:rPr>
      </w:pPr>
      <w:bookmarkStart w:id="91" w:name="OLE_LINK31"/>
      <w:bookmarkEnd w:id="91"/>
      <w:bookmarkStart w:id="92" w:name="OLE_LINK30"/>
      <w:r>
        <w:rPr>
          <w:rFonts w:hint="eastAsia" w:ascii="宋体" w:hAnsi="宋体" w:cs="Arial"/>
          <w:color w:val="000000"/>
          <w:kern w:val="0"/>
          <w:szCs w:val="21"/>
        </w:rPr>
        <w:t>①施工区域</w:t>
      </w:r>
      <w:bookmarkEnd w:id="92"/>
    </w:p>
    <w:p w14:paraId="61B93952">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次环评选取声环境影响最大的典型施工状态进行预测，即各施工场地中起吊机、装载机、空压机、搅拌机、电焊机、剪切机等同时工作。在此情况下，各声环境保泵等同时工作；路段处施工桩机、挖机、推土机、夯土机等在距离敏感点最近位置处同时工作的情形。正常情况下夜间不施工，昼间各路段施工机械均按工作</w:t>
      </w:r>
      <w:r>
        <w:rPr>
          <w:color w:val="000000"/>
          <w:kern w:val="0"/>
          <w:szCs w:val="21"/>
        </w:rPr>
        <w:t>4</w:t>
      </w:r>
      <w:r>
        <w:rPr>
          <w:rFonts w:ascii="宋体" w:hAnsi="宋体"/>
          <w:color w:val="000000"/>
          <w:kern w:val="0"/>
          <w:szCs w:val="21"/>
        </w:rPr>
        <w:t>小时计。</w:t>
      </w:r>
      <w:r>
        <w:rPr>
          <w:rFonts w:hint="eastAsia"/>
          <w:color w:val="000000"/>
          <w:kern w:val="0"/>
          <w:szCs w:val="21"/>
        </w:rPr>
        <w:t>由于本工程</w:t>
      </w:r>
      <w:r>
        <w:rPr>
          <w:rFonts w:hint="eastAsia" w:ascii="宋体" w:hAnsi="宋体"/>
          <w:color w:val="000000"/>
          <w:kern w:val="0"/>
          <w:szCs w:val="21"/>
        </w:rPr>
        <w:t>目前周边现状均为空地与农田，部分民居也已经完成拆迁或搬迁，无居民居住，故不存在声环境现状保护目标，因此施工对施工区域的影响很小。但是为了减少对部分过路行人的影响，依然建议</w:t>
      </w:r>
      <w:r>
        <w:rPr>
          <w:rFonts w:ascii="宋体" w:hAnsi="宋体"/>
          <w:color w:val="000000"/>
          <w:kern w:val="0"/>
          <w:szCs w:val="21"/>
        </w:rPr>
        <w:t>施工期采取声环境保护措施，尽量避免高噪声设备在敏感点集中区长时间、近距离、多频次同时施工，施工时施工区域应设置临时施工声屏障。</w:t>
      </w:r>
    </w:p>
    <w:p w14:paraId="19D8E405">
      <w:pPr>
        <w:widowControl/>
        <w:kinsoku w:val="0"/>
        <w:autoSpaceDE w:val="0"/>
        <w:autoSpaceDN w:val="0"/>
        <w:ind w:firstLine="422" w:firstLineChars="200"/>
        <w:jc w:val="left"/>
        <w:textAlignment w:val="baseline"/>
        <w:outlineLvl w:val="2"/>
        <w:rPr>
          <w:b/>
          <w:bCs/>
          <w:color w:val="000000"/>
          <w:kern w:val="0"/>
          <w:szCs w:val="21"/>
        </w:rPr>
      </w:pPr>
      <w:r>
        <w:rPr>
          <w:b/>
          <w:bCs/>
          <w:color w:val="000000"/>
          <w:kern w:val="0"/>
          <w:szCs w:val="21"/>
        </w:rPr>
        <w:t>2</w:t>
      </w:r>
      <w:r>
        <w:rPr>
          <w:rFonts w:ascii="宋体" w:hAnsi="宋体"/>
          <w:b/>
          <w:bCs/>
          <w:color w:val="000000"/>
          <w:kern w:val="0"/>
          <w:szCs w:val="21"/>
        </w:rPr>
        <w:t>、营运期道路工程声环境影响评价</w:t>
      </w:r>
    </w:p>
    <w:p w14:paraId="30B05681">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w:t>
      </w:r>
      <w:r>
        <w:rPr>
          <w:color w:val="000000"/>
          <w:kern w:val="0"/>
          <w:szCs w:val="21"/>
        </w:rPr>
        <w:t>1</w:t>
      </w:r>
      <w:r>
        <w:rPr>
          <w:rFonts w:ascii="宋体" w:hAnsi="宋体"/>
          <w:color w:val="000000"/>
          <w:kern w:val="0"/>
          <w:szCs w:val="21"/>
        </w:rPr>
        <w:t>）声环境影响预测模式</w:t>
      </w:r>
    </w:p>
    <w:p w14:paraId="4EA9DD91">
      <w:pPr>
        <w:widowControl/>
        <w:kinsoku w:val="0"/>
        <w:autoSpaceDE w:val="0"/>
        <w:autoSpaceDN w:val="0"/>
        <w:ind w:firstLine="420" w:firstLineChars="200"/>
        <w:jc w:val="left"/>
        <w:textAlignment w:val="baseline"/>
        <w:rPr>
          <w:color w:val="000000"/>
          <w:kern w:val="0"/>
          <w:szCs w:val="21"/>
        </w:rPr>
      </w:pPr>
      <w:r>
        <w:rPr>
          <w:rFonts w:hint="eastAsia" w:ascii="宋体" w:hAnsi="宋体"/>
          <w:color w:val="000000"/>
          <w:kern w:val="0"/>
          <w:szCs w:val="21"/>
        </w:rPr>
        <w:t>本项目运营期噪声污染主要来源于道路上行驶的汽车，其噪声源为非稳态声源。本工程建成后，对于噪声的影响预测可以按线声源进行处理。本报告预测噪声时采用《环境影响评价技术导则</w:t>
      </w:r>
      <w:r>
        <w:rPr>
          <w:rFonts w:hint="eastAsia"/>
          <w:color w:val="000000"/>
          <w:kern w:val="0"/>
          <w:szCs w:val="21"/>
        </w:rPr>
        <w:t xml:space="preserve"> </w:t>
      </w:r>
      <w:r>
        <w:rPr>
          <w:rFonts w:hint="eastAsia" w:ascii="宋体" w:hAnsi="宋体"/>
          <w:color w:val="000000"/>
          <w:kern w:val="0"/>
          <w:szCs w:val="21"/>
        </w:rPr>
        <w:t>声环境》（</w:t>
      </w:r>
      <w:r>
        <w:rPr>
          <w:color w:val="000000"/>
          <w:kern w:val="0"/>
          <w:szCs w:val="21"/>
        </w:rPr>
        <w:t>HJ 2.4—2021</w:t>
      </w:r>
      <w:r>
        <w:rPr>
          <w:rFonts w:hint="eastAsia" w:ascii="宋体" w:hAnsi="宋体"/>
          <w:color w:val="000000"/>
          <w:kern w:val="0"/>
          <w:szCs w:val="21"/>
        </w:rPr>
        <w:t>）中推荐的噪声预测模式进行预测分析。</w:t>
      </w:r>
    </w:p>
    <w:p w14:paraId="65A5D139">
      <w:pPr>
        <w:widowControl/>
        <w:kinsoku w:val="0"/>
        <w:autoSpaceDE w:val="0"/>
        <w:autoSpaceDN w:val="0"/>
        <w:ind w:firstLine="420" w:firstLineChars="200"/>
        <w:jc w:val="left"/>
        <w:textAlignment w:val="baseline"/>
        <w:rPr>
          <w:color w:val="000000"/>
          <w:kern w:val="0"/>
          <w:szCs w:val="21"/>
        </w:rPr>
      </w:pPr>
      <w:r>
        <w:rPr>
          <w:rFonts w:hint="eastAsia" w:ascii="宋体" w:hAnsi="宋体"/>
          <w:color w:val="000000"/>
          <w:kern w:val="0"/>
          <w:szCs w:val="21"/>
        </w:rPr>
        <w:t xml:space="preserve">①环境噪声及计算 </w:t>
      </w:r>
    </w:p>
    <w:p w14:paraId="255877D6">
      <w:pPr>
        <w:widowControl/>
        <w:kinsoku w:val="0"/>
        <w:autoSpaceDE w:val="0"/>
        <w:autoSpaceDN w:val="0"/>
        <w:jc w:val="left"/>
        <w:textAlignment w:val="baseline"/>
        <w:rPr>
          <w:color w:val="000000"/>
          <w:kern w:val="0"/>
          <w:szCs w:val="21"/>
        </w:rPr>
      </w:pPr>
      <w:r>
        <w:rPr>
          <w:rFonts w:hint="eastAsia"/>
          <w:color w:val="000000"/>
          <w:kern w:val="0"/>
          <w:szCs w:val="21"/>
        </w:rPr>
        <w:t>a.</w:t>
      </w:r>
      <w:r>
        <w:rPr>
          <w:rFonts w:hint="eastAsia" w:ascii="宋体" w:hAnsi="宋体"/>
          <w:color w:val="000000"/>
          <w:kern w:val="0"/>
          <w:szCs w:val="21"/>
        </w:rPr>
        <w:t xml:space="preserve">第 </w:t>
      </w:r>
      <w:r>
        <w:rPr>
          <w:color w:val="000000"/>
          <w:kern w:val="0"/>
          <w:szCs w:val="21"/>
        </w:rPr>
        <w:t xml:space="preserve">I </w:t>
      </w:r>
      <w:r>
        <w:rPr>
          <w:rFonts w:hint="eastAsia" w:ascii="宋体" w:hAnsi="宋体"/>
          <w:color w:val="000000"/>
          <w:kern w:val="0"/>
          <w:szCs w:val="21"/>
        </w:rPr>
        <w:t>类车等效声级的预测模式</w:t>
      </w:r>
    </w:p>
    <w:p w14:paraId="4DFA1772">
      <w:pPr>
        <w:widowControl/>
        <w:kinsoku w:val="0"/>
        <w:autoSpaceDE w:val="0"/>
        <w:autoSpaceDN w:val="0"/>
        <w:jc w:val="left"/>
        <w:textAlignment w:val="baseline"/>
        <w:rPr>
          <w:color w:val="000000"/>
          <w:kern w:val="0"/>
          <w:szCs w:val="21"/>
        </w:rPr>
      </w:pPr>
      <w:r>
        <w:rPr>
          <w:color w:val="000000"/>
          <w:kern w:val="0"/>
          <w:szCs w:val="21"/>
        </w:rPr>
        <w:drawing>
          <wp:inline distT="0" distB="0" distL="0" distR="0">
            <wp:extent cx="5071745" cy="2089150"/>
            <wp:effectExtent l="0" t="0" r="0" b="6350"/>
            <wp:docPr id="1587748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4861" name="图片 3"/>
                    <pic:cNvPicPr>
                      <a:picLocks noChangeAspect="1" noChangeArrowheads="1"/>
                    </pic:cNvPicPr>
                  </pic:nvPicPr>
                  <pic:blipFill>
                    <a:blip r:embed="rId43"/>
                    <a:srcRect/>
                    <a:stretch>
                      <a:fillRect/>
                    </a:stretch>
                  </pic:blipFill>
                  <pic:spPr>
                    <a:xfrm>
                      <a:off x="0" y="0"/>
                      <a:ext cx="5190854" cy="2138362"/>
                    </a:xfrm>
                    <a:prstGeom prst="rect">
                      <a:avLst/>
                    </a:prstGeom>
                    <a:noFill/>
                  </pic:spPr>
                </pic:pic>
              </a:graphicData>
            </a:graphic>
          </wp:inline>
        </w:drawing>
      </w:r>
      <w:r>
        <w:rPr>
          <w:color w:val="000000"/>
          <w:kern w:val="0"/>
          <w:szCs w:val="21"/>
        </w:rPr>
        <w:t xml:space="preserve"> </w:t>
      </w:r>
    </w:p>
    <w:p w14:paraId="0E624DEE">
      <w:pPr>
        <w:widowControl/>
        <w:kinsoku w:val="0"/>
        <w:autoSpaceDE w:val="0"/>
        <w:autoSpaceDN w:val="0"/>
        <w:textAlignment w:val="baseline"/>
        <w:rPr>
          <w:rFonts w:hint="eastAsia" w:ascii="宋体" w:hAnsi="宋体"/>
          <w:color w:val="000000"/>
          <w:kern w:val="0"/>
          <w:szCs w:val="21"/>
        </w:rPr>
      </w:pPr>
      <w:r>
        <w:rPr>
          <w:rFonts w:hint="eastAsia"/>
          <w:color w:val="000000"/>
          <w:kern w:val="0"/>
          <w:szCs w:val="21"/>
        </w:rPr>
        <w:t>b.</w:t>
      </w:r>
      <w:r>
        <w:rPr>
          <w:rFonts w:hint="eastAsia" w:ascii="宋体" w:hAnsi="宋体"/>
          <w:color w:val="000000"/>
          <w:kern w:val="0"/>
          <w:szCs w:val="21"/>
        </w:rPr>
        <w:t xml:space="preserve">由其它因素引起的修正量可按下式计算： </w:t>
      </w:r>
    </w:p>
    <w:p w14:paraId="6C544AF2">
      <w:pPr>
        <w:widowControl/>
        <w:kinsoku w:val="0"/>
        <w:autoSpaceDE w:val="0"/>
        <w:autoSpaceDN w:val="0"/>
        <w:ind w:firstLine="840" w:firstLineChars="400"/>
        <w:textAlignment w:val="baseline"/>
        <w:rPr>
          <w:color w:val="000000"/>
          <w:kern w:val="0"/>
          <w:szCs w:val="21"/>
        </w:rPr>
      </w:pPr>
      <w:r>
        <w:rPr>
          <w:color w:val="000000"/>
          <w:kern w:val="0"/>
          <w:szCs w:val="21"/>
        </w:rPr>
        <w:t>DL=DL</w:t>
      </w:r>
      <w:r>
        <w:rPr>
          <w:color w:val="000000"/>
          <w:kern w:val="0"/>
          <w:szCs w:val="21"/>
          <w:vertAlign w:val="subscript"/>
        </w:rPr>
        <w:t>1</w:t>
      </w:r>
      <w:r>
        <w:rPr>
          <w:color w:val="000000"/>
          <w:kern w:val="0"/>
          <w:szCs w:val="21"/>
        </w:rPr>
        <w:t xml:space="preserve">-L </w:t>
      </w:r>
      <w:r>
        <w:rPr>
          <w:color w:val="000000"/>
          <w:kern w:val="0"/>
          <w:szCs w:val="21"/>
          <w:vertAlign w:val="subscript"/>
        </w:rPr>
        <w:t>2</w:t>
      </w:r>
      <w:r>
        <w:rPr>
          <w:color w:val="000000"/>
          <w:kern w:val="0"/>
          <w:szCs w:val="21"/>
        </w:rPr>
        <w:t xml:space="preserve">+L </w:t>
      </w:r>
      <w:r>
        <w:rPr>
          <w:color w:val="000000"/>
          <w:kern w:val="0"/>
          <w:szCs w:val="21"/>
          <w:vertAlign w:val="subscript"/>
        </w:rPr>
        <w:t xml:space="preserve">3 </w:t>
      </w:r>
    </w:p>
    <w:p w14:paraId="78CC1B8C">
      <w:pPr>
        <w:widowControl/>
        <w:kinsoku w:val="0"/>
        <w:autoSpaceDE w:val="0"/>
        <w:autoSpaceDN w:val="0"/>
        <w:ind w:firstLine="840" w:firstLineChars="400"/>
        <w:textAlignment w:val="baseline"/>
        <w:rPr>
          <w:color w:val="000000"/>
          <w:kern w:val="0"/>
          <w:szCs w:val="21"/>
        </w:rPr>
      </w:pPr>
      <w:r>
        <w:rPr>
          <w:color w:val="000000"/>
          <w:kern w:val="0"/>
          <w:szCs w:val="21"/>
        </w:rPr>
        <w:t xml:space="preserve">DL </w:t>
      </w:r>
      <w:r>
        <w:rPr>
          <w:color w:val="000000"/>
          <w:kern w:val="0"/>
          <w:szCs w:val="21"/>
          <w:vertAlign w:val="subscript"/>
        </w:rPr>
        <w:t>1</w:t>
      </w:r>
      <w:r>
        <w:rPr>
          <w:color w:val="000000"/>
          <w:kern w:val="0"/>
          <w:szCs w:val="21"/>
        </w:rPr>
        <w:t>=DL</w:t>
      </w:r>
      <w:r>
        <w:rPr>
          <w:rFonts w:ascii="宋体" w:hAnsi="宋体"/>
          <w:color w:val="000000"/>
          <w:kern w:val="0"/>
          <w:szCs w:val="21"/>
          <w:vertAlign w:val="subscript"/>
        </w:rPr>
        <w:t>坡度</w:t>
      </w:r>
      <w:r>
        <w:rPr>
          <w:color w:val="000000"/>
          <w:kern w:val="0"/>
          <w:szCs w:val="21"/>
        </w:rPr>
        <w:t>+L</w:t>
      </w:r>
      <w:r>
        <w:rPr>
          <w:rFonts w:ascii="宋体" w:hAnsi="宋体"/>
          <w:color w:val="000000"/>
          <w:kern w:val="0"/>
          <w:szCs w:val="21"/>
          <w:vertAlign w:val="subscript"/>
        </w:rPr>
        <w:t>路面</w:t>
      </w:r>
      <w:r>
        <w:rPr>
          <w:color w:val="000000"/>
          <w:kern w:val="0"/>
          <w:szCs w:val="21"/>
        </w:rPr>
        <w:t xml:space="preserve"> </w:t>
      </w:r>
    </w:p>
    <w:p w14:paraId="4949D0F4">
      <w:pPr>
        <w:widowControl/>
        <w:kinsoku w:val="0"/>
        <w:autoSpaceDE w:val="0"/>
        <w:autoSpaceDN w:val="0"/>
        <w:ind w:firstLine="840" w:firstLineChars="400"/>
        <w:textAlignment w:val="baseline"/>
        <w:rPr>
          <w:color w:val="000000"/>
          <w:kern w:val="0"/>
          <w:szCs w:val="21"/>
        </w:rPr>
      </w:pPr>
      <w:r>
        <w:rPr>
          <w:color w:val="000000"/>
          <w:kern w:val="0"/>
          <w:szCs w:val="21"/>
        </w:rPr>
        <w:t xml:space="preserve">DL </w:t>
      </w:r>
      <w:r>
        <w:rPr>
          <w:color w:val="000000"/>
          <w:kern w:val="0"/>
          <w:szCs w:val="21"/>
          <w:vertAlign w:val="subscript"/>
        </w:rPr>
        <w:t>2</w:t>
      </w:r>
      <w:r>
        <w:rPr>
          <w:color w:val="000000"/>
          <w:kern w:val="0"/>
          <w:szCs w:val="21"/>
        </w:rPr>
        <w:t xml:space="preserve">=Aatm+Agr+Abar+Amisc </w:t>
      </w:r>
    </w:p>
    <w:p w14:paraId="2FE20DAA">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式中：</w:t>
      </w:r>
      <w:r>
        <w:rPr>
          <w:color w:val="000000"/>
          <w:kern w:val="0"/>
          <w:szCs w:val="21"/>
        </w:rPr>
        <w:t xml:space="preserve">L </w:t>
      </w:r>
      <w:r>
        <w:rPr>
          <w:color w:val="000000"/>
          <w:kern w:val="0"/>
          <w:szCs w:val="21"/>
          <w:vertAlign w:val="subscript"/>
        </w:rPr>
        <w:t>1</w:t>
      </w:r>
      <w:r>
        <w:rPr>
          <w:rFonts w:ascii="宋体" w:hAnsi="宋体"/>
          <w:color w:val="000000"/>
          <w:kern w:val="0"/>
          <w:szCs w:val="21"/>
        </w:rPr>
        <w:t>—线路因素引起的修正量，</w:t>
      </w:r>
      <w:r>
        <w:rPr>
          <w:color w:val="000000"/>
          <w:kern w:val="0"/>
          <w:szCs w:val="21"/>
        </w:rPr>
        <w:t>dB(A)</w:t>
      </w:r>
      <w:r>
        <w:rPr>
          <w:rFonts w:ascii="宋体" w:hAnsi="宋体"/>
          <w:color w:val="000000"/>
          <w:kern w:val="0"/>
          <w:szCs w:val="21"/>
        </w:rPr>
        <w:t>；</w:t>
      </w:r>
      <w:r>
        <w:rPr>
          <w:color w:val="000000"/>
          <w:kern w:val="0"/>
          <w:szCs w:val="21"/>
        </w:rPr>
        <w:t xml:space="preserve"> </w:t>
      </w:r>
    </w:p>
    <w:p w14:paraId="0E32F140">
      <w:pPr>
        <w:widowControl/>
        <w:kinsoku w:val="0"/>
        <w:autoSpaceDE w:val="0"/>
        <w:autoSpaceDN w:val="0"/>
        <w:ind w:firstLine="840" w:firstLineChars="400"/>
        <w:textAlignment w:val="baseline"/>
        <w:rPr>
          <w:color w:val="000000"/>
          <w:kern w:val="0"/>
          <w:szCs w:val="21"/>
        </w:rPr>
      </w:pPr>
      <w:r>
        <w:rPr>
          <w:color w:val="000000"/>
          <w:kern w:val="0"/>
          <w:szCs w:val="21"/>
        </w:rPr>
        <w:t>DL</w:t>
      </w:r>
      <w:r>
        <w:rPr>
          <w:rFonts w:ascii="宋体" w:hAnsi="宋体"/>
          <w:color w:val="000000"/>
          <w:kern w:val="0"/>
          <w:szCs w:val="21"/>
          <w:vertAlign w:val="subscript"/>
        </w:rPr>
        <w:t>坡度</w:t>
      </w:r>
      <w:r>
        <w:rPr>
          <w:color w:val="000000"/>
          <w:kern w:val="0"/>
          <w:szCs w:val="21"/>
        </w:rPr>
        <w:t>—</w:t>
      </w:r>
      <w:r>
        <w:rPr>
          <w:rFonts w:ascii="宋体" w:hAnsi="宋体"/>
          <w:color w:val="000000"/>
          <w:kern w:val="0"/>
          <w:szCs w:val="21"/>
        </w:rPr>
        <w:t>公路纵坡修正量，</w:t>
      </w:r>
      <w:r>
        <w:rPr>
          <w:color w:val="000000"/>
          <w:kern w:val="0"/>
          <w:szCs w:val="21"/>
        </w:rPr>
        <w:t>dB(A)</w:t>
      </w:r>
      <w:r>
        <w:rPr>
          <w:rFonts w:ascii="宋体" w:hAnsi="宋体"/>
          <w:color w:val="000000"/>
          <w:kern w:val="0"/>
          <w:szCs w:val="21"/>
        </w:rPr>
        <w:t>；</w:t>
      </w:r>
      <w:r>
        <w:rPr>
          <w:color w:val="000000"/>
          <w:kern w:val="0"/>
          <w:szCs w:val="21"/>
        </w:rPr>
        <w:t xml:space="preserve"> </w:t>
      </w:r>
    </w:p>
    <w:p w14:paraId="535DEA75">
      <w:pPr>
        <w:widowControl/>
        <w:kinsoku w:val="0"/>
        <w:autoSpaceDE w:val="0"/>
        <w:autoSpaceDN w:val="0"/>
        <w:ind w:firstLine="840" w:firstLineChars="400"/>
        <w:textAlignment w:val="baseline"/>
        <w:rPr>
          <w:color w:val="000000"/>
          <w:kern w:val="0"/>
          <w:szCs w:val="21"/>
        </w:rPr>
      </w:pPr>
      <w:r>
        <w:rPr>
          <w:color w:val="000000"/>
          <w:kern w:val="0"/>
          <w:szCs w:val="21"/>
        </w:rPr>
        <w:t>DL</w:t>
      </w:r>
      <w:r>
        <w:rPr>
          <w:rFonts w:ascii="宋体" w:hAnsi="宋体"/>
          <w:color w:val="000000"/>
          <w:kern w:val="0"/>
          <w:szCs w:val="21"/>
          <w:vertAlign w:val="subscript"/>
        </w:rPr>
        <w:t>路面</w:t>
      </w:r>
      <w:r>
        <w:rPr>
          <w:color w:val="000000"/>
          <w:kern w:val="0"/>
          <w:szCs w:val="21"/>
        </w:rPr>
        <w:t>—</w:t>
      </w:r>
      <w:r>
        <w:rPr>
          <w:rFonts w:ascii="宋体" w:hAnsi="宋体"/>
          <w:color w:val="000000"/>
          <w:kern w:val="0"/>
          <w:szCs w:val="21"/>
        </w:rPr>
        <w:t>公路路面材料引起的修正量，</w:t>
      </w:r>
      <w:r>
        <w:rPr>
          <w:color w:val="000000"/>
          <w:kern w:val="0"/>
          <w:szCs w:val="21"/>
        </w:rPr>
        <w:t>dB(A)</w:t>
      </w:r>
      <w:r>
        <w:rPr>
          <w:rFonts w:ascii="宋体" w:hAnsi="宋体"/>
          <w:color w:val="000000"/>
          <w:kern w:val="0"/>
          <w:szCs w:val="21"/>
        </w:rPr>
        <w:t>；</w:t>
      </w:r>
      <w:r>
        <w:rPr>
          <w:color w:val="000000"/>
          <w:kern w:val="0"/>
          <w:szCs w:val="21"/>
        </w:rPr>
        <w:t xml:space="preserve"> </w:t>
      </w:r>
    </w:p>
    <w:p w14:paraId="54F86BE9">
      <w:pPr>
        <w:widowControl/>
        <w:kinsoku w:val="0"/>
        <w:autoSpaceDE w:val="0"/>
        <w:autoSpaceDN w:val="0"/>
        <w:ind w:firstLine="840" w:firstLineChars="400"/>
        <w:textAlignment w:val="baseline"/>
        <w:rPr>
          <w:color w:val="000000"/>
          <w:kern w:val="0"/>
          <w:szCs w:val="21"/>
        </w:rPr>
      </w:pPr>
      <w:r>
        <w:rPr>
          <w:color w:val="000000"/>
          <w:kern w:val="0"/>
          <w:szCs w:val="21"/>
        </w:rPr>
        <w:t>DL</w:t>
      </w:r>
      <w:r>
        <w:rPr>
          <w:color w:val="000000"/>
          <w:kern w:val="0"/>
          <w:szCs w:val="21"/>
          <w:vertAlign w:val="subscript"/>
        </w:rPr>
        <w:t>2</w:t>
      </w:r>
      <w:r>
        <w:rPr>
          <w:color w:val="000000"/>
          <w:kern w:val="0"/>
          <w:szCs w:val="21"/>
        </w:rPr>
        <w:t>—</w:t>
      </w:r>
      <w:r>
        <w:rPr>
          <w:rFonts w:ascii="宋体" w:hAnsi="宋体"/>
          <w:color w:val="000000"/>
          <w:kern w:val="0"/>
          <w:szCs w:val="21"/>
        </w:rPr>
        <w:t>声波传播途径引起的衰减量，</w:t>
      </w:r>
      <w:r>
        <w:rPr>
          <w:color w:val="000000"/>
          <w:kern w:val="0"/>
          <w:szCs w:val="21"/>
        </w:rPr>
        <w:t>dB(A)</w:t>
      </w:r>
      <w:r>
        <w:rPr>
          <w:rFonts w:ascii="宋体" w:hAnsi="宋体"/>
          <w:color w:val="000000"/>
          <w:kern w:val="0"/>
          <w:szCs w:val="21"/>
        </w:rPr>
        <w:t>；</w:t>
      </w:r>
      <w:r>
        <w:rPr>
          <w:color w:val="000000"/>
          <w:kern w:val="0"/>
          <w:szCs w:val="21"/>
        </w:rPr>
        <w:t xml:space="preserve"> </w:t>
      </w:r>
    </w:p>
    <w:p w14:paraId="5950A894">
      <w:pPr>
        <w:widowControl/>
        <w:kinsoku w:val="0"/>
        <w:autoSpaceDE w:val="0"/>
        <w:autoSpaceDN w:val="0"/>
        <w:ind w:firstLine="840" w:firstLineChars="400"/>
        <w:textAlignment w:val="baseline"/>
        <w:rPr>
          <w:color w:val="000000"/>
          <w:kern w:val="0"/>
          <w:szCs w:val="21"/>
        </w:rPr>
      </w:pPr>
      <w:r>
        <w:rPr>
          <w:color w:val="000000"/>
          <w:kern w:val="0"/>
          <w:szCs w:val="21"/>
        </w:rPr>
        <w:t>DL</w:t>
      </w:r>
      <w:r>
        <w:rPr>
          <w:color w:val="000000"/>
          <w:kern w:val="0"/>
          <w:szCs w:val="21"/>
          <w:vertAlign w:val="subscript"/>
        </w:rPr>
        <w:t>3</w:t>
      </w:r>
      <w:r>
        <w:rPr>
          <w:color w:val="000000"/>
          <w:kern w:val="0"/>
          <w:szCs w:val="21"/>
        </w:rPr>
        <w:t>—</w:t>
      </w:r>
      <w:r>
        <w:rPr>
          <w:rFonts w:ascii="宋体" w:hAnsi="宋体"/>
          <w:color w:val="000000"/>
          <w:kern w:val="0"/>
          <w:szCs w:val="21"/>
        </w:rPr>
        <w:t>由反射等引起的修正量，</w:t>
      </w:r>
      <w:r>
        <w:rPr>
          <w:color w:val="000000"/>
          <w:kern w:val="0"/>
          <w:szCs w:val="21"/>
        </w:rPr>
        <w:t>dB(A)</w:t>
      </w:r>
      <w:r>
        <w:rPr>
          <w:rFonts w:ascii="宋体" w:hAnsi="宋体"/>
          <w:color w:val="000000"/>
          <w:kern w:val="0"/>
          <w:szCs w:val="21"/>
        </w:rPr>
        <w:t>。</w:t>
      </w:r>
      <w:r>
        <w:rPr>
          <w:color w:val="000000"/>
          <w:kern w:val="0"/>
          <w:szCs w:val="21"/>
        </w:rPr>
        <w:t xml:space="preserve"> </w:t>
      </w:r>
    </w:p>
    <w:p w14:paraId="066014EE">
      <w:pPr>
        <w:widowControl/>
        <w:kinsoku w:val="0"/>
        <w:autoSpaceDE w:val="0"/>
        <w:autoSpaceDN w:val="0"/>
        <w:textAlignment w:val="baseline"/>
        <w:rPr>
          <w:rFonts w:ascii="Cambria Math" w:hAnsi="Cambria Math" w:cs="Arial"/>
          <w:color w:val="000000"/>
          <w:kern w:val="0"/>
          <w:szCs w:val="21"/>
        </w:rPr>
      </w:pPr>
      <w:r>
        <w:rPr>
          <w:rFonts w:hint="eastAsia" w:ascii="Cambria Math" w:hAnsi="Cambria Math" w:cs="Cambria Math"/>
          <w:color w:val="000000"/>
          <w:kern w:val="0"/>
          <w:szCs w:val="21"/>
        </w:rPr>
        <w:t>c.</w:t>
      </w:r>
      <w:r>
        <w:rPr>
          <w:rFonts w:hint="eastAsia" w:ascii="宋体" w:hAnsi="宋体" w:cs="Cambria Math"/>
          <w:color w:val="000000"/>
          <w:kern w:val="0"/>
          <w:szCs w:val="21"/>
        </w:rPr>
        <w:t>总车流等效声级为：</w:t>
      </w:r>
    </w:p>
    <w:p w14:paraId="2F0F95CD">
      <w:pPr>
        <w:widowControl/>
        <w:kinsoku w:val="0"/>
        <w:autoSpaceDE w:val="0"/>
        <w:autoSpaceDN w:val="0"/>
        <w:jc w:val="center"/>
        <w:textAlignment w:val="baseline"/>
        <w:rPr>
          <w:rFonts w:ascii="Cambria Math" w:hAnsi="Cambria Math" w:cs="Arial"/>
          <w:color w:val="000000"/>
          <w:kern w:val="0"/>
          <w:szCs w:val="21"/>
        </w:rPr>
      </w:pPr>
      <w:r>
        <w:rPr>
          <w:rFonts w:ascii="Arial" w:hAnsi="Arial" w:cs="Arial"/>
          <w:color w:val="000000"/>
          <w:kern w:val="0"/>
          <w:szCs w:val="21"/>
        </w:rPr>
        <w:drawing>
          <wp:inline distT="0" distB="0" distL="0" distR="0">
            <wp:extent cx="3691890" cy="379730"/>
            <wp:effectExtent l="0" t="0" r="3810"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44"/>
                    <a:srcRect/>
                    <a:stretch>
                      <a:fillRect/>
                    </a:stretch>
                  </pic:blipFill>
                  <pic:spPr>
                    <a:xfrm>
                      <a:off x="0" y="0"/>
                      <a:ext cx="3691890" cy="379730"/>
                    </a:xfrm>
                    <a:prstGeom prst="rect">
                      <a:avLst/>
                    </a:prstGeom>
                    <a:noFill/>
                    <a:ln>
                      <a:noFill/>
                    </a:ln>
                  </pic:spPr>
                </pic:pic>
              </a:graphicData>
            </a:graphic>
          </wp:inline>
        </w:drawing>
      </w:r>
    </w:p>
    <w:p w14:paraId="03F29AD0">
      <w:pPr>
        <w:widowControl/>
        <w:kinsoku w:val="0"/>
        <w:autoSpaceDE w:val="0"/>
        <w:autoSpaceDN w:val="0"/>
        <w:ind w:firstLine="420" w:firstLineChars="200"/>
        <w:textAlignment w:val="baseline"/>
        <w:rPr>
          <w:rFonts w:ascii="Cambria Math" w:hAnsi="Cambria Math" w:cs="Arial"/>
          <w:color w:val="000000"/>
          <w:kern w:val="0"/>
          <w:szCs w:val="21"/>
        </w:rPr>
      </w:pPr>
      <w:r>
        <w:rPr>
          <w:rFonts w:hint="eastAsia" w:ascii="宋体" w:hAnsi="宋体" w:cs="Cambria Math"/>
          <w:color w:val="000000"/>
          <w:kern w:val="0"/>
          <w:szCs w:val="21"/>
        </w:rPr>
        <w:t>式中：</w:t>
      </w:r>
      <w:r>
        <w:rPr>
          <w:rFonts w:hint="eastAsia" w:ascii="Cambria Math" w:hAnsi="Cambria Math" w:cs="Cambria Math"/>
          <w:color w:val="000000"/>
          <w:kern w:val="0"/>
          <w:szCs w:val="21"/>
        </w:rPr>
        <w:t xml:space="preserve"> </w:t>
      </w:r>
    </w:p>
    <w:p w14:paraId="0D29E007">
      <w:pPr>
        <w:widowControl/>
        <w:kinsoku w:val="0"/>
        <w:autoSpaceDE w:val="0"/>
        <w:autoSpaceDN w:val="0"/>
        <w:ind w:firstLine="840" w:firstLineChars="400"/>
        <w:textAlignment w:val="baseline"/>
        <w:rPr>
          <w:rFonts w:ascii="Cambria Math" w:hAnsi="Cambria Math" w:cs="Arial"/>
          <w:color w:val="000000"/>
          <w:kern w:val="0"/>
          <w:szCs w:val="21"/>
        </w:rPr>
      </w:pPr>
      <w:r>
        <w:rPr>
          <w:rFonts w:ascii="Cambria Math" w:hAnsi="Cambria Math" w:cs="Arial"/>
          <w:color w:val="000000"/>
          <w:kern w:val="0"/>
          <w:szCs w:val="21"/>
        </w:rPr>
        <w:t xml:space="preserve">Teq </w:t>
      </w:r>
      <w:r>
        <w:rPr>
          <w:rFonts w:hint="eastAsia" w:ascii="Cambria Math" w:hAnsi="Cambria Math" w:cs="Cambria Math"/>
          <w:color w:val="000000"/>
          <w:kern w:val="0"/>
          <w:szCs w:val="21"/>
        </w:rPr>
        <w:t>(T)</w:t>
      </w:r>
      <w:r>
        <w:rPr>
          <w:rFonts w:hint="eastAsia" w:ascii="宋体" w:hAnsi="宋体" w:cs="Cambria Math"/>
          <w:color w:val="000000"/>
          <w:kern w:val="0"/>
          <w:szCs w:val="21"/>
        </w:rPr>
        <w:t>—总车流等效声级，</w:t>
      </w:r>
      <w:r>
        <w:rPr>
          <w:rFonts w:ascii="Cambria Math" w:hAnsi="Cambria Math" w:cs="Arial"/>
          <w:color w:val="000000"/>
          <w:kern w:val="0"/>
          <w:szCs w:val="21"/>
        </w:rPr>
        <w:t>dB(A)</w:t>
      </w:r>
      <w:r>
        <w:rPr>
          <w:rFonts w:hint="eastAsia" w:ascii="宋体" w:hAnsi="宋体" w:cs="Cambria Math"/>
          <w:color w:val="000000"/>
          <w:kern w:val="0"/>
          <w:szCs w:val="21"/>
        </w:rPr>
        <w:t>；</w:t>
      </w:r>
    </w:p>
    <w:p w14:paraId="1A842471">
      <w:pPr>
        <w:widowControl/>
        <w:kinsoku w:val="0"/>
        <w:autoSpaceDE w:val="0"/>
        <w:autoSpaceDN w:val="0"/>
        <w:ind w:firstLine="840" w:firstLineChars="400"/>
        <w:textAlignment w:val="baseline"/>
        <w:rPr>
          <w:rFonts w:ascii="Cambria Math" w:hAnsi="Cambria Math" w:cs="Arial"/>
          <w:color w:val="000000"/>
          <w:kern w:val="0"/>
          <w:szCs w:val="21"/>
        </w:rPr>
      </w:pPr>
      <w:r>
        <w:rPr>
          <w:rFonts w:hint="eastAsia" w:ascii="Cambria Math" w:hAnsi="Cambria Math" w:cs="Cambria Math"/>
          <w:color w:val="000000"/>
          <w:kern w:val="0"/>
          <w:szCs w:val="21"/>
        </w:rPr>
        <w:t>L</w:t>
      </w:r>
      <w:r>
        <w:rPr>
          <w:rFonts w:ascii="Cambria Math" w:hAnsi="Cambria Math" w:cs="Arial"/>
          <w:color w:val="000000"/>
          <w:kern w:val="0"/>
          <w:szCs w:val="21"/>
        </w:rPr>
        <w:t xml:space="preserve">eq </w:t>
      </w:r>
      <w:r>
        <w:rPr>
          <w:rFonts w:hint="eastAsia" w:ascii="Cambria Math" w:hAnsi="Cambria Math" w:cs="Cambria Math"/>
          <w:color w:val="000000"/>
          <w:kern w:val="0"/>
          <w:szCs w:val="21"/>
        </w:rPr>
        <w:t>(h)</w:t>
      </w:r>
      <w:r>
        <w:rPr>
          <w:rFonts w:hint="eastAsia" w:ascii="宋体" w:hAnsi="宋体" w:cs="Cambria Math"/>
          <w:color w:val="000000"/>
          <w:kern w:val="0"/>
          <w:szCs w:val="21"/>
        </w:rPr>
        <w:t>大、中、小—大、中、小型车的小时等效声级，</w:t>
      </w:r>
      <w:r>
        <w:rPr>
          <w:rFonts w:ascii="Cambria Math" w:hAnsi="Cambria Math" w:cs="Arial"/>
          <w:color w:val="000000"/>
          <w:kern w:val="0"/>
          <w:szCs w:val="21"/>
        </w:rPr>
        <w:t>dB(A)</w:t>
      </w:r>
      <w:r>
        <w:rPr>
          <w:rFonts w:hint="eastAsia" w:ascii="宋体" w:hAnsi="宋体" w:cs="Cambria Math"/>
          <w:color w:val="000000"/>
          <w:kern w:val="0"/>
          <w:szCs w:val="21"/>
        </w:rPr>
        <w:t>。</w:t>
      </w:r>
    </w:p>
    <w:p w14:paraId="5A76C9DB">
      <w:pPr>
        <w:widowControl/>
        <w:kinsoku w:val="0"/>
        <w:autoSpaceDE w:val="0"/>
        <w:autoSpaceDN w:val="0"/>
        <w:ind w:firstLine="420" w:firstLineChars="200"/>
        <w:textAlignment w:val="baseline"/>
        <w:rPr>
          <w:color w:val="000000"/>
          <w:kern w:val="0"/>
          <w:szCs w:val="21"/>
        </w:rPr>
      </w:pPr>
      <w:r>
        <w:rPr>
          <w:rFonts w:hint="eastAsia" w:ascii="Cambria Math" w:hAnsi="Cambria Math" w:cs="Arial"/>
          <w:color w:val="000000"/>
          <w:kern w:val="0"/>
          <w:szCs w:val="21"/>
        </w:rPr>
        <w:t>②</w:t>
      </w:r>
      <w:r>
        <w:rPr>
          <w:rFonts w:ascii="宋体" w:hAnsi="宋体"/>
          <w:color w:val="000000"/>
          <w:kern w:val="0"/>
          <w:szCs w:val="21"/>
        </w:rPr>
        <w:t>预测参数设置</w:t>
      </w:r>
    </w:p>
    <w:p w14:paraId="1A2AC95A">
      <w:pPr>
        <w:widowControl/>
        <w:kinsoku w:val="0"/>
        <w:autoSpaceDE w:val="0"/>
        <w:autoSpaceDN w:val="0"/>
        <w:ind w:firstLine="420" w:firstLineChars="200"/>
        <w:textAlignment w:val="baseline"/>
        <w:rPr>
          <w:color w:val="000000"/>
          <w:kern w:val="0"/>
          <w:szCs w:val="21"/>
        </w:rPr>
      </w:pPr>
      <w:r>
        <w:rPr>
          <w:color w:val="000000"/>
          <w:kern w:val="0"/>
          <w:szCs w:val="21"/>
        </w:rPr>
        <w:t>a</w:t>
      </w:r>
      <w:r>
        <w:rPr>
          <w:rFonts w:hint="eastAsia" w:ascii="Cambria Math" w:hAnsi="Cambria Math" w:cs="Cambria Math"/>
          <w:color w:val="000000"/>
          <w:kern w:val="0"/>
          <w:szCs w:val="21"/>
        </w:rPr>
        <w:t>.</w:t>
      </w:r>
      <w:r>
        <w:rPr>
          <w:rFonts w:ascii="宋体" w:hAnsi="宋体"/>
          <w:color w:val="000000"/>
          <w:kern w:val="0"/>
          <w:szCs w:val="21"/>
        </w:rPr>
        <w:t>预测时段</w:t>
      </w:r>
    </w:p>
    <w:p w14:paraId="767B3FA8">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本工程预测时段主要为运营近期（</w:t>
      </w:r>
      <w:r>
        <w:rPr>
          <w:color w:val="000000"/>
          <w:kern w:val="0"/>
          <w:szCs w:val="21"/>
        </w:rPr>
        <w:t>202</w:t>
      </w:r>
      <w:r>
        <w:rPr>
          <w:rFonts w:hint="eastAsia"/>
          <w:color w:val="000000"/>
          <w:kern w:val="0"/>
          <w:szCs w:val="21"/>
        </w:rPr>
        <w:t>7</w:t>
      </w:r>
      <w:r>
        <w:rPr>
          <w:rFonts w:ascii="宋体" w:hAnsi="宋体"/>
          <w:color w:val="000000"/>
          <w:kern w:val="0"/>
          <w:szCs w:val="21"/>
        </w:rPr>
        <w:t>年）、运营中期（</w:t>
      </w:r>
      <w:r>
        <w:rPr>
          <w:color w:val="000000"/>
          <w:kern w:val="0"/>
          <w:szCs w:val="21"/>
        </w:rPr>
        <w:t>203</w:t>
      </w:r>
      <w:r>
        <w:rPr>
          <w:rFonts w:hint="eastAsia"/>
          <w:color w:val="000000"/>
          <w:kern w:val="0"/>
          <w:szCs w:val="21"/>
        </w:rPr>
        <w:t>3</w:t>
      </w:r>
      <w:r>
        <w:rPr>
          <w:rFonts w:ascii="宋体" w:hAnsi="宋体"/>
          <w:color w:val="000000"/>
          <w:kern w:val="0"/>
          <w:szCs w:val="21"/>
        </w:rPr>
        <w:t>年）、运营远期（</w:t>
      </w:r>
      <w:r>
        <w:rPr>
          <w:color w:val="000000"/>
          <w:kern w:val="0"/>
          <w:szCs w:val="21"/>
        </w:rPr>
        <w:t>20</w:t>
      </w:r>
      <w:r>
        <w:rPr>
          <w:rFonts w:hint="eastAsia"/>
          <w:color w:val="000000"/>
          <w:kern w:val="0"/>
          <w:szCs w:val="21"/>
        </w:rPr>
        <w:t>41</w:t>
      </w:r>
      <w:r>
        <w:rPr>
          <w:rFonts w:ascii="宋体" w:hAnsi="宋体"/>
          <w:color w:val="000000"/>
          <w:kern w:val="0"/>
          <w:szCs w:val="21"/>
        </w:rPr>
        <w:t>年）。</w:t>
      </w:r>
    </w:p>
    <w:p w14:paraId="7146188C">
      <w:pPr>
        <w:widowControl/>
        <w:kinsoku w:val="0"/>
        <w:autoSpaceDE w:val="0"/>
        <w:autoSpaceDN w:val="0"/>
        <w:ind w:firstLine="420" w:firstLineChars="200"/>
        <w:textAlignment w:val="baseline"/>
        <w:rPr>
          <w:color w:val="000000"/>
          <w:kern w:val="0"/>
          <w:szCs w:val="21"/>
        </w:rPr>
      </w:pPr>
      <w:r>
        <w:rPr>
          <w:color w:val="000000"/>
          <w:kern w:val="0"/>
          <w:szCs w:val="21"/>
        </w:rPr>
        <w:t>b</w:t>
      </w:r>
      <w:r>
        <w:rPr>
          <w:rFonts w:hint="eastAsia" w:ascii="Cambria Math" w:hAnsi="Cambria Math" w:cs="Cambria Math"/>
          <w:color w:val="000000"/>
          <w:kern w:val="0"/>
          <w:szCs w:val="21"/>
        </w:rPr>
        <w:t>.</w:t>
      </w:r>
      <w:r>
        <w:rPr>
          <w:rFonts w:ascii="宋体" w:hAnsi="宋体"/>
          <w:color w:val="000000"/>
          <w:kern w:val="0"/>
          <w:szCs w:val="21"/>
        </w:rPr>
        <w:t>预测交通量</w:t>
      </w:r>
    </w:p>
    <w:p w14:paraId="2928B144">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根据工程设计单位提供的路交通量预测</w:t>
      </w:r>
    </w:p>
    <w:p w14:paraId="192541AA">
      <w:pPr>
        <w:widowControl/>
        <w:kinsoku w:val="0"/>
        <w:autoSpaceDE w:val="0"/>
        <w:autoSpaceDN w:val="0"/>
        <w:ind w:firstLine="420" w:firstLineChars="200"/>
        <w:jc w:val="left"/>
        <w:textAlignment w:val="baseline"/>
        <w:rPr>
          <w:color w:val="000000"/>
          <w:kern w:val="0"/>
          <w:szCs w:val="21"/>
        </w:rPr>
      </w:pPr>
      <w:r>
        <w:rPr>
          <w:color w:val="000000"/>
          <w:kern w:val="0"/>
          <w:szCs w:val="21"/>
        </w:rPr>
        <w:t>c</w:t>
      </w:r>
      <w:r>
        <w:rPr>
          <w:rFonts w:hint="eastAsia" w:ascii="Cambria Math" w:hAnsi="Cambria Math" w:cs="Cambria Math"/>
          <w:color w:val="000000"/>
          <w:kern w:val="0"/>
          <w:szCs w:val="21"/>
        </w:rPr>
        <w:t>.</w:t>
      </w:r>
      <w:r>
        <w:rPr>
          <w:rFonts w:ascii="宋体" w:hAnsi="宋体"/>
          <w:color w:val="000000"/>
          <w:kern w:val="0"/>
          <w:szCs w:val="21"/>
        </w:rPr>
        <w:t>设计车速及其它预测参数</w:t>
      </w:r>
    </w:p>
    <w:p w14:paraId="4554E6EE">
      <w:pPr>
        <w:widowControl/>
        <w:kinsoku w:val="0"/>
        <w:autoSpaceDE w:val="0"/>
        <w:autoSpaceDN w:val="0"/>
        <w:ind w:firstLine="420" w:firstLineChars="200"/>
        <w:jc w:val="left"/>
        <w:textAlignment w:val="baseline"/>
        <w:rPr>
          <w:color w:val="000000"/>
          <w:kern w:val="0"/>
          <w:szCs w:val="21"/>
        </w:rPr>
      </w:pPr>
      <w:r>
        <w:rPr>
          <w:rFonts w:ascii="宋体" w:hAnsi="宋体"/>
          <w:color w:val="000000"/>
          <w:kern w:val="0"/>
          <w:szCs w:val="21"/>
        </w:rPr>
        <w:t>本项目预测时采用的参数设置情况见下表。</w:t>
      </w:r>
    </w:p>
    <w:p w14:paraId="652C1FEF">
      <w:pPr>
        <w:pStyle w:val="9"/>
        <w:spacing w:before="156"/>
      </w:pPr>
      <w:r>
        <w:t xml:space="preserve">专项表 </w:t>
      </w:r>
      <w:r>
        <w:fldChar w:fldCharType="begin"/>
      </w:r>
      <w:r>
        <w:instrText xml:space="preserve"> SEQ 专项表 \* ARABIC </w:instrText>
      </w:r>
      <w:r>
        <w:fldChar w:fldCharType="separate"/>
      </w:r>
      <w:r>
        <w:t>14</w:t>
      </w:r>
      <w:r>
        <w:fldChar w:fldCharType="end"/>
      </w:r>
      <w:r>
        <w:t>主要参数设置情况</w:t>
      </w:r>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2504"/>
        <w:gridCol w:w="1843"/>
        <w:gridCol w:w="4074"/>
      </w:tblGrid>
      <w:tr w14:paraId="532557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462" w:type="dxa"/>
            <w:vAlign w:val="center"/>
          </w:tcPr>
          <w:p w14:paraId="68D20E1B">
            <w:pPr>
              <w:widowControl/>
              <w:kinsoku w:val="0"/>
              <w:autoSpaceDE w:val="0"/>
              <w:autoSpaceDN w:val="0"/>
              <w:spacing w:line="240" w:lineRule="auto"/>
              <w:jc w:val="center"/>
              <w:textAlignment w:val="baseline"/>
              <w:outlineLvl w:val="1"/>
              <w:rPr>
                <w:b/>
                <w:color w:val="000000"/>
                <w:kern w:val="0"/>
                <w:sz w:val="18"/>
                <w:szCs w:val="18"/>
              </w:rPr>
            </w:pPr>
            <w:r>
              <w:rPr>
                <w:rFonts w:ascii="宋体" w:hAnsi="宋体"/>
                <w:b/>
                <w:color w:val="000000"/>
                <w:kern w:val="0"/>
                <w:sz w:val="18"/>
                <w:szCs w:val="18"/>
              </w:rPr>
              <w:t>参数</w:t>
            </w:r>
          </w:p>
        </w:tc>
        <w:tc>
          <w:tcPr>
            <w:tcW w:w="1811" w:type="dxa"/>
            <w:vAlign w:val="center"/>
          </w:tcPr>
          <w:p w14:paraId="5D740C6E">
            <w:pPr>
              <w:widowControl/>
              <w:kinsoku w:val="0"/>
              <w:autoSpaceDE w:val="0"/>
              <w:autoSpaceDN w:val="0"/>
              <w:spacing w:line="240" w:lineRule="auto"/>
              <w:jc w:val="center"/>
              <w:textAlignment w:val="baseline"/>
              <w:outlineLvl w:val="1"/>
              <w:rPr>
                <w:b/>
                <w:color w:val="000000"/>
                <w:kern w:val="0"/>
                <w:sz w:val="18"/>
                <w:szCs w:val="18"/>
              </w:rPr>
            </w:pPr>
            <w:r>
              <w:rPr>
                <w:rFonts w:ascii="宋体" w:hAnsi="宋体"/>
                <w:b/>
                <w:color w:val="000000"/>
                <w:kern w:val="0"/>
                <w:sz w:val="18"/>
                <w:szCs w:val="18"/>
              </w:rPr>
              <w:t>单位</w:t>
            </w:r>
          </w:p>
        </w:tc>
        <w:tc>
          <w:tcPr>
            <w:tcW w:w="4004" w:type="dxa"/>
            <w:vAlign w:val="center"/>
          </w:tcPr>
          <w:p w14:paraId="480DC402">
            <w:pPr>
              <w:widowControl/>
              <w:kinsoku w:val="0"/>
              <w:autoSpaceDE w:val="0"/>
              <w:autoSpaceDN w:val="0"/>
              <w:spacing w:line="240" w:lineRule="auto"/>
              <w:jc w:val="center"/>
              <w:textAlignment w:val="baseline"/>
              <w:outlineLvl w:val="1"/>
              <w:rPr>
                <w:b/>
                <w:color w:val="000000"/>
                <w:kern w:val="0"/>
                <w:sz w:val="18"/>
                <w:szCs w:val="18"/>
              </w:rPr>
            </w:pPr>
            <w:r>
              <w:rPr>
                <w:rFonts w:ascii="宋体" w:hAnsi="宋体"/>
                <w:b/>
                <w:color w:val="000000"/>
                <w:kern w:val="0"/>
                <w:sz w:val="18"/>
                <w:szCs w:val="18"/>
              </w:rPr>
              <w:t>系数</w:t>
            </w:r>
          </w:p>
        </w:tc>
      </w:tr>
      <w:tr w14:paraId="40039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462" w:type="dxa"/>
            <w:vAlign w:val="center"/>
          </w:tcPr>
          <w:p w14:paraId="5AA30343">
            <w:pPr>
              <w:widowControl/>
              <w:kinsoku w:val="0"/>
              <w:autoSpaceDE w:val="0"/>
              <w:autoSpaceDN w:val="0"/>
              <w:spacing w:line="240" w:lineRule="auto"/>
              <w:jc w:val="center"/>
              <w:textAlignment w:val="baseline"/>
              <w:outlineLvl w:val="1"/>
              <w:rPr>
                <w:b/>
                <w:color w:val="000000"/>
                <w:kern w:val="0"/>
                <w:sz w:val="18"/>
                <w:szCs w:val="18"/>
              </w:rPr>
            </w:pPr>
            <w:r>
              <w:rPr>
                <w:rFonts w:ascii="宋体" w:hAnsi="宋体"/>
                <w:b/>
                <w:color w:val="000000"/>
                <w:kern w:val="0"/>
                <w:sz w:val="18"/>
                <w:szCs w:val="18"/>
              </w:rPr>
              <w:t>最大车速</w:t>
            </w:r>
          </w:p>
        </w:tc>
        <w:tc>
          <w:tcPr>
            <w:tcW w:w="1811" w:type="dxa"/>
            <w:vAlign w:val="center"/>
          </w:tcPr>
          <w:p w14:paraId="3AC0FDE0">
            <w:pPr>
              <w:widowControl/>
              <w:kinsoku w:val="0"/>
              <w:autoSpaceDE w:val="0"/>
              <w:autoSpaceDN w:val="0"/>
              <w:spacing w:line="240" w:lineRule="auto"/>
              <w:jc w:val="center"/>
              <w:textAlignment w:val="baseline"/>
              <w:outlineLvl w:val="1"/>
              <w:rPr>
                <w:b/>
                <w:color w:val="000000"/>
                <w:kern w:val="0"/>
                <w:sz w:val="18"/>
                <w:szCs w:val="18"/>
              </w:rPr>
            </w:pPr>
            <w:r>
              <w:rPr>
                <w:b/>
                <w:color w:val="000000"/>
                <w:kern w:val="0"/>
                <w:sz w:val="18"/>
                <w:szCs w:val="18"/>
              </w:rPr>
              <w:t>km/h</w:t>
            </w:r>
          </w:p>
        </w:tc>
        <w:tc>
          <w:tcPr>
            <w:tcW w:w="4004" w:type="dxa"/>
            <w:vAlign w:val="center"/>
          </w:tcPr>
          <w:p w14:paraId="18D860BB">
            <w:pPr>
              <w:widowControl/>
              <w:kinsoku w:val="0"/>
              <w:autoSpaceDE w:val="0"/>
              <w:autoSpaceDN w:val="0"/>
              <w:spacing w:line="240" w:lineRule="auto"/>
              <w:jc w:val="center"/>
              <w:textAlignment w:val="baseline"/>
              <w:outlineLvl w:val="1"/>
              <w:rPr>
                <w:b/>
                <w:color w:val="000000"/>
                <w:kern w:val="0"/>
                <w:sz w:val="18"/>
                <w:szCs w:val="18"/>
              </w:rPr>
            </w:pPr>
            <w:r>
              <w:rPr>
                <w:rFonts w:hint="eastAsia"/>
                <w:b/>
                <w:color w:val="000000"/>
                <w:kern w:val="0"/>
                <w:sz w:val="18"/>
                <w:szCs w:val="18"/>
              </w:rPr>
              <w:t>40</w:t>
            </w:r>
          </w:p>
        </w:tc>
      </w:tr>
      <w:tr w14:paraId="101FAF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73" w:type="dxa"/>
            <w:gridSpan w:val="2"/>
            <w:vAlign w:val="center"/>
          </w:tcPr>
          <w:p w14:paraId="65D35ACC">
            <w:pPr>
              <w:widowControl/>
              <w:kinsoku w:val="0"/>
              <w:autoSpaceDE w:val="0"/>
              <w:autoSpaceDN w:val="0"/>
              <w:spacing w:line="240" w:lineRule="auto"/>
              <w:jc w:val="center"/>
              <w:textAlignment w:val="baseline"/>
              <w:outlineLvl w:val="1"/>
              <w:rPr>
                <w:color w:val="000000"/>
                <w:kern w:val="0"/>
                <w:sz w:val="18"/>
                <w:szCs w:val="18"/>
              </w:rPr>
            </w:pPr>
            <w:r>
              <w:rPr>
                <w:rFonts w:ascii="宋体" w:hAnsi="宋体"/>
                <w:color w:val="000000"/>
                <w:kern w:val="0"/>
                <w:sz w:val="18"/>
                <w:szCs w:val="18"/>
              </w:rPr>
              <w:t>路面形式</w:t>
            </w:r>
          </w:p>
        </w:tc>
        <w:tc>
          <w:tcPr>
            <w:tcW w:w="4004" w:type="dxa"/>
            <w:vAlign w:val="center"/>
          </w:tcPr>
          <w:p w14:paraId="784F2A89">
            <w:pPr>
              <w:widowControl/>
              <w:kinsoku w:val="0"/>
              <w:autoSpaceDE w:val="0"/>
              <w:autoSpaceDN w:val="0"/>
              <w:spacing w:line="240" w:lineRule="auto"/>
              <w:jc w:val="center"/>
              <w:textAlignment w:val="baseline"/>
              <w:outlineLvl w:val="1"/>
              <w:rPr>
                <w:color w:val="000000"/>
                <w:kern w:val="0"/>
                <w:sz w:val="18"/>
                <w:szCs w:val="18"/>
              </w:rPr>
            </w:pPr>
            <w:r>
              <w:rPr>
                <w:rFonts w:hint="eastAsia" w:ascii="宋体" w:hAnsi="宋体"/>
                <w:color w:val="000000"/>
                <w:kern w:val="0"/>
                <w:sz w:val="18"/>
                <w:szCs w:val="18"/>
              </w:rPr>
              <w:t>沥青混凝土</w:t>
            </w:r>
          </w:p>
        </w:tc>
      </w:tr>
      <w:tr w14:paraId="63F2B0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273" w:type="dxa"/>
            <w:gridSpan w:val="2"/>
            <w:vAlign w:val="center"/>
          </w:tcPr>
          <w:p w14:paraId="2A91F573">
            <w:pPr>
              <w:widowControl/>
              <w:kinsoku w:val="0"/>
              <w:autoSpaceDE w:val="0"/>
              <w:autoSpaceDN w:val="0"/>
              <w:spacing w:line="240" w:lineRule="auto"/>
              <w:jc w:val="center"/>
              <w:textAlignment w:val="baseline"/>
              <w:outlineLvl w:val="1"/>
              <w:rPr>
                <w:color w:val="000000"/>
                <w:kern w:val="0"/>
                <w:sz w:val="18"/>
                <w:szCs w:val="18"/>
              </w:rPr>
            </w:pPr>
            <w:r>
              <w:rPr>
                <w:rFonts w:ascii="宋体" w:hAnsi="宋体"/>
                <w:color w:val="000000"/>
                <w:kern w:val="0"/>
                <w:sz w:val="18"/>
                <w:szCs w:val="18"/>
              </w:rPr>
              <w:t>等声级线网格取值</w:t>
            </w:r>
          </w:p>
        </w:tc>
        <w:tc>
          <w:tcPr>
            <w:tcW w:w="4004" w:type="dxa"/>
            <w:vAlign w:val="center"/>
          </w:tcPr>
          <w:p w14:paraId="3C820B27">
            <w:pPr>
              <w:widowControl/>
              <w:kinsoku w:val="0"/>
              <w:autoSpaceDE w:val="0"/>
              <w:autoSpaceDN w:val="0"/>
              <w:spacing w:line="240" w:lineRule="auto"/>
              <w:jc w:val="center"/>
              <w:textAlignment w:val="baseline"/>
              <w:outlineLvl w:val="1"/>
              <w:rPr>
                <w:color w:val="000000"/>
                <w:kern w:val="0"/>
                <w:sz w:val="18"/>
                <w:szCs w:val="18"/>
              </w:rPr>
            </w:pPr>
            <w:r>
              <w:rPr>
                <w:color w:val="000000"/>
                <w:kern w:val="0"/>
                <w:sz w:val="18"/>
                <w:szCs w:val="18"/>
              </w:rPr>
              <w:t>1m×1m</w:t>
            </w:r>
          </w:p>
        </w:tc>
      </w:tr>
    </w:tbl>
    <w:p w14:paraId="7077ABA8">
      <w:pPr>
        <w:widowControl/>
        <w:kinsoku w:val="0"/>
        <w:autoSpaceDE w:val="0"/>
        <w:autoSpaceDN w:val="0"/>
        <w:ind w:firstLine="420" w:firstLineChars="200"/>
        <w:textAlignment w:val="baseline"/>
        <w:rPr>
          <w:color w:val="000000"/>
          <w:kern w:val="0"/>
          <w:szCs w:val="21"/>
        </w:rPr>
      </w:pPr>
      <w:r>
        <w:rPr>
          <w:rFonts w:hint="eastAsia"/>
          <w:color w:val="000000"/>
          <w:kern w:val="0"/>
          <w:szCs w:val="21"/>
        </w:rPr>
        <w:t>d</w:t>
      </w:r>
      <w:r>
        <w:rPr>
          <w:rFonts w:hint="eastAsia" w:ascii="Cambria Math" w:hAnsi="Cambria Math" w:cs="Cambria Math"/>
          <w:color w:val="000000"/>
          <w:kern w:val="0"/>
          <w:szCs w:val="21"/>
        </w:rPr>
        <w:t>.</w:t>
      </w:r>
      <w:r>
        <w:rPr>
          <w:rFonts w:ascii="宋体" w:hAnsi="宋体"/>
          <w:color w:val="000000"/>
          <w:kern w:val="0"/>
          <w:szCs w:val="21"/>
        </w:rPr>
        <w:t>路面参数</w:t>
      </w:r>
    </w:p>
    <w:p w14:paraId="3A012DAA">
      <w:pPr>
        <w:widowControl/>
        <w:kinsoku w:val="0"/>
        <w:autoSpaceDE w:val="0"/>
        <w:autoSpaceDN w:val="0"/>
        <w:ind w:firstLine="420" w:firstLineChars="200"/>
        <w:textAlignment w:val="baseline"/>
        <w:rPr>
          <w:color w:val="000000"/>
          <w:kern w:val="0"/>
          <w:szCs w:val="21"/>
        </w:rPr>
      </w:pPr>
      <w:bookmarkStart w:id="93" w:name="_Hlk114234710"/>
      <w:bookmarkEnd w:id="93"/>
      <w:r>
        <w:rPr>
          <w:rFonts w:ascii="宋体" w:hAnsi="宋体"/>
          <w:color w:val="000000"/>
          <w:kern w:val="0"/>
          <w:szCs w:val="21"/>
        </w:rPr>
        <w:t>本项目地面道路采用</w:t>
      </w:r>
      <w:r>
        <w:rPr>
          <w:rFonts w:hint="eastAsia" w:ascii="宋体" w:hAnsi="宋体"/>
          <w:color w:val="000000"/>
          <w:kern w:val="0"/>
          <w:szCs w:val="21"/>
        </w:rPr>
        <w:t>沥青混凝土</w:t>
      </w:r>
      <w:r>
        <w:rPr>
          <w:rFonts w:ascii="宋体" w:hAnsi="宋体"/>
          <w:color w:val="000000"/>
          <w:kern w:val="0"/>
          <w:szCs w:val="21"/>
        </w:rPr>
        <w:t>路面，根据《环境影响评价技术导则声环境》（</w:t>
      </w:r>
      <w:r>
        <w:rPr>
          <w:color w:val="000000"/>
          <w:kern w:val="0"/>
          <w:szCs w:val="21"/>
        </w:rPr>
        <w:t>HJ2.4-2021</w:t>
      </w:r>
      <w:r>
        <w:rPr>
          <w:rFonts w:ascii="宋体" w:hAnsi="宋体"/>
          <w:color w:val="000000"/>
          <w:kern w:val="0"/>
          <w:szCs w:val="21"/>
        </w:rPr>
        <w:t>）不同路面的噪声修正量，本次环评对沥青混凝土路面修正量为</w:t>
      </w:r>
      <w:r>
        <w:rPr>
          <w:color w:val="000000"/>
          <w:kern w:val="0"/>
          <w:szCs w:val="21"/>
        </w:rPr>
        <w:t>0dB</w:t>
      </w:r>
      <w:r>
        <w:rPr>
          <w:rFonts w:ascii="宋体" w:hAnsi="宋体"/>
          <w:color w:val="000000"/>
          <w:kern w:val="0"/>
          <w:szCs w:val="21"/>
        </w:rPr>
        <w:t>（</w:t>
      </w:r>
      <w:r>
        <w:rPr>
          <w:color w:val="000000"/>
          <w:kern w:val="0"/>
          <w:szCs w:val="21"/>
        </w:rPr>
        <w:t>A</w:t>
      </w:r>
      <w:r>
        <w:rPr>
          <w:rFonts w:ascii="宋体" w:hAnsi="宋体"/>
          <w:color w:val="000000"/>
          <w:kern w:val="0"/>
          <w:szCs w:val="21"/>
        </w:rPr>
        <w:t>）。</w:t>
      </w:r>
    </w:p>
    <w:p w14:paraId="5A41A04F">
      <w:pPr>
        <w:widowControl/>
        <w:kinsoku w:val="0"/>
        <w:autoSpaceDE w:val="0"/>
        <w:autoSpaceDN w:val="0"/>
        <w:ind w:firstLine="420" w:firstLineChars="200"/>
        <w:textAlignment w:val="baseline"/>
        <w:rPr>
          <w:color w:val="000000"/>
          <w:kern w:val="0"/>
          <w:szCs w:val="21"/>
        </w:rPr>
      </w:pPr>
      <w:r>
        <w:rPr>
          <w:rFonts w:hint="eastAsia"/>
          <w:color w:val="000000"/>
          <w:kern w:val="0"/>
          <w:szCs w:val="21"/>
        </w:rPr>
        <w:t>e</w:t>
      </w:r>
      <w:r>
        <w:rPr>
          <w:rFonts w:hint="eastAsia" w:ascii="Cambria Math" w:hAnsi="Cambria Math" w:cs="Cambria Math"/>
          <w:color w:val="000000"/>
          <w:kern w:val="0"/>
          <w:szCs w:val="21"/>
        </w:rPr>
        <w:t>.</w:t>
      </w:r>
      <w:r>
        <w:rPr>
          <w:rFonts w:ascii="宋体" w:hAnsi="宋体"/>
          <w:color w:val="000000"/>
          <w:kern w:val="0"/>
          <w:szCs w:val="21"/>
        </w:rPr>
        <w:t>敏感点背景值取值说明</w:t>
      </w:r>
    </w:p>
    <w:p w14:paraId="22AFD077">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本次评价中敏感点</w:t>
      </w:r>
      <w:r>
        <w:rPr>
          <w:rFonts w:hint="eastAsia" w:ascii="宋体" w:hAnsi="宋体"/>
          <w:color w:val="000000"/>
          <w:kern w:val="0"/>
          <w:szCs w:val="21"/>
        </w:rPr>
        <w:t>监测</w:t>
      </w:r>
      <w:r>
        <w:rPr>
          <w:rFonts w:ascii="宋体" w:hAnsi="宋体"/>
          <w:color w:val="000000"/>
          <w:kern w:val="0"/>
          <w:szCs w:val="21"/>
        </w:rPr>
        <w:t>值为其</w:t>
      </w:r>
      <w:r>
        <w:rPr>
          <w:color w:val="000000"/>
          <w:kern w:val="0"/>
          <w:szCs w:val="21"/>
        </w:rPr>
        <w:t>“</w:t>
      </w:r>
      <w:r>
        <w:rPr>
          <w:rFonts w:ascii="宋体" w:hAnsi="宋体"/>
          <w:color w:val="000000"/>
          <w:kern w:val="0"/>
          <w:szCs w:val="21"/>
        </w:rPr>
        <w:t>现状值</w:t>
      </w:r>
      <w:r>
        <w:rPr>
          <w:color w:val="000000"/>
          <w:kern w:val="0"/>
          <w:szCs w:val="21"/>
        </w:rPr>
        <w:t>”</w:t>
      </w:r>
      <w:r>
        <w:rPr>
          <w:rFonts w:ascii="宋体" w:hAnsi="宋体"/>
          <w:color w:val="000000"/>
          <w:kern w:val="0"/>
          <w:szCs w:val="21"/>
        </w:rPr>
        <w:t>；本项目对敏感点产生的噪声影响为</w:t>
      </w:r>
      <w:r>
        <w:rPr>
          <w:color w:val="000000"/>
          <w:kern w:val="0"/>
          <w:szCs w:val="21"/>
        </w:rPr>
        <w:t>“</w:t>
      </w:r>
      <w:r>
        <w:rPr>
          <w:rFonts w:ascii="宋体" w:hAnsi="宋体"/>
          <w:color w:val="000000"/>
          <w:kern w:val="0"/>
          <w:szCs w:val="21"/>
        </w:rPr>
        <w:t>贡献值</w:t>
      </w:r>
      <w:r>
        <w:rPr>
          <w:color w:val="000000"/>
          <w:kern w:val="0"/>
          <w:szCs w:val="21"/>
        </w:rPr>
        <w:t>”</w:t>
      </w:r>
      <w:r>
        <w:rPr>
          <w:rFonts w:ascii="宋体" w:hAnsi="宋体"/>
          <w:color w:val="000000"/>
          <w:kern w:val="0"/>
          <w:szCs w:val="21"/>
        </w:rPr>
        <w:t>；运营期除本项目以外其他声源对敏感点的噪声影响为</w:t>
      </w:r>
      <w:r>
        <w:rPr>
          <w:color w:val="000000"/>
          <w:kern w:val="0"/>
          <w:szCs w:val="21"/>
        </w:rPr>
        <w:t>“</w:t>
      </w:r>
      <w:r>
        <w:rPr>
          <w:rFonts w:ascii="宋体" w:hAnsi="宋体"/>
          <w:color w:val="000000"/>
          <w:kern w:val="0"/>
          <w:szCs w:val="21"/>
        </w:rPr>
        <w:t>背景值</w:t>
      </w:r>
      <w:r>
        <w:rPr>
          <w:color w:val="000000"/>
          <w:kern w:val="0"/>
          <w:szCs w:val="21"/>
        </w:rPr>
        <w:t>”</w:t>
      </w:r>
      <w:r>
        <w:rPr>
          <w:rFonts w:ascii="宋体" w:hAnsi="宋体"/>
          <w:color w:val="000000"/>
          <w:kern w:val="0"/>
          <w:szCs w:val="21"/>
        </w:rPr>
        <w:t>；敏感点运营期噪声</w:t>
      </w:r>
      <w:r>
        <w:rPr>
          <w:color w:val="000000"/>
          <w:kern w:val="0"/>
          <w:szCs w:val="21"/>
        </w:rPr>
        <w:t>“</w:t>
      </w:r>
      <w:r>
        <w:rPr>
          <w:rFonts w:ascii="宋体" w:hAnsi="宋体"/>
          <w:color w:val="000000"/>
          <w:kern w:val="0"/>
          <w:szCs w:val="21"/>
        </w:rPr>
        <w:t>预测值</w:t>
      </w:r>
      <w:r>
        <w:rPr>
          <w:color w:val="000000"/>
          <w:kern w:val="0"/>
          <w:szCs w:val="21"/>
        </w:rPr>
        <w:t>”</w:t>
      </w:r>
      <w:r>
        <w:rPr>
          <w:rFonts w:ascii="宋体" w:hAnsi="宋体"/>
          <w:color w:val="000000"/>
          <w:kern w:val="0"/>
          <w:szCs w:val="21"/>
        </w:rPr>
        <w:t>为</w:t>
      </w:r>
      <w:r>
        <w:rPr>
          <w:color w:val="000000"/>
          <w:kern w:val="0"/>
          <w:szCs w:val="21"/>
        </w:rPr>
        <w:t>“</w:t>
      </w:r>
      <w:r>
        <w:rPr>
          <w:rFonts w:ascii="宋体" w:hAnsi="宋体"/>
          <w:color w:val="000000"/>
          <w:kern w:val="0"/>
          <w:szCs w:val="21"/>
        </w:rPr>
        <w:t>贡献值</w:t>
      </w:r>
      <w:r>
        <w:rPr>
          <w:color w:val="000000"/>
          <w:kern w:val="0"/>
          <w:szCs w:val="21"/>
        </w:rPr>
        <w:t>”</w:t>
      </w:r>
      <w:r>
        <w:rPr>
          <w:rFonts w:ascii="宋体" w:hAnsi="宋体"/>
          <w:color w:val="000000"/>
          <w:kern w:val="0"/>
          <w:szCs w:val="21"/>
        </w:rPr>
        <w:t>与</w:t>
      </w:r>
      <w:r>
        <w:rPr>
          <w:color w:val="000000"/>
          <w:kern w:val="0"/>
          <w:szCs w:val="21"/>
        </w:rPr>
        <w:t>“</w:t>
      </w:r>
      <w:r>
        <w:rPr>
          <w:rFonts w:ascii="宋体" w:hAnsi="宋体"/>
          <w:color w:val="000000"/>
          <w:kern w:val="0"/>
          <w:szCs w:val="21"/>
        </w:rPr>
        <w:t>背景值</w:t>
      </w:r>
      <w:r>
        <w:rPr>
          <w:color w:val="000000"/>
          <w:kern w:val="0"/>
          <w:szCs w:val="21"/>
        </w:rPr>
        <w:t>”</w:t>
      </w:r>
      <w:r>
        <w:rPr>
          <w:rFonts w:ascii="宋体" w:hAnsi="宋体"/>
          <w:color w:val="000000"/>
          <w:kern w:val="0"/>
          <w:szCs w:val="21"/>
        </w:rPr>
        <w:t>的叠加。</w:t>
      </w:r>
    </w:p>
    <w:p w14:paraId="4DDD2FEF">
      <w:pPr>
        <w:widowControl/>
        <w:kinsoku w:val="0"/>
        <w:autoSpaceDE w:val="0"/>
        <w:autoSpaceDN w:val="0"/>
        <w:ind w:firstLine="420" w:firstLineChars="200"/>
        <w:textAlignment w:val="baseline"/>
        <w:rPr>
          <w:color w:val="000000"/>
          <w:kern w:val="0"/>
          <w:szCs w:val="21"/>
        </w:rPr>
      </w:pPr>
      <w:bookmarkStart w:id="94" w:name="OLE_LINK14"/>
      <w:commentRangeStart w:id="87"/>
      <w:commentRangeStart w:id="88"/>
      <w:r>
        <w:rPr>
          <w:rFonts w:hint="eastAsia"/>
          <w:color w:val="000000"/>
          <w:kern w:val="0"/>
          <w:szCs w:val="21"/>
        </w:rPr>
        <w:t>本项目所有</w:t>
      </w:r>
      <w:r>
        <w:rPr>
          <w:color w:val="000000"/>
          <w:kern w:val="0"/>
          <w:szCs w:val="21"/>
        </w:rPr>
        <w:t>监测结果以</w:t>
      </w:r>
      <w:r>
        <w:rPr>
          <w:rFonts w:hint="eastAsia"/>
          <w:color w:val="000000"/>
          <w:kern w:val="0"/>
          <w:szCs w:val="21"/>
        </w:rPr>
        <w:t xml:space="preserve"> </w:t>
      </w:r>
      <w:r>
        <w:rPr>
          <w:color w:val="000000"/>
          <w:kern w:val="0"/>
          <w:szCs w:val="21"/>
        </w:rPr>
        <w:t>Leq</w:t>
      </w:r>
      <w:r>
        <w:rPr>
          <w:rFonts w:hint="eastAsia"/>
          <w:color w:val="000000"/>
          <w:kern w:val="0"/>
          <w:szCs w:val="21"/>
        </w:rPr>
        <w:t xml:space="preserve"> </w:t>
      </w:r>
      <w:r>
        <w:rPr>
          <w:color w:val="000000"/>
          <w:kern w:val="0"/>
          <w:szCs w:val="21"/>
        </w:rPr>
        <w:t>计，单位为</w:t>
      </w:r>
      <w:r>
        <w:rPr>
          <w:rFonts w:hint="eastAsia"/>
          <w:color w:val="000000"/>
          <w:kern w:val="0"/>
          <w:szCs w:val="21"/>
        </w:rPr>
        <w:t xml:space="preserve"> </w:t>
      </w:r>
      <w:r>
        <w:rPr>
          <w:color w:val="000000"/>
          <w:kern w:val="0"/>
          <w:szCs w:val="21"/>
        </w:rPr>
        <w:t>dB(A)</w:t>
      </w:r>
      <w:r>
        <w:rPr>
          <w:rFonts w:hint="eastAsia"/>
          <w:color w:val="000000"/>
          <w:kern w:val="0"/>
          <w:szCs w:val="21"/>
        </w:rPr>
        <w:t>。</w:t>
      </w:r>
      <w:commentRangeEnd w:id="87"/>
      <w:r>
        <w:rPr>
          <w:rStyle w:val="38"/>
          <w:color w:val="000000"/>
          <w:kern w:val="0"/>
          <w:szCs w:val="21"/>
        </w:rPr>
        <w:commentReference w:id="87"/>
      </w:r>
      <w:commentRangeEnd w:id="88"/>
      <w:r>
        <w:rPr>
          <w:rStyle w:val="38"/>
          <w:color w:val="000000"/>
          <w:kern w:val="0"/>
          <w:szCs w:val="21"/>
        </w:rPr>
        <w:commentReference w:id="88"/>
      </w:r>
    </w:p>
    <w:bookmarkEnd w:id="94"/>
    <w:p w14:paraId="3984C156">
      <w:pPr>
        <w:widowControl/>
        <w:kinsoku w:val="0"/>
        <w:autoSpaceDE w:val="0"/>
        <w:autoSpaceDN w:val="0"/>
        <w:ind w:firstLine="420" w:firstLineChars="200"/>
        <w:textAlignment w:val="baseline"/>
        <w:rPr>
          <w:color w:val="000000"/>
          <w:kern w:val="0"/>
          <w:szCs w:val="21"/>
        </w:rPr>
      </w:pPr>
      <w:r>
        <w:t>f.</w:t>
      </w:r>
      <w:r>
        <w:rPr>
          <w:rFonts w:ascii="宋体" w:hAnsi="宋体"/>
          <w:color w:val="000000"/>
          <w:kern w:val="0"/>
          <w:szCs w:val="21"/>
        </w:rPr>
        <w:t>预测内容</w:t>
      </w:r>
    </w:p>
    <w:p w14:paraId="34F9CE18">
      <w:pPr>
        <w:widowControl/>
        <w:kinsoku w:val="0"/>
        <w:autoSpaceDE w:val="0"/>
        <w:autoSpaceDN w:val="0"/>
        <w:ind w:firstLine="420" w:firstLineChars="200"/>
        <w:textAlignment w:val="baseline"/>
        <w:rPr>
          <w:color w:val="000000"/>
          <w:kern w:val="0"/>
          <w:szCs w:val="21"/>
        </w:rPr>
      </w:pPr>
      <w:r>
        <w:rPr>
          <w:color w:val="000000"/>
          <w:kern w:val="0"/>
          <w:szCs w:val="21"/>
        </w:rPr>
        <w:t>Ⅰ</w:t>
      </w:r>
      <w:r>
        <w:rPr>
          <w:rFonts w:ascii="宋体" w:hAnsi="宋体"/>
          <w:color w:val="000000"/>
          <w:kern w:val="0"/>
          <w:szCs w:val="21"/>
        </w:rPr>
        <w:t>）按预测的车流量，预测道路不同时期</w:t>
      </w:r>
      <w:commentRangeStart w:id="89"/>
      <w:commentRangeStart w:id="90"/>
      <w:r>
        <w:rPr>
          <w:rFonts w:ascii="宋体" w:hAnsi="宋体"/>
          <w:color w:val="000000"/>
          <w:kern w:val="0"/>
          <w:szCs w:val="21"/>
        </w:rPr>
        <w:t>（近期、</w:t>
      </w:r>
      <w:commentRangeEnd w:id="89"/>
      <w:r>
        <w:rPr>
          <w:rStyle w:val="38"/>
          <w:rFonts w:ascii="宋体" w:hAnsi="宋体"/>
          <w:color w:val="000000"/>
          <w:kern w:val="0"/>
          <w:szCs w:val="21"/>
        </w:rPr>
        <w:commentReference w:id="89"/>
      </w:r>
      <w:commentRangeEnd w:id="90"/>
      <w:r>
        <w:rPr>
          <w:rStyle w:val="38"/>
          <w:rFonts w:ascii="宋体" w:hAnsi="宋体"/>
          <w:color w:val="000000"/>
          <w:kern w:val="0"/>
          <w:szCs w:val="21"/>
        </w:rPr>
        <w:commentReference w:id="90"/>
      </w:r>
      <w:r>
        <w:rPr>
          <w:rFonts w:ascii="宋体" w:hAnsi="宋体"/>
          <w:color w:val="000000"/>
          <w:kern w:val="0"/>
          <w:szCs w:val="21"/>
        </w:rPr>
        <w:t>中期、远期）计算点的贡献值、预测值，给出满足相应声环境功能区标准要求的距离。</w:t>
      </w:r>
    </w:p>
    <w:p w14:paraId="6E643DFE">
      <w:pPr>
        <w:widowControl/>
        <w:kinsoku w:val="0"/>
        <w:autoSpaceDE w:val="0"/>
        <w:autoSpaceDN w:val="0"/>
        <w:ind w:firstLine="420" w:firstLineChars="200"/>
        <w:textAlignment w:val="baseline"/>
        <w:rPr>
          <w:color w:val="000000"/>
          <w:kern w:val="0"/>
          <w:szCs w:val="21"/>
        </w:rPr>
      </w:pPr>
      <w:r>
        <w:rPr>
          <w:color w:val="000000"/>
          <w:kern w:val="0"/>
          <w:szCs w:val="21"/>
        </w:rPr>
        <w:t>Ⅱ</w:t>
      </w:r>
      <w:r>
        <w:rPr>
          <w:rFonts w:ascii="宋体" w:hAnsi="宋体"/>
          <w:color w:val="000000"/>
          <w:kern w:val="0"/>
          <w:szCs w:val="21"/>
        </w:rPr>
        <w:t>）分析敏感目标所受噪声影响的程度、范围和受影响人口分布情况。根据预测结果，提出相应降噪措施，并预测采取降噪措施后的噪声影响。</w:t>
      </w:r>
    </w:p>
    <w:p w14:paraId="16AB19DC">
      <w:pPr>
        <w:widowControl/>
        <w:kinsoku w:val="0"/>
        <w:autoSpaceDE w:val="0"/>
        <w:autoSpaceDN w:val="0"/>
        <w:ind w:firstLine="420" w:firstLineChars="200"/>
        <w:textAlignment w:val="baseline"/>
        <w:rPr>
          <w:color w:val="000000"/>
          <w:kern w:val="0"/>
          <w:szCs w:val="21"/>
        </w:rPr>
      </w:pPr>
      <w:r>
        <w:rPr>
          <w:color w:val="000000"/>
          <w:kern w:val="0"/>
          <w:szCs w:val="21"/>
        </w:rPr>
        <w:t>Ⅲ</w:t>
      </w:r>
      <w:r>
        <w:rPr>
          <w:rFonts w:ascii="宋体" w:hAnsi="宋体"/>
          <w:color w:val="000000"/>
          <w:kern w:val="0"/>
          <w:szCs w:val="21"/>
        </w:rPr>
        <w:t>）绘制道路等声级线图。</w:t>
      </w:r>
    </w:p>
    <w:p w14:paraId="3D0BC5A5">
      <w:pPr>
        <w:widowControl/>
        <w:kinsoku w:val="0"/>
        <w:autoSpaceDE w:val="0"/>
        <w:autoSpaceDN w:val="0"/>
        <w:ind w:firstLine="420" w:firstLineChars="200"/>
        <w:textAlignment w:val="baseline"/>
        <w:rPr>
          <w:color w:val="000000"/>
          <w:kern w:val="0"/>
          <w:szCs w:val="21"/>
        </w:rPr>
      </w:pPr>
      <w:r>
        <w:rPr>
          <w:rFonts w:hint="eastAsia" w:ascii="Cambria Math" w:hAnsi="Cambria Math" w:cs="Arial"/>
          <w:color w:val="000000"/>
          <w:kern w:val="0"/>
          <w:szCs w:val="21"/>
        </w:rPr>
        <w:t>③</w:t>
      </w:r>
      <w:r>
        <w:rPr>
          <w:rFonts w:ascii="宋体" w:hAnsi="宋体"/>
          <w:color w:val="000000"/>
          <w:kern w:val="0"/>
          <w:szCs w:val="21"/>
        </w:rPr>
        <w:t>噪声预测结果与评价</w:t>
      </w:r>
    </w:p>
    <w:p w14:paraId="07AA11AD">
      <w:pPr>
        <w:widowControl/>
        <w:kinsoku w:val="0"/>
        <w:autoSpaceDE w:val="0"/>
        <w:autoSpaceDN w:val="0"/>
        <w:ind w:firstLine="420" w:firstLineChars="200"/>
        <w:textAlignment w:val="baseline"/>
        <w:rPr>
          <w:color w:val="000000"/>
          <w:kern w:val="0"/>
          <w:szCs w:val="21"/>
        </w:rPr>
      </w:pPr>
      <w:r>
        <w:rPr>
          <w:color w:val="000000"/>
          <w:kern w:val="0"/>
          <w:szCs w:val="21"/>
        </w:rPr>
        <w:t>a</w:t>
      </w:r>
      <w:r>
        <w:rPr>
          <w:rFonts w:hint="eastAsia" w:ascii="Cambria Math" w:hAnsi="Cambria Math" w:cs="Cambria Math"/>
          <w:color w:val="000000"/>
          <w:kern w:val="0"/>
          <w:szCs w:val="21"/>
        </w:rPr>
        <w:t>.</w:t>
      </w:r>
      <w:r>
        <w:rPr>
          <w:rFonts w:ascii="宋体" w:hAnsi="宋体"/>
          <w:color w:val="000000"/>
          <w:kern w:val="0"/>
          <w:szCs w:val="21"/>
        </w:rPr>
        <w:t>评价范围和达标距离的确定</w:t>
      </w:r>
    </w:p>
    <w:p w14:paraId="2274DF4F">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根据《环境影响评价技术导则</w:t>
      </w:r>
      <w:r>
        <w:rPr>
          <w:rFonts w:hint="eastAsia"/>
          <w:color w:val="000000"/>
          <w:kern w:val="0"/>
          <w:szCs w:val="21"/>
        </w:rPr>
        <w:t xml:space="preserve"> </w:t>
      </w:r>
      <w:r>
        <w:rPr>
          <w:rFonts w:ascii="宋体" w:hAnsi="宋体"/>
          <w:color w:val="000000"/>
          <w:kern w:val="0"/>
          <w:szCs w:val="21"/>
        </w:rPr>
        <w:t>声环境》（</w:t>
      </w:r>
      <w:r>
        <w:rPr>
          <w:color w:val="000000"/>
          <w:kern w:val="0"/>
          <w:szCs w:val="21"/>
        </w:rPr>
        <w:t>HJ2.4-2021</w:t>
      </w:r>
      <w:r>
        <w:rPr>
          <w:rFonts w:ascii="宋体" w:hAnsi="宋体"/>
          <w:color w:val="000000"/>
          <w:kern w:val="0"/>
          <w:szCs w:val="21"/>
        </w:rPr>
        <w:t>），对于以移动声源为主的建设项目如公路、城市道路、铁路、城市轨道交通等地面交通：一级评价一般以道路中心线外两侧</w:t>
      </w:r>
      <w:r>
        <w:rPr>
          <w:color w:val="000000"/>
          <w:kern w:val="0"/>
          <w:szCs w:val="21"/>
        </w:rPr>
        <w:t>200m</w:t>
      </w:r>
      <w:r>
        <w:rPr>
          <w:rFonts w:ascii="宋体" w:hAnsi="宋体"/>
          <w:color w:val="000000"/>
          <w:kern w:val="0"/>
          <w:szCs w:val="21"/>
        </w:rPr>
        <w:t>以内为评价范围；如依据建设项目声源计算得到的贡献值到</w:t>
      </w:r>
      <w:r>
        <w:rPr>
          <w:color w:val="000000"/>
          <w:kern w:val="0"/>
          <w:szCs w:val="21"/>
        </w:rPr>
        <w:t>200m</w:t>
      </w:r>
      <w:r>
        <w:rPr>
          <w:rFonts w:ascii="宋体" w:hAnsi="宋体"/>
          <w:color w:val="000000"/>
          <w:kern w:val="0"/>
          <w:szCs w:val="21"/>
        </w:rPr>
        <w:t>处，仍不能满足相应功能区标准值时，应将评价范围扩大到满足标准值的距离。</w:t>
      </w:r>
    </w:p>
    <w:p w14:paraId="78A79BC8">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根据以上要求，本环评以工程实施后远期作为声源，在现有建筑存在的情况下进行计算得到达标距离及评价范围。测算本项目评价范围为道路边线外两侧</w:t>
      </w:r>
      <w:r>
        <w:rPr>
          <w:color w:val="000000"/>
          <w:kern w:val="0"/>
          <w:szCs w:val="21"/>
        </w:rPr>
        <w:t>200m</w:t>
      </w:r>
      <w:r>
        <w:rPr>
          <w:rFonts w:ascii="宋体" w:hAnsi="宋体"/>
          <w:color w:val="000000"/>
          <w:kern w:val="0"/>
          <w:szCs w:val="21"/>
        </w:rPr>
        <w:t>范围内。</w:t>
      </w:r>
    </w:p>
    <w:p w14:paraId="51104FCD">
      <w:pPr>
        <w:widowControl/>
        <w:kinsoku w:val="0"/>
        <w:autoSpaceDE w:val="0"/>
        <w:autoSpaceDN w:val="0"/>
        <w:ind w:firstLine="420" w:firstLineChars="200"/>
        <w:textAlignment w:val="baseline"/>
        <w:rPr>
          <w:color w:val="000000"/>
          <w:kern w:val="0"/>
          <w:szCs w:val="21"/>
        </w:rPr>
      </w:pPr>
      <w:r>
        <w:rPr>
          <w:color w:val="000000"/>
          <w:kern w:val="0"/>
          <w:szCs w:val="21"/>
        </w:rPr>
        <w:t>b</w:t>
      </w:r>
      <w:r>
        <w:rPr>
          <w:rFonts w:hint="eastAsia" w:ascii="Cambria Math" w:hAnsi="Cambria Math" w:cs="Cambria Math"/>
          <w:color w:val="000000"/>
          <w:kern w:val="0"/>
          <w:szCs w:val="21"/>
        </w:rPr>
        <w:t>.</w:t>
      </w:r>
      <w:r>
        <w:rPr>
          <w:rFonts w:ascii="宋体" w:hAnsi="宋体"/>
          <w:color w:val="000000"/>
          <w:kern w:val="0"/>
          <w:szCs w:val="21"/>
        </w:rPr>
        <w:t>预测结果</w:t>
      </w:r>
    </w:p>
    <w:p w14:paraId="79D246F5">
      <w:pPr>
        <w:widowControl/>
        <w:kinsoku w:val="0"/>
        <w:autoSpaceDE w:val="0"/>
        <w:autoSpaceDN w:val="0"/>
        <w:ind w:firstLine="420" w:firstLineChars="200"/>
        <w:textAlignment w:val="baseline"/>
        <w:rPr>
          <w:color w:val="000000"/>
          <w:kern w:val="0"/>
          <w:szCs w:val="21"/>
        </w:rPr>
      </w:pPr>
      <w:r>
        <w:rPr>
          <w:color w:val="000000"/>
          <w:kern w:val="0"/>
          <w:szCs w:val="21"/>
        </w:rPr>
        <w:t>Ⅰ</w:t>
      </w:r>
      <w:r>
        <w:rPr>
          <w:rFonts w:ascii="宋体" w:hAnsi="宋体"/>
          <w:color w:val="000000"/>
          <w:kern w:val="0"/>
          <w:szCs w:val="21"/>
        </w:rPr>
        <w:t>）空旷条件下不同道路断面水平道路衰减情况</w:t>
      </w:r>
    </w:p>
    <w:p w14:paraId="12F91CE4">
      <w:pPr>
        <w:widowControl/>
        <w:kinsoku w:val="0"/>
        <w:autoSpaceDE w:val="0"/>
        <w:autoSpaceDN w:val="0"/>
        <w:ind w:firstLine="420" w:firstLineChars="200"/>
        <w:textAlignment w:val="baseline"/>
        <w:rPr>
          <w:color w:val="000000"/>
          <w:kern w:val="0"/>
          <w:szCs w:val="21"/>
        </w:rPr>
      </w:pPr>
      <w:r>
        <w:rPr>
          <w:rFonts w:ascii="宋体" w:hAnsi="宋体"/>
          <w:color w:val="000000"/>
          <w:kern w:val="0"/>
          <w:szCs w:val="21"/>
        </w:rPr>
        <w:t>选取</w:t>
      </w:r>
      <w:r>
        <w:rPr>
          <w:rFonts w:hint="eastAsia" w:ascii="宋体" w:hAnsi="宋体"/>
          <w:color w:val="000000"/>
          <w:kern w:val="0"/>
          <w:szCs w:val="21"/>
        </w:rPr>
        <w:t>本项目平直路段</w:t>
      </w:r>
      <w:r>
        <w:rPr>
          <w:rFonts w:ascii="宋体" w:hAnsi="宋体"/>
          <w:color w:val="000000"/>
          <w:kern w:val="0"/>
          <w:szCs w:val="21"/>
        </w:rPr>
        <w:t>断面</w:t>
      </w:r>
      <w:r>
        <w:rPr>
          <w:rFonts w:hint="eastAsia" w:ascii="宋体" w:hAnsi="宋体"/>
          <w:color w:val="000000"/>
          <w:kern w:val="0"/>
          <w:szCs w:val="21"/>
        </w:rPr>
        <w:t>（</w:t>
      </w:r>
      <w:r>
        <w:rPr>
          <w:rFonts w:hint="eastAsia"/>
          <w:color w:val="000000"/>
          <w:kern w:val="0"/>
          <w:szCs w:val="21"/>
        </w:rPr>
        <w:t>40km/h</w:t>
      </w:r>
      <w:r>
        <w:rPr>
          <w:rFonts w:hint="eastAsia" w:ascii="宋体" w:hAnsi="宋体"/>
          <w:color w:val="000000"/>
          <w:kern w:val="0"/>
          <w:szCs w:val="21"/>
        </w:rPr>
        <w:t>）</w:t>
      </w:r>
      <w:r>
        <w:rPr>
          <w:rFonts w:ascii="宋体" w:hAnsi="宋体"/>
          <w:color w:val="000000"/>
          <w:kern w:val="0"/>
          <w:szCs w:val="21"/>
        </w:rPr>
        <w:t>进行空旷条件下水平衰减预测，其余参数见预测参数设置章节，具体结果见</w:t>
      </w:r>
      <w:r>
        <w:rPr>
          <w:rFonts w:hint="eastAsia" w:ascii="宋体" w:hAnsi="宋体"/>
          <w:color w:val="000000"/>
          <w:kern w:val="0"/>
          <w:szCs w:val="21"/>
        </w:rPr>
        <w:fldChar w:fldCharType="begin"/>
      </w:r>
      <w:r>
        <w:rPr>
          <w:rFonts w:hint="eastAsia" w:ascii="宋体" w:hAnsi="宋体"/>
          <w:color w:val="000000"/>
          <w:kern w:val="0"/>
          <w:szCs w:val="21"/>
        </w:rPr>
        <w:instrText xml:space="preserve"> </w:instrText>
      </w:r>
      <w:r>
        <w:rPr>
          <w:rFonts w:ascii="宋体" w:hAnsi="宋体"/>
          <w:color w:val="000000"/>
          <w:kern w:val="0"/>
          <w:szCs w:val="21"/>
        </w:rPr>
        <w:instrText xml:space="preserve">REF _Ref233708641 \h</w:instrText>
      </w:r>
      <w:r>
        <w:rPr>
          <w:rFonts w:hint="eastAsia" w:ascii="宋体" w:hAnsi="宋体"/>
          <w:color w:val="000000"/>
          <w:kern w:val="0"/>
          <w:szCs w:val="21"/>
        </w:rPr>
        <w:instrText xml:space="preserve"> </w:instrText>
      </w:r>
      <w:r>
        <w:rPr>
          <w:rFonts w:hint="eastAsia" w:ascii="宋体" w:hAnsi="宋体"/>
          <w:color w:val="000000"/>
          <w:kern w:val="0"/>
          <w:szCs w:val="21"/>
        </w:rPr>
        <w:fldChar w:fldCharType="separate"/>
      </w:r>
      <w:r>
        <w:rPr>
          <w:rStyle w:val="180"/>
          <w:rFonts w:hint="default" w:ascii="Times New Roman" w:hAnsi="Times New Roman"/>
          <w:color w:val="auto"/>
          <w:sz w:val="21"/>
          <w:szCs w:val="20"/>
        </w:rPr>
        <w:t>专项表 15</w:t>
      </w:r>
      <w:r>
        <w:rPr>
          <w:rFonts w:hint="eastAsia" w:ascii="宋体" w:hAnsi="宋体"/>
          <w:color w:val="000000"/>
          <w:kern w:val="0"/>
          <w:szCs w:val="21"/>
        </w:rPr>
        <w:fldChar w:fldCharType="end"/>
      </w:r>
      <w:r>
        <w:rPr>
          <w:rFonts w:ascii="宋体" w:hAnsi="宋体"/>
          <w:color w:val="000000"/>
          <w:kern w:val="0"/>
          <w:szCs w:val="21"/>
        </w:rPr>
        <w:t>。</w:t>
      </w:r>
    </w:p>
    <w:p w14:paraId="79D62247">
      <w:pPr>
        <w:pStyle w:val="9"/>
        <w:spacing w:before="156"/>
        <w:rPr>
          <w:rStyle w:val="180"/>
          <w:rFonts w:hint="default" w:ascii="Times New Roman" w:hAnsi="Times New Roman"/>
          <w:color w:val="auto"/>
          <w:sz w:val="21"/>
          <w:szCs w:val="20"/>
        </w:rPr>
      </w:pPr>
      <w:bookmarkStart w:id="95" w:name="_Ref233708641"/>
      <w:r>
        <w:rPr>
          <w:rStyle w:val="180"/>
          <w:rFonts w:hint="default" w:ascii="Times New Roman" w:hAnsi="Times New Roman"/>
          <w:color w:val="auto"/>
          <w:sz w:val="21"/>
          <w:szCs w:val="20"/>
        </w:rPr>
        <w:t xml:space="preserve">专项表 </w:t>
      </w:r>
      <w:r>
        <w:rPr>
          <w:rStyle w:val="180"/>
          <w:rFonts w:hint="default" w:ascii="Times New Roman" w:hAnsi="Times New Roman"/>
          <w:color w:val="auto"/>
          <w:sz w:val="21"/>
          <w:szCs w:val="20"/>
        </w:rPr>
        <w:fldChar w:fldCharType="begin"/>
      </w:r>
      <w:r>
        <w:rPr>
          <w:rStyle w:val="180"/>
          <w:rFonts w:hint="default" w:ascii="Times New Roman" w:hAnsi="Times New Roman"/>
          <w:color w:val="auto"/>
          <w:sz w:val="21"/>
          <w:szCs w:val="20"/>
        </w:rPr>
        <w:instrText xml:space="preserve"> SEQ 专项表 \* ARABIC </w:instrText>
      </w:r>
      <w:r>
        <w:rPr>
          <w:rStyle w:val="180"/>
          <w:rFonts w:hint="default" w:ascii="Times New Roman" w:hAnsi="Times New Roman"/>
          <w:color w:val="auto"/>
          <w:sz w:val="21"/>
          <w:szCs w:val="20"/>
        </w:rPr>
        <w:fldChar w:fldCharType="separate"/>
      </w:r>
      <w:r>
        <w:rPr>
          <w:rStyle w:val="180"/>
          <w:rFonts w:hint="default" w:ascii="Times New Roman" w:hAnsi="Times New Roman"/>
          <w:color w:val="auto"/>
          <w:sz w:val="21"/>
          <w:szCs w:val="20"/>
        </w:rPr>
        <w:t>15</w:t>
      </w:r>
      <w:r>
        <w:rPr>
          <w:rStyle w:val="180"/>
          <w:rFonts w:hint="default" w:ascii="Times New Roman" w:hAnsi="Times New Roman"/>
          <w:color w:val="auto"/>
          <w:sz w:val="21"/>
          <w:szCs w:val="20"/>
        </w:rPr>
        <w:fldChar w:fldCharType="end"/>
      </w:r>
      <w:bookmarkEnd w:id="95"/>
      <w:r>
        <w:rPr>
          <w:rStyle w:val="180"/>
          <w:rFonts w:hint="default" w:ascii="Times New Roman" w:hAnsi="Times New Roman"/>
          <w:color w:val="auto"/>
          <w:sz w:val="21"/>
          <w:szCs w:val="20"/>
        </w:rPr>
        <w:t>道路空旷条件下水平衰减情况</w:t>
      </w:r>
    </w:p>
    <w:tbl>
      <w:tblPr>
        <w:tblStyle w:val="30"/>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202"/>
        <w:gridCol w:w="1025"/>
        <w:gridCol w:w="1030"/>
        <w:gridCol w:w="1025"/>
        <w:gridCol w:w="1028"/>
        <w:gridCol w:w="1025"/>
        <w:gridCol w:w="1025"/>
      </w:tblGrid>
      <w:tr w14:paraId="63D14A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vMerge w:val="restart"/>
            <w:tcMar>
              <w:top w:w="28" w:type="dxa"/>
              <w:left w:w="28" w:type="dxa"/>
              <w:bottom w:w="28" w:type="dxa"/>
              <w:right w:w="28" w:type="dxa"/>
            </w:tcMar>
            <w:vAlign w:val="center"/>
          </w:tcPr>
          <w:p w14:paraId="26EDFAA0">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距道路中心线</w:t>
            </w:r>
          </w:p>
          <w:p w14:paraId="12B49748">
            <w:pPr>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w:t>
            </w:r>
            <w:r>
              <w:rPr>
                <w:b/>
                <w:bCs/>
                <w:color w:val="000000"/>
                <w:kern w:val="0"/>
                <w:sz w:val="18"/>
                <w:szCs w:val="18"/>
              </w:rPr>
              <w:t>m</w:t>
            </w:r>
            <w:r>
              <w:rPr>
                <w:rFonts w:hint="eastAsia" w:ascii="宋体" w:hAnsi="宋体"/>
                <w:b/>
                <w:bCs/>
                <w:color w:val="000000"/>
                <w:kern w:val="0"/>
                <w:sz w:val="18"/>
                <w:szCs w:val="18"/>
              </w:rPr>
              <w:t>）</w:t>
            </w:r>
          </w:p>
        </w:tc>
        <w:tc>
          <w:tcPr>
            <w:tcW w:w="1229" w:type="pct"/>
            <w:gridSpan w:val="2"/>
            <w:tcMar>
              <w:top w:w="28" w:type="dxa"/>
              <w:left w:w="28" w:type="dxa"/>
              <w:bottom w:w="28" w:type="dxa"/>
              <w:right w:w="28" w:type="dxa"/>
            </w:tcMar>
            <w:vAlign w:val="center"/>
          </w:tcPr>
          <w:p w14:paraId="351C5FC0">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近期</w:t>
            </w:r>
          </w:p>
        </w:tc>
        <w:tc>
          <w:tcPr>
            <w:tcW w:w="1228" w:type="pct"/>
            <w:gridSpan w:val="2"/>
            <w:tcMar>
              <w:top w:w="28" w:type="dxa"/>
              <w:left w:w="28" w:type="dxa"/>
              <w:bottom w:w="28" w:type="dxa"/>
              <w:right w:w="28" w:type="dxa"/>
            </w:tcMar>
            <w:vAlign w:val="center"/>
          </w:tcPr>
          <w:p w14:paraId="1C92243D">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中期</w:t>
            </w:r>
          </w:p>
        </w:tc>
        <w:tc>
          <w:tcPr>
            <w:tcW w:w="1226" w:type="pct"/>
            <w:gridSpan w:val="2"/>
            <w:tcMar>
              <w:top w:w="28" w:type="dxa"/>
              <w:left w:w="28" w:type="dxa"/>
              <w:bottom w:w="28" w:type="dxa"/>
              <w:right w:w="28" w:type="dxa"/>
            </w:tcMar>
            <w:vAlign w:val="center"/>
          </w:tcPr>
          <w:p w14:paraId="2D8509AF">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远期</w:t>
            </w:r>
          </w:p>
        </w:tc>
      </w:tr>
      <w:tr w14:paraId="6CE0B8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vMerge w:val="continue"/>
            <w:tcMar>
              <w:top w:w="28" w:type="dxa"/>
              <w:left w:w="28" w:type="dxa"/>
              <w:bottom w:w="28" w:type="dxa"/>
              <w:right w:w="28" w:type="dxa"/>
            </w:tcMar>
            <w:vAlign w:val="center"/>
          </w:tcPr>
          <w:p w14:paraId="6F11C502">
            <w:pPr>
              <w:widowControl/>
              <w:kinsoku w:val="0"/>
              <w:autoSpaceDE w:val="0"/>
              <w:autoSpaceDN w:val="0"/>
              <w:spacing w:line="240" w:lineRule="auto"/>
              <w:jc w:val="center"/>
              <w:textAlignment w:val="baseline"/>
              <w:rPr>
                <w:b/>
                <w:bCs/>
                <w:color w:val="000000"/>
                <w:kern w:val="0"/>
                <w:sz w:val="18"/>
                <w:szCs w:val="18"/>
              </w:rPr>
            </w:pPr>
          </w:p>
        </w:tc>
        <w:tc>
          <w:tcPr>
            <w:tcW w:w="613" w:type="pct"/>
            <w:tcMar>
              <w:top w:w="28" w:type="dxa"/>
              <w:left w:w="28" w:type="dxa"/>
              <w:bottom w:w="28" w:type="dxa"/>
              <w:right w:w="28" w:type="dxa"/>
            </w:tcMar>
            <w:vAlign w:val="center"/>
          </w:tcPr>
          <w:p w14:paraId="17BFCF19">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昼间</w:t>
            </w:r>
          </w:p>
        </w:tc>
        <w:tc>
          <w:tcPr>
            <w:tcW w:w="616" w:type="pct"/>
            <w:tcMar>
              <w:top w:w="28" w:type="dxa"/>
              <w:left w:w="28" w:type="dxa"/>
              <w:bottom w:w="28" w:type="dxa"/>
              <w:right w:w="28" w:type="dxa"/>
            </w:tcMar>
            <w:vAlign w:val="center"/>
          </w:tcPr>
          <w:p w14:paraId="34789ED1">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夜间</w:t>
            </w:r>
          </w:p>
        </w:tc>
        <w:tc>
          <w:tcPr>
            <w:tcW w:w="613" w:type="pct"/>
            <w:tcMar>
              <w:top w:w="28" w:type="dxa"/>
              <w:left w:w="28" w:type="dxa"/>
              <w:bottom w:w="28" w:type="dxa"/>
              <w:right w:w="28" w:type="dxa"/>
            </w:tcMar>
            <w:vAlign w:val="center"/>
          </w:tcPr>
          <w:p w14:paraId="12717C43">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昼间</w:t>
            </w:r>
          </w:p>
        </w:tc>
        <w:tc>
          <w:tcPr>
            <w:tcW w:w="615" w:type="pct"/>
            <w:tcMar>
              <w:top w:w="28" w:type="dxa"/>
              <w:left w:w="28" w:type="dxa"/>
              <w:bottom w:w="28" w:type="dxa"/>
              <w:right w:w="28" w:type="dxa"/>
            </w:tcMar>
            <w:vAlign w:val="center"/>
          </w:tcPr>
          <w:p w14:paraId="26B8E2FE">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夜间</w:t>
            </w:r>
          </w:p>
        </w:tc>
        <w:tc>
          <w:tcPr>
            <w:tcW w:w="613" w:type="pct"/>
            <w:tcMar>
              <w:top w:w="28" w:type="dxa"/>
              <w:left w:w="28" w:type="dxa"/>
              <w:bottom w:w="28" w:type="dxa"/>
              <w:right w:w="28" w:type="dxa"/>
            </w:tcMar>
            <w:vAlign w:val="center"/>
          </w:tcPr>
          <w:p w14:paraId="1DE8FD26">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昼间</w:t>
            </w:r>
          </w:p>
        </w:tc>
        <w:tc>
          <w:tcPr>
            <w:tcW w:w="613" w:type="pct"/>
            <w:tcMar>
              <w:top w:w="28" w:type="dxa"/>
              <w:left w:w="28" w:type="dxa"/>
              <w:bottom w:w="28" w:type="dxa"/>
              <w:right w:w="28" w:type="dxa"/>
            </w:tcMar>
            <w:vAlign w:val="center"/>
          </w:tcPr>
          <w:p w14:paraId="0E444A3D">
            <w:pPr>
              <w:widowControl/>
              <w:kinsoku w:val="0"/>
              <w:autoSpaceDE w:val="0"/>
              <w:autoSpaceDN w:val="0"/>
              <w:spacing w:line="240" w:lineRule="auto"/>
              <w:jc w:val="center"/>
              <w:textAlignment w:val="baseline"/>
              <w:rPr>
                <w:b/>
                <w:bCs/>
                <w:color w:val="000000"/>
                <w:kern w:val="0"/>
                <w:sz w:val="18"/>
                <w:szCs w:val="18"/>
              </w:rPr>
            </w:pPr>
            <w:r>
              <w:rPr>
                <w:rFonts w:hint="eastAsia" w:ascii="宋体" w:hAnsi="宋体"/>
                <w:b/>
                <w:bCs/>
                <w:color w:val="000000"/>
                <w:kern w:val="0"/>
                <w:sz w:val="18"/>
                <w:szCs w:val="18"/>
              </w:rPr>
              <w:t>夜间</w:t>
            </w:r>
          </w:p>
        </w:tc>
      </w:tr>
      <w:tr w14:paraId="39C2EC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041ED550">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20</w:t>
            </w:r>
          </w:p>
        </w:tc>
        <w:tc>
          <w:tcPr>
            <w:tcW w:w="613" w:type="pct"/>
            <w:tcMar>
              <w:top w:w="28" w:type="dxa"/>
              <w:left w:w="28" w:type="dxa"/>
              <w:bottom w:w="28" w:type="dxa"/>
              <w:right w:w="28" w:type="dxa"/>
            </w:tcMar>
            <w:vAlign w:val="center"/>
          </w:tcPr>
          <w:p w14:paraId="2DEA1822">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69.0</w:t>
            </w:r>
          </w:p>
        </w:tc>
        <w:tc>
          <w:tcPr>
            <w:tcW w:w="616" w:type="pct"/>
            <w:tcMar>
              <w:top w:w="28" w:type="dxa"/>
              <w:left w:w="28" w:type="dxa"/>
              <w:bottom w:w="28" w:type="dxa"/>
              <w:right w:w="28" w:type="dxa"/>
            </w:tcMar>
            <w:vAlign w:val="center"/>
          </w:tcPr>
          <w:p w14:paraId="08ACA16D">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59.1</w:t>
            </w:r>
          </w:p>
        </w:tc>
        <w:tc>
          <w:tcPr>
            <w:tcW w:w="613" w:type="pct"/>
            <w:tcMar>
              <w:top w:w="28" w:type="dxa"/>
              <w:left w:w="28" w:type="dxa"/>
              <w:bottom w:w="28" w:type="dxa"/>
              <w:right w:w="28" w:type="dxa"/>
            </w:tcMar>
            <w:vAlign w:val="center"/>
          </w:tcPr>
          <w:p w14:paraId="61B99A9A">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69.8</w:t>
            </w:r>
          </w:p>
        </w:tc>
        <w:tc>
          <w:tcPr>
            <w:tcW w:w="615" w:type="pct"/>
            <w:tcMar>
              <w:top w:w="28" w:type="dxa"/>
              <w:left w:w="28" w:type="dxa"/>
              <w:bottom w:w="28" w:type="dxa"/>
              <w:right w:w="28" w:type="dxa"/>
            </w:tcMar>
            <w:vAlign w:val="center"/>
          </w:tcPr>
          <w:p w14:paraId="286CF524">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60</w:t>
            </w:r>
          </w:p>
        </w:tc>
        <w:tc>
          <w:tcPr>
            <w:tcW w:w="613" w:type="pct"/>
            <w:tcMar>
              <w:top w:w="28" w:type="dxa"/>
              <w:left w:w="28" w:type="dxa"/>
              <w:bottom w:w="28" w:type="dxa"/>
              <w:right w:w="28" w:type="dxa"/>
            </w:tcMar>
            <w:vAlign w:val="center"/>
          </w:tcPr>
          <w:p w14:paraId="77052ED5">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70.7</w:t>
            </w:r>
          </w:p>
        </w:tc>
        <w:tc>
          <w:tcPr>
            <w:tcW w:w="613" w:type="pct"/>
            <w:tcMar>
              <w:top w:w="28" w:type="dxa"/>
              <w:left w:w="28" w:type="dxa"/>
              <w:bottom w:w="28" w:type="dxa"/>
              <w:right w:w="28" w:type="dxa"/>
            </w:tcMar>
            <w:vAlign w:val="center"/>
          </w:tcPr>
          <w:p w14:paraId="1CE28988">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60.9</w:t>
            </w:r>
          </w:p>
        </w:tc>
      </w:tr>
      <w:tr w14:paraId="3D89ED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05F664B4">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30</w:t>
            </w:r>
          </w:p>
        </w:tc>
        <w:tc>
          <w:tcPr>
            <w:tcW w:w="613" w:type="pct"/>
            <w:tcMar>
              <w:top w:w="28" w:type="dxa"/>
              <w:left w:w="28" w:type="dxa"/>
              <w:bottom w:w="28" w:type="dxa"/>
              <w:right w:w="28" w:type="dxa"/>
            </w:tcMar>
            <w:vAlign w:val="center"/>
          </w:tcPr>
          <w:p w14:paraId="58820E34">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63.7</w:t>
            </w:r>
          </w:p>
        </w:tc>
        <w:tc>
          <w:tcPr>
            <w:tcW w:w="616" w:type="pct"/>
            <w:tcMar>
              <w:top w:w="28" w:type="dxa"/>
              <w:left w:w="28" w:type="dxa"/>
              <w:bottom w:w="28" w:type="dxa"/>
              <w:right w:w="28" w:type="dxa"/>
            </w:tcMar>
            <w:vAlign w:val="center"/>
          </w:tcPr>
          <w:p w14:paraId="1067BF4E">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52.1</w:t>
            </w:r>
          </w:p>
        </w:tc>
        <w:tc>
          <w:tcPr>
            <w:tcW w:w="613" w:type="pct"/>
            <w:tcMar>
              <w:top w:w="28" w:type="dxa"/>
              <w:left w:w="28" w:type="dxa"/>
              <w:bottom w:w="28" w:type="dxa"/>
              <w:right w:w="28" w:type="dxa"/>
            </w:tcMar>
            <w:vAlign w:val="center"/>
          </w:tcPr>
          <w:p w14:paraId="7722C1B7">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64.5</w:t>
            </w:r>
          </w:p>
        </w:tc>
        <w:tc>
          <w:tcPr>
            <w:tcW w:w="615" w:type="pct"/>
            <w:tcMar>
              <w:top w:w="28" w:type="dxa"/>
              <w:left w:w="28" w:type="dxa"/>
              <w:bottom w:w="28" w:type="dxa"/>
              <w:right w:w="28" w:type="dxa"/>
            </w:tcMar>
            <w:vAlign w:val="center"/>
          </w:tcPr>
          <w:p w14:paraId="0B6E7408">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53</w:t>
            </w:r>
          </w:p>
        </w:tc>
        <w:tc>
          <w:tcPr>
            <w:tcW w:w="613" w:type="pct"/>
            <w:tcMar>
              <w:top w:w="28" w:type="dxa"/>
              <w:left w:w="28" w:type="dxa"/>
              <w:bottom w:w="28" w:type="dxa"/>
              <w:right w:w="28" w:type="dxa"/>
            </w:tcMar>
            <w:vAlign w:val="center"/>
          </w:tcPr>
          <w:p w14:paraId="276615C6">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65.5</w:t>
            </w:r>
          </w:p>
        </w:tc>
        <w:tc>
          <w:tcPr>
            <w:tcW w:w="613" w:type="pct"/>
            <w:tcMar>
              <w:top w:w="28" w:type="dxa"/>
              <w:left w:w="28" w:type="dxa"/>
              <w:bottom w:w="28" w:type="dxa"/>
              <w:right w:w="28" w:type="dxa"/>
            </w:tcMar>
            <w:vAlign w:val="center"/>
          </w:tcPr>
          <w:p w14:paraId="125E0F9E">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53.9</w:t>
            </w:r>
          </w:p>
        </w:tc>
      </w:tr>
      <w:tr w14:paraId="0B9C39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6F5D9E55">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40</w:t>
            </w:r>
          </w:p>
        </w:tc>
        <w:tc>
          <w:tcPr>
            <w:tcW w:w="613" w:type="pct"/>
            <w:tcMar>
              <w:top w:w="28" w:type="dxa"/>
              <w:left w:w="28" w:type="dxa"/>
              <w:bottom w:w="28" w:type="dxa"/>
              <w:right w:w="28" w:type="dxa"/>
            </w:tcMar>
            <w:vAlign w:val="center"/>
          </w:tcPr>
          <w:p w14:paraId="759016CA">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61.6</w:t>
            </w:r>
          </w:p>
        </w:tc>
        <w:tc>
          <w:tcPr>
            <w:tcW w:w="616" w:type="pct"/>
            <w:tcMar>
              <w:top w:w="28" w:type="dxa"/>
              <w:left w:w="28" w:type="dxa"/>
              <w:bottom w:w="28" w:type="dxa"/>
              <w:right w:w="28" w:type="dxa"/>
            </w:tcMar>
            <w:vAlign w:val="center"/>
          </w:tcPr>
          <w:p w14:paraId="33C74396">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49.2</w:t>
            </w:r>
          </w:p>
        </w:tc>
        <w:tc>
          <w:tcPr>
            <w:tcW w:w="613" w:type="pct"/>
            <w:tcMar>
              <w:top w:w="28" w:type="dxa"/>
              <w:left w:w="28" w:type="dxa"/>
              <w:bottom w:w="28" w:type="dxa"/>
              <w:right w:w="28" w:type="dxa"/>
            </w:tcMar>
            <w:vAlign w:val="center"/>
          </w:tcPr>
          <w:p w14:paraId="7E78A33C">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62.4</w:t>
            </w:r>
          </w:p>
        </w:tc>
        <w:tc>
          <w:tcPr>
            <w:tcW w:w="615" w:type="pct"/>
            <w:tcMar>
              <w:top w:w="28" w:type="dxa"/>
              <w:left w:w="28" w:type="dxa"/>
              <w:bottom w:w="28" w:type="dxa"/>
              <w:right w:w="28" w:type="dxa"/>
            </w:tcMar>
            <w:vAlign w:val="center"/>
          </w:tcPr>
          <w:p w14:paraId="751B3B84">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50.1</w:t>
            </w:r>
          </w:p>
        </w:tc>
        <w:tc>
          <w:tcPr>
            <w:tcW w:w="613" w:type="pct"/>
            <w:tcMar>
              <w:top w:w="28" w:type="dxa"/>
              <w:left w:w="28" w:type="dxa"/>
              <w:bottom w:w="28" w:type="dxa"/>
              <w:right w:w="28" w:type="dxa"/>
            </w:tcMar>
            <w:vAlign w:val="center"/>
          </w:tcPr>
          <w:p w14:paraId="30C72792">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63.3</w:t>
            </w:r>
          </w:p>
        </w:tc>
        <w:tc>
          <w:tcPr>
            <w:tcW w:w="613" w:type="pct"/>
            <w:tcMar>
              <w:top w:w="28" w:type="dxa"/>
              <w:left w:w="28" w:type="dxa"/>
              <w:bottom w:w="28" w:type="dxa"/>
              <w:right w:w="28" w:type="dxa"/>
            </w:tcMar>
            <w:vAlign w:val="center"/>
          </w:tcPr>
          <w:p w14:paraId="6345E62D">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51</w:t>
            </w:r>
          </w:p>
        </w:tc>
      </w:tr>
      <w:tr w14:paraId="203834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0365CF1A">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50</w:t>
            </w:r>
          </w:p>
        </w:tc>
        <w:tc>
          <w:tcPr>
            <w:tcW w:w="613" w:type="pct"/>
            <w:tcMar>
              <w:top w:w="28" w:type="dxa"/>
              <w:left w:w="28" w:type="dxa"/>
              <w:bottom w:w="28" w:type="dxa"/>
              <w:right w:w="28" w:type="dxa"/>
            </w:tcMar>
            <w:vAlign w:val="center"/>
          </w:tcPr>
          <w:p w14:paraId="73C6C1CE">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60.2</w:t>
            </w:r>
          </w:p>
        </w:tc>
        <w:tc>
          <w:tcPr>
            <w:tcW w:w="616" w:type="pct"/>
            <w:tcMar>
              <w:top w:w="28" w:type="dxa"/>
              <w:left w:w="28" w:type="dxa"/>
              <w:bottom w:w="28" w:type="dxa"/>
              <w:right w:w="28" w:type="dxa"/>
            </w:tcMar>
            <w:vAlign w:val="center"/>
          </w:tcPr>
          <w:p w14:paraId="2B05DFDE">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47.2</w:t>
            </w:r>
          </w:p>
        </w:tc>
        <w:tc>
          <w:tcPr>
            <w:tcW w:w="613" w:type="pct"/>
            <w:tcMar>
              <w:top w:w="28" w:type="dxa"/>
              <w:left w:w="28" w:type="dxa"/>
              <w:bottom w:w="28" w:type="dxa"/>
              <w:right w:w="28" w:type="dxa"/>
            </w:tcMar>
            <w:vAlign w:val="center"/>
          </w:tcPr>
          <w:p w14:paraId="1B6A0E02">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61</w:t>
            </w:r>
          </w:p>
        </w:tc>
        <w:tc>
          <w:tcPr>
            <w:tcW w:w="615" w:type="pct"/>
            <w:tcMar>
              <w:top w:w="28" w:type="dxa"/>
              <w:left w:w="28" w:type="dxa"/>
              <w:bottom w:w="28" w:type="dxa"/>
              <w:right w:w="28" w:type="dxa"/>
            </w:tcMar>
            <w:vAlign w:val="center"/>
          </w:tcPr>
          <w:p w14:paraId="4EA82BB5">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48.1</w:t>
            </w:r>
          </w:p>
        </w:tc>
        <w:tc>
          <w:tcPr>
            <w:tcW w:w="613" w:type="pct"/>
            <w:tcMar>
              <w:top w:w="28" w:type="dxa"/>
              <w:left w:w="28" w:type="dxa"/>
              <w:bottom w:w="28" w:type="dxa"/>
              <w:right w:w="28" w:type="dxa"/>
            </w:tcMar>
            <w:vAlign w:val="center"/>
          </w:tcPr>
          <w:p w14:paraId="24A19573">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61.9</w:t>
            </w:r>
          </w:p>
        </w:tc>
        <w:tc>
          <w:tcPr>
            <w:tcW w:w="613" w:type="pct"/>
            <w:tcMar>
              <w:top w:w="28" w:type="dxa"/>
              <w:left w:w="28" w:type="dxa"/>
              <w:bottom w:w="28" w:type="dxa"/>
              <w:right w:w="28" w:type="dxa"/>
            </w:tcMar>
            <w:vAlign w:val="center"/>
          </w:tcPr>
          <w:p w14:paraId="65EF1652">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49</w:t>
            </w:r>
          </w:p>
        </w:tc>
      </w:tr>
      <w:tr w14:paraId="1A968E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274ECE0E">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60</w:t>
            </w:r>
          </w:p>
        </w:tc>
        <w:tc>
          <w:tcPr>
            <w:tcW w:w="613" w:type="pct"/>
            <w:tcMar>
              <w:top w:w="28" w:type="dxa"/>
              <w:left w:w="28" w:type="dxa"/>
              <w:bottom w:w="28" w:type="dxa"/>
              <w:right w:w="28" w:type="dxa"/>
            </w:tcMar>
            <w:vAlign w:val="center"/>
          </w:tcPr>
          <w:p w14:paraId="1543B54C">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59.0</w:t>
            </w:r>
          </w:p>
        </w:tc>
        <w:tc>
          <w:tcPr>
            <w:tcW w:w="616" w:type="pct"/>
            <w:tcMar>
              <w:top w:w="28" w:type="dxa"/>
              <w:left w:w="28" w:type="dxa"/>
              <w:bottom w:w="28" w:type="dxa"/>
              <w:right w:w="28" w:type="dxa"/>
            </w:tcMar>
            <w:vAlign w:val="center"/>
          </w:tcPr>
          <w:p w14:paraId="618EDFA7">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45.7</w:t>
            </w:r>
          </w:p>
        </w:tc>
        <w:tc>
          <w:tcPr>
            <w:tcW w:w="613" w:type="pct"/>
            <w:tcMar>
              <w:top w:w="28" w:type="dxa"/>
              <w:left w:w="28" w:type="dxa"/>
              <w:bottom w:w="28" w:type="dxa"/>
              <w:right w:w="28" w:type="dxa"/>
            </w:tcMar>
            <w:vAlign w:val="center"/>
          </w:tcPr>
          <w:p w14:paraId="4126E89A">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59.9</w:t>
            </w:r>
          </w:p>
        </w:tc>
        <w:tc>
          <w:tcPr>
            <w:tcW w:w="615" w:type="pct"/>
            <w:tcMar>
              <w:top w:w="28" w:type="dxa"/>
              <w:left w:w="28" w:type="dxa"/>
              <w:bottom w:w="28" w:type="dxa"/>
              <w:right w:w="28" w:type="dxa"/>
            </w:tcMar>
            <w:vAlign w:val="center"/>
          </w:tcPr>
          <w:p w14:paraId="0CB63B1C">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46.5</w:t>
            </w:r>
          </w:p>
        </w:tc>
        <w:tc>
          <w:tcPr>
            <w:tcW w:w="613" w:type="pct"/>
            <w:tcMar>
              <w:top w:w="28" w:type="dxa"/>
              <w:left w:w="28" w:type="dxa"/>
              <w:bottom w:w="28" w:type="dxa"/>
              <w:right w:w="28" w:type="dxa"/>
            </w:tcMar>
            <w:vAlign w:val="center"/>
          </w:tcPr>
          <w:p w14:paraId="46064882">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60.8</w:t>
            </w:r>
          </w:p>
        </w:tc>
        <w:tc>
          <w:tcPr>
            <w:tcW w:w="613" w:type="pct"/>
            <w:tcMar>
              <w:top w:w="28" w:type="dxa"/>
              <w:left w:w="28" w:type="dxa"/>
              <w:bottom w:w="28" w:type="dxa"/>
              <w:right w:w="28" w:type="dxa"/>
            </w:tcMar>
            <w:vAlign w:val="center"/>
          </w:tcPr>
          <w:p w14:paraId="7A188AED">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47.5</w:t>
            </w:r>
          </w:p>
        </w:tc>
      </w:tr>
      <w:tr w14:paraId="00BCAE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1CF5D212">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80</w:t>
            </w:r>
          </w:p>
        </w:tc>
        <w:tc>
          <w:tcPr>
            <w:tcW w:w="613" w:type="pct"/>
            <w:tcMar>
              <w:top w:w="28" w:type="dxa"/>
              <w:left w:w="28" w:type="dxa"/>
              <w:bottom w:w="28" w:type="dxa"/>
              <w:right w:w="28" w:type="dxa"/>
            </w:tcMar>
            <w:vAlign w:val="center"/>
          </w:tcPr>
          <w:p w14:paraId="1D88CA51">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57.5</w:t>
            </w:r>
          </w:p>
        </w:tc>
        <w:tc>
          <w:tcPr>
            <w:tcW w:w="616" w:type="pct"/>
            <w:tcMar>
              <w:top w:w="28" w:type="dxa"/>
              <w:left w:w="28" w:type="dxa"/>
              <w:bottom w:w="28" w:type="dxa"/>
              <w:right w:w="28" w:type="dxa"/>
            </w:tcMar>
            <w:vAlign w:val="center"/>
          </w:tcPr>
          <w:p w14:paraId="23C64DBC">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43.8</w:t>
            </w:r>
          </w:p>
        </w:tc>
        <w:tc>
          <w:tcPr>
            <w:tcW w:w="613" w:type="pct"/>
            <w:tcMar>
              <w:top w:w="28" w:type="dxa"/>
              <w:left w:w="28" w:type="dxa"/>
              <w:bottom w:w="28" w:type="dxa"/>
              <w:right w:w="28" w:type="dxa"/>
            </w:tcMar>
            <w:vAlign w:val="center"/>
          </w:tcPr>
          <w:p w14:paraId="09A0E3A4">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58.3</w:t>
            </w:r>
          </w:p>
        </w:tc>
        <w:tc>
          <w:tcPr>
            <w:tcW w:w="615" w:type="pct"/>
            <w:tcMar>
              <w:top w:w="28" w:type="dxa"/>
              <w:left w:w="28" w:type="dxa"/>
              <w:bottom w:w="28" w:type="dxa"/>
              <w:right w:w="28" w:type="dxa"/>
            </w:tcMar>
            <w:vAlign w:val="center"/>
          </w:tcPr>
          <w:p w14:paraId="7C49C2D9">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44.6</w:t>
            </w:r>
          </w:p>
        </w:tc>
        <w:tc>
          <w:tcPr>
            <w:tcW w:w="613" w:type="pct"/>
            <w:tcMar>
              <w:top w:w="28" w:type="dxa"/>
              <w:left w:w="28" w:type="dxa"/>
              <w:bottom w:w="28" w:type="dxa"/>
              <w:right w:w="28" w:type="dxa"/>
            </w:tcMar>
            <w:vAlign w:val="center"/>
          </w:tcPr>
          <w:p w14:paraId="34C4E87B">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59.2</w:t>
            </w:r>
          </w:p>
        </w:tc>
        <w:tc>
          <w:tcPr>
            <w:tcW w:w="613" w:type="pct"/>
            <w:tcMar>
              <w:top w:w="28" w:type="dxa"/>
              <w:left w:w="28" w:type="dxa"/>
              <w:bottom w:w="28" w:type="dxa"/>
              <w:right w:w="28" w:type="dxa"/>
            </w:tcMar>
            <w:vAlign w:val="center"/>
          </w:tcPr>
          <w:p w14:paraId="01179506">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45.6</w:t>
            </w:r>
          </w:p>
        </w:tc>
      </w:tr>
      <w:tr w14:paraId="317648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6182C586">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100</w:t>
            </w:r>
          </w:p>
        </w:tc>
        <w:tc>
          <w:tcPr>
            <w:tcW w:w="613" w:type="pct"/>
            <w:tcMar>
              <w:top w:w="28" w:type="dxa"/>
              <w:left w:w="28" w:type="dxa"/>
              <w:bottom w:w="28" w:type="dxa"/>
              <w:right w:w="28" w:type="dxa"/>
            </w:tcMar>
            <w:vAlign w:val="center"/>
          </w:tcPr>
          <w:p w14:paraId="70E095E1">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56.2</w:t>
            </w:r>
          </w:p>
        </w:tc>
        <w:tc>
          <w:tcPr>
            <w:tcW w:w="616" w:type="pct"/>
            <w:tcMar>
              <w:top w:w="28" w:type="dxa"/>
              <w:left w:w="28" w:type="dxa"/>
              <w:bottom w:w="28" w:type="dxa"/>
              <w:right w:w="28" w:type="dxa"/>
            </w:tcMar>
            <w:vAlign w:val="center"/>
          </w:tcPr>
          <w:p w14:paraId="72E2D56B">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42.2</w:t>
            </w:r>
          </w:p>
        </w:tc>
        <w:tc>
          <w:tcPr>
            <w:tcW w:w="613" w:type="pct"/>
            <w:tcMar>
              <w:top w:w="28" w:type="dxa"/>
              <w:left w:w="28" w:type="dxa"/>
              <w:bottom w:w="28" w:type="dxa"/>
              <w:right w:w="28" w:type="dxa"/>
            </w:tcMar>
            <w:vAlign w:val="center"/>
          </w:tcPr>
          <w:p w14:paraId="03224D4E">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57.1</w:t>
            </w:r>
          </w:p>
        </w:tc>
        <w:tc>
          <w:tcPr>
            <w:tcW w:w="615" w:type="pct"/>
            <w:tcMar>
              <w:top w:w="28" w:type="dxa"/>
              <w:left w:w="28" w:type="dxa"/>
              <w:bottom w:w="28" w:type="dxa"/>
              <w:right w:w="28" w:type="dxa"/>
            </w:tcMar>
            <w:vAlign w:val="center"/>
          </w:tcPr>
          <w:p w14:paraId="55FC5E4F">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43.1</w:t>
            </w:r>
          </w:p>
        </w:tc>
        <w:tc>
          <w:tcPr>
            <w:tcW w:w="613" w:type="pct"/>
            <w:tcMar>
              <w:top w:w="28" w:type="dxa"/>
              <w:left w:w="28" w:type="dxa"/>
              <w:bottom w:w="28" w:type="dxa"/>
              <w:right w:w="28" w:type="dxa"/>
            </w:tcMar>
            <w:vAlign w:val="center"/>
          </w:tcPr>
          <w:p w14:paraId="4DBAE6A6">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58</w:t>
            </w:r>
          </w:p>
        </w:tc>
        <w:tc>
          <w:tcPr>
            <w:tcW w:w="613" w:type="pct"/>
            <w:tcMar>
              <w:top w:w="28" w:type="dxa"/>
              <w:left w:w="28" w:type="dxa"/>
              <w:bottom w:w="28" w:type="dxa"/>
              <w:right w:w="28" w:type="dxa"/>
            </w:tcMar>
            <w:vAlign w:val="center"/>
          </w:tcPr>
          <w:p w14:paraId="162F5901">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44</w:t>
            </w:r>
          </w:p>
        </w:tc>
      </w:tr>
      <w:tr w14:paraId="0C903D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21B59453">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120</w:t>
            </w:r>
          </w:p>
        </w:tc>
        <w:tc>
          <w:tcPr>
            <w:tcW w:w="613" w:type="pct"/>
            <w:tcMar>
              <w:top w:w="28" w:type="dxa"/>
              <w:left w:w="28" w:type="dxa"/>
              <w:bottom w:w="28" w:type="dxa"/>
              <w:right w:w="28" w:type="dxa"/>
            </w:tcMar>
            <w:vAlign w:val="center"/>
          </w:tcPr>
          <w:p w14:paraId="4E0809F2">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55.1</w:t>
            </w:r>
          </w:p>
        </w:tc>
        <w:tc>
          <w:tcPr>
            <w:tcW w:w="616" w:type="pct"/>
            <w:tcMar>
              <w:top w:w="28" w:type="dxa"/>
              <w:left w:w="28" w:type="dxa"/>
              <w:bottom w:w="28" w:type="dxa"/>
              <w:right w:w="28" w:type="dxa"/>
            </w:tcMar>
            <w:vAlign w:val="center"/>
          </w:tcPr>
          <w:p w14:paraId="257261EE">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40.2</w:t>
            </w:r>
          </w:p>
        </w:tc>
        <w:tc>
          <w:tcPr>
            <w:tcW w:w="613" w:type="pct"/>
            <w:tcMar>
              <w:top w:w="28" w:type="dxa"/>
              <w:left w:w="28" w:type="dxa"/>
              <w:bottom w:w="28" w:type="dxa"/>
              <w:right w:w="28" w:type="dxa"/>
            </w:tcMar>
            <w:vAlign w:val="center"/>
          </w:tcPr>
          <w:p w14:paraId="3023B936">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56</w:t>
            </w:r>
          </w:p>
        </w:tc>
        <w:tc>
          <w:tcPr>
            <w:tcW w:w="615" w:type="pct"/>
            <w:tcMar>
              <w:top w:w="28" w:type="dxa"/>
              <w:left w:w="28" w:type="dxa"/>
              <w:bottom w:w="28" w:type="dxa"/>
              <w:right w:w="28" w:type="dxa"/>
            </w:tcMar>
            <w:vAlign w:val="center"/>
          </w:tcPr>
          <w:p w14:paraId="6585069C">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41.1</w:t>
            </w:r>
          </w:p>
        </w:tc>
        <w:tc>
          <w:tcPr>
            <w:tcW w:w="613" w:type="pct"/>
            <w:tcMar>
              <w:top w:w="28" w:type="dxa"/>
              <w:left w:w="28" w:type="dxa"/>
              <w:bottom w:w="28" w:type="dxa"/>
              <w:right w:w="28" w:type="dxa"/>
            </w:tcMar>
            <w:vAlign w:val="center"/>
          </w:tcPr>
          <w:p w14:paraId="3B5B7F24">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56.9</w:t>
            </w:r>
          </w:p>
        </w:tc>
        <w:tc>
          <w:tcPr>
            <w:tcW w:w="613" w:type="pct"/>
            <w:tcMar>
              <w:top w:w="28" w:type="dxa"/>
              <w:left w:w="28" w:type="dxa"/>
              <w:bottom w:w="28" w:type="dxa"/>
              <w:right w:w="28" w:type="dxa"/>
            </w:tcMar>
            <w:vAlign w:val="center"/>
          </w:tcPr>
          <w:p w14:paraId="40295435">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42</w:t>
            </w:r>
          </w:p>
        </w:tc>
      </w:tr>
      <w:tr w14:paraId="6AB08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149C3B66">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160</w:t>
            </w:r>
          </w:p>
        </w:tc>
        <w:tc>
          <w:tcPr>
            <w:tcW w:w="613" w:type="pct"/>
            <w:tcMar>
              <w:top w:w="28" w:type="dxa"/>
              <w:left w:w="28" w:type="dxa"/>
              <w:bottom w:w="28" w:type="dxa"/>
              <w:right w:w="28" w:type="dxa"/>
            </w:tcMar>
            <w:vAlign w:val="center"/>
          </w:tcPr>
          <w:p w14:paraId="489F6815">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53.5</w:t>
            </w:r>
          </w:p>
        </w:tc>
        <w:tc>
          <w:tcPr>
            <w:tcW w:w="616" w:type="pct"/>
            <w:tcMar>
              <w:top w:w="28" w:type="dxa"/>
              <w:left w:w="28" w:type="dxa"/>
              <w:bottom w:w="28" w:type="dxa"/>
              <w:right w:w="28" w:type="dxa"/>
            </w:tcMar>
            <w:vAlign w:val="center"/>
          </w:tcPr>
          <w:p w14:paraId="2668D807">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37.8</w:t>
            </w:r>
          </w:p>
        </w:tc>
        <w:tc>
          <w:tcPr>
            <w:tcW w:w="613" w:type="pct"/>
            <w:tcMar>
              <w:top w:w="28" w:type="dxa"/>
              <w:left w:w="28" w:type="dxa"/>
              <w:bottom w:w="28" w:type="dxa"/>
              <w:right w:w="28" w:type="dxa"/>
            </w:tcMar>
            <w:vAlign w:val="center"/>
          </w:tcPr>
          <w:p w14:paraId="1F345BB0">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54.3</w:t>
            </w:r>
          </w:p>
        </w:tc>
        <w:tc>
          <w:tcPr>
            <w:tcW w:w="615" w:type="pct"/>
            <w:tcMar>
              <w:top w:w="28" w:type="dxa"/>
              <w:left w:w="28" w:type="dxa"/>
              <w:bottom w:w="28" w:type="dxa"/>
              <w:right w:w="28" w:type="dxa"/>
            </w:tcMar>
            <w:vAlign w:val="center"/>
          </w:tcPr>
          <w:p w14:paraId="36AE2BEE">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38.7</w:t>
            </w:r>
          </w:p>
        </w:tc>
        <w:tc>
          <w:tcPr>
            <w:tcW w:w="613" w:type="pct"/>
            <w:tcMar>
              <w:top w:w="28" w:type="dxa"/>
              <w:left w:w="28" w:type="dxa"/>
              <w:bottom w:w="28" w:type="dxa"/>
              <w:right w:w="28" w:type="dxa"/>
            </w:tcMar>
            <w:vAlign w:val="center"/>
          </w:tcPr>
          <w:p w14:paraId="52D81DC1">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55.3</w:t>
            </w:r>
          </w:p>
        </w:tc>
        <w:tc>
          <w:tcPr>
            <w:tcW w:w="613" w:type="pct"/>
            <w:tcMar>
              <w:top w:w="28" w:type="dxa"/>
              <w:left w:w="28" w:type="dxa"/>
              <w:bottom w:w="28" w:type="dxa"/>
              <w:right w:w="28" w:type="dxa"/>
            </w:tcMar>
            <w:vAlign w:val="center"/>
          </w:tcPr>
          <w:p w14:paraId="47FA5C37">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39.6</w:t>
            </w:r>
          </w:p>
        </w:tc>
      </w:tr>
      <w:tr w14:paraId="0938F5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7" w:type="pct"/>
            <w:tcMar>
              <w:top w:w="28" w:type="dxa"/>
              <w:left w:w="28" w:type="dxa"/>
              <w:bottom w:w="28" w:type="dxa"/>
              <w:right w:w="28" w:type="dxa"/>
            </w:tcMar>
            <w:vAlign w:val="center"/>
          </w:tcPr>
          <w:p w14:paraId="1061E51A">
            <w:pPr>
              <w:widowControl/>
              <w:kinsoku w:val="0"/>
              <w:autoSpaceDE w:val="0"/>
              <w:autoSpaceDN w:val="0"/>
              <w:spacing w:line="240" w:lineRule="auto"/>
              <w:jc w:val="center"/>
              <w:textAlignment w:val="baseline"/>
              <w:rPr>
                <w:color w:val="000000"/>
                <w:kern w:val="0"/>
                <w:sz w:val="18"/>
                <w:szCs w:val="18"/>
              </w:rPr>
            </w:pPr>
            <w:r>
              <w:rPr>
                <w:color w:val="000000"/>
                <w:kern w:val="0"/>
                <w:sz w:val="18"/>
                <w:szCs w:val="18"/>
              </w:rPr>
              <w:t>200</w:t>
            </w:r>
          </w:p>
        </w:tc>
        <w:tc>
          <w:tcPr>
            <w:tcW w:w="613" w:type="pct"/>
            <w:tcMar>
              <w:top w:w="28" w:type="dxa"/>
              <w:left w:w="28" w:type="dxa"/>
              <w:bottom w:w="28" w:type="dxa"/>
              <w:right w:w="28" w:type="dxa"/>
            </w:tcMar>
            <w:vAlign w:val="center"/>
          </w:tcPr>
          <w:p w14:paraId="169EDA42">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52.1</w:t>
            </w:r>
          </w:p>
        </w:tc>
        <w:tc>
          <w:tcPr>
            <w:tcW w:w="616" w:type="pct"/>
            <w:tcMar>
              <w:top w:w="28" w:type="dxa"/>
              <w:left w:w="28" w:type="dxa"/>
              <w:bottom w:w="28" w:type="dxa"/>
              <w:right w:w="28" w:type="dxa"/>
            </w:tcMar>
            <w:vAlign w:val="center"/>
          </w:tcPr>
          <w:p w14:paraId="6727D836">
            <w:pPr>
              <w:widowControl/>
              <w:kinsoku w:val="0"/>
              <w:autoSpaceDE w:val="0"/>
              <w:autoSpaceDN w:val="0"/>
              <w:spacing w:line="240" w:lineRule="auto"/>
              <w:jc w:val="center"/>
              <w:textAlignment w:val="baseline"/>
              <w:rPr>
                <w:rFonts w:eastAsia="等线"/>
                <w:color w:val="000000"/>
                <w:kern w:val="0"/>
                <w:sz w:val="18"/>
                <w:szCs w:val="18"/>
              </w:rPr>
            </w:pPr>
            <w:r>
              <w:rPr>
                <w:rFonts w:eastAsia="等线"/>
                <w:color w:val="000000"/>
                <w:kern w:val="0"/>
                <w:sz w:val="18"/>
                <w:szCs w:val="18"/>
              </w:rPr>
              <w:t>36.0</w:t>
            </w:r>
          </w:p>
        </w:tc>
        <w:tc>
          <w:tcPr>
            <w:tcW w:w="613" w:type="pct"/>
            <w:tcMar>
              <w:top w:w="28" w:type="dxa"/>
              <w:left w:w="28" w:type="dxa"/>
              <w:bottom w:w="28" w:type="dxa"/>
              <w:right w:w="28" w:type="dxa"/>
            </w:tcMar>
            <w:vAlign w:val="center"/>
          </w:tcPr>
          <w:p w14:paraId="7E9E7F55">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53</w:t>
            </w:r>
          </w:p>
        </w:tc>
        <w:tc>
          <w:tcPr>
            <w:tcW w:w="615" w:type="pct"/>
            <w:tcMar>
              <w:top w:w="28" w:type="dxa"/>
              <w:left w:w="28" w:type="dxa"/>
              <w:bottom w:w="28" w:type="dxa"/>
              <w:right w:w="28" w:type="dxa"/>
            </w:tcMar>
            <w:vAlign w:val="center"/>
          </w:tcPr>
          <w:p w14:paraId="2187D96A">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36.9</w:t>
            </w:r>
          </w:p>
        </w:tc>
        <w:tc>
          <w:tcPr>
            <w:tcW w:w="613" w:type="pct"/>
            <w:tcMar>
              <w:top w:w="28" w:type="dxa"/>
              <w:left w:w="28" w:type="dxa"/>
              <w:bottom w:w="28" w:type="dxa"/>
              <w:right w:w="28" w:type="dxa"/>
            </w:tcMar>
            <w:vAlign w:val="center"/>
          </w:tcPr>
          <w:p w14:paraId="73AC82F5">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53.9</w:t>
            </w:r>
          </w:p>
        </w:tc>
        <w:tc>
          <w:tcPr>
            <w:tcW w:w="613" w:type="pct"/>
            <w:tcMar>
              <w:top w:w="28" w:type="dxa"/>
              <w:left w:w="28" w:type="dxa"/>
              <w:bottom w:w="28" w:type="dxa"/>
              <w:right w:w="28" w:type="dxa"/>
            </w:tcMar>
            <w:vAlign w:val="center"/>
          </w:tcPr>
          <w:p w14:paraId="3C28EDD6">
            <w:pPr>
              <w:widowControl/>
              <w:kinsoku w:val="0"/>
              <w:autoSpaceDE w:val="0"/>
              <w:autoSpaceDN w:val="0"/>
              <w:spacing w:line="240" w:lineRule="auto"/>
              <w:jc w:val="center"/>
              <w:textAlignment w:val="baseline"/>
              <w:rPr>
                <w:rFonts w:eastAsia="等线"/>
                <w:color w:val="000000"/>
                <w:kern w:val="0"/>
                <w:sz w:val="18"/>
                <w:szCs w:val="18"/>
              </w:rPr>
            </w:pPr>
            <w:r>
              <w:rPr>
                <w:rFonts w:hint="eastAsia"/>
                <w:color w:val="000000"/>
                <w:sz w:val="18"/>
                <w:szCs w:val="18"/>
              </w:rPr>
              <w:t>37.8</w:t>
            </w:r>
          </w:p>
        </w:tc>
      </w:tr>
    </w:tbl>
    <w:p w14:paraId="33B9041D">
      <w:pPr>
        <w:widowControl/>
        <w:kinsoku w:val="0"/>
        <w:autoSpaceDE w:val="0"/>
        <w:autoSpaceDN w:val="0"/>
        <w:ind w:firstLine="420" w:firstLineChars="200"/>
        <w:textAlignment w:val="baseline"/>
        <w:rPr>
          <w:color w:val="000000"/>
          <w:kern w:val="0"/>
          <w:szCs w:val="21"/>
        </w:rPr>
      </w:pPr>
      <w:r>
        <w:rPr>
          <w:rFonts w:hint="eastAsia" w:ascii="宋体" w:hAnsi="宋体"/>
          <w:color w:val="000000"/>
          <w:kern w:val="0"/>
          <w:szCs w:val="21"/>
        </w:rPr>
        <w:t>（</w:t>
      </w:r>
      <w:r>
        <w:rPr>
          <w:rFonts w:hint="eastAsia"/>
          <w:color w:val="000000"/>
          <w:kern w:val="0"/>
          <w:szCs w:val="21"/>
        </w:rPr>
        <w:t>2</w:t>
      </w:r>
      <w:r>
        <w:rPr>
          <w:rFonts w:hint="eastAsia" w:ascii="宋体" w:hAnsi="宋体"/>
          <w:color w:val="000000"/>
          <w:kern w:val="0"/>
          <w:szCs w:val="21"/>
        </w:rPr>
        <w:t>）对声环境保护目标的影响分析</w:t>
      </w:r>
    </w:p>
    <w:p w14:paraId="5BDFAD31">
      <w:pPr>
        <w:widowControl/>
        <w:kinsoku w:val="0"/>
        <w:autoSpaceDE w:val="0"/>
        <w:autoSpaceDN w:val="0"/>
        <w:ind w:firstLine="420" w:firstLineChars="200"/>
        <w:textAlignment w:val="baseline"/>
        <w:rPr>
          <w:rFonts w:hint="eastAsia" w:ascii="宋体" w:hAnsi="宋体"/>
          <w:color w:val="000000"/>
          <w:kern w:val="0"/>
          <w:szCs w:val="21"/>
        </w:rPr>
      </w:pPr>
      <w:r>
        <w:rPr>
          <w:rFonts w:hint="eastAsia" w:ascii="宋体" w:hAnsi="宋体"/>
          <w:color w:val="000000"/>
          <w:kern w:val="0"/>
          <w:szCs w:val="21"/>
        </w:rPr>
        <w:t>本次环评考虑项目道路路网噪声影响，根据项目道路近期、中期和远期的交通预测及道路相关参数，预测其对工程所在区域的交通噪声影响。</w:t>
      </w:r>
    </w:p>
    <w:p w14:paraId="376A3966">
      <w:pPr>
        <w:widowControl/>
        <w:kinsoku w:val="0"/>
        <w:autoSpaceDE w:val="0"/>
        <w:autoSpaceDN w:val="0"/>
        <w:ind w:firstLine="420" w:firstLineChars="200"/>
        <w:textAlignment w:val="baseline"/>
        <w:rPr>
          <w:rFonts w:hint="eastAsia" w:ascii="宋体" w:hAnsi="宋体"/>
          <w:color w:val="000000"/>
          <w:kern w:val="0"/>
          <w:szCs w:val="21"/>
        </w:rPr>
      </w:pPr>
      <w:r>
        <w:rPr>
          <w:rFonts w:hint="eastAsia" w:ascii="宋体" w:hAnsi="宋体"/>
          <w:color w:val="000000"/>
          <w:kern w:val="0"/>
          <w:szCs w:val="21"/>
        </w:rPr>
        <w:t>项目道路营运后，近期由于周边尚未进行开发建设，所以不存在受影响的保护目标。在中期或者远期，道路周边存在规划住宅用地，道路交通可能会对规划保护目标产生一定的影响，青西二路道路等级为城市次干路，本次模拟预测选取每个规划住宅用地靠近道路边线</w:t>
      </w:r>
      <w:r>
        <w:t>距离</w:t>
      </w:r>
      <w:r>
        <w:rPr>
          <w:rFonts w:hint="eastAsia"/>
        </w:rPr>
        <w:t>约</w:t>
      </w:r>
      <w:r>
        <w:t>15m处</w:t>
      </w:r>
      <w:r>
        <w:rPr>
          <w:rFonts w:hint="eastAsia"/>
        </w:rPr>
        <w:t>的位置作为接收点</w:t>
      </w:r>
      <w:r>
        <w:t>进行模拟计算</w:t>
      </w:r>
      <w:r>
        <w:rPr>
          <w:rFonts w:hint="eastAsia"/>
        </w:rPr>
        <w:t>，建筑高度以20层（高约60m）计，设置五个接收点进行预测，结果显示：随着道路运营期车流量逐渐上升，建筑所接受的噪声会逐渐增加，其中</w:t>
      </w:r>
      <w:r>
        <w:rPr>
          <w:rFonts w:ascii="宋体" w:hAnsi="宋体"/>
          <w:color w:val="000000"/>
          <w:kern w:val="0"/>
          <w:szCs w:val="21"/>
        </w:rPr>
        <w:t>项</w:t>
      </w:r>
      <w:r>
        <w:t>目沿线规划住宅</w:t>
      </w:r>
      <w:r>
        <w:rPr>
          <w:rFonts w:hint="eastAsia"/>
        </w:rPr>
        <w:t>区沿街建筑可能会出现噪声超标的现象</w:t>
      </w:r>
      <w:r>
        <w:t>。超标主要呈现以下规律：一是</w:t>
      </w:r>
      <w:r>
        <w:rPr>
          <w:rFonts w:hint="eastAsia"/>
        </w:rPr>
        <w:t>昼间的</w:t>
      </w:r>
      <w:r>
        <w:t>超标情况</w:t>
      </w:r>
      <w:r>
        <w:rPr>
          <w:rFonts w:hint="eastAsia"/>
        </w:rPr>
        <w:t>要强于夜间</w:t>
      </w:r>
      <w:r>
        <w:t>，</w:t>
      </w:r>
      <w:r>
        <w:rPr>
          <w:rFonts w:hint="eastAsia"/>
        </w:rPr>
        <w:t>中期</w:t>
      </w:r>
      <w:r>
        <w:t>昼间</w:t>
      </w:r>
      <w:r>
        <w:rPr>
          <w:rFonts w:hint="eastAsia"/>
        </w:rPr>
        <w:t>所有楼层均超标，</w:t>
      </w:r>
      <w:r>
        <w:t>超标约</w:t>
      </w:r>
      <w:r>
        <w:rPr>
          <w:rFonts w:hint="eastAsia"/>
        </w:rPr>
        <w:t>1.4</w:t>
      </w:r>
      <w:r>
        <w:t>～</w:t>
      </w:r>
      <w:r>
        <w:rPr>
          <w:rFonts w:hint="eastAsia"/>
        </w:rPr>
        <w:t>7.1</w:t>
      </w:r>
      <w:r>
        <w:t>dB，夜间</w:t>
      </w:r>
      <w:r>
        <w:rPr>
          <w:rFonts w:hint="eastAsia"/>
        </w:rPr>
        <w:t>则仅在中低层超标</w:t>
      </w:r>
      <w:r>
        <w:t>，超标约</w:t>
      </w:r>
      <w:r>
        <w:rPr>
          <w:rFonts w:hint="eastAsia"/>
        </w:rPr>
        <w:t>0.9</w:t>
      </w:r>
      <w:r>
        <w:t>～</w:t>
      </w:r>
      <w:r>
        <w:rPr>
          <w:rFonts w:hint="eastAsia"/>
        </w:rPr>
        <w:t>4.9</w:t>
      </w:r>
      <w:r>
        <w:t>dB</w:t>
      </w:r>
      <w:r>
        <w:rPr>
          <w:rFonts w:hint="eastAsia"/>
        </w:rPr>
        <w:t>；远</w:t>
      </w:r>
      <w:r>
        <w:t>期昼间超标约</w:t>
      </w:r>
      <w:r>
        <w:rPr>
          <w:rFonts w:hint="eastAsia"/>
        </w:rPr>
        <w:t>2.3</w:t>
      </w:r>
      <w:r>
        <w:t>～</w:t>
      </w:r>
      <w:r>
        <w:rPr>
          <w:rFonts w:hint="eastAsia"/>
        </w:rPr>
        <w:t>7.8</w:t>
      </w:r>
      <w:r>
        <w:t>dB</w:t>
      </w:r>
      <w:r>
        <w:rPr>
          <w:rFonts w:hint="eastAsia"/>
        </w:rPr>
        <w:t>，夜间超标约0.2~5.6db，除高层外其他楼层均可能存在超标的问题；</w:t>
      </w:r>
      <w:r>
        <w:t>二是</w:t>
      </w:r>
      <w:r>
        <w:rPr>
          <w:rFonts w:hint="eastAsia"/>
        </w:rPr>
        <w:t>中</w:t>
      </w:r>
      <w:r>
        <w:t>低楼层</w:t>
      </w:r>
      <w:r>
        <w:rPr>
          <w:rFonts w:hint="eastAsia"/>
        </w:rPr>
        <w:t>受噪声的影响较为强烈，从一层开始随着楼层的增加，噪声会先逐渐增强后降低</w:t>
      </w:r>
      <w:r>
        <w:rPr>
          <w:rFonts w:ascii="宋体" w:hAnsi="宋体"/>
          <w:color w:val="000000"/>
          <w:kern w:val="0"/>
          <w:szCs w:val="21"/>
        </w:rPr>
        <w:t>。</w:t>
      </w:r>
    </w:p>
    <w:p w14:paraId="123D144C">
      <w:pPr>
        <w:widowControl/>
        <w:kinsoku w:val="0"/>
        <w:autoSpaceDE w:val="0"/>
        <w:autoSpaceDN w:val="0"/>
        <w:ind w:firstLine="420" w:firstLineChars="200"/>
        <w:textAlignment w:val="baseline"/>
        <w:rPr>
          <w:rFonts w:hint="eastAsia" w:ascii="宋体" w:hAnsi="宋体"/>
          <w:color w:val="000000"/>
          <w:kern w:val="0"/>
          <w:szCs w:val="21"/>
          <w:highlight w:val="yellow"/>
        </w:rPr>
        <w:sectPr>
          <w:pgSz w:w="11907" w:h="16839"/>
          <w:pgMar w:top="1440" w:right="1800" w:bottom="1440" w:left="1800" w:header="851" w:footer="967" w:gutter="0"/>
          <w:cols w:space="720" w:num="1"/>
          <w:docGrid w:type="lines" w:linePitch="312" w:charSpace="0"/>
        </w:sectPr>
      </w:pPr>
      <w:r>
        <w:rPr>
          <w:rFonts w:hint="eastAsia" w:ascii="宋体" w:hAnsi="宋体"/>
          <w:color w:val="000000"/>
          <w:kern w:val="0"/>
          <w:szCs w:val="21"/>
        </w:rPr>
        <w:t>基于预测结果，建议房地产开发商在规划住宅用地进行住宅楼设计建设时，应充分考虑</w:t>
      </w:r>
      <w:r>
        <w:t>到青西二路交通车流对住宅区的影响，应该增加第一排住宅楼距离青西二路道路边线的距离，</w:t>
      </w:r>
      <w:r>
        <w:rPr>
          <w:rFonts w:hint="eastAsia"/>
        </w:rPr>
        <w:t>根据模拟等声线图显示，当建筑距道路边线距离为15m时，临街建筑受到的噪声会超过声环境标准限值，为满足2类声环境标准，建筑距离道路边线的退让距离应继续加大，可参照临近城市主干道的标准设置为20</w:t>
      </w:r>
      <w:r>
        <w:t>m以上，且临街的第一排建筑</w:t>
      </w:r>
      <w:r>
        <w:rPr>
          <w:rFonts w:hint="eastAsia"/>
        </w:rPr>
        <w:t>宜</w:t>
      </w:r>
      <w:r>
        <w:t>优先规划</w:t>
      </w:r>
      <w:commentRangeStart w:id="91"/>
      <w:commentRangeStart w:id="92"/>
      <w:r>
        <w:t>为</w:t>
      </w:r>
      <w:commentRangeEnd w:id="91"/>
      <w:r>
        <w:rPr>
          <w:rStyle w:val="38"/>
        </w:rPr>
        <w:commentReference w:id="91"/>
      </w:r>
      <w:commentRangeEnd w:id="92"/>
      <w:r>
        <w:rPr>
          <w:rStyle w:val="38"/>
        </w:rPr>
        <w:commentReference w:id="92"/>
      </w:r>
      <w:r>
        <w:t>商业、社区服务等非敏感功能用房，</w:t>
      </w:r>
      <w:r>
        <w:rPr>
          <w:rFonts w:hint="eastAsia"/>
        </w:rPr>
        <w:t>在建筑外围宜</w:t>
      </w:r>
      <w:r>
        <w:t>设置绿化隔声</w:t>
      </w:r>
      <w:r>
        <w:rPr>
          <w:rFonts w:hint="eastAsia" w:ascii="宋体" w:hAnsi="宋体"/>
          <w:color w:val="000000"/>
          <w:kern w:val="0"/>
          <w:szCs w:val="21"/>
        </w:rPr>
        <w:t>带、围墙等隔声设施。针对中低层建筑容易受交通噪声影响的情况在设计装修的时候应该考虑给中低层的楼房安装隔声窗。</w:t>
      </w:r>
    </w:p>
    <w:p w14:paraId="1DEA43BB">
      <w:pPr>
        <w:pStyle w:val="9"/>
        <w:keepNext/>
        <w:spacing w:before="156" w:after="156" w:line="240" w:lineRule="auto"/>
      </w:pPr>
      <w:r>
        <w:rPr>
          <w:rFonts w:hint="eastAsia"/>
        </w:rPr>
        <w:t xml:space="preserve">专项表 </w:t>
      </w:r>
      <w:r>
        <w:fldChar w:fldCharType="begin"/>
      </w:r>
      <w:r>
        <w:instrText xml:space="preserve"> </w:instrText>
      </w:r>
      <w:r>
        <w:rPr>
          <w:rFonts w:hint="eastAsia"/>
        </w:rPr>
        <w:instrText xml:space="preserve">SEQ 专项表 \* ARABIC</w:instrText>
      </w:r>
      <w:r>
        <w:instrText xml:space="preserve"> </w:instrText>
      </w:r>
      <w:r>
        <w:fldChar w:fldCharType="separate"/>
      </w:r>
      <w:r>
        <w:t>16</w:t>
      </w:r>
      <w:r>
        <w:fldChar w:fldCharType="end"/>
      </w:r>
      <w:r>
        <w:rPr>
          <w:rFonts w:hint="eastAsia"/>
        </w:rPr>
        <w:t>工程沿</w:t>
      </w:r>
      <w:r>
        <w:t>线</w:t>
      </w:r>
      <w:r>
        <w:rPr>
          <w:rFonts w:hint="eastAsia"/>
        </w:rPr>
        <w:t>规划敏感点不同</w:t>
      </w:r>
      <w:commentRangeStart w:id="93"/>
      <w:r>
        <w:rPr>
          <w:rFonts w:hint="eastAsia"/>
        </w:rPr>
        <w:t>预测年</w:t>
      </w:r>
      <w:commentRangeEnd w:id="93"/>
      <w:r>
        <w:rPr>
          <w:rStyle w:val="38"/>
        </w:rPr>
        <w:commentReference w:id="93"/>
      </w:r>
      <w:commentRangeStart w:id="94"/>
      <w:commentRangeStart w:id="95"/>
      <w:r>
        <w:t>交通噪声预测结果（LAeq dB）</w:t>
      </w:r>
      <w:commentRangeEnd w:id="94"/>
      <w:r>
        <w:rPr>
          <w:rStyle w:val="38"/>
        </w:rPr>
        <w:commentReference w:id="94"/>
      </w:r>
      <w:commentRangeEnd w:id="95"/>
      <w:r>
        <w:rPr>
          <w:rStyle w:val="38"/>
        </w:rPr>
        <w:commentReference w:id="95"/>
      </w:r>
    </w:p>
    <w:tbl>
      <w:tblPr>
        <w:tblStyle w:val="30"/>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420"/>
        <w:gridCol w:w="677"/>
        <w:gridCol w:w="598"/>
        <w:gridCol w:w="570"/>
        <w:gridCol w:w="428"/>
        <w:gridCol w:w="712"/>
        <w:gridCol w:w="713"/>
        <w:gridCol w:w="713"/>
        <w:gridCol w:w="885"/>
        <w:gridCol w:w="885"/>
        <w:gridCol w:w="886"/>
        <w:gridCol w:w="885"/>
        <w:gridCol w:w="885"/>
        <w:gridCol w:w="886"/>
        <w:gridCol w:w="885"/>
        <w:gridCol w:w="885"/>
        <w:gridCol w:w="886"/>
        <w:gridCol w:w="885"/>
        <w:gridCol w:w="885"/>
        <w:gridCol w:w="886"/>
      </w:tblGrid>
      <w:tr w14:paraId="65C82E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5" w:hRule="atLeast"/>
        </w:trPr>
        <w:tc>
          <w:tcPr>
            <w:tcW w:w="418" w:type="dxa"/>
            <w:vMerge w:val="restart"/>
            <w:vAlign w:val="center"/>
          </w:tcPr>
          <w:p w14:paraId="4C4052C5">
            <w:pPr>
              <w:widowControl/>
              <w:adjustRightInd/>
              <w:snapToGrid/>
              <w:spacing w:line="240" w:lineRule="auto"/>
              <w:jc w:val="center"/>
              <w:rPr>
                <w:b/>
                <w:bCs/>
                <w:kern w:val="0"/>
                <w:sz w:val="18"/>
                <w:szCs w:val="18"/>
              </w:rPr>
            </w:pPr>
            <w:r>
              <w:rPr>
                <w:b/>
                <w:bCs/>
                <w:kern w:val="0"/>
                <w:sz w:val="18"/>
                <w:szCs w:val="18"/>
              </w:rPr>
              <w:t>序号</w:t>
            </w:r>
          </w:p>
        </w:tc>
        <w:tc>
          <w:tcPr>
            <w:tcW w:w="673" w:type="dxa"/>
            <w:vMerge w:val="restart"/>
            <w:vAlign w:val="center"/>
          </w:tcPr>
          <w:p w14:paraId="5AB41B05">
            <w:pPr>
              <w:widowControl/>
              <w:adjustRightInd/>
              <w:snapToGrid/>
              <w:spacing w:line="240" w:lineRule="auto"/>
              <w:jc w:val="center"/>
              <w:rPr>
                <w:b/>
                <w:bCs/>
                <w:kern w:val="0"/>
                <w:sz w:val="18"/>
                <w:szCs w:val="18"/>
              </w:rPr>
            </w:pPr>
            <w:r>
              <w:rPr>
                <w:b/>
                <w:bCs/>
                <w:kern w:val="0"/>
                <w:sz w:val="18"/>
                <w:szCs w:val="18"/>
              </w:rPr>
              <w:t>声环境保护目标名称</w:t>
            </w:r>
          </w:p>
        </w:tc>
        <w:tc>
          <w:tcPr>
            <w:tcW w:w="595" w:type="dxa"/>
            <w:vMerge w:val="restart"/>
            <w:vAlign w:val="center"/>
          </w:tcPr>
          <w:p w14:paraId="4A7D6549">
            <w:pPr>
              <w:widowControl/>
              <w:adjustRightInd/>
              <w:snapToGrid/>
              <w:spacing w:line="240" w:lineRule="auto"/>
              <w:jc w:val="center"/>
              <w:rPr>
                <w:b/>
                <w:bCs/>
                <w:kern w:val="0"/>
                <w:sz w:val="18"/>
                <w:szCs w:val="18"/>
              </w:rPr>
            </w:pPr>
            <w:r>
              <w:rPr>
                <w:b/>
                <w:bCs/>
                <w:kern w:val="0"/>
                <w:sz w:val="18"/>
                <w:szCs w:val="18"/>
              </w:rPr>
              <w:t>预测点与声源高差/m</w:t>
            </w:r>
          </w:p>
        </w:tc>
        <w:tc>
          <w:tcPr>
            <w:tcW w:w="567" w:type="dxa"/>
            <w:vMerge w:val="restart"/>
            <w:vAlign w:val="center"/>
          </w:tcPr>
          <w:p w14:paraId="47A36C86">
            <w:pPr>
              <w:widowControl/>
              <w:adjustRightInd/>
              <w:snapToGrid/>
              <w:spacing w:line="240" w:lineRule="auto"/>
              <w:jc w:val="center"/>
              <w:rPr>
                <w:b/>
                <w:bCs/>
                <w:kern w:val="0"/>
                <w:sz w:val="18"/>
                <w:szCs w:val="18"/>
              </w:rPr>
            </w:pPr>
            <w:r>
              <w:rPr>
                <w:b/>
                <w:bCs/>
                <w:kern w:val="0"/>
                <w:sz w:val="18"/>
                <w:szCs w:val="18"/>
              </w:rPr>
              <w:t>功能区类别</w:t>
            </w:r>
          </w:p>
        </w:tc>
        <w:tc>
          <w:tcPr>
            <w:tcW w:w="426" w:type="dxa"/>
            <w:vMerge w:val="restart"/>
            <w:vAlign w:val="center"/>
          </w:tcPr>
          <w:p w14:paraId="638723B3">
            <w:pPr>
              <w:widowControl/>
              <w:adjustRightInd/>
              <w:snapToGrid/>
              <w:spacing w:line="240" w:lineRule="auto"/>
              <w:jc w:val="center"/>
              <w:rPr>
                <w:b/>
                <w:bCs/>
                <w:kern w:val="0"/>
                <w:sz w:val="18"/>
                <w:szCs w:val="18"/>
              </w:rPr>
            </w:pPr>
            <w:r>
              <w:rPr>
                <w:b/>
                <w:bCs/>
                <w:kern w:val="0"/>
                <w:sz w:val="18"/>
                <w:szCs w:val="18"/>
              </w:rPr>
              <w:t>时段</w:t>
            </w:r>
          </w:p>
        </w:tc>
        <w:tc>
          <w:tcPr>
            <w:tcW w:w="708" w:type="dxa"/>
            <w:vMerge w:val="restart"/>
            <w:vAlign w:val="center"/>
          </w:tcPr>
          <w:p w14:paraId="52716DC2">
            <w:pPr>
              <w:widowControl/>
              <w:adjustRightInd/>
              <w:snapToGrid/>
              <w:spacing w:line="240" w:lineRule="auto"/>
              <w:jc w:val="center"/>
              <w:rPr>
                <w:b/>
                <w:bCs/>
                <w:kern w:val="0"/>
                <w:sz w:val="18"/>
                <w:szCs w:val="18"/>
              </w:rPr>
            </w:pPr>
            <w:r>
              <w:rPr>
                <w:b/>
                <w:bCs/>
                <w:kern w:val="0"/>
                <w:sz w:val="18"/>
                <w:szCs w:val="18"/>
              </w:rPr>
              <w:t>标准值</w:t>
            </w:r>
          </w:p>
          <w:p w14:paraId="648C7C3F">
            <w:pPr>
              <w:widowControl/>
              <w:adjustRightInd/>
              <w:snapToGrid/>
              <w:spacing w:line="240" w:lineRule="auto"/>
              <w:jc w:val="center"/>
              <w:rPr>
                <w:b/>
                <w:bCs/>
                <w:kern w:val="0"/>
                <w:sz w:val="18"/>
                <w:szCs w:val="18"/>
              </w:rPr>
            </w:pPr>
            <w:r>
              <w:rPr>
                <w:b/>
                <w:bCs/>
                <w:kern w:val="0"/>
                <w:sz w:val="18"/>
                <w:szCs w:val="18"/>
              </w:rPr>
              <w:t>/dB(A)</w:t>
            </w:r>
          </w:p>
        </w:tc>
        <w:tc>
          <w:tcPr>
            <w:tcW w:w="709" w:type="dxa"/>
            <w:vMerge w:val="restart"/>
            <w:vAlign w:val="center"/>
          </w:tcPr>
          <w:p w14:paraId="7C8775BE">
            <w:pPr>
              <w:widowControl/>
              <w:adjustRightInd/>
              <w:snapToGrid/>
              <w:spacing w:line="240" w:lineRule="auto"/>
              <w:jc w:val="center"/>
              <w:rPr>
                <w:b/>
                <w:bCs/>
                <w:kern w:val="0"/>
                <w:sz w:val="18"/>
                <w:szCs w:val="18"/>
              </w:rPr>
            </w:pPr>
            <w:commentRangeStart w:id="96"/>
            <w:r>
              <w:rPr>
                <w:b/>
                <w:bCs/>
                <w:kern w:val="0"/>
                <w:sz w:val="18"/>
                <w:szCs w:val="18"/>
              </w:rPr>
              <w:t>背景值</w:t>
            </w:r>
          </w:p>
          <w:p w14:paraId="73BCF9B3">
            <w:pPr>
              <w:widowControl/>
              <w:adjustRightInd/>
              <w:snapToGrid/>
              <w:spacing w:line="240" w:lineRule="auto"/>
              <w:jc w:val="center"/>
              <w:rPr>
                <w:b/>
                <w:bCs/>
                <w:kern w:val="0"/>
                <w:sz w:val="18"/>
                <w:szCs w:val="18"/>
              </w:rPr>
            </w:pPr>
            <w:r>
              <w:rPr>
                <w:b/>
                <w:bCs/>
                <w:kern w:val="0"/>
                <w:sz w:val="18"/>
                <w:szCs w:val="18"/>
              </w:rPr>
              <w:t>/dB(A)</w:t>
            </w:r>
            <w:commentRangeEnd w:id="96"/>
            <w:r>
              <w:rPr>
                <w:rStyle w:val="38"/>
                <w:b/>
                <w:bCs/>
                <w:kern w:val="0"/>
                <w:sz w:val="18"/>
                <w:szCs w:val="18"/>
              </w:rPr>
              <w:commentReference w:id="96"/>
            </w:r>
          </w:p>
        </w:tc>
        <w:tc>
          <w:tcPr>
            <w:tcW w:w="709" w:type="dxa"/>
            <w:vMerge w:val="restart"/>
            <w:vAlign w:val="center"/>
          </w:tcPr>
          <w:p w14:paraId="33C435A6">
            <w:pPr>
              <w:widowControl/>
              <w:adjustRightInd/>
              <w:snapToGrid/>
              <w:spacing w:line="240" w:lineRule="auto"/>
              <w:jc w:val="center"/>
              <w:rPr>
                <w:b/>
                <w:bCs/>
                <w:kern w:val="0"/>
                <w:sz w:val="18"/>
                <w:szCs w:val="18"/>
              </w:rPr>
            </w:pPr>
            <w:r>
              <w:rPr>
                <w:b/>
                <w:bCs/>
                <w:kern w:val="0"/>
                <w:sz w:val="18"/>
                <w:szCs w:val="18"/>
              </w:rPr>
              <w:t>现状值</w:t>
            </w:r>
          </w:p>
          <w:p w14:paraId="094AF142">
            <w:pPr>
              <w:widowControl/>
              <w:adjustRightInd/>
              <w:snapToGrid/>
              <w:spacing w:line="240" w:lineRule="auto"/>
              <w:jc w:val="center"/>
              <w:rPr>
                <w:b/>
                <w:bCs/>
                <w:kern w:val="0"/>
                <w:sz w:val="18"/>
                <w:szCs w:val="18"/>
              </w:rPr>
            </w:pPr>
            <w:r>
              <w:rPr>
                <w:b/>
                <w:bCs/>
                <w:kern w:val="0"/>
                <w:sz w:val="18"/>
                <w:szCs w:val="18"/>
              </w:rPr>
              <w:t>/dB(A)</w:t>
            </w:r>
          </w:p>
        </w:tc>
        <w:tc>
          <w:tcPr>
            <w:tcW w:w="3521" w:type="dxa"/>
            <w:gridSpan w:val="4"/>
          </w:tcPr>
          <w:p w14:paraId="6BA04F69">
            <w:pPr>
              <w:adjustRightInd/>
              <w:snapToGrid/>
              <w:spacing w:line="240" w:lineRule="auto"/>
              <w:jc w:val="center"/>
              <w:rPr>
                <w:b/>
                <w:bCs/>
                <w:kern w:val="0"/>
                <w:sz w:val="18"/>
                <w:szCs w:val="18"/>
              </w:rPr>
            </w:pPr>
            <w:r>
              <w:rPr>
                <w:rFonts w:hint="eastAsia"/>
                <w:b/>
                <w:bCs/>
                <w:kern w:val="0"/>
                <w:sz w:val="18"/>
                <w:szCs w:val="18"/>
              </w:rPr>
              <w:t>运营近期</w:t>
            </w:r>
          </w:p>
        </w:tc>
        <w:tc>
          <w:tcPr>
            <w:tcW w:w="3521" w:type="dxa"/>
            <w:gridSpan w:val="4"/>
          </w:tcPr>
          <w:p w14:paraId="68C420FE">
            <w:pPr>
              <w:adjustRightInd/>
              <w:snapToGrid/>
              <w:spacing w:line="240" w:lineRule="auto"/>
              <w:jc w:val="center"/>
              <w:rPr>
                <w:b/>
                <w:bCs/>
                <w:kern w:val="0"/>
                <w:sz w:val="18"/>
                <w:szCs w:val="18"/>
              </w:rPr>
            </w:pPr>
            <w:r>
              <w:rPr>
                <w:b/>
                <w:bCs/>
                <w:kern w:val="0"/>
                <w:sz w:val="18"/>
                <w:szCs w:val="18"/>
              </w:rPr>
              <w:t>运营中期</w:t>
            </w:r>
          </w:p>
        </w:tc>
        <w:tc>
          <w:tcPr>
            <w:tcW w:w="3522" w:type="dxa"/>
            <w:gridSpan w:val="4"/>
            <w:vAlign w:val="center"/>
          </w:tcPr>
          <w:p w14:paraId="20FEB08F">
            <w:pPr>
              <w:adjustRightInd/>
              <w:snapToGrid/>
              <w:spacing w:line="240" w:lineRule="auto"/>
              <w:jc w:val="center"/>
              <w:rPr>
                <w:b/>
                <w:bCs/>
                <w:kern w:val="0"/>
                <w:sz w:val="18"/>
                <w:szCs w:val="18"/>
              </w:rPr>
            </w:pPr>
            <w:r>
              <w:rPr>
                <w:b/>
                <w:bCs/>
                <w:kern w:val="0"/>
                <w:sz w:val="18"/>
                <w:szCs w:val="18"/>
              </w:rPr>
              <w:t>运营远期</w:t>
            </w:r>
          </w:p>
        </w:tc>
      </w:tr>
      <w:tr w14:paraId="003EC1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25" w:hRule="atLeast"/>
        </w:trPr>
        <w:tc>
          <w:tcPr>
            <w:tcW w:w="418" w:type="dxa"/>
            <w:vMerge w:val="continue"/>
            <w:vAlign w:val="center"/>
          </w:tcPr>
          <w:p w14:paraId="4BA1229C">
            <w:pPr>
              <w:widowControl/>
              <w:adjustRightInd/>
              <w:snapToGrid/>
              <w:spacing w:line="240" w:lineRule="auto"/>
              <w:jc w:val="left"/>
              <w:rPr>
                <w:b/>
                <w:bCs/>
                <w:kern w:val="0"/>
                <w:sz w:val="18"/>
                <w:szCs w:val="18"/>
              </w:rPr>
            </w:pPr>
          </w:p>
        </w:tc>
        <w:tc>
          <w:tcPr>
            <w:tcW w:w="673" w:type="dxa"/>
            <w:vMerge w:val="continue"/>
            <w:vAlign w:val="center"/>
          </w:tcPr>
          <w:p w14:paraId="7FB98A78">
            <w:pPr>
              <w:widowControl/>
              <w:adjustRightInd/>
              <w:snapToGrid/>
              <w:spacing w:line="240" w:lineRule="auto"/>
              <w:jc w:val="left"/>
              <w:rPr>
                <w:b/>
                <w:bCs/>
                <w:kern w:val="0"/>
                <w:sz w:val="18"/>
                <w:szCs w:val="18"/>
              </w:rPr>
            </w:pPr>
          </w:p>
        </w:tc>
        <w:tc>
          <w:tcPr>
            <w:tcW w:w="595" w:type="dxa"/>
            <w:vMerge w:val="continue"/>
            <w:vAlign w:val="center"/>
          </w:tcPr>
          <w:p w14:paraId="0C020898">
            <w:pPr>
              <w:widowControl/>
              <w:adjustRightInd/>
              <w:snapToGrid/>
              <w:spacing w:line="240" w:lineRule="auto"/>
              <w:jc w:val="left"/>
              <w:rPr>
                <w:b/>
                <w:bCs/>
                <w:kern w:val="0"/>
                <w:sz w:val="18"/>
                <w:szCs w:val="18"/>
              </w:rPr>
            </w:pPr>
          </w:p>
        </w:tc>
        <w:tc>
          <w:tcPr>
            <w:tcW w:w="567" w:type="dxa"/>
            <w:vMerge w:val="continue"/>
            <w:vAlign w:val="center"/>
          </w:tcPr>
          <w:p w14:paraId="45107161">
            <w:pPr>
              <w:widowControl/>
              <w:adjustRightInd/>
              <w:snapToGrid/>
              <w:spacing w:line="240" w:lineRule="auto"/>
              <w:jc w:val="left"/>
              <w:rPr>
                <w:b/>
                <w:bCs/>
                <w:kern w:val="0"/>
                <w:sz w:val="18"/>
                <w:szCs w:val="18"/>
              </w:rPr>
            </w:pPr>
          </w:p>
        </w:tc>
        <w:tc>
          <w:tcPr>
            <w:tcW w:w="426" w:type="dxa"/>
            <w:vMerge w:val="continue"/>
            <w:vAlign w:val="center"/>
          </w:tcPr>
          <w:p w14:paraId="22DA7EFD">
            <w:pPr>
              <w:widowControl/>
              <w:adjustRightInd/>
              <w:snapToGrid/>
              <w:spacing w:line="240" w:lineRule="auto"/>
              <w:jc w:val="left"/>
              <w:rPr>
                <w:b/>
                <w:bCs/>
                <w:kern w:val="0"/>
                <w:sz w:val="18"/>
                <w:szCs w:val="18"/>
              </w:rPr>
            </w:pPr>
          </w:p>
        </w:tc>
        <w:tc>
          <w:tcPr>
            <w:tcW w:w="708" w:type="dxa"/>
            <w:vMerge w:val="continue"/>
            <w:vAlign w:val="center"/>
          </w:tcPr>
          <w:p w14:paraId="33468734">
            <w:pPr>
              <w:widowControl/>
              <w:adjustRightInd/>
              <w:snapToGrid/>
              <w:spacing w:line="240" w:lineRule="auto"/>
              <w:jc w:val="left"/>
              <w:rPr>
                <w:b/>
                <w:bCs/>
                <w:kern w:val="0"/>
                <w:sz w:val="18"/>
                <w:szCs w:val="18"/>
              </w:rPr>
            </w:pPr>
          </w:p>
        </w:tc>
        <w:tc>
          <w:tcPr>
            <w:tcW w:w="709" w:type="dxa"/>
            <w:vMerge w:val="continue"/>
            <w:vAlign w:val="center"/>
          </w:tcPr>
          <w:p w14:paraId="33BDA0D2">
            <w:pPr>
              <w:widowControl/>
              <w:adjustRightInd/>
              <w:snapToGrid/>
              <w:spacing w:line="240" w:lineRule="auto"/>
              <w:jc w:val="left"/>
              <w:rPr>
                <w:b/>
                <w:bCs/>
                <w:kern w:val="0"/>
                <w:sz w:val="18"/>
                <w:szCs w:val="18"/>
              </w:rPr>
            </w:pPr>
          </w:p>
        </w:tc>
        <w:tc>
          <w:tcPr>
            <w:tcW w:w="709" w:type="dxa"/>
            <w:vMerge w:val="continue"/>
            <w:vAlign w:val="center"/>
          </w:tcPr>
          <w:p w14:paraId="0CCF6458">
            <w:pPr>
              <w:widowControl/>
              <w:adjustRightInd/>
              <w:snapToGrid/>
              <w:spacing w:line="240" w:lineRule="auto"/>
              <w:jc w:val="left"/>
              <w:rPr>
                <w:b/>
                <w:bCs/>
                <w:kern w:val="0"/>
                <w:sz w:val="18"/>
                <w:szCs w:val="18"/>
              </w:rPr>
            </w:pPr>
          </w:p>
        </w:tc>
        <w:tc>
          <w:tcPr>
            <w:tcW w:w="880" w:type="dxa"/>
            <w:vAlign w:val="center"/>
          </w:tcPr>
          <w:p w14:paraId="2E6CFDD9">
            <w:pPr>
              <w:widowControl/>
              <w:adjustRightInd/>
              <w:snapToGrid/>
              <w:spacing w:line="240" w:lineRule="auto"/>
              <w:jc w:val="center"/>
              <w:rPr>
                <w:b/>
                <w:bCs/>
                <w:kern w:val="0"/>
                <w:sz w:val="18"/>
                <w:szCs w:val="18"/>
              </w:rPr>
            </w:pPr>
            <w:r>
              <w:rPr>
                <w:b/>
                <w:bCs/>
                <w:kern w:val="0"/>
                <w:sz w:val="18"/>
                <w:szCs w:val="18"/>
              </w:rPr>
              <w:t>贡献值/dB(A)</w:t>
            </w:r>
          </w:p>
        </w:tc>
        <w:tc>
          <w:tcPr>
            <w:tcW w:w="880" w:type="dxa"/>
            <w:vAlign w:val="center"/>
          </w:tcPr>
          <w:p w14:paraId="00BB2817">
            <w:pPr>
              <w:widowControl/>
              <w:adjustRightInd/>
              <w:snapToGrid/>
              <w:spacing w:line="240" w:lineRule="auto"/>
              <w:jc w:val="center"/>
              <w:rPr>
                <w:b/>
                <w:bCs/>
                <w:kern w:val="0"/>
                <w:sz w:val="18"/>
                <w:szCs w:val="18"/>
              </w:rPr>
            </w:pPr>
            <w:commentRangeStart w:id="97"/>
            <w:r>
              <w:rPr>
                <w:b/>
                <w:bCs/>
                <w:kern w:val="0"/>
                <w:sz w:val="18"/>
                <w:szCs w:val="18"/>
              </w:rPr>
              <w:t>预测值/dB(A)</w:t>
            </w:r>
            <w:commentRangeEnd w:id="97"/>
            <w:r>
              <w:rPr>
                <w:rStyle w:val="38"/>
                <w:b/>
                <w:bCs/>
                <w:kern w:val="0"/>
                <w:sz w:val="18"/>
                <w:szCs w:val="18"/>
              </w:rPr>
              <w:commentReference w:id="97"/>
            </w:r>
          </w:p>
        </w:tc>
        <w:tc>
          <w:tcPr>
            <w:tcW w:w="881" w:type="dxa"/>
            <w:vAlign w:val="center"/>
          </w:tcPr>
          <w:p w14:paraId="51CDE084">
            <w:pPr>
              <w:widowControl/>
              <w:adjustRightInd/>
              <w:snapToGrid/>
              <w:spacing w:line="240" w:lineRule="auto"/>
              <w:jc w:val="center"/>
              <w:rPr>
                <w:b/>
                <w:bCs/>
                <w:kern w:val="0"/>
                <w:sz w:val="18"/>
                <w:szCs w:val="18"/>
              </w:rPr>
            </w:pPr>
            <w:r>
              <w:rPr>
                <w:b/>
                <w:bCs/>
                <w:kern w:val="0"/>
                <w:sz w:val="18"/>
                <w:szCs w:val="18"/>
              </w:rPr>
              <w:t>较现状增量/dB(A)</w:t>
            </w:r>
          </w:p>
        </w:tc>
        <w:tc>
          <w:tcPr>
            <w:tcW w:w="880" w:type="dxa"/>
            <w:vAlign w:val="center"/>
          </w:tcPr>
          <w:p w14:paraId="7A4DBC2B">
            <w:pPr>
              <w:widowControl/>
              <w:adjustRightInd/>
              <w:snapToGrid/>
              <w:spacing w:line="240" w:lineRule="auto"/>
              <w:jc w:val="center"/>
              <w:rPr>
                <w:b/>
                <w:bCs/>
                <w:kern w:val="0"/>
                <w:sz w:val="18"/>
                <w:szCs w:val="18"/>
              </w:rPr>
            </w:pPr>
            <w:commentRangeStart w:id="98"/>
            <w:r>
              <w:rPr>
                <w:b/>
                <w:bCs/>
                <w:kern w:val="0"/>
                <w:sz w:val="18"/>
                <w:szCs w:val="18"/>
              </w:rPr>
              <w:t>超标量/dB(A)</w:t>
            </w:r>
            <w:commentRangeEnd w:id="98"/>
            <w:r>
              <w:rPr>
                <w:rStyle w:val="38"/>
                <w:b/>
                <w:bCs/>
                <w:kern w:val="0"/>
                <w:sz w:val="18"/>
                <w:szCs w:val="18"/>
              </w:rPr>
              <w:commentReference w:id="98"/>
            </w:r>
          </w:p>
        </w:tc>
        <w:tc>
          <w:tcPr>
            <w:tcW w:w="880" w:type="dxa"/>
            <w:vAlign w:val="center"/>
          </w:tcPr>
          <w:p w14:paraId="7B26C2C4">
            <w:pPr>
              <w:widowControl/>
              <w:adjustRightInd/>
              <w:snapToGrid/>
              <w:spacing w:line="240" w:lineRule="auto"/>
              <w:jc w:val="center"/>
              <w:rPr>
                <w:b/>
                <w:bCs/>
                <w:kern w:val="0"/>
                <w:sz w:val="18"/>
                <w:szCs w:val="18"/>
              </w:rPr>
            </w:pPr>
            <w:r>
              <w:rPr>
                <w:b/>
                <w:bCs/>
                <w:kern w:val="0"/>
                <w:sz w:val="18"/>
                <w:szCs w:val="18"/>
              </w:rPr>
              <w:t>贡献值/dB(A)</w:t>
            </w:r>
          </w:p>
        </w:tc>
        <w:tc>
          <w:tcPr>
            <w:tcW w:w="881" w:type="dxa"/>
            <w:vAlign w:val="center"/>
          </w:tcPr>
          <w:p w14:paraId="190AE10D">
            <w:pPr>
              <w:widowControl/>
              <w:adjustRightInd/>
              <w:snapToGrid/>
              <w:spacing w:line="240" w:lineRule="auto"/>
              <w:jc w:val="center"/>
              <w:rPr>
                <w:b/>
                <w:bCs/>
                <w:kern w:val="0"/>
                <w:sz w:val="18"/>
                <w:szCs w:val="18"/>
              </w:rPr>
            </w:pPr>
            <w:commentRangeStart w:id="99"/>
            <w:r>
              <w:rPr>
                <w:b/>
                <w:bCs/>
                <w:kern w:val="0"/>
                <w:sz w:val="18"/>
                <w:szCs w:val="18"/>
              </w:rPr>
              <w:t>预测值/dB(A)</w:t>
            </w:r>
            <w:commentRangeEnd w:id="99"/>
            <w:r>
              <w:rPr>
                <w:rStyle w:val="38"/>
                <w:b/>
                <w:bCs/>
                <w:kern w:val="0"/>
                <w:sz w:val="18"/>
                <w:szCs w:val="18"/>
              </w:rPr>
              <w:commentReference w:id="99"/>
            </w:r>
          </w:p>
        </w:tc>
        <w:tc>
          <w:tcPr>
            <w:tcW w:w="880" w:type="dxa"/>
            <w:vAlign w:val="center"/>
          </w:tcPr>
          <w:p w14:paraId="51686F56">
            <w:pPr>
              <w:widowControl/>
              <w:adjustRightInd/>
              <w:snapToGrid/>
              <w:spacing w:line="240" w:lineRule="auto"/>
              <w:jc w:val="center"/>
              <w:rPr>
                <w:b/>
                <w:bCs/>
                <w:kern w:val="0"/>
                <w:sz w:val="18"/>
                <w:szCs w:val="18"/>
              </w:rPr>
            </w:pPr>
            <w:r>
              <w:rPr>
                <w:b/>
                <w:bCs/>
                <w:kern w:val="0"/>
                <w:sz w:val="18"/>
                <w:szCs w:val="18"/>
              </w:rPr>
              <w:t>较现状增量/dB(A)</w:t>
            </w:r>
          </w:p>
        </w:tc>
        <w:tc>
          <w:tcPr>
            <w:tcW w:w="880" w:type="dxa"/>
            <w:vAlign w:val="center"/>
          </w:tcPr>
          <w:p w14:paraId="2E841840">
            <w:pPr>
              <w:widowControl/>
              <w:adjustRightInd/>
              <w:snapToGrid/>
              <w:spacing w:line="240" w:lineRule="auto"/>
              <w:jc w:val="center"/>
              <w:rPr>
                <w:b/>
                <w:bCs/>
                <w:kern w:val="0"/>
                <w:sz w:val="18"/>
                <w:szCs w:val="18"/>
              </w:rPr>
            </w:pPr>
            <w:commentRangeStart w:id="100"/>
            <w:r>
              <w:rPr>
                <w:b/>
                <w:bCs/>
                <w:kern w:val="0"/>
                <w:sz w:val="18"/>
                <w:szCs w:val="18"/>
              </w:rPr>
              <w:t>超标量/dB(A)</w:t>
            </w:r>
            <w:commentRangeEnd w:id="100"/>
            <w:r>
              <w:rPr>
                <w:rStyle w:val="38"/>
                <w:b/>
                <w:bCs/>
                <w:kern w:val="0"/>
                <w:sz w:val="18"/>
                <w:szCs w:val="18"/>
              </w:rPr>
              <w:commentReference w:id="100"/>
            </w:r>
          </w:p>
        </w:tc>
        <w:tc>
          <w:tcPr>
            <w:tcW w:w="881" w:type="dxa"/>
            <w:vAlign w:val="center"/>
          </w:tcPr>
          <w:p w14:paraId="1CA31935">
            <w:pPr>
              <w:widowControl/>
              <w:adjustRightInd/>
              <w:snapToGrid/>
              <w:spacing w:line="240" w:lineRule="auto"/>
              <w:jc w:val="center"/>
              <w:rPr>
                <w:b/>
                <w:bCs/>
                <w:kern w:val="0"/>
                <w:sz w:val="18"/>
                <w:szCs w:val="18"/>
              </w:rPr>
            </w:pPr>
            <w:r>
              <w:rPr>
                <w:b/>
                <w:bCs/>
                <w:kern w:val="0"/>
                <w:sz w:val="18"/>
                <w:szCs w:val="18"/>
              </w:rPr>
              <w:t>贡献值/dB(A)</w:t>
            </w:r>
          </w:p>
        </w:tc>
        <w:tc>
          <w:tcPr>
            <w:tcW w:w="880" w:type="dxa"/>
            <w:vAlign w:val="center"/>
          </w:tcPr>
          <w:p w14:paraId="380AC472">
            <w:pPr>
              <w:widowControl/>
              <w:adjustRightInd/>
              <w:snapToGrid/>
              <w:spacing w:line="240" w:lineRule="auto"/>
              <w:jc w:val="center"/>
              <w:rPr>
                <w:b/>
                <w:bCs/>
                <w:kern w:val="0"/>
                <w:sz w:val="18"/>
                <w:szCs w:val="18"/>
              </w:rPr>
            </w:pPr>
            <w:r>
              <w:rPr>
                <w:b/>
                <w:bCs/>
                <w:kern w:val="0"/>
                <w:sz w:val="18"/>
                <w:szCs w:val="18"/>
              </w:rPr>
              <w:t>预测值/dB(A)</w:t>
            </w:r>
          </w:p>
        </w:tc>
        <w:tc>
          <w:tcPr>
            <w:tcW w:w="880" w:type="dxa"/>
            <w:vAlign w:val="center"/>
          </w:tcPr>
          <w:p w14:paraId="101F1A1D">
            <w:pPr>
              <w:widowControl/>
              <w:adjustRightInd/>
              <w:snapToGrid/>
              <w:spacing w:line="240" w:lineRule="auto"/>
              <w:jc w:val="center"/>
              <w:rPr>
                <w:b/>
                <w:bCs/>
                <w:kern w:val="0"/>
                <w:sz w:val="18"/>
                <w:szCs w:val="18"/>
              </w:rPr>
            </w:pPr>
            <w:r>
              <w:rPr>
                <w:b/>
                <w:bCs/>
                <w:kern w:val="0"/>
                <w:sz w:val="18"/>
                <w:szCs w:val="18"/>
              </w:rPr>
              <w:t>较现状增量/dB(A)</w:t>
            </w:r>
          </w:p>
        </w:tc>
        <w:tc>
          <w:tcPr>
            <w:tcW w:w="881" w:type="dxa"/>
            <w:vAlign w:val="center"/>
          </w:tcPr>
          <w:p w14:paraId="14399611">
            <w:pPr>
              <w:widowControl/>
              <w:adjustRightInd/>
              <w:snapToGrid/>
              <w:spacing w:line="240" w:lineRule="auto"/>
              <w:jc w:val="center"/>
              <w:rPr>
                <w:b/>
                <w:bCs/>
                <w:kern w:val="0"/>
                <w:sz w:val="18"/>
                <w:szCs w:val="18"/>
              </w:rPr>
            </w:pPr>
            <w:r>
              <w:rPr>
                <w:b/>
                <w:bCs/>
                <w:kern w:val="0"/>
                <w:sz w:val="18"/>
                <w:szCs w:val="18"/>
              </w:rPr>
              <w:t>超标量/dB(A)</w:t>
            </w:r>
          </w:p>
        </w:tc>
      </w:tr>
      <w:tr w14:paraId="541622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2887B23">
            <w:pPr>
              <w:widowControl/>
              <w:adjustRightInd/>
              <w:snapToGrid/>
              <w:spacing w:line="240" w:lineRule="auto"/>
              <w:jc w:val="center"/>
              <w:rPr>
                <w:kern w:val="0"/>
                <w:sz w:val="18"/>
                <w:szCs w:val="18"/>
              </w:rPr>
            </w:pPr>
            <w:r>
              <w:rPr>
                <w:sz w:val="18"/>
                <w:szCs w:val="18"/>
              </w:rPr>
              <w:t>1</w:t>
            </w:r>
          </w:p>
        </w:tc>
        <w:tc>
          <w:tcPr>
            <w:tcW w:w="673" w:type="dxa"/>
            <w:vMerge w:val="restart"/>
            <w:noWrap/>
            <w:vAlign w:val="center"/>
          </w:tcPr>
          <w:p w14:paraId="48E89ABF">
            <w:pPr>
              <w:widowControl/>
              <w:adjustRightInd/>
              <w:snapToGrid/>
              <w:spacing w:line="240" w:lineRule="auto"/>
              <w:jc w:val="center"/>
              <w:rPr>
                <w:kern w:val="0"/>
                <w:sz w:val="18"/>
                <w:szCs w:val="18"/>
              </w:rPr>
            </w:pPr>
            <w:r>
              <w:rPr>
                <w:kern w:val="0"/>
                <w:sz w:val="18"/>
                <w:szCs w:val="18"/>
              </w:rPr>
              <w:t>规划住宅1</w:t>
            </w:r>
          </w:p>
        </w:tc>
        <w:tc>
          <w:tcPr>
            <w:tcW w:w="595" w:type="dxa"/>
            <w:vMerge w:val="restart"/>
            <w:vAlign w:val="center"/>
          </w:tcPr>
          <w:p w14:paraId="1E857FF9">
            <w:pPr>
              <w:widowControl/>
              <w:adjustRightInd/>
              <w:snapToGrid/>
              <w:spacing w:line="240" w:lineRule="auto"/>
              <w:jc w:val="center"/>
              <w:rPr>
                <w:kern w:val="0"/>
                <w:sz w:val="18"/>
                <w:szCs w:val="18"/>
              </w:rPr>
            </w:pPr>
            <w:r>
              <w:rPr>
                <w:kern w:val="0"/>
                <w:sz w:val="18"/>
                <w:szCs w:val="18"/>
              </w:rPr>
              <w:t>1.2</w:t>
            </w:r>
          </w:p>
        </w:tc>
        <w:tc>
          <w:tcPr>
            <w:tcW w:w="567" w:type="dxa"/>
            <w:vMerge w:val="restart"/>
            <w:noWrap/>
            <w:vAlign w:val="center"/>
          </w:tcPr>
          <w:p w14:paraId="028B2AE8">
            <w:pPr>
              <w:widowControl/>
              <w:adjustRightInd/>
              <w:snapToGrid/>
              <w:spacing w:line="240" w:lineRule="auto"/>
              <w:jc w:val="center"/>
              <w:rPr>
                <w:kern w:val="0"/>
                <w:sz w:val="18"/>
                <w:szCs w:val="18"/>
              </w:rPr>
            </w:pPr>
            <w:r>
              <w:rPr>
                <w:rFonts w:hint="eastAsia"/>
                <w:kern w:val="0"/>
                <w:sz w:val="18"/>
                <w:szCs w:val="18"/>
              </w:rPr>
              <w:t>2</w:t>
            </w:r>
            <w:r>
              <w:rPr>
                <w:kern w:val="0"/>
                <w:sz w:val="18"/>
                <w:szCs w:val="18"/>
              </w:rPr>
              <w:t>类</w:t>
            </w:r>
          </w:p>
        </w:tc>
        <w:tc>
          <w:tcPr>
            <w:tcW w:w="426" w:type="dxa"/>
            <w:noWrap/>
            <w:vAlign w:val="center"/>
          </w:tcPr>
          <w:p w14:paraId="2FF9C9A5">
            <w:pPr>
              <w:widowControl/>
              <w:adjustRightInd/>
              <w:snapToGrid/>
              <w:spacing w:line="240" w:lineRule="auto"/>
              <w:jc w:val="center"/>
              <w:rPr>
                <w:kern w:val="0"/>
                <w:sz w:val="18"/>
                <w:szCs w:val="18"/>
              </w:rPr>
            </w:pPr>
            <w:r>
              <w:rPr>
                <w:sz w:val="18"/>
                <w:szCs w:val="18"/>
              </w:rPr>
              <w:t>昼间</w:t>
            </w:r>
          </w:p>
        </w:tc>
        <w:tc>
          <w:tcPr>
            <w:tcW w:w="708" w:type="dxa"/>
            <w:noWrap/>
            <w:vAlign w:val="center"/>
          </w:tcPr>
          <w:p w14:paraId="1CB97DBC">
            <w:pPr>
              <w:widowControl/>
              <w:adjustRightInd/>
              <w:snapToGrid/>
              <w:spacing w:line="240" w:lineRule="auto"/>
              <w:jc w:val="center"/>
              <w:rPr>
                <w:kern w:val="0"/>
                <w:sz w:val="18"/>
                <w:szCs w:val="18"/>
              </w:rPr>
            </w:pPr>
            <w:r>
              <w:rPr>
                <w:sz w:val="18"/>
                <w:szCs w:val="18"/>
              </w:rPr>
              <w:t>60</w:t>
            </w:r>
          </w:p>
        </w:tc>
        <w:tc>
          <w:tcPr>
            <w:tcW w:w="709" w:type="dxa"/>
            <w:vMerge w:val="restart"/>
            <w:vAlign w:val="center"/>
          </w:tcPr>
          <w:p w14:paraId="36F53211">
            <w:pPr>
              <w:widowControl/>
              <w:adjustRightInd/>
              <w:snapToGrid/>
              <w:spacing w:line="240" w:lineRule="auto"/>
              <w:jc w:val="center"/>
              <w:rPr>
                <w:kern w:val="0"/>
                <w:sz w:val="18"/>
                <w:szCs w:val="18"/>
              </w:rPr>
            </w:pPr>
            <w:r>
              <w:rPr>
                <w:rFonts w:hint="eastAsia"/>
                <w:kern w:val="0"/>
                <w:sz w:val="18"/>
                <w:szCs w:val="18"/>
              </w:rPr>
              <w:t>52（昼）</w:t>
            </w:r>
          </w:p>
          <w:p w14:paraId="13196805">
            <w:pPr>
              <w:widowControl/>
              <w:adjustRightInd/>
              <w:snapToGrid/>
              <w:spacing w:line="240" w:lineRule="auto"/>
              <w:jc w:val="center"/>
              <w:rPr>
                <w:kern w:val="0"/>
                <w:sz w:val="18"/>
                <w:szCs w:val="18"/>
              </w:rPr>
            </w:pPr>
            <w:r>
              <w:rPr>
                <w:rFonts w:hint="eastAsia"/>
                <w:kern w:val="0"/>
                <w:sz w:val="18"/>
                <w:szCs w:val="18"/>
              </w:rPr>
              <w:t>43（夜）</w:t>
            </w:r>
          </w:p>
        </w:tc>
        <w:tc>
          <w:tcPr>
            <w:tcW w:w="709" w:type="dxa"/>
            <w:vMerge w:val="restart"/>
            <w:vAlign w:val="center"/>
          </w:tcPr>
          <w:p w14:paraId="6D2A3BCF">
            <w:pPr>
              <w:widowControl/>
              <w:adjustRightInd/>
              <w:snapToGrid/>
              <w:spacing w:line="240" w:lineRule="auto"/>
              <w:jc w:val="center"/>
              <w:rPr>
                <w:kern w:val="0"/>
                <w:sz w:val="18"/>
                <w:szCs w:val="18"/>
              </w:rPr>
            </w:pPr>
            <w:r>
              <w:rPr>
                <w:rFonts w:hint="eastAsia"/>
                <w:kern w:val="0"/>
                <w:sz w:val="18"/>
                <w:szCs w:val="18"/>
              </w:rPr>
              <w:t>52（昼）</w:t>
            </w:r>
          </w:p>
          <w:p w14:paraId="50B84FAC">
            <w:pPr>
              <w:widowControl/>
              <w:adjustRightInd/>
              <w:snapToGrid/>
              <w:spacing w:line="240" w:lineRule="auto"/>
              <w:jc w:val="center"/>
              <w:rPr>
                <w:kern w:val="0"/>
                <w:sz w:val="18"/>
                <w:szCs w:val="18"/>
              </w:rPr>
            </w:pPr>
            <w:r>
              <w:rPr>
                <w:rFonts w:hint="eastAsia"/>
                <w:kern w:val="0"/>
                <w:sz w:val="18"/>
                <w:szCs w:val="18"/>
              </w:rPr>
              <w:t>43（夜）</w:t>
            </w:r>
          </w:p>
        </w:tc>
        <w:tc>
          <w:tcPr>
            <w:tcW w:w="880" w:type="dxa"/>
            <w:vAlign w:val="center"/>
          </w:tcPr>
          <w:p w14:paraId="614821CE">
            <w:pPr>
              <w:widowControl/>
              <w:adjustRightInd/>
              <w:snapToGrid/>
              <w:spacing w:line="240" w:lineRule="auto"/>
              <w:jc w:val="center"/>
              <w:rPr>
                <w:color w:val="000000"/>
                <w:sz w:val="18"/>
                <w:szCs w:val="18"/>
              </w:rPr>
            </w:pPr>
            <w:r>
              <w:rPr>
                <w:rFonts w:hint="eastAsia"/>
                <w:color w:val="000000"/>
                <w:sz w:val="18"/>
                <w:szCs w:val="18"/>
              </w:rPr>
              <w:t>62.9</w:t>
            </w:r>
          </w:p>
        </w:tc>
        <w:tc>
          <w:tcPr>
            <w:tcW w:w="880" w:type="dxa"/>
            <w:vAlign w:val="center"/>
          </w:tcPr>
          <w:p w14:paraId="6A706152">
            <w:pPr>
              <w:widowControl/>
              <w:adjustRightInd/>
              <w:snapToGrid/>
              <w:spacing w:line="240" w:lineRule="auto"/>
              <w:jc w:val="center"/>
              <w:rPr>
                <w:color w:val="000000"/>
                <w:sz w:val="18"/>
                <w:szCs w:val="18"/>
              </w:rPr>
            </w:pPr>
            <w:r>
              <w:rPr>
                <w:color w:val="000000"/>
                <w:sz w:val="18"/>
                <w:szCs w:val="18"/>
              </w:rPr>
              <w:t xml:space="preserve">63.2 </w:t>
            </w:r>
          </w:p>
        </w:tc>
        <w:tc>
          <w:tcPr>
            <w:tcW w:w="881" w:type="dxa"/>
            <w:vAlign w:val="center"/>
          </w:tcPr>
          <w:p w14:paraId="28A2A6E4">
            <w:pPr>
              <w:widowControl/>
              <w:adjustRightInd/>
              <w:snapToGrid/>
              <w:spacing w:line="240" w:lineRule="auto"/>
              <w:jc w:val="center"/>
              <w:rPr>
                <w:color w:val="000000"/>
                <w:sz w:val="18"/>
                <w:szCs w:val="18"/>
              </w:rPr>
            </w:pPr>
            <w:r>
              <w:rPr>
                <w:rFonts w:hint="eastAsia"/>
                <w:color w:val="000000"/>
                <w:sz w:val="18"/>
                <w:szCs w:val="18"/>
              </w:rPr>
              <w:t xml:space="preserve">11.2 </w:t>
            </w:r>
          </w:p>
        </w:tc>
        <w:tc>
          <w:tcPr>
            <w:tcW w:w="880" w:type="dxa"/>
            <w:vAlign w:val="center"/>
          </w:tcPr>
          <w:p w14:paraId="00EE6F64">
            <w:pPr>
              <w:widowControl/>
              <w:adjustRightInd/>
              <w:snapToGrid/>
              <w:spacing w:line="240" w:lineRule="auto"/>
              <w:jc w:val="center"/>
              <w:rPr>
                <w:color w:val="000000"/>
                <w:sz w:val="18"/>
                <w:szCs w:val="18"/>
              </w:rPr>
            </w:pPr>
            <w:r>
              <w:rPr>
                <w:rFonts w:hint="eastAsia"/>
                <w:color w:val="000000"/>
                <w:sz w:val="18"/>
                <w:szCs w:val="18"/>
              </w:rPr>
              <w:t xml:space="preserve">3.2 </w:t>
            </w:r>
          </w:p>
        </w:tc>
        <w:tc>
          <w:tcPr>
            <w:tcW w:w="880" w:type="dxa"/>
            <w:noWrap/>
            <w:vAlign w:val="center"/>
          </w:tcPr>
          <w:p w14:paraId="281703FE">
            <w:pPr>
              <w:widowControl/>
              <w:adjustRightInd/>
              <w:snapToGrid/>
              <w:spacing w:line="240" w:lineRule="auto"/>
              <w:jc w:val="center"/>
              <w:rPr>
                <w:kern w:val="0"/>
                <w:sz w:val="18"/>
                <w:szCs w:val="18"/>
              </w:rPr>
            </w:pPr>
            <w:r>
              <w:rPr>
                <w:rFonts w:hint="eastAsia"/>
                <w:color w:val="000000"/>
                <w:sz w:val="18"/>
                <w:szCs w:val="18"/>
              </w:rPr>
              <w:t>63.7</w:t>
            </w:r>
          </w:p>
        </w:tc>
        <w:tc>
          <w:tcPr>
            <w:tcW w:w="881" w:type="dxa"/>
            <w:noWrap/>
            <w:vAlign w:val="center"/>
          </w:tcPr>
          <w:p w14:paraId="1600EC96">
            <w:pPr>
              <w:widowControl/>
              <w:adjustRightInd/>
              <w:snapToGrid/>
              <w:spacing w:line="240" w:lineRule="auto"/>
              <w:jc w:val="center"/>
              <w:rPr>
                <w:kern w:val="0"/>
                <w:sz w:val="18"/>
                <w:szCs w:val="18"/>
              </w:rPr>
            </w:pPr>
            <w:r>
              <w:rPr>
                <w:color w:val="000000"/>
                <w:sz w:val="18"/>
                <w:szCs w:val="18"/>
              </w:rPr>
              <w:t>64.0</w:t>
            </w:r>
          </w:p>
        </w:tc>
        <w:tc>
          <w:tcPr>
            <w:tcW w:w="880" w:type="dxa"/>
            <w:noWrap/>
            <w:vAlign w:val="center"/>
          </w:tcPr>
          <w:p w14:paraId="3C80EAA5">
            <w:pPr>
              <w:widowControl/>
              <w:adjustRightInd/>
              <w:snapToGrid/>
              <w:spacing w:line="240" w:lineRule="auto"/>
              <w:jc w:val="center"/>
              <w:rPr>
                <w:kern w:val="0"/>
                <w:sz w:val="18"/>
                <w:szCs w:val="18"/>
              </w:rPr>
            </w:pPr>
            <w:r>
              <w:rPr>
                <w:color w:val="000000"/>
                <w:sz w:val="18"/>
                <w:szCs w:val="18"/>
              </w:rPr>
              <w:t>12.0</w:t>
            </w:r>
          </w:p>
        </w:tc>
        <w:tc>
          <w:tcPr>
            <w:tcW w:w="880" w:type="dxa"/>
            <w:noWrap/>
            <w:vAlign w:val="center"/>
          </w:tcPr>
          <w:p w14:paraId="38B67F9A">
            <w:pPr>
              <w:widowControl/>
              <w:adjustRightInd/>
              <w:snapToGrid/>
              <w:spacing w:line="240" w:lineRule="auto"/>
              <w:jc w:val="center"/>
              <w:rPr>
                <w:kern w:val="0"/>
                <w:sz w:val="18"/>
                <w:szCs w:val="18"/>
              </w:rPr>
            </w:pPr>
            <w:r>
              <w:rPr>
                <w:color w:val="000000"/>
                <w:sz w:val="18"/>
                <w:szCs w:val="18"/>
              </w:rPr>
              <w:t xml:space="preserve">4.0 </w:t>
            </w:r>
          </w:p>
        </w:tc>
        <w:tc>
          <w:tcPr>
            <w:tcW w:w="881" w:type="dxa"/>
            <w:noWrap/>
            <w:vAlign w:val="center"/>
          </w:tcPr>
          <w:p w14:paraId="4C4A119C">
            <w:pPr>
              <w:widowControl/>
              <w:adjustRightInd/>
              <w:snapToGrid/>
              <w:spacing w:line="240" w:lineRule="auto"/>
              <w:jc w:val="center"/>
              <w:rPr>
                <w:kern w:val="0"/>
                <w:sz w:val="18"/>
                <w:szCs w:val="18"/>
              </w:rPr>
            </w:pPr>
            <w:r>
              <w:rPr>
                <w:rFonts w:hint="eastAsia"/>
                <w:color w:val="000000"/>
                <w:sz w:val="18"/>
                <w:szCs w:val="18"/>
              </w:rPr>
              <w:t>64.6</w:t>
            </w:r>
          </w:p>
        </w:tc>
        <w:tc>
          <w:tcPr>
            <w:tcW w:w="880" w:type="dxa"/>
            <w:noWrap/>
            <w:vAlign w:val="center"/>
          </w:tcPr>
          <w:p w14:paraId="50925F45">
            <w:pPr>
              <w:widowControl/>
              <w:adjustRightInd/>
              <w:snapToGrid/>
              <w:spacing w:line="240" w:lineRule="auto"/>
              <w:jc w:val="center"/>
              <w:rPr>
                <w:kern w:val="0"/>
                <w:sz w:val="18"/>
                <w:szCs w:val="18"/>
              </w:rPr>
            </w:pPr>
            <w:r>
              <w:rPr>
                <w:color w:val="000000"/>
                <w:sz w:val="18"/>
                <w:szCs w:val="18"/>
              </w:rPr>
              <w:t xml:space="preserve">64.8 </w:t>
            </w:r>
          </w:p>
        </w:tc>
        <w:tc>
          <w:tcPr>
            <w:tcW w:w="880" w:type="dxa"/>
            <w:noWrap/>
            <w:vAlign w:val="center"/>
          </w:tcPr>
          <w:p w14:paraId="1A5DAC7D">
            <w:pPr>
              <w:widowControl/>
              <w:adjustRightInd/>
              <w:snapToGrid/>
              <w:spacing w:line="240" w:lineRule="auto"/>
              <w:jc w:val="center"/>
              <w:rPr>
                <w:kern w:val="0"/>
                <w:sz w:val="18"/>
                <w:szCs w:val="18"/>
              </w:rPr>
            </w:pPr>
            <w:r>
              <w:rPr>
                <w:color w:val="000000"/>
                <w:sz w:val="18"/>
                <w:szCs w:val="18"/>
              </w:rPr>
              <w:t xml:space="preserve">12.8 </w:t>
            </w:r>
          </w:p>
        </w:tc>
        <w:tc>
          <w:tcPr>
            <w:tcW w:w="881" w:type="dxa"/>
            <w:noWrap/>
            <w:vAlign w:val="center"/>
          </w:tcPr>
          <w:p w14:paraId="16AF09C2">
            <w:pPr>
              <w:widowControl/>
              <w:adjustRightInd/>
              <w:snapToGrid/>
              <w:spacing w:line="240" w:lineRule="auto"/>
              <w:jc w:val="center"/>
              <w:rPr>
                <w:kern w:val="0"/>
                <w:sz w:val="18"/>
                <w:szCs w:val="18"/>
              </w:rPr>
            </w:pPr>
            <w:r>
              <w:rPr>
                <w:color w:val="000000"/>
                <w:sz w:val="18"/>
                <w:szCs w:val="18"/>
              </w:rPr>
              <w:t xml:space="preserve">4.8 </w:t>
            </w:r>
          </w:p>
        </w:tc>
      </w:tr>
      <w:tr w14:paraId="604CBA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043FB0E">
            <w:pPr>
              <w:widowControl/>
              <w:adjustRightInd/>
              <w:snapToGrid/>
              <w:spacing w:line="240" w:lineRule="auto"/>
              <w:jc w:val="center"/>
              <w:rPr>
                <w:kern w:val="0"/>
                <w:sz w:val="18"/>
                <w:szCs w:val="18"/>
              </w:rPr>
            </w:pPr>
            <w:r>
              <w:rPr>
                <w:sz w:val="18"/>
                <w:szCs w:val="18"/>
              </w:rPr>
              <w:t>2</w:t>
            </w:r>
          </w:p>
        </w:tc>
        <w:tc>
          <w:tcPr>
            <w:tcW w:w="673" w:type="dxa"/>
            <w:vMerge w:val="continue"/>
            <w:vAlign w:val="center"/>
          </w:tcPr>
          <w:p w14:paraId="7B033D92">
            <w:pPr>
              <w:widowControl/>
              <w:adjustRightInd/>
              <w:snapToGrid/>
              <w:spacing w:line="240" w:lineRule="auto"/>
              <w:jc w:val="left"/>
              <w:rPr>
                <w:kern w:val="0"/>
                <w:sz w:val="18"/>
                <w:szCs w:val="18"/>
              </w:rPr>
            </w:pPr>
          </w:p>
        </w:tc>
        <w:tc>
          <w:tcPr>
            <w:tcW w:w="595" w:type="dxa"/>
            <w:vMerge w:val="continue"/>
            <w:vAlign w:val="center"/>
          </w:tcPr>
          <w:p w14:paraId="465E030C">
            <w:pPr>
              <w:widowControl/>
              <w:adjustRightInd/>
              <w:snapToGrid/>
              <w:spacing w:line="240" w:lineRule="auto"/>
              <w:jc w:val="center"/>
              <w:rPr>
                <w:kern w:val="0"/>
                <w:sz w:val="18"/>
                <w:szCs w:val="18"/>
              </w:rPr>
            </w:pPr>
          </w:p>
        </w:tc>
        <w:tc>
          <w:tcPr>
            <w:tcW w:w="567" w:type="dxa"/>
            <w:vMerge w:val="continue"/>
            <w:vAlign w:val="center"/>
          </w:tcPr>
          <w:p w14:paraId="1FA7CAB0">
            <w:pPr>
              <w:widowControl/>
              <w:adjustRightInd/>
              <w:snapToGrid/>
              <w:spacing w:line="240" w:lineRule="auto"/>
              <w:jc w:val="left"/>
              <w:rPr>
                <w:kern w:val="0"/>
                <w:sz w:val="18"/>
                <w:szCs w:val="18"/>
              </w:rPr>
            </w:pPr>
          </w:p>
        </w:tc>
        <w:tc>
          <w:tcPr>
            <w:tcW w:w="426" w:type="dxa"/>
            <w:noWrap/>
            <w:vAlign w:val="center"/>
          </w:tcPr>
          <w:p w14:paraId="031787ED">
            <w:pPr>
              <w:widowControl/>
              <w:adjustRightInd/>
              <w:snapToGrid/>
              <w:spacing w:line="240" w:lineRule="auto"/>
              <w:jc w:val="center"/>
              <w:rPr>
                <w:kern w:val="0"/>
                <w:sz w:val="18"/>
                <w:szCs w:val="18"/>
              </w:rPr>
            </w:pPr>
            <w:r>
              <w:rPr>
                <w:sz w:val="18"/>
                <w:szCs w:val="18"/>
              </w:rPr>
              <w:t>夜间</w:t>
            </w:r>
          </w:p>
        </w:tc>
        <w:tc>
          <w:tcPr>
            <w:tcW w:w="708" w:type="dxa"/>
            <w:noWrap/>
            <w:vAlign w:val="center"/>
          </w:tcPr>
          <w:p w14:paraId="38C6353D">
            <w:pPr>
              <w:widowControl/>
              <w:adjustRightInd/>
              <w:snapToGrid/>
              <w:spacing w:line="240" w:lineRule="auto"/>
              <w:jc w:val="center"/>
              <w:rPr>
                <w:kern w:val="0"/>
                <w:sz w:val="18"/>
                <w:szCs w:val="18"/>
              </w:rPr>
            </w:pPr>
            <w:r>
              <w:rPr>
                <w:sz w:val="18"/>
                <w:szCs w:val="18"/>
              </w:rPr>
              <w:t>50</w:t>
            </w:r>
          </w:p>
        </w:tc>
        <w:tc>
          <w:tcPr>
            <w:tcW w:w="709" w:type="dxa"/>
            <w:vMerge w:val="continue"/>
            <w:vAlign w:val="center"/>
          </w:tcPr>
          <w:p w14:paraId="26F52A19">
            <w:pPr>
              <w:widowControl/>
              <w:adjustRightInd/>
              <w:snapToGrid/>
              <w:spacing w:line="240" w:lineRule="auto"/>
              <w:jc w:val="center"/>
              <w:rPr>
                <w:kern w:val="0"/>
                <w:sz w:val="18"/>
                <w:szCs w:val="18"/>
              </w:rPr>
            </w:pPr>
          </w:p>
        </w:tc>
        <w:tc>
          <w:tcPr>
            <w:tcW w:w="709" w:type="dxa"/>
            <w:vMerge w:val="continue"/>
            <w:vAlign w:val="center"/>
          </w:tcPr>
          <w:p w14:paraId="265CCFC2">
            <w:pPr>
              <w:widowControl/>
              <w:adjustRightInd/>
              <w:snapToGrid/>
              <w:spacing w:line="240" w:lineRule="auto"/>
              <w:jc w:val="center"/>
              <w:rPr>
                <w:kern w:val="0"/>
                <w:sz w:val="18"/>
                <w:szCs w:val="18"/>
              </w:rPr>
            </w:pPr>
          </w:p>
        </w:tc>
        <w:tc>
          <w:tcPr>
            <w:tcW w:w="880" w:type="dxa"/>
            <w:vAlign w:val="center"/>
          </w:tcPr>
          <w:p w14:paraId="3AE9C1E8">
            <w:pPr>
              <w:widowControl/>
              <w:adjustRightInd/>
              <w:snapToGrid/>
              <w:spacing w:line="240" w:lineRule="auto"/>
              <w:jc w:val="center"/>
              <w:rPr>
                <w:kern w:val="0"/>
                <w:sz w:val="18"/>
                <w:szCs w:val="18"/>
              </w:rPr>
            </w:pPr>
            <w:r>
              <w:rPr>
                <w:rFonts w:hint="eastAsia"/>
                <w:color w:val="000000"/>
                <w:sz w:val="18"/>
                <w:szCs w:val="18"/>
              </w:rPr>
              <w:t>51.6</w:t>
            </w:r>
          </w:p>
        </w:tc>
        <w:tc>
          <w:tcPr>
            <w:tcW w:w="880" w:type="dxa"/>
            <w:vAlign w:val="center"/>
          </w:tcPr>
          <w:p w14:paraId="18FF8EDE">
            <w:pPr>
              <w:widowControl/>
              <w:adjustRightInd/>
              <w:snapToGrid/>
              <w:spacing w:line="240" w:lineRule="auto"/>
              <w:jc w:val="center"/>
              <w:rPr>
                <w:kern w:val="0"/>
                <w:sz w:val="18"/>
                <w:szCs w:val="18"/>
              </w:rPr>
            </w:pPr>
            <w:r>
              <w:rPr>
                <w:color w:val="000000"/>
                <w:sz w:val="18"/>
                <w:szCs w:val="18"/>
              </w:rPr>
              <w:t xml:space="preserve">52.2 </w:t>
            </w:r>
          </w:p>
        </w:tc>
        <w:tc>
          <w:tcPr>
            <w:tcW w:w="881" w:type="dxa"/>
            <w:vAlign w:val="center"/>
          </w:tcPr>
          <w:p w14:paraId="4ABF2B2F">
            <w:pPr>
              <w:widowControl/>
              <w:adjustRightInd/>
              <w:snapToGrid/>
              <w:spacing w:line="240" w:lineRule="auto"/>
              <w:jc w:val="center"/>
              <w:rPr>
                <w:kern w:val="0"/>
                <w:sz w:val="18"/>
                <w:szCs w:val="18"/>
              </w:rPr>
            </w:pPr>
            <w:r>
              <w:rPr>
                <w:rFonts w:hint="eastAsia"/>
                <w:color w:val="000000"/>
                <w:sz w:val="18"/>
                <w:szCs w:val="18"/>
              </w:rPr>
              <w:t xml:space="preserve">9.2 </w:t>
            </w:r>
          </w:p>
        </w:tc>
        <w:tc>
          <w:tcPr>
            <w:tcW w:w="880" w:type="dxa"/>
            <w:vAlign w:val="center"/>
          </w:tcPr>
          <w:p w14:paraId="2117F025">
            <w:pPr>
              <w:widowControl/>
              <w:adjustRightInd/>
              <w:snapToGrid/>
              <w:spacing w:line="240" w:lineRule="auto"/>
              <w:jc w:val="center"/>
              <w:rPr>
                <w:kern w:val="0"/>
                <w:sz w:val="18"/>
                <w:szCs w:val="18"/>
              </w:rPr>
            </w:pPr>
            <w:r>
              <w:rPr>
                <w:rFonts w:hint="eastAsia"/>
                <w:color w:val="000000"/>
                <w:sz w:val="18"/>
                <w:szCs w:val="18"/>
              </w:rPr>
              <w:t xml:space="preserve">2.2 </w:t>
            </w:r>
          </w:p>
        </w:tc>
        <w:tc>
          <w:tcPr>
            <w:tcW w:w="880" w:type="dxa"/>
            <w:noWrap/>
            <w:vAlign w:val="center"/>
          </w:tcPr>
          <w:p w14:paraId="26FB006E">
            <w:pPr>
              <w:widowControl/>
              <w:adjustRightInd/>
              <w:snapToGrid/>
              <w:spacing w:line="240" w:lineRule="auto"/>
              <w:jc w:val="center"/>
              <w:rPr>
                <w:kern w:val="0"/>
                <w:sz w:val="18"/>
                <w:szCs w:val="18"/>
              </w:rPr>
            </w:pPr>
            <w:r>
              <w:rPr>
                <w:kern w:val="0"/>
                <w:sz w:val="18"/>
                <w:szCs w:val="18"/>
              </w:rPr>
              <w:t>52.5</w:t>
            </w:r>
          </w:p>
        </w:tc>
        <w:tc>
          <w:tcPr>
            <w:tcW w:w="881" w:type="dxa"/>
            <w:noWrap/>
            <w:vAlign w:val="center"/>
          </w:tcPr>
          <w:p w14:paraId="064C5248">
            <w:pPr>
              <w:widowControl/>
              <w:adjustRightInd/>
              <w:snapToGrid/>
              <w:spacing w:line="240" w:lineRule="auto"/>
              <w:jc w:val="center"/>
              <w:rPr>
                <w:kern w:val="0"/>
                <w:sz w:val="18"/>
                <w:szCs w:val="18"/>
              </w:rPr>
            </w:pPr>
            <w:r>
              <w:rPr>
                <w:color w:val="000000"/>
                <w:sz w:val="18"/>
                <w:szCs w:val="18"/>
              </w:rPr>
              <w:t>53.0</w:t>
            </w:r>
          </w:p>
        </w:tc>
        <w:tc>
          <w:tcPr>
            <w:tcW w:w="880" w:type="dxa"/>
            <w:noWrap/>
            <w:vAlign w:val="center"/>
          </w:tcPr>
          <w:p w14:paraId="38FD5139">
            <w:pPr>
              <w:widowControl/>
              <w:adjustRightInd/>
              <w:snapToGrid/>
              <w:spacing w:line="240" w:lineRule="auto"/>
              <w:jc w:val="center"/>
              <w:rPr>
                <w:kern w:val="0"/>
                <w:sz w:val="18"/>
                <w:szCs w:val="18"/>
              </w:rPr>
            </w:pPr>
            <w:r>
              <w:rPr>
                <w:color w:val="000000"/>
                <w:sz w:val="18"/>
                <w:szCs w:val="18"/>
              </w:rPr>
              <w:t>10.0</w:t>
            </w:r>
          </w:p>
        </w:tc>
        <w:tc>
          <w:tcPr>
            <w:tcW w:w="880" w:type="dxa"/>
            <w:noWrap/>
            <w:vAlign w:val="center"/>
          </w:tcPr>
          <w:p w14:paraId="6921D2F8">
            <w:pPr>
              <w:widowControl/>
              <w:adjustRightInd/>
              <w:snapToGrid/>
              <w:spacing w:line="240" w:lineRule="auto"/>
              <w:jc w:val="center"/>
              <w:rPr>
                <w:kern w:val="0"/>
                <w:sz w:val="18"/>
                <w:szCs w:val="18"/>
              </w:rPr>
            </w:pPr>
            <w:r>
              <w:rPr>
                <w:color w:val="000000"/>
                <w:sz w:val="18"/>
                <w:szCs w:val="18"/>
              </w:rPr>
              <w:t xml:space="preserve">3.0 </w:t>
            </w:r>
          </w:p>
        </w:tc>
        <w:tc>
          <w:tcPr>
            <w:tcW w:w="881" w:type="dxa"/>
            <w:noWrap/>
            <w:vAlign w:val="center"/>
          </w:tcPr>
          <w:p w14:paraId="51A75713">
            <w:pPr>
              <w:widowControl/>
              <w:adjustRightInd/>
              <w:snapToGrid/>
              <w:spacing w:line="240" w:lineRule="auto"/>
              <w:jc w:val="center"/>
              <w:rPr>
                <w:kern w:val="0"/>
                <w:sz w:val="18"/>
                <w:szCs w:val="18"/>
              </w:rPr>
            </w:pPr>
            <w:r>
              <w:rPr>
                <w:kern w:val="0"/>
                <w:sz w:val="18"/>
                <w:szCs w:val="18"/>
              </w:rPr>
              <w:t>53.4</w:t>
            </w:r>
          </w:p>
        </w:tc>
        <w:tc>
          <w:tcPr>
            <w:tcW w:w="880" w:type="dxa"/>
            <w:noWrap/>
            <w:vAlign w:val="center"/>
          </w:tcPr>
          <w:p w14:paraId="1BC44BB9">
            <w:pPr>
              <w:widowControl/>
              <w:adjustRightInd/>
              <w:snapToGrid/>
              <w:spacing w:line="240" w:lineRule="auto"/>
              <w:jc w:val="center"/>
              <w:rPr>
                <w:kern w:val="0"/>
                <w:sz w:val="18"/>
                <w:szCs w:val="18"/>
              </w:rPr>
            </w:pPr>
            <w:r>
              <w:rPr>
                <w:color w:val="000000"/>
                <w:sz w:val="18"/>
                <w:szCs w:val="18"/>
              </w:rPr>
              <w:t xml:space="preserve">53.8 </w:t>
            </w:r>
          </w:p>
        </w:tc>
        <w:tc>
          <w:tcPr>
            <w:tcW w:w="880" w:type="dxa"/>
            <w:noWrap/>
            <w:vAlign w:val="center"/>
          </w:tcPr>
          <w:p w14:paraId="5499A730">
            <w:pPr>
              <w:widowControl/>
              <w:adjustRightInd/>
              <w:snapToGrid/>
              <w:spacing w:line="240" w:lineRule="auto"/>
              <w:jc w:val="center"/>
              <w:rPr>
                <w:kern w:val="0"/>
                <w:sz w:val="18"/>
                <w:szCs w:val="18"/>
              </w:rPr>
            </w:pPr>
            <w:r>
              <w:rPr>
                <w:color w:val="000000"/>
                <w:sz w:val="18"/>
                <w:szCs w:val="18"/>
              </w:rPr>
              <w:t xml:space="preserve">10.8 </w:t>
            </w:r>
          </w:p>
        </w:tc>
        <w:tc>
          <w:tcPr>
            <w:tcW w:w="881" w:type="dxa"/>
            <w:noWrap/>
            <w:vAlign w:val="center"/>
          </w:tcPr>
          <w:p w14:paraId="25AFB202">
            <w:pPr>
              <w:widowControl/>
              <w:adjustRightInd/>
              <w:snapToGrid/>
              <w:spacing w:line="240" w:lineRule="auto"/>
              <w:jc w:val="center"/>
              <w:rPr>
                <w:kern w:val="0"/>
                <w:sz w:val="18"/>
                <w:szCs w:val="18"/>
              </w:rPr>
            </w:pPr>
            <w:r>
              <w:rPr>
                <w:color w:val="000000"/>
                <w:sz w:val="18"/>
                <w:szCs w:val="18"/>
              </w:rPr>
              <w:t xml:space="preserve">3.8 </w:t>
            </w:r>
          </w:p>
        </w:tc>
      </w:tr>
      <w:tr w14:paraId="1A61F2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AA881D9">
            <w:pPr>
              <w:widowControl/>
              <w:adjustRightInd/>
              <w:snapToGrid/>
              <w:spacing w:line="240" w:lineRule="auto"/>
              <w:jc w:val="center"/>
              <w:rPr>
                <w:kern w:val="0"/>
                <w:sz w:val="18"/>
                <w:szCs w:val="18"/>
              </w:rPr>
            </w:pPr>
            <w:r>
              <w:rPr>
                <w:sz w:val="18"/>
                <w:szCs w:val="18"/>
              </w:rPr>
              <w:t>3</w:t>
            </w:r>
          </w:p>
        </w:tc>
        <w:tc>
          <w:tcPr>
            <w:tcW w:w="673" w:type="dxa"/>
            <w:vMerge w:val="continue"/>
            <w:vAlign w:val="center"/>
          </w:tcPr>
          <w:p w14:paraId="2D8A676E">
            <w:pPr>
              <w:widowControl/>
              <w:adjustRightInd/>
              <w:snapToGrid/>
              <w:spacing w:line="240" w:lineRule="auto"/>
              <w:jc w:val="left"/>
              <w:rPr>
                <w:kern w:val="0"/>
                <w:sz w:val="18"/>
                <w:szCs w:val="18"/>
              </w:rPr>
            </w:pPr>
          </w:p>
        </w:tc>
        <w:tc>
          <w:tcPr>
            <w:tcW w:w="595" w:type="dxa"/>
            <w:vMerge w:val="restart"/>
            <w:vAlign w:val="center"/>
          </w:tcPr>
          <w:p w14:paraId="31AEBBB5">
            <w:pPr>
              <w:widowControl/>
              <w:adjustRightInd/>
              <w:snapToGrid/>
              <w:spacing w:line="240" w:lineRule="auto"/>
              <w:jc w:val="center"/>
              <w:rPr>
                <w:kern w:val="0"/>
                <w:sz w:val="18"/>
                <w:szCs w:val="18"/>
              </w:rPr>
            </w:pPr>
            <w:r>
              <w:rPr>
                <w:kern w:val="0"/>
                <w:sz w:val="18"/>
                <w:szCs w:val="18"/>
              </w:rPr>
              <w:t>16.2</w:t>
            </w:r>
          </w:p>
        </w:tc>
        <w:tc>
          <w:tcPr>
            <w:tcW w:w="567" w:type="dxa"/>
            <w:vMerge w:val="continue"/>
            <w:vAlign w:val="center"/>
          </w:tcPr>
          <w:p w14:paraId="1763D2F1">
            <w:pPr>
              <w:widowControl/>
              <w:adjustRightInd/>
              <w:snapToGrid/>
              <w:spacing w:line="240" w:lineRule="auto"/>
              <w:jc w:val="left"/>
              <w:rPr>
                <w:kern w:val="0"/>
                <w:sz w:val="18"/>
                <w:szCs w:val="18"/>
              </w:rPr>
            </w:pPr>
          </w:p>
        </w:tc>
        <w:tc>
          <w:tcPr>
            <w:tcW w:w="426" w:type="dxa"/>
            <w:noWrap/>
            <w:vAlign w:val="center"/>
          </w:tcPr>
          <w:p w14:paraId="6BA02643">
            <w:pPr>
              <w:widowControl/>
              <w:adjustRightInd/>
              <w:snapToGrid/>
              <w:spacing w:line="240" w:lineRule="auto"/>
              <w:jc w:val="center"/>
              <w:rPr>
                <w:kern w:val="0"/>
                <w:sz w:val="18"/>
                <w:szCs w:val="18"/>
              </w:rPr>
            </w:pPr>
            <w:r>
              <w:rPr>
                <w:sz w:val="18"/>
                <w:szCs w:val="18"/>
              </w:rPr>
              <w:t>昼间</w:t>
            </w:r>
          </w:p>
        </w:tc>
        <w:tc>
          <w:tcPr>
            <w:tcW w:w="708" w:type="dxa"/>
            <w:noWrap/>
            <w:vAlign w:val="center"/>
          </w:tcPr>
          <w:p w14:paraId="79E8D9D0">
            <w:pPr>
              <w:widowControl/>
              <w:adjustRightInd/>
              <w:snapToGrid/>
              <w:spacing w:line="240" w:lineRule="auto"/>
              <w:jc w:val="center"/>
              <w:rPr>
                <w:kern w:val="0"/>
                <w:sz w:val="18"/>
                <w:szCs w:val="18"/>
              </w:rPr>
            </w:pPr>
            <w:r>
              <w:rPr>
                <w:sz w:val="18"/>
                <w:szCs w:val="18"/>
              </w:rPr>
              <w:t>60</w:t>
            </w:r>
          </w:p>
        </w:tc>
        <w:tc>
          <w:tcPr>
            <w:tcW w:w="709" w:type="dxa"/>
            <w:vMerge w:val="continue"/>
            <w:vAlign w:val="center"/>
          </w:tcPr>
          <w:p w14:paraId="74F8FBF7">
            <w:pPr>
              <w:widowControl/>
              <w:adjustRightInd/>
              <w:snapToGrid/>
              <w:spacing w:line="240" w:lineRule="auto"/>
              <w:jc w:val="center"/>
              <w:rPr>
                <w:kern w:val="0"/>
                <w:sz w:val="18"/>
                <w:szCs w:val="18"/>
              </w:rPr>
            </w:pPr>
          </w:p>
        </w:tc>
        <w:tc>
          <w:tcPr>
            <w:tcW w:w="709" w:type="dxa"/>
            <w:vMerge w:val="continue"/>
            <w:noWrap/>
            <w:vAlign w:val="center"/>
          </w:tcPr>
          <w:p w14:paraId="0EE7393B">
            <w:pPr>
              <w:widowControl/>
              <w:adjustRightInd/>
              <w:snapToGrid/>
              <w:spacing w:line="240" w:lineRule="auto"/>
              <w:jc w:val="center"/>
              <w:rPr>
                <w:kern w:val="0"/>
                <w:sz w:val="18"/>
                <w:szCs w:val="18"/>
              </w:rPr>
            </w:pPr>
          </w:p>
        </w:tc>
        <w:tc>
          <w:tcPr>
            <w:tcW w:w="880" w:type="dxa"/>
            <w:vAlign w:val="center"/>
          </w:tcPr>
          <w:p w14:paraId="5D53AE69">
            <w:pPr>
              <w:widowControl/>
              <w:adjustRightInd/>
              <w:snapToGrid/>
              <w:spacing w:line="240" w:lineRule="auto"/>
              <w:jc w:val="center"/>
              <w:rPr>
                <w:color w:val="000000"/>
                <w:sz w:val="18"/>
                <w:szCs w:val="18"/>
              </w:rPr>
            </w:pPr>
            <w:r>
              <w:rPr>
                <w:rFonts w:hint="eastAsia"/>
                <w:color w:val="000000"/>
                <w:sz w:val="18"/>
                <w:szCs w:val="18"/>
              </w:rPr>
              <w:t>64.8</w:t>
            </w:r>
          </w:p>
        </w:tc>
        <w:tc>
          <w:tcPr>
            <w:tcW w:w="880" w:type="dxa"/>
            <w:vAlign w:val="center"/>
          </w:tcPr>
          <w:p w14:paraId="0C33B1C0">
            <w:pPr>
              <w:widowControl/>
              <w:adjustRightInd/>
              <w:snapToGrid/>
              <w:spacing w:line="240" w:lineRule="auto"/>
              <w:jc w:val="center"/>
              <w:rPr>
                <w:color w:val="000000"/>
                <w:sz w:val="18"/>
                <w:szCs w:val="18"/>
              </w:rPr>
            </w:pPr>
            <w:r>
              <w:rPr>
                <w:color w:val="000000"/>
                <w:sz w:val="18"/>
                <w:szCs w:val="18"/>
              </w:rPr>
              <w:t xml:space="preserve">65.0 </w:t>
            </w:r>
          </w:p>
        </w:tc>
        <w:tc>
          <w:tcPr>
            <w:tcW w:w="881" w:type="dxa"/>
            <w:vAlign w:val="center"/>
          </w:tcPr>
          <w:p w14:paraId="4BC93FD0">
            <w:pPr>
              <w:widowControl/>
              <w:adjustRightInd/>
              <w:snapToGrid/>
              <w:spacing w:line="240" w:lineRule="auto"/>
              <w:jc w:val="center"/>
              <w:rPr>
                <w:color w:val="000000"/>
                <w:sz w:val="18"/>
                <w:szCs w:val="18"/>
              </w:rPr>
            </w:pPr>
            <w:r>
              <w:rPr>
                <w:rFonts w:hint="eastAsia"/>
                <w:color w:val="000000"/>
                <w:sz w:val="18"/>
                <w:szCs w:val="18"/>
              </w:rPr>
              <w:t xml:space="preserve">13.0 </w:t>
            </w:r>
          </w:p>
        </w:tc>
        <w:tc>
          <w:tcPr>
            <w:tcW w:w="880" w:type="dxa"/>
            <w:vAlign w:val="center"/>
          </w:tcPr>
          <w:p w14:paraId="6124DAD4">
            <w:pPr>
              <w:widowControl/>
              <w:adjustRightInd/>
              <w:snapToGrid/>
              <w:spacing w:line="240" w:lineRule="auto"/>
              <w:jc w:val="center"/>
              <w:rPr>
                <w:color w:val="000000"/>
                <w:sz w:val="18"/>
                <w:szCs w:val="18"/>
              </w:rPr>
            </w:pPr>
            <w:r>
              <w:rPr>
                <w:rFonts w:hint="eastAsia"/>
                <w:color w:val="000000"/>
                <w:sz w:val="18"/>
                <w:szCs w:val="18"/>
              </w:rPr>
              <w:t xml:space="preserve">5.0 </w:t>
            </w:r>
          </w:p>
        </w:tc>
        <w:tc>
          <w:tcPr>
            <w:tcW w:w="880" w:type="dxa"/>
            <w:noWrap/>
            <w:vAlign w:val="center"/>
          </w:tcPr>
          <w:p w14:paraId="086E6BC8">
            <w:pPr>
              <w:widowControl/>
              <w:adjustRightInd/>
              <w:snapToGrid/>
              <w:spacing w:line="240" w:lineRule="auto"/>
              <w:jc w:val="center"/>
              <w:rPr>
                <w:kern w:val="0"/>
                <w:sz w:val="18"/>
                <w:szCs w:val="18"/>
              </w:rPr>
            </w:pPr>
            <w:r>
              <w:rPr>
                <w:rFonts w:hint="eastAsia"/>
                <w:color w:val="000000"/>
                <w:sz w:val="18"/>
                <w:szCs w:val="18"/>
              </w:rPr>
              <w:t>65.7</w:t>
            </w:r>
          </w:p>
        </w:tc>
        <w:tc>
          <w:tcPr>
            <w:tcW w:w="881" w:type="dxa"/>
            <w:noWrap/>
            <w:vAlign w:val="center"/>
          </w:tcPr>
          <w:p w14:paraId="0F298178">
            <w:pPr>
              <w:widowControl/>
              <w:adjustRightInd/>
              <w:snapToGrid/>
              <w:spacing w:line="240" w:lineRule="auto"/>
              <w:jc w:val="center"/>
              <w:rPr>
                <w:kern w:val="0"/>
                <w:sz w:val="18"/>
                <w:szCs w:val="18"/>
              </w:rPr>
            </w:pPr>
            <w:r>
              <w:rPr>
                <w:color w:val="000000"/>
                <w:sz w:val="18"/>
                <w:szCs w:val="18"/>
              </w:rPr>
              <w:t>65.9</w:t>
            </w:r>
          </w:p>
        </w:tc>
        <w:tc>
          <w:tcPr>
            <w:tcW w:w="880" w:type="dxa"/>
            <w:noWrap/>
            <w:vAlign w:val="center"/>
          </w:tcPr>
          <w:p w14:paraId="465899B5">
            <w:pPr>
              <w:widowControl/>
              <w:adjustRightInd/>
              <w:snapToGrid/>
              <w:spacing w:line="240" w:lineRule="auto"/>
              <w:jc w:val="center"/>
              <w:rPr>
                <w:kern w:val="0"/>
                <w:sz w:val="18"/>
                <w:szCs w:val="18"/>
              </w:rPr>
            </w:pPr>
            <w:r>
              <w:rPr>
                <w:color w:val="000000"/>
                <w:sz w:val="18"/>
                <w:szCs w:val="18"/>
              </w:rPr>
              <w:t>13.9</w:t>
            </w:r>
          </w:p>
        </w:tc>
        <w:tc>
          <w:tcPr>
            <w:tcW w:w="880" w:type="dxa"/>
            <w:noWrap/>
            <w:vAlign w:val="center"/>
          </w:tcPr>
          <w:p w14:paraId="500D88AC">
            <w:pPr>
              <w:widowControl/>
              <w:adjustRightInd/>
              <w:snapToGrid/>
              <w:spacing w:line="240" w:lineRule="auto"/>
              <w:jc w:val="center"/>
              <w:rPr>
                <w:kern w:val="0"/>
                <w:sz w:val="18"/>
                <w:szCs w:val="18"/>
              </w:rPr>
            </w:pPr>
            <w:r>
              <w:rPr>
                <w:color w:val="000000"/>
                <w:sz w:val="18"/>
                <w:szCs w:val="18"/>
              </w:rPr>
              <w:t xml:space="preserve">5.9 </w:t>
            </w:r>
          </w:p>
        </w:tc>
        <w:tc>
          <w:tcPr>
            <w:tcW w:w="881" w:type="dxa"/>
            <w:noWrap/>
            <w:vAlign w:val="center"/>
          </w:tcPr>
          <w:p w14:paraId="3241191C">
            <w:pPr>
              <w:widowControl/>
              <w:adjustRightInd/>
              <w:snapToGrid/>
              <w:spacing w:line="240" w:lineRule="auto"/>
              <w:jc w:val="center"/>
              <w:rPr>
                <w:kern w:val="0"/>
                <w:sz w:val="18"/>
                <w:szCs w:val="18"/>
              </w:rPr>
            </w:pPr>
            <w:r>
              <w:rPr>
                <w:rFonts w:hint="eastAsia"/>
                <w:color w:val="000000"/>
                <w:sz w:val="18"/>
                <w:szCs w:val="18"/>
              </w:rPr>
              <w:t>66.6</w:t>
            </w:r>
          </w:p>
        </w:tc>
        <w:tc>
          <w:tcPr>
            <w:tcW w:w="880" w:type="dxa"/>
            <w:noWrap/>
            <w:vAlign w:val="center"/>
          </w:tcPr>
          <w:p w14:paraId="066D0CDC">
            <w:pPr>
              <w:widowControl/>
              <w:adjustRightInd/>
              <w:snapToGrid/>
              <w:spacing w:line="240" w:lineRule="auto"/>
              <w:jc w:val="center"/>
              <w:rPr>
                <w:kern w:val="0"/>
                <w:sz w:val="18"/>
                <w:szCs w:val="18"/>
              </w:rPr>
            </w:pPr>
            <w:r>
              <w:rPr>
                <w:color w:val="000000"/>
                <w:sz w:val="18"/>
                <w:szCs w:val="18"/>
              </w:rPr>
              <w:t xml:space="preserve">66.7 </w:t>
            </w:r>
          </w:p>
        </w:tc>
        <w:tc>
          <w:tcPr>
            <w:tcW w:w="880" w:type="dxa"/>
            <w:noWrap/>
            <w:vAlign w:val="center"/>
          </w:tcPr>
          <w:p w14:paraId="2093048D">
            <w:pPr>
              <w:widowControl/>
              <w:adjustRightInd/>
              <w:snapToGrid/>
              <w:spacing w:line="240" w:lineRule="auto"/>
              <w:jc w:val="center"/>
              <w:rPr>
                <w:kern w:val="0"/>
                <w:sz w:val="18"/>
                <w:szCs w:val="18"/>
              </w:rPr>
            </w:pPr>
            <w:r>
              <w:rPr>
                <w:color w:val="000000"/>
                <w:sz w:val="18"/>
                <w:szCs w:val="18"/>
              </w:rPr>
              <w:t xml:space="preserve">14.7 </w:t>
            </w:r>
          </w:p>
        </w:tc>
        <w:tc>
          <w:tcPr>
            <w:tcW w:w="881" w:type="dxa"/>
            <w:noWrap/>
            <w:vAlign w:val="center"/>
          </w:tcPr>
          <w:p w14:paraId="43226AA4">
            <w:pPr>
              <w:widowControl/>
              <w:adjustRightInd/>
              <w:snapToGrid/>
              <w:spacing w:line="240" w:lineRule="auto"/>
              <w:jc w:val="center"/>
              <w:rPr>
                <w:kern w:val="0"/>
                <w:sz w:val="18"/>
                <w:szCs w:val="18"/>
              </w:rPr>
            </w:pPr>
            <w:r>
              <w:rPr>
                <w:color w:val="000000"/>
                <w:sz w:val="18"/>
                <w:szCs w:val="18"/>
              </w:rPr>
              <w:t xml:space="preserve">6.7 </w:t>
            </w:r>
          </w:p>
        </w:tc>
      </w:tr>
      <w:tr w14:paraId="54BF40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A9228E3">
            <w:pPr>
              <w:widowControl/>
              <w:adjustRightInd/>
              <w:snapToGrid/>
              <w:spacing w:line="240" w:lineRule="auto"/>
              <w:jc w:val="center"/>
              <w:rPr>
                <w:kern w:val="0"/>
                <w:sz w:val="18"/>
                <w:szCs w:val="18"/>
              </w:rPr>
            </w:pPr>
            <w:r>
              <w:rPr>
                <w:sz w:val="18"/>
                <w:szCs w:val="18"/>
              </w:rPr>
              <w:t>4</w:t>
            </w:r>
          </w:p>
        </w:tc>
        <w:tc>
          <w:tcPr>
            <w:tcW w:w="673" w:type="dxa"/>
            <w:vMerge w:val="continue"/>
            <w:vAlign w:val="center"/>
          </w:tcPr>
          <w:p w14:paraId="14376AF4">
            <w:pPr>
              <w:widowControl/>
              <w:adjustRightInd/>
              <w:snapToGrid/>
              <w:spacing w:line="240" w:lineRule="auto"/>
              <w:jc w:val="left"/>
              <w:rPr>
                <w:kern w:val="0"/>
                <w:sz w:val="18"/>
                <w:szCs w:val="18"/>
              </w:rPr>
            </w:pPr>
          </w:p>
        </w:tc>
        <w:tc>
          <w:tcPr>
            <w:tcW w:w="595" w:type="dxa"/>
            <w:vMerge w:val="continue"/>
            <w:vAlign w:val="center"/>
          </w:tcPr>
          <w:p w14:paraId="2D0EC7FE">
            <w:pPr>
              <w:widowControl/>
              <w:adjustRightInd/>
              <w:snapToGrid/>
              <w:spacing w:line="240" w:lineRule="auto"/>
              <w:jc w:val="center"/>
              <w:rPr>
                <w:kern w:val="0"/>
                <w:sz w:val="18"/>
                <w:szCs w:val="18"/>
              </w:rPr>
            </w:pPr>
          </w:p>
        </w:tc>
        <w:tc>
          <w:tcPr>
            <w:tcW w:w="567" w:type="dxa"/>
            <w:vMerge w:val="continue"/>
            <w:vAlign w:val="center"/>
          </w:tcPr>
          <w:p w14:paraId="2B1B1B57">
            <w:pPr>
              <w:widowControl/>
              <w:adjustRightInd/>
              <w:snapToGrid/>
              <w:spacing w:line="240" w:lineRule="auto"/>
              <w:jc w:val="left"/>
              <w:rPr>
                <w:kern w:val="0"/>
                <w:sz w:val="18"/>
                <w:szCs w:val="18"/>
              </w:rPr>
            </w:pPr>
          </w:p>
        </w:tc>
        <w:tc>
          <w:tcPr>
            <w:tcW w:w="426" w:type="dxa"/>
            <w:noWrap/>
            <w:vAlign w:val="center"/>
          </w:tcPr>
          <w:p w14:paraId="49F497B2">
            <w:pPr>
              <w:widowControl/>
              <w:adjustRightInd/>
              <w:snapToGrid/>
              <w:spacing w:line="240" w:lineRule="auto"/>
              <w:jc w:val="center"/>
              <w:rPr>
                <w:kern w:val="0"/>
                <w:sz w:val="18"/>
                <w:szCs w:val="18"/>
              </w:rPr>
            </w:pPr>
            <w:r>
              <w:rPr>
                <w:sz w:val="18"/>
                <w:szCs w:val="18"/>
              </w:rPr>
              <w:t>夜间</w:t>
            </w:r>
          </w:p>
        </w:tc>
        <w:tc>
          <w:tcPr>
            <w:tcW w:w="708" w:type="dxa"/>
            <w:noWrap/>
            <w:vAlign w:val="center"/>
          </w:tcPr>
          <w:p w14:paraId="476C5F41">
            <w:pPr>
              <w:widowControl/>
              <w:adjustRightInd/>
              <w:snapToGrid/>
              <w:spacing w:line="240" w:lineRule="auto"/>
              <w:jc w:val="center"/>
              <w:rPr>
                <w:kern w:val="0"/>
                <w:sz w:val="18"/>
                <w:szCs w:val="18"/>
              </w:rPr>
            </w:pPr>
            <w:r>
              <w:rPr>
                <w:rFonts w:hint="eastAsia"/>
                <w:kern w:val="0"/>
                <w:sz w:val="18"/>
                <w:szCs w:val="18"/>
              </w:rPr>
              <w:t>50</w:t>
            </w:r>
          </w:p>
        </w:tc>
        <w:tc>
          <w:tcPr>
            <w:tcW w:w="709" w:type="dxa"/>
            <w:vMerge w:val="continue"/>
            <w:vAlign w:val="center"/>
          </w:tcPr>
          <w:p w14:paraId="238F276B">
            <w:pPr>
              <w:widowControl/>
              <w:adjustRightInd/>
              <w:snapToGrid/>
              <w:spacing w:line="240" w:lineRule="auto"/>
              <w:jc w:val="center"/>
              <w:rPr>
                <w:kern w:val="0"/>
                <w:sz w:val="18"/>
                <w:szCs w:val="18"/>
              </w:rPr>
            </w:pPr>
          </w:p>
        </w:tc>
        <w:tc>
          <w:tcPr>
            <w:tcW w:w="709" w:type="dxa"/>
            <w:vMerge w:val="continue"/>
            <w:noWrap/>
            <w:vAlign w:val="center"/>
          </w:tcPr>
          <w:p w14:paraId="45E7EF70">
            <w:pPr>
              <w:widowControl/>
              <w:adjustRightInd/>
              <w:snapToGrid/>
              <w:spacing w:line="240" w:lineRule="auto"/>
              <w:jc w:val="center"/>
              <w:rPr>
                <w:kern w:val="0"/>
                <w:sz w:val="18"/>
                <w:szCs w:val="18"/>
              </w:rPr>
            </w:pPr>
          </w:p>
        </w:tc>
        <w:tc>
          <w:tcPr>
            <w:tcW w:w="880" w:type="dxa"/>
            <w:vAlign w:val="center"/>
          </w:tcPr>
          <w:p w14:paraId="16600BBE">
            <w:pPr>
              <w:widowControl/>
              <w:adjustRightInd/>
              <w:snapToGrid/>
              <w:spacing w:line="240" w:lineRule="auto"/>
              <w:jc w:val="center"/>
              <w:rPr>
                <w:kern w:val="0"/>
                <w:sz w:val="18"/>
                <w:szCs w:val="18"/>
              </w:rPr>
            </w:pPr>
            <w:r>
              <w:rPr>
                <w:rFonts w:hint="eastAsia"/>
                <w:color w:val="000000"/>
                <w:sz w:val="18"/>
                <w:szCs w:val="18"/>
              </w:rPr>
              <w:t>52.8</w:t>
            </w:r>
          </w:p>
        </w:tc>
        <w:tc>
          <w:tcPr>
            <w:tcW w:w="880" w:type="dxa"/>
            <w:vAlign w:val="center"/>
          </w:tcPr>
          <w:p w14:paraId="6CA4C4A8">
            <w:pPr>
              <w:widowControl/>
              <w:adjustRightInd/>
              <w:snapToGrid/>
              <w:spacing w:line="240" w:lineRule="auto"/>
              <w:jc w:val="center"/>
              <w:rPr>
                <w:kern w:val="0"/>
                <w:sz w:val="18"/>
                <w:szCs w:val="18"/>
              </w:rPr>
            </w:pPr>
            <w:r>
              <w:rPr>
                <w:color w:val="000000"/>
                <w:sz w:val="18"/>
                <w:szCs w:val="18"/>
              </w:rPr>
              <w:t xml:space="preserve">53.2 </w:t>
            </w:r>
          </w:p>
        </w:tc>
        <w:tc>
          <w:tcPr>
            <w:tcW w:w="881" w:type="dxa"/>
            <w:vAlign w:val="center"/>
          </w:tcPr>
          <w:p w14:paraId="1A34F3E2">
            <w:pPr>
              <w:widowControl/>
              <w:adjustRightInd/>
              <w:snapToGrid/>
              <w:spacing w:line="240" w:lineRule="auto"/>
              <w:jc w:val="center"/>
              <w:rPr>
                <w:kern w:val="0"/>
                <w:sz w:val="18"/>
                <w:szCs w:val="18"/>
              </w:rPr>
            </w:pPr>
            <w:r>
              <w:rPr>
                <w:rFonts w:hint="eastAsia"/>
                <w:color w:val="000000"/>
                <w:sz w:val="18"/>
                <w:szCs w:val="18"/>
              </w:rPr>
              <w:t xml:space="preserve">10.2 </w:t>
            </w:r>
          </w:p>
        </w:tc>
        <w:tc>
          <w:tcPr>
            <w:tcW w:w="880" w:type="dxa"/>
            <w:vAlign w:val="center"/>
          </w:tcPr>
          <w:p w14:paraId="3FF3B6F7">
            <w:pPr>
              <w:widowControl/>
              <w:adjustRightInd/>
              <w:snapToGrid/>
              <w:spacing w:line="240" w:lineRule="auto"/>
              <w:jc w:val="center"/>
              <w:rPr>
                <w:kern w:val="0"/>
                <w:sz w:val="18"/>
                <w:szCs w:val="18"/>
              </w:rPr>
            </w:pPr>
            <w:r>
              <w:rPr>
                <w:rFonts w:hint="eastAsia"/>
                <w:color w:val="000000"/>
                <w:sz w:val="18"/>
                <w:szCs w:val="18"/>
              </w:rPr>
              <w:t xml:space="preserve">3.2 </w:t>
            </w:r>
          </w:p>
        </w:tc>
        <w:tc>
          <w:tcPr>
            <w:tcW w:w="880" w:type="dxa"/>
            <w:noWrap/>
            <w:vAlign w:val="center"/>
          </w:tcPr>
          <w:p w14:paraId="33DB2230">
            <w:pPr>
              <w:widowControl/>
              <w:adjustRightInd/>
              <w:snapToGrid/>
              <w:spacing w:line="240" w:lineRule="auto"/>
              <w:jc w:val="center"/>
              <w:rPr>
                <w:kern w:val="0"/>
                <w:sz w:val="18"/>
                <w:szCs w:val="18"/>
              </w:rPr>
            </w:pPr>
            <w:r>
              <w:rPr>
                <w:kern w:val="0"/>
                <w:sz w:val="18"/>
                <w:szCs w:val="18"/>
              </w:rPr>
              <w:t>53.7</w:t>
            </w:r>
          </w:p>
        </w:tc>
        <w:tc>
          <w:tcPr>
            <w:tcW w:w="881" w:type="dxa"/>
            <w:noWrap/>
            <w:vAlign w:val="center"/>
          </w:tcPr>
          <w:p w14:paraId="78BB50D1">
            <w:pPr>
              <w:widowControl/>
              <w:adjustRightInd/>
              <w:snapToGrid/>
              <w:spacing w:line="240" w:lineRule="auto"/>
              <w:jc w:val="center"/>
              <w:rPr>
                <w:kern w:val="0"/>
                <w:sz w:val="18"/>
                <w:szCs w:val="18"/>
              </w:rPr>
            </w:pPr>
            <w:r>
              <w:rPr>
                <w:color w:val="000000"/>
                <w:sz w:val="18"/>
                <w:szCs w:val="18"/>
              </w:rPr>
              <w:t>54.1</w:t>
            </w:r>
          </w:p>
        </w:tc>
        <w:tc>
          <w:tcPr>
            <w:tcW w:w="880" w:type="dxa"/>
            <w:noWrap/>
            <w:vAlign w:val="center"/>
          </w:tcPr>
          <w:p w14:paraId="451869C5">
            <w:pPr>
              <w:widowControl/>
              <w:adjustRightInd/>
              <w:snapToGrid/>
              <w:spacing w:line="240" w:lineRule="auto"/>
              <w:jc w:val="center"/>
              <w:rPr>
                <w:kern w:val="0"/>
                <w:sz w:val="18"/>
                <w:szCs w:val="18"/>
              </w:rPr>
            </w:pPr>
            <w:r>
              <w:rPr>
                <w:color w:val="000000"/>
                <w:sz w:val="18"/>
                <w:szCs w:val="18"/>
              </w:rPr>
              <w:t>11.1</w:t>
            </w:r>
          </w:p>
        </w:tc>
        <w:tc>
          <w:tcPr>
            <w:tcW w:w="880" w:type="dxa"/>
            <w:noWrap/>
            <w:vAlign w:val="center"/>
          </w:tcPr>
          <w:p w14:paraId="549E908B">
            <w:pPr>
              <w:widowControl/>
              <w:adjustRightInd/>
              <w:snapToGrid/>
              <w:spacing w:line="240" w:lineRule="auto"/>
              <w:jc w:val="center"/>
              <w:rPr>
                <w:kern w:val="0"/>
                <w:sz w:val="18"/>
                <w:szCs w:val="18"/>
              </w:rPr>
            </w:pPr>
            <w:r>
              <w:rPr>
                <w:color w:val="000000"/>
                <w:sz w:val="18"/>
                <w:szCs w:val="18"/>
              </w:rPr>
              <w:t xml:space="preserve">4.1 </w:t>
            </w:r>
          </w:p>
        </w:tc>
        <w:tc>
          <w:tcPr>
            <w:tcW w:w="881" w:type="dxa"/>
            <w:noWrap/>
            <w:vAlign w:val="center"/>
          </w:tcPr>
          <w:p w14:paraId="621C0680">
            <w:pPr>
              <w:widowControl/>
              <w:adjustRightInd/>
              <w:snapToGrid/>
              <w:spacing w:line="240" w:lineRule="auto"/>
              <w:jc w:val="center"/>
              <w:rPr>
                <w:kern w:val="0"/>
                <w:sz w:val="18"/>
                <w:szCs w:val="18"/>
              </w:rPr>
            </w:pPr>
            <w:r>
              <w:rPr>
                <w:kern w:val="0"/>
                <w:sz w:val="18"/>
                <w:szCs w:val="18"/>
              </w:rPr>
              <w:t>54.6</w:t>
            </w:r>
          </w:p>
        </w:tc>
        <w:tc>
          <w:tcPr>
            <w:tcW w:w="880" w:type="dxa"/>
            <w:noWrap/>
            <w:vAlign w:val="center"/>
          </w:tcPr>
          <w:p w14:paraId="68324CD1">
            <w:pPr>
              <w:widowControl/>
              <w:adjustRightInd/>
              <w:snapToGrid/>
              <w:spacing w:line="240" w:lineRule="auto"/>
              <w:jc w:val="center"/>
              <w:rPr>
                <w:kern w:val="0"/>
                <w:sz w:val="18"/>
                <w:szCs w:val="18"/>
              </w:rPr>
            </w:pPr>
            <w:r>
              <w:rPr>
                <w:color w:val="000000"/>
                <w:sz w:val="18"/>
                <w:szCs w:val="18"/>
              </w:rPr>
              <w:t xml:space="preserve">54.9 </w:t>
            </w:r>
          </w:p>
        </w:tc>
        <w:tc>
          <w:tcPr>
            <w:tcW w:w="880" w:type="dxa"/>
            <w:noWrap/>
            <w:vAlign w:val="center"/>
          </w:tcPr>
          <w:p w14:paraId="6CB9D27A">
            <w:pPr>
              <w:widowControl/>
              <w:adjustRightInd/>
              <w:snapToGrid/>
              <w:spacing w:line="240" w:lineRule="auto"/>
              <w:jc w:val="center"/>
              <w:rPr>
                <w:kern w:val="0"/>
                <w:sz w:val="18"/>
                <w:szCs w:val="18"/>
              </w:rPr>
            </w:pPr>
            <w:r>
              <w:rPr>
                <w:color w:val="000000"/>
                <w:sz w:val="18"/>
                <w:szCs w:val="18"/>
              </w:rPr>
              <w:t xml:space="preserve">11.9 </w:t>
            </w:r>
          </w:p>
        </w:tc>
        <w:tc>
          <w:tcPr>
            <w:tcW w:w="881" w:type="dxa"/>
            <w:noWrap/>
            <w:vAlign w:val="center"/>
          </w:tcPr>
          <w:p w14:paraId="2FCC8962">
            <w:pPr>
              <w:widowControl/>
              <w:adjustRightInd/>
              <w:snapToGrid/>
              <w:spacing w:line="240" w:lineRule="auto"/>
              <w:jc w:val="center"/>
              <w:rPr>
                <w:kern w:val="0"/>
                <w:sz w:val="18"/>
                <w:szCs w:val="18"/>
              </w:rPr>
            </w:pPr>
            <w:r>
              <w:rPr>
                <w:color w:val="000000"/>
                <w:sz w:val="18"/>
                <w:szCs w:val="18"/>
              </w:rPr>
              <w:t xml:space="preserve">4.9 </w:t>
            </w:r>
          </w:p>
        </w:tc>
      </w:tr>
      <w:tr w14:paraId="22E16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80EEF4B">
            <w:pPr>
              <w:widowControl/>
              <w:adjustRightInd/>
              <w:snapToGrid/>
              <w:spacing w:line="240" w:lineRule="auto"/>
              <w:jc w:val="center"/>
              <w:rPr>
                <w:kern w:val="0"/>
                <w:sz w:val="18"/>
                <w:szCs w:val="18"/>
              </w:rPr>
            </w:pPr>
            <w:r>
              <w:rPr>
                <w:sz w:val="18"/>
                <w:szCs w:val="18"/>
              </w:rPr>
              <w:t>5</w:t>
            </w:r>
          </w:p>
        </w:tc>
        <w:tc>
          <w:tcPr>
            <w:tcW w:w="673" w:type="dxa"/>
            <w:vMerge w:val="continue"/>
            <w:vAlign w:val="center"/>
          </w:tcPr>
          <w:p w14:paraId="7FFEF95E">
            <w:pPr>
              <w:widowControl/>
              <w:adjustRightInd/>
              <w:snapToGrid/>
              <w:spacing w:line="240" w:lineRule="auto"/>
              <w:jc w:val="left"/>
              <w:rPr>
                <w:kern w:val="0"/>
                <w:sz w:val="18"/>
                <w:szCs w:val="18"/>
              </w:rPr>
            </w:pPr>
          </w:p>
        </w:tc>
        <w:tc>
          <w:tcPr>
            <w:tcW w:w="595" w:type="dxa"/>
            <w:vMerge w:val="restart"/>
            <w:vAlign w:val="center"/>
          </w:tcPr>
          <w:p w14:paraId="73B18547">
            <w:pPr>
              <w:widowControl/>
              <w:adjustRightInd/>
              <w:snapToGrid/>
              <w:spacing w:line="240" w:lineRule="auto"/>
              <w:jc w:val="center"/>
              <w:rPr>
                <w:kern w:val="0"/>
                <w:sz w:val="18"/>
                <w:szCs w:val="18"/>
              </w:rPr>
            </w:pPr>
            <w:r>
              <w:rPr>
                <w:kern w:val="0"/>
                <w:sz w:val="18"/>
                <w:szCs w:val="18"/>
              </w:rPr>
              <w:t>31.2</w:t>
            </w:r>
          </w:p>
        </w:tc>
        <w:tc>
          <w:tcPr>
            <w:tcW w:w="567" w:type="dxa"/>
            <w:vMerge w:val="continue"/>
            <w:vAlign w:val="center"/>
          </w:tcPr>
          <w:p w14:paraId="7C52F7FD">
            <w:pPr>
              <w:widowControl/>
              <w:adjustRightInd/>
              <w:snapToGrid/>
              <w:spacing w:line="240" w:lineRule="auto"/>
              <w:jc w:val="left"/>
              <w:rPr>
                <w:kern w:val="0"/>
                <w:sz w:val="18"/>
                <w:szCs w:val="18"/>
              </w:rPr>
            </w:pPr>
          </w:p>
        </w:tc>
        <w:tc>
          <w:tcPr>
            <w:tcW w:w="426" w:type="dxa"/>
            <w:noWrap/>
            <w:vAlign w:val="center"/>
          </w:tcPr>
          <w:p w14:paraId="1600A737">
            <w:pPr>
              <w:widowControl/>
              <w:adjustRightInd/>
              <w:snapToGrid/>
              <w:spacing w:line="240" w:lineRule="auto"/>
              <w:jc w:val="center"/>
              <w:rPr>
                <w:kern w:val="0"/>
                <w:sz w:val="18"/>
                <w:szCs w:val="18"/>
              </w:rPr>
            </w:pPr>
            <w:r>
              <w:rPr>
                <w:sz w:val="18"/>
                <w:szCs w:val="18"/>
              </w:rPr>
              <w:t>昼间</w:t>
            </w:r>
          </w:p>
        </w:tc>
        <w:tc>
          <w:tcPr>
            <w:tcW w:w="708" w:type="dxa"/>
            <w:noWrap/>
            <w:vAlign w:val="center"/>
          </w:tcPr>
          <w:p w14:paraId="321B97A9">
            <w:pPr>
              <w:widowControl/>
              <w:adjustRightInd/>
              <w:snapToGrid/>
              <w:spacing w:line="240" w:lineRule="auto"/>
              <w:jc w:val="center"/>
              <w:rPr>
                <w:kern w:val="0"/>
                <w:sz w:val="18"/>
                <w:szCs w:val="18"/>
              </w:rPr>
            </w:pPr>
            <w:r>
              <w:rPr>
                <w:sz w:val="18"/>
                <w:szCs w:val="18"/>
              </w:rPr>
              <w:t>60</w:t>
            </w:r>
          </w:p>
        </w:tc>
        <w:tc>
          <w:tcPr>
            <w:tcW w:w="709" w:type="dxa"/>
            <w:vMerge w:val="continue"/>
            <w:vAlign w:val="center"/>
          </w:tcPr>
          <w:p w14:paraId="67960E73">
            <w:pPr>
              <w:widowControl/>
              <w:adjustRightInd/>
              <w:snapToGrid/>
              <w:spacing w:line="240" w:lineRule="auto"/>
              <w:jc w:val="center"/>
              <w:rPr>
                <w:kern w:val="0"/>
                <w:sz w:val="18"/>
                <w:szCs w:val="18"/>
              </w:rPr>
            </w:pPr>
          </w:p>
        </w:tc>
        <w:tc>
          <w:tcPr>
            <w:tcW w:w="709" w:type="dxa"/>
            <w:vMerge w:val="continue"/>
            <w:vAlign w:val="center"/>
          </w:tcPr>
          <w:p w14:paraId="02B54CBD">
            <w:pPr>
              <w:widowControl/>
              <w:adjustRightInd/>
              <w:snapToGrid/>
              <w:spacing w:line="240" w:lineRule="auto"/>
              <w:jc w:val="center"/>
              <w:rPr>
                <w:kern w:val="0"/>
                <w:sz w:val="18"/>
                <w:szCs w:val="18"/>
              </w:rPr>
            </w:pPr>
          </w:p>
        </w:tc>
        <w:tc>
          <w:tcPr>
            <w:tcW w:w="880" w:type="dxa"/>
            <w:vAlign w:val="center"/>
          </w:tcPr>
          <w:p w14:paraId="464106DC">
            <w:pPr>
              <w:widowControl/>
              <w:adjustRightInd/>
              <w:snapToGrid/>
              <w:spacing w:line="240" w:lineRule="auto"/>
              <w:jc w:val="center"/>
              <w:rPr>
                <w:color w:val="000000"/>
                <w:sz w:val="18"/>
                <w:szCs w:val="18"/>
              </w:rPr>
            </w:pPr>
            <w:r>
              <w:rPr>
                <w:rFonts w:hint="eastAsia"/>
                <w:color w:val="000000"/>
                <w:sz w:val="18"/>
                <w:szCs w:val="18"/>
              </w:rPr>
              <w:t>63.2</w:t>
            </w:r>
          </w:p>
        </w:tc>
        <w:tc>
          <w:tcPr>
            <w:tcW w:w="880" w:type="dxa"/>
            <w:vAlign w:val="center"/>
          </w:tcPr>
          <w:p w14:paraId="4E022B95">
            <w:pPr>
              <w:widowControl/>
              <w:adjustRightInd/>
              <w:snapToGrid/>
              <w:spacing w:line="240" w:lineRule="auto"/>
              <w:jc w:val="center"/>
              <w:rPr>
                <w:color w:val="000000"/>
                <w:sz w:val="18"/>
                <w:szCs w:val="18"/>
              </w:rPr>
            </w:pPr>
            <w:r>
              <w:rPr>
                <w:color w:val="000000"/>
                <w:sz w:val="18"/>
                <w:szCs w:val="18"/>
              </w:rPr>
              <w:t xml:space="preserve">63.5 </w:t>
            </w:r>
          </w:p>
        </w:tc>
        <w:tc>
          <w:tcPr>
            <w:tcW w:w="881" w:type="dxa"/>
            <w:vAlign w:val="center"/>
          </w:tcPr>
          <w:p w14:paraId="5EAFB5DE">
            <w:pPr>
              <w:widowControl/>
              <w:adjustRightInd/>
              <w:snapToGrid/>
              <w:spacing w:line="240" w:lineRule="auto"/>
              <w:jc w:val="center"/>
              <w:rPr>
                <w:color w:val="000000"/>
                <w:sz w:val="18"/>
                <w:szCs w:val="18"/>
              </w:rPr>
            </w:pPr>
            <w:r>
              <w:rPr>
                <w:rFonts w:hint="eastAsia"/>
                <w:color w:val="000000"/>
                <w:sz w:val="18"/>
                <w:szCs w:val="18"/>
              </w:rPr>
              <w:t xml:space="preserve">11.5 </w:t>
            </w:r>
          </w:p>
        </w:tc>
        <w:tc>
          <w:tcPr>
            <w:tcW w:w="880" w:type="dxa"/>
            <w:vAlign w:val="center"/>
          </w:tcPr>
          <w:p w14:paraId="505E665E">
            <w:pPr>
              <w:widowControl/>
              <w:adjustRightInd/>
              <w:snapToGrid/>
              <w:spacing w:line="240" w:lineRule="auto"/>
              <w:jc w:val="center"/>
              <w:rPr>
                <w:color w:val="000000"/>
                <w:sz w:val="18"/>
                <w:szCs w:val="18"/>
              </w:rPr>
            </w:pPr>
            <w:r>
              <w:rPr>
                <w:rFonts w:hint="eastAsia"/>
                <w:color w:val="000000"/>
                <w:sz w:val="18"/>
                <w:szCs w:val="18"/>
              </w:rPr>
              <w:t xml:space="preserve">3.5 </w:t>
            </w:r>
          </w:p>
        </w:tc>
        <w:tc>
          <w:tcPr>
            <w:tcW w:w="880" w:type="dxa"/>
            <w:noWrap/>
            <w:vAlign w:val="center"/>
          </w:tcPr>
          <w:p w14:paraId="65525DB6">
            <w:pPr>
              <w:widowControl/>
              <w:adjustRightInd/>
              <w:snapToGrid/>
              <w:spacing w:line="240" w:lineRule="auto"/>
              <w:jc w:val="center"/>
              <w:rPr>
                <w:kern w:val="0"/>
                <w:sz w:val="18"/>
                <w:szCs w:val="18"/>
              </w:rPr>
            </w:pPr>
            <w:r>
              <w:rPr>
                <w:rFonts w:hint="eastAsia"/>
                <w:color w:val="000000"/>
                <w:sz w:val="18"/>
                <w:szCs w:val="18"/>
              </w:rPr>
              <w:t>64</w:t>
            </w:r>
          </w:p>
        </w:tc>
        <w:tc>
          <w:tcPr>
            <w:tcW w:w="881" w:type="dxa"/>
            <w:noWrap/>
            <w:vAlign w:val="center"/>
          </w:tcPr>
          <w:p w14:paraId="23E1F2C6">
            <w:pPr>
              <w:widowControl/>
              <w:adjustRightInd/>
              <w:snapToGrid/>
              <w:spacing w:line="240" w:lineRule="auto"/>
              <w:jc w:val="center"/>
              <w:rPr>
                <w:kern w:val="0"/>
                <w:sz w:val="18"/>
                <w:szCs w:val="18"/>
              </w:rPr>
            </w:pPr>
            <w:r>
              <w:rPr>
                <w:color w:val="000000"/>
                <w:sz w:val="18"/>
                <w:szCs w:val="18"/>
              </w:rPr>
              <w:t>64.3</w:t>
            </w:r>
          </w:p>
        </w:tc>
        <w:tc>
          <w:tcPr>
            <w:tcW w:w="880" w:type="dxa"/>
            <w:noWrap/>
            <w:vAlign w:val="center"/>
          </w:tcPr>
          <w:p w14:paraId="2E2B5FBC">
            <w:pPr>
              <w:widowControl/>
              <w:adjustRightInd/>
              <w:snapToGrid/>
              <w:spacing w:line="240" w:lineRule="auto"/>
              <w:jc w:val="center"/>
              <w:rPr>
                <w:kern w:val="0"/>
                <w:sz w:val="18"/>
                <w:szCs w:val="18"/>
              </w:rPr>
            </w:pPr>
            <w:r>
              <w:rPr>
                <w:color w:val="000000"/>
                <w:sz w:val="18"/>
                <w:szCs w:val="18"/>
              </w:rPr>
              <w:t>12.3</w:t>
            </w:r>
          </w:p>
        </w:tc>
        <w:tc>
          <w:tcPr>
            <w:tcW w:w="880" w:type="dxa"/>
            <w:noWrap/>
            <w:vAlign w:val="center"/>
          </w:tcPr>
          <w:p w14:paraId="510485EA">
            <w:pPr>
              <w:widowControl/>
              <w:adjustRightInd/>
              <w:snapToGrid/>
              <w:spacing w:line="240" w:lineRule="auto"/>
              <w:jc w:val="center"/>
              <w:rPr>
                <w:kern w:val="0"/>
                <w:sz w:val="18"/>
                <w:szCs w:val="18"/>
              </w:rPr>
            </w:pPr>
            <w:r>
              <w:rPr>
                <w:color w:val="000000"/>
                <w:sz w:val="18"/>
                <w:szCs w:val="18"/>
              </w:rPr>
              <w:t xml:space="preserve">4.3 </w:t>
            </w:r>
          </w:p>
        </w:tc>
        <w:tc>
          <w:tcPr>
            <w:tcW w:w="881" w:type="dxa"/>
            <w:noWrap/>
            <w:vAlign w:val="center"/>
          </w:tcPr>
          <w:p w14:paraId="35923AF3">
            <w:pPr>
              <w:widowControl/>
              <w:adjustRightInd/>
              <w:snapToGrid/>
              <w:spacing w:line="240" w:lineRule="auto"/>
              <w:jc w:val="center"/>
              <w:rPr>
                <w:kern w:val="0"/>
                <w:sz w:val="18"/>
                <w:szCs w:val="18"/>
              </w:rPr>
            </w:pPr>
            <w:r>
              <w:rPr>
                <w:rFonts w:hint="eastAsia"/>
                <w:color w:val="000000"/>
                <w:sz w:val="18"/>
                <w:szCs w:val="18"/>
              </w:rPr>
              <w:t>65</w:t>
            </w:r>
          </w:p>
        </w:tc>
        <w:tc>
          <w:tcPr>
            <w:tcW w:w="880" w:type="dxa"/>
            <w:noWrap/>
            <w:vAlign w:val="center"/>
          </w:tcPr>
          <w:p w14:paraId="45EC470E">
            <w:pPr>
              <w:widowControl/>
              <w:adjustRightInd/>
              <w:snapToGrid/>
              <w:spacing w:line="240" w:lineRule="auto"/>
              <w:jc w:val="center"/>
              <w:rPr>
                <w:kern w:val="0"/>
                <w:sz w:val="18"/>
                <w:szCs w:val="18"/>
              </w:rPr>
            </w:pPr>
            <w:r>
              <w:rPr>
                <w:color w:val="000000"/>
                <w:sz w:val="18"/>
                <w:szCs w:val="18"/>
              </w:rPr>
              <w:t xml:space="preserve">65.2 </w:t>
            </w:r>
          </w:p>
        </w:tc>
        <w:tc>
          <w:tcPr>
            <w:tcW w:w="880" w:type="dxa"/>
            <w:noWrap/>
            <w:vAlign w:val="center"/>
          </w:tcPr>
          <w:p w14:paraId="146EC891">
            <w:pPr>
              <w:widowControl/>
              <w:adjustRightInd/>
              <w:snapToGrid/>
              <w:spacing w:line="240" w:lineRule="auto"/>
              <w:jc w:val="center"/>
              <w:rPr>
                <w:kern w:val="0"/>
                <w:sz w:val="18"/>
                <w:szCs w:val="18"/>
              </w:rPr>
            </w:pPr>
            <w:r>
              <w:rPr>
                <w:color w:val="000000"/>
                <w:sz w:val="18"/>
                <w:szCs w:val="18"/>
              </w:rPr>
              <w:t xml:space="preserve">13.2 </w:t>
            </w:r>
          </w:p>
        </w:tc>
        <w:tc>
          <w:tcPr>
            <w:tcW w:w="881" w:type="dxa"/>
            <w:noWrap/>
            <w:vAlign w:val="center"/>
          </w:tcPr>
          <w:p w14:paraId="79112C67">
            <w:pPr>
              <w:widowControl/>
              <w:adjustRightInd/>
              <w:snapToGrid/>
              <w:spacing w:line="240" w:lineRule="auto"/>
              <w:jc w:val="center"/>
              <w:rPr>
                <w:kern w:val="0"/>
                <w:sz w:val="18"/>
                <w:szCs w:val="18"/>
              </w:rPr>
            </w:pPr>
            <w:r>
              <w:rPr>
                <w:color w:val="000000"/>
                <w:sz w:val="18"/>
                <w:szCs w:val="18"/>
              </w:rPr>
              <w:t xml:space="preserve">5.2 </w:t>
            </w:r>
          </w:p>
        </w:tc>
      </w:tr>
      <w:tr w14:paraId="182054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B639619">
            <w:pPr>
              <w:widowControl/>
              <w:adjustRightInd/>
              <w:snapToGrid/>
              <w:spacing w:line="240" w:lineRule="auto"/>
              <w:jc w:val="center"/>
              <w:rPr>
                <w:sz w:val="18"/>
                <w:szCs w:val="18"/>
              </w:rPr>
            </w:pPr>
            <w:r>
              <w:rPr>
                <w:sz w:val="18"/>
                <w:szCs w:val="18"/>
              </w:rPr>
              <w:t>6</w:t>
            </w:r>
          </w:p>
        </w:tc>
        <w:tc>
          <w:tcPr>
            <w:tcW w:w="673" w:type="dxa"/>
            <w:vMerge w:val="continue"/>
            <w:vAlign w:val="center"/>
          </w:tcPr>
          <w:p w14:paraId="76820E73">
            <w:pPr>
              <w:widowControl/>
              <w:adjustRightInd/>
              <w:snapToGrid/>
              <w:spacing w:line="240" w:lineRule="auto"/>
              <w:jc w:val="left"/>
              <w:rPr>
                <w:kern w:val="0"/>
                <w:sz w:val="18"/>
                <w:szCs w:val="18"/>
              </w:rPr>
            </w:pPr>
          </w:p>
        </w:tc>
        <w:tc>
          <w:tcPr>
            <w:tcW w:w="595" w:type="dxa"/>
            <w:vMerge w:val="continue"/>
            <w:vAlign w:val="center"/>
          </w:tcPr>
          <w:p w14:paraId="76715C04">
            <w:pPr>
              <w:widowControl/>
              <w:adjustRightInd/>
              <w:snapToGrid/>
              <w:spacing w:line="240" w:lineRule="auto"/>
              <w:jc w:val="center"/>
              <w:rPr>
                <w:kern w:val="0"/>
                <w:sz w:val="18"/>
                <w:szCs w:val="18"/>
              </w:rPr>
            </w:pPr>
          </w:p>
        </w:tc>
        <w:tc>
          <w:tcPr>
            <w:tcW w:w="567" w:type="dxa"/>
            <w:vMerge w:val="continue"/>
            <w:vAlign w:val="center"/>
          </w:tcPr>
          <w:p w14:paraId="75E40A99">
            <w:pPr>
              <w:widowControl/>
              <w:adjustRightInd/>
              <w:snapToGrid/>
              <w:spacing w:line="240" w:lineRule="auto"/>
              <w:jc w:val="left"/>
              <w:rPr>
                <w:kern w:val="0"/>
                <w:sz w:val="18"/>
                <w:szCs w:val="18"/>
              </w:rPr>
            </w:pPr>
          </w:p>
        </w:tc>
        <w:tc>
          <w:tcPr>
            <w:tcW w:w="426" w:type="dxa"/>
            <w:noWrap/>
            <w:vAlign w:val="center"/>
          </w:tcPr>
          <w:p w14:paraId="4877873E">
            <w:pPr>
              <w:widowControl/>
              <w:adjustRightInd/>
              <w:snapToGrid/>
              <w:spacing w:line="240" w:lineRule="auto"/>
              <w:jc w:val="center"/>
              <w:rPr>
                <w:sz w:val="18"/>
                <w:szCs w:val="18"/>
              </w:rPr>
            </w:pPr>
            <w:r>
              <w:rPr>
                <w:sz w:val="18"/>
                <w:szCs w:val="18"/>
              </w:rPr>
              <w:t>夜间</w:t>
            </w:r>
          </w:p>
        </w:tc>
        <w:tc>
          <w:tcPr>
            <w:tcW w:w="708" w:type="dxa"/>
            <w:noWrap/>
            <w:vAlign w:val="center"/>
          </w:tcPr>
          <w:p w14:paraId="2C8C3283">
            <w:pPr>
              <w:widowControl/>
              <w:adjustRightInd/>
              <w:snapToGrid/>
              <w:spacing w:line="240" w:lineRule="auto"/>
              <w:jc w:val="center"/>
              <w:rPr>
                <w:sz w:val="18"/>
                <w:szCs w:val="18"/>
              </w:rPr>
            </w:pPr>
            <w:r>
              <w:rPr>
                <w:sz w:val="18"/>
                <w:szCs w:val="18"/>
              </w:rPr>
              <w:t>50</w:t>
            </w:r>
          </w:p>
        </w:tc>
        <w:tc>
          <w:tcPr>
            <w:tcW w:w="709" w:type="dxa"/>
            <w:vMerge w:val="continue"/>
            <w:vAlign w:val="center"/>
          </w:tcPr>
          <w:p w14:paraId="197A8F07">
            <w:pPr>
              <w:widowControl/>
              <w:adjustRightInd/>
              <w:snapToGrid/>
              <w:spacing w:line="240" w:lineRule="auto"/>
              <w:jc w:val="center"/>
              <w:rPr>
                <w:kern w:val="0"/>
                <w:sz w:val="18"/>
                <w:szCs w:val="18"/>
              </w:rPr>
            </w:pPr>
          </w:p>
        </w:tc>
        <w:tc>
          <w:tcPr>
            <w:tcW w:w="709" w:type="dxa"/>
            <w:vMerge w:val="continue"/>
            <w:vAlign w:val="center"/>
          </w:tcPr>
          <w:p w14:paraId="0DCDC54E">
            <w:pPr>
              <w:widowControl/>
              <w:adjustRightInd/>
              <w:snapToGrid/>
              <w:spacing w:line="240" w:lineRule="auto"/>
              <w:jc w:val="center"/>
              <w:rPr>
                <w:sz w:val="18"/>
                <w:szCs w:val="18"/>
              </w:rPr>
            </w:pPr>
          </w:p>
        </w:tc>
        <w:tc>
          <w:tcPr>
            <w:tcW w:w="880" w:type="dxa"/>
          </w:tcPr>
          <w:p w14:paraId="6B25BAF6">
            <w:pPr>
              <w:widowControl/>
              <w:adjustRightInd/>
              <w:snapToGrid/>
              <w:spacing w:line="240" w:lineRule="auto"/>
              <w:jc w:val="center"/>
              <w:rPr>
                <w:kern w:val="0"/>
                <w:sz w:val="18"/>
                <w:szCs w:val="18"/>
              </w:rPr>
            </w:pPr>
            <w:r>
              <w:rPr>
                <w:rFonts w:hint="eastAsia"/>
                <w:color w:val="000000"/>
                <w:sz w:val="18"/>
                <w:szCs w:val="18"/>
              </w:rPr>
              <w:t>50.4</w:t>
            </w:r>
          </w:p>
        </w:tc>
        <w:tc>
          <w:tcPr>
            <w:tcW w:w="880" w:type="dxa"/>
            <w:vAlign w:val="center"/>
          </w:tcPr>
          <w:p w14:paraId="1DD23B00">
            <w:pPr>
              <w:widowControl/>
              <w:adjustRightInd/>
              <w:snapToGrid/>
              <w:spacing w:line="240" w:lineRule="auto"/>
              <w:jc w:val="center"/>
              <w:rPr>
                <w:kern w:val="0"/>
                <w:sz w:val="18"/>
                <w:szCs w:val="18"/>
              </w:rPr>
            </w:pPr>
            <w:r>
              <w:rPr>
                <w:color w:val="000000"/>
                <w:sz w:val="18"/>
                <w:szCs w:val="18"/>
              </w:rPr>
              <w:t xml:space="preserve">51.1 </w:t>
            </w:r>
          </w:p>
        </w:tc>
        <w:tc>
          <w:tcPr>
            <w:tcW w:w="881" w:type="dxa"/>
            <w:vAlign w:val="center"/>
          </w:tcPr>
          <w:p w14:paraId="70E47951">
            <w:pPr>
              <w:widowControl/>
              <w:adjustRightInd/>
              <w:snapToGrid/>
              <w:spacing w:line="240" w:lineRule="auto"/>
              <w:jc w:val="center"/>
              <w:rPr>
                <w:kern w:val="0"/>
                <w:sz w:val="18"/>
                <w:szCs w:val="18"/>
              </w:rPr>
            </w:pPr>
            <w:r>
              <w:rPr>
                <w:rFonts w:hint="eastAsia"/>
                <w:color w:val="000000"/>
                <w:sz w:val="18"/>
                <w:szCs w:val="18"/>
              </w:rPr>
              <w:t xml:space="preserve">8.1 </w:t>
            </w:r>
          </w:p>
        </w:tc>
        <w:tc>
          <w:tcPr>
            <w:tcW w:w="880" w:type="dxa"/>
            <w:vAlign w:val="center"/>
          </w:tcPr>
          <w:p w14:paraId="580CEE27">
            <w:pPr>
              <w:widowControl/>
              <w:adjustRightInd/>
              <w:snapToGrid/>
              <w:spacing w:line="240" w:lineRule="auto"/>
              <w:jc w:val="center"/>
              <w:rPr>
                <w:kern w:val="0"/>
                <w:sz w:val="18"/>
                <w:szCs w:val="18"/>
              </w:rPr>
            </w:pPr>
            <w:r>
              <w:rPr>
                <w:rFonts w:hint="eastAsia"/>
                <w:color w:val="000000"/>
                <w:sz w:val="18"/>
                <w:szCs w:val="18"/>
              </w:rPr>
              <w:t xml:space="preserve">1.1 </w:t>
            </w:r>
          </w:p>
        </w:tc>
        <w:tc>
          <w:tcPr>
            <w:tcW w:w="880" w:type="dxa"/>
            <w:noWrap/>
            <w:vAlign w:val="center"/>
          </w:tcPr>
          <w:p w14:paraId="282021CF">
            <w:pPr>
              <w:widowControl/>
              <w:adjustRightInd/>
              <w:snapToGrid/>
              <w:spacing w:line="240" w:lineRule="auto"/>
              <w:jc w:val="center"/>
              <w:rPr>
                <w:kern w:val="0"/>
                <w:sz w:val="18"/>
                <w:szCs w:val="18"/>
              </w:rPr>
            </w:pPr>
            <w:r>
              <w:rPr>
                <w:kern w:val="0"/>
                <w:sz w:val="18"/>
                <w:szCs w:val="18"/>
              </w:rPr>
              <w:t>51.3</w:t>
            </w:r>
          </w:p>
        </w:tc>
        <w:tc>
          <w:tcPr>
            <w:tcW w:w="881" w:type="dxa"/>
            <w:noWrap/>
            <w:vAlign w:val="center"/>
          </w:tcPr>
          <w:p w14:paraId="73BDB96B">
            <w:pPr>
              <w:widowControl/>
              <w:adjustRightInd/>
              <w:snapToGrid/>
              <w:spacing w:line="240" w:lineRule="auto"/>
              <w:jc w:val="center"/>
              <w:rPr>
                <w:sz w:val="18"/>
                <w:szCs w:val="18"/>
              </w:rPr>
            </w:pPr>
            <w:r>
              <w:rPr>
                <w:color w:val="000000"/>
                <w:sz w:val="18"/>
                <w:szCs w:val="18"/>
              </w:rPr>
              <w:t>51.9</w:t>
            </w:r>
          </w:p>
        </w:tc>
        <w:tc>
          <w:tcPr>
            <w:tcW w:w="880" w:type="dxa"/>
            <w:noWrap/>
            <w:vAlign w:val="center"/>
          </w:tcPr>
          <w:p w14:paraId="507F390D">
            <w:pPr>
              <w:widowControl/>
              <w:adjustRightInd/>
              <w:snapToGrid/>
              <w:spacing w:line="240" w:lineRule="auto"/>
              <w:jc w:val="center"/>
              <w:rPr>
                <w:sz w:val="18"/>
                <w:szCs w:val="18"/>
              </w:rPr>
            </w:pPr>
            <w:r>
              <w:rPr>
                <w:color w:val="000000"/>
                <w:sz w:val="18"/>
                <w:szCs w:val="18"/>
              </w:rPr>
              <w:t>8.9</w:t>
            </w:r>
          </w:p>
        </w:tc>
        <w:tc>
          <w:tcPr>
            <w:tcW w:w="880" w:type="dxa"/>
            <w:noWrap/>
            <w:vAlign w:val="center"/>
          </w:tcPr>
          <w:p w14:paraId="3BBC993D">
            <w:pPr>
              <w:widowControl/>
              <w:adjustRightInd/>
              <w:snapToGrid/>
              <w:spacing w:line="240" w:lineRule="auto"/>
              <w:jc w:val="center"/>
              <w:rPr>
                <w:sz w:val="18"/>
                <w:szCs w:val="18"/>
              </w:rPr>
            </w:pPr>
            <w:r>
              <w:rPr>
                <w:color w:val="000000"/>
                <w:sz w:val="18"/>
                <w:szCs w:val="18"/>
              </w:rPr>
              <w:t xml:space="preserve">1.9 </w:t>
            </w:r>
          </w:p>
        </w:tc>
        <w:tc>
          <w:tcPr>
            <w:tcW w:w="881" w:type="dxa"/>
            <w:noWrap/>
            <w:vAlign w:val="center"/>
          </w:tcPr>
          <w:p w14:paraId="4D4F9A1E">
            <w:pPr>
              <w:widowControl/>
              <w:adjustRightInd/>
              <w:snapToGrid/>
              <w:spacing w:line="240" w:lineRule="auto"/>
              <w:jc w:val="center"/>
              <w:rPr>
                <w:kern w:val="0"/>
                <w:sz w:val="18"/>
                <w:szCs w:val="18"/>
              </w:rPr>
            </w:pPr>
            <w:r>
              <w:rPr>
                <w:kern w:val="0"/>
                <w:sz w:val="18"/>
                <w:szCs w:val="18"/>
              </w:rPr>
              <w:t>52.3</w:t>
            </w:r>
          </w:p>
        </w:tc>
        <w:tc>
          <w:tcPr>
            <w:tcW w:w="880" w:type="dxa"/>
            <w:noWrap/>
            <w:vAlign w:val="center"/>
          </w:tcPr>
          <w:p w14:paraId="01D84C64">
            <w:pPr>
              <w:widowControl/>
              <w:adjustRightInd/>
              <w:snapToGrid/>
              <w:spacing w:line="240" w:lineRule="auto"/>
              <w:jc w:val="center"/>
              <w:rPr>
                <w:sz w:val="18"/>
                <w:szCs w:val="18"/>
              </w:rPr>
            </w:pPr>
            <w:r>
              <w:rPr>
                <w:color w:val="000000"/>
                <w:sz w:val="18"/>
                <w:szCs w:val="18"/>
              </w:rPr>
              <w:t xml:space="preserve">52.8 </w:t>
            </w:r>
          </w:p>
        </w:tc>
        <w:tc>
          <w:tcPr>
            <w:tcW w:w="880" w:type="dxa"/>
            <w:noWrap/>
            <w:vAlign w:val="center"/>
          </w:tcPr>
          <w:p w14:paraId="61F7437C">
            <w:pPr>
              <w:widowControl/>
              <w:adjustRightInd/>
              <w:snapToGrid/>
              <w:spacing w:line="240" w:lineRule="auto"/>
              <w:jc w:val="center"/>
              <w:rPr>
                <w:sz w:val="18"/>
                <w:szCs w:val="18"/>
              </w:rPr>
            </w:pPr>
            <w:r>
              <w:rPr>
                <w:color w:val="000000"/>
                <w:sz w:val="18"/>
                <w:szCs w:val="18"/>
              </w:rPr>
              <w:t xml:space="preserve">9.8 </w:t>
            </w:r>
          </w:p>
        </w:tc>
        <w:tc>
          <w:tcPr>
            <w:tcW w:w="881" w:type="dxa"/>
            <w:noWrap/>
            <w:vAlign w:val="center"/>
          </w:tcPr>
          <w:p w14:paraId="65E4DDDD">
            <w:pPr>
              <w:widowControl/>
              <w:adjustRightInd/>
              <w:snapToGrid/>
              <w:spacing w:line="240" w:lineRule="auto"/>
              <w:jc w:val="center"/>
              <w:rPr>
                <w:sz w:val="18"/>
                <w:szCs w:val="18"/>
              </w:rPr>
            </w:pPr>
            <w:r>
              <w:rPr>
                <w:color w:val="000000"/>
                <w:sz w:val="18"/>
                <w:szCs w:val="18"/>
              </w:rPr>
              <w:t xml:space="preserve">2.8 </w:t>
            </w:r>
          </w:p>
        </w:tc>
      </w:tr>
      <w:tr w14:paraId="3365F8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2B60586A">
            <w:pPr>
              <w:widowControl/>
              <w:adjustRightInd/>
              <w:snapToGrid/>
              <w:spacing w:line="240" w:lineRule="auto"/>
              <w:jc w:val="center"/>
              <w:rPr>
                <w:sz w:val="18"/>
                <w:szCs w:val="18"/>
              </w:rPr>
            </w:pPr>
            <w:r>
              <w:rPr>
                <w:sz w:val="18"/>
                <w:szCs w:val="18"/>
              </w:rPr>
              <w:t>7</w:t>
            </w:r>
          </w:p>
        </w:tc>
        <w:tc>
          <w:tcPr>
            <w:tcW w:w="673" w:type="dxa"/>
            <w:vMerge w:val="continue"/>
            <w:vAlign w:val="center"/>
          </w:tcPr>
          <w:p w14:paraId="2A2CAE5B">
            <w:pPr>
              <w:widowControl/>
              <w:adjustRightInd/>
              <w:snapToGrid/>
              <w:spacing w:line="240" w:lineRule="auto"/>
              <w:jc w:val="left"/>
              <w:rPr>
                <w:kern w:val="0"/>
                <w:sz w:val="18"/>
                <w:szCs w:val="18"/>
              </w:rPr>
            </w:pPr>
          </w:p>
        </w:tc>
        <w:tc>
          <w:tcPr>
            <w:tcW w:w="595" w:type="dxa"/>
            <w:vMerge w:val="restart"/>
            <w:vAlign w:val="center"/>
          </w:tcPr>
          <w:p w14:paraId="0F29965A">
            <w:pPr>
              <w:widowControl/>
              <w:adjustRightInd/>
              <w:snapToGrid/>
              <w:spacing w:line="240" w:lineRule="auto"/>
              <w:jc w:val="center"/>
              <w:rPr>
                <w:kern w:val="0"/>
                <w:sz w:val="18"/>
                <w:szCs w:val="18"/>
              </w:rPr>
            </w:pPr>
            <w:r>
              <w:rPr>
                <w:kern w:val="0"/>
                <w:sz w:val="18"/>
                <w:szCs w:val="18"/>
              </w:rPr>
              <w:t>46.2</w:t>
            </w:r>
          </w:p>
        </w:tc>
        <w:tc>
          <w:tcPr>
            <w:tcW w:w="567" w:type="dxa"/>
            <w:vMerge w:val="continue"/>
            <w:vAlign w:val="center"/>
          </w:tcPr>
          <w:p w14:paraId="4979C480">
            <w:pPr>
              <w:widowControl/>
              <w:adjustRightInd/>
              <w:snapToGrid/>
              <w:spacing w:line="240" w:lineRule="auto"/>
              <w:jc w:val="left"/>
              <w:rPr>
                <w:kern w:val="0"/>
                <w:sz w:val="18"/>
                <w:szCs w:val="18"/>
              </w:rPr>
            </w:pPr>
          </w:p>
        </w:tc>
        <w:tc>
          <w:tcPr>
            <w:tcW w:w="426" w:type="dxa"/>
            <w:noWrap/>
            <w:vAlign w:val="center"/>
          </w:tcPr>
          <w:p w14:paraId="5F74391E">
            <w:pPr>
              <w:widowControl/>
              <w:adjustRightInd/>
              <w:snapToGrid/>
              <w:spacing w:line="240" w:lineRule="auto"/>
              <w:jc w:val="center"/>
              <w:rPr>
                <w:sz w:val="18"/>
                <w:szCs w:val="18"/>
              </w:rPr>
            </w:pPr>
            <w:r>
              <w:rPr>
                <w:sz w:val="18"/>
                <w:szCs w:val="18"/>
              </w:rPr>
              <w:t>昼间</w:t>
            </w:r>
          </w:p>
        </w:tc>
        <w:tc>
          <w:tcPr>
            <w:tcW w:w="708" w:type="dxa"/>
            <w:noWrap/>
            <w:vAlign w:val="center"/>
          </w:tcPr>
          <w:p w14:paraId="08C00CD8">
            <w:pPr>
              <w:widowControl/>
              <w:adjustRightInd/>
              <w:snapToGrid/>
              <w:spacing w:line="240" w:lineRule="auto"/>
              <w:jc w:val="center"/>
              <w:rPr>
                <w:sz w:val="18"/>
                <w:szCs w:val="18"/>
              </w:rPr>
            </w:pPr>
            <w:r>
              <w:rPr>
                <w:sz w:val="18"/>
                <w:szCs w:val="18"/>
              </w:rPr>
              <w:t>60</w:t>
            </w:r>
          </w:p>
        </w:tc>
        <w:tc>
          <w:tcPr>
            <w:tcW w:w="709" w:type="dxa"/>
            <w:vMerge w:val="continue"/>
            <w:vAlign w:val="center"/>
          </w:tcPr>
          <w:p w14:paraId="4AB95EE2">
            <w:pPr>
              <w:widowControl/>
              <w:adjustRightInd/>
              <w:snapToGrid/>
              <w:spacing w:line="240" w:lineRule="auto"/>
              <w:jc w:val="center"/>
              <w:rPr>
                <w:kern w:val="0"/>
                <w:sz w:val="18"/>
                <w:szCs w:val="18"/>
              </w:rPr>
            </w:pPr>
          </w:p>
        </w:tc>
        <w:tc>
          <w:tcPr>
            <w:tcW w:w="709" w:type="dxa"/>
            <w:vMerge w:val="continue"/>
            <w:vAlign w:val="center"/>
          </w:tcPr>
          <w:p w14:paraId="4479E895">
            <w:pPr>
              <w:widowControl/>
              <w:adjustRightInd/>
              <w:snapToGrid/>
              <w:spacing w:line="240" w:lineRule="auto"/>
              <w:jc w:val="center"/>
              <w:rPr>
                <w:sz w:val="18"/>
                <w:szCs w:val="18"/>
              </w:rPr>
            </w:pPr>
          </w:p>
        </w:tc>
        <w:tc>
          <w:tcPr>
            <w:tcW w:w="880" w:type="dxa"/>
          </w:tcPr>
          <w:p w14:paraId="1F2AFD66">
            <w:pPr>
              <w:widowControl/>
              <w:adjustRightInd/>
              <w:snapToGrid/>
              <w:spacing w:line="240" w:lineRule="auto"/>
              <w:jc w:val="center"/>
              <w:rPr>
                <w:color w:val="000000"/>
                <w:sz w:val="18"/>
                <w:szCs w:val="18"/>
              </w:rPr>
            </w:pPr>
            <w:r>
              <w:rPr>
                <w:rFonts w:hint="eastAsia"/>
                <w:color w:val="000000"/>
                <w:sz w:val="18"/>
                <w:szCs w:val="18"/>
              </w:rPr>
              <w:t>61.8</w:t>
            </w:r>
          </w:p>
        </w:tc>
        <w:tc>
          <w:tcPr>
            <w:tcW w:w="880" w:type="dxa"/>
            <w:vAlign w:val="center"/>
          </w:tcPr>
          <w:p w14:paraId="79CD275F">
            <w:pPr>
              <w:widowControl/>
              <w:adjustRightInd/>
              <w:snapToGrid/>
              <w:spacing w:line="240" w:lineRule="auto"/>
              <w:jc w:val="center"/>
              <w:rPr>
                <w:color w:val="000000"/>
                <w:sz w:val="18"/>
                <w:szCs w:val="18"/>
              </w:rPr>
            </w:pPr>
            <w:r>
              <w:rPr>
                <w:color w:val="000000"/>
                <w:sz w:val="18"/>
                <w:szCs w:val="18"/>
              </w:rPr>
              <w:t xml:space="preserve">62.2 </w:t>
            </w:r>
          </w:p>
        </w:tc>
        <w:tc>
          <w:tcPr>
            <w:tcW w:w="881" w:type="dxa"/>
            <w:vAlign w:val="center"/>
          </w:tcPr>
          <w:p w14:paraId="46A964CE">
            <w:pPr>
              <w:widowControl/>
              <w:adjustRightInd/>
              <w:snapToGrid/>
              <w:spacing w:line="240" w:lineRule="auto"/>
              <w:jc w:val="center"/>
              <w:rPr>
                <w:color w:val="000000"/>
                <w:sz w:val="18"/>
                <w:szCs w:val="18"/>
              </w:rPr>
            </w:pPr>
            <w:r>
              <w:rPr>
                <w:rFonts w:hint="eastAsia"/>
                <w:color w:val="000000"/>
                <w:sz w:val="18"/>
                <w:szCs w:val="18"/>
              </w:rPr>
              <w:t xml:space="preserve">10.2 </w:t>
            </w:r>
          </w:p>
        </w:tc>
        <w:tc>
          <w:tcPr>
            <w:tcW w:w="880" w:type="dxa"/>
            <w:vAlign w:val="center"/>
          </w:tcPr>
          <w:p w14:paraId="76C4AA89">
            <w:pPr>
              <w:widowControl/>
              <w:adjustRightInd/>
              <w:snapToGrid/>
              <w:spacing w:line="240" w:lineRule="auto"/>
              <w:jc w:val="center"/>
              <w:rPr>
                <w:color w:val="000000"/>
                <w:sz w:val="18"/>
                <w:szCs w:val="18"/>
              </w:rPr>
            </w:pPr>
            <w:r>
              <w:rPr>
                <w:rFonts w:hint="eastAsia"/>
                <w:color w:val="000000"/>
                <w:sz w:val="18"/>
                <w:szCs w:val="18"/>
              </w:rPr>
              <w:t xml:space="preserve">2.2 </w:t>
            </w:r>
          </w:p>
        </w:tc>
        <w:tc>
          <w:tcPr>
            <w:tcW w:w="880" w:type="dxa"/>
            <w:noWrap/>
            <w:vAlign w:val="center"/>
          </w:tcPr>
          <w:p w14:paraId="74B285E8">
            <w:pPr>
              <w:widowControl/>
              <w:adjustRightInd/>
              <w:snapToGrid/>
              <w:spacing w:line="240" w:lineRule="auto"/>
              <w:jc w:val="center"/>
              <w:rPr>
                <w:sz w:val="18"/>
                <w:szCs w:val="18"/>
              </w:rPr>
            </w:pPr>
            <w:r>
              <w:rPr>
                <w:rFonts w:hint="eastAsia"/>
                <w:color w:val="000000"/>
                <w:sz w:val="18"/>
                <w:szCs w:val="18"/>
              </w:rPr>
              <w:t>62.6</w:t>
            </w:r>
          </w:p>
        </w:tc>
        <w:tc>
          <w:tcPr>
            <w:tcW w:w="881" w:type="dxa"/>
            <w:noWrap/>
            <w:vAlign w:val="center"/>
          </w:tcPr>
          <w:p w14:paraId="7FC7FA95">
            <w:pPr>
              <w:widowControl/>
              <w:adjustRightInd/>
              <w:snapToGrid/>
              <w:spacing w:line="240" w:lineRule="auto"/>
              <w:jc w:val="center"/>
              <w:rPr>
                <w:sz w:val="18"/>
                <w:szCs w:val="18"/>
              </w:rPr>
            </w:pPr>
            <w:r>
              <w:rPr>
                <w:color w:val="000000"/>
                <w:sz w:val="18"/>
                <w:szCs w:val="18"/>
              </w:rPr>
              <w:t>63.0</w:t>
            </w:r>
          </w:p>
        </w:tc>
        <w:tc>
          <w:tcPr>
            <w:tcW w:w="880" w:type="dxa"/>
            <w:noWrap/>
            <w:vAlign w:val="center"/>
          </w:tcPr>
          <w:p w14:paraId="35E51626">
            <w:pPr>
              <w:widowControl/>
              <w:adjustRightInd/>
              <w:snapToGrid/>
              <w:spacing w:line="240" w:lineRule="auto"/>
              <w:jc w:val="center"/>
              <w:rPr>
                <w:sz w:val="18"/>
                <w:szCs w:val="18"/>
              </w:rPr>
            </w:pPr>
            <w:r>
              <w:rPr>
                <w:color w:val="000000"/>
                <w:sz w:val="18"/>
                <w:szCs w:val="18"/>
              </w:rPr>
              <w:t>11.0</w:t>
            </w:r>
          </w:p>
        </w:tc>
        <w:tc>
          <w:tcPr>
            <w:tcW w:w="880" w:type="dxa"/>
            <w:noWrap/>
            <w:vAlign w:val="center"/>
          </w:tcPr>
          <w:p w14:paraId="308F7890">
            <w:pPr>
              <w:widowControl/>
              <w:adjustRightInd/>
              <w:snapToGrid/>
              <w:spacing w:line="240" w:lineRule="auto"/>
              <w:jc w:val="center"/>
              <w:rPr>
                <w:sz w:val="18"/>
                <w:szCs w:val="18"/>
              </w:rPr>
            </w:pPr>
            <w:r>
              <w:rPr>
                <w:color w:val="000000"/>
                <w:sz w:val="18"/>
                <w:szCs w:val="18"/>
              </w:rPr>
              <w:t xml:space="preserve">3.0 </w:t>
            </w:r>
          </w:p>
        </w:tc>
        <w:tc>
          <w:tcPr>
            <w:tcW w:w="881" w:type="dxa"/>
            <w:noWrap/>
            <w:vAlign w:val="center"/>
          </w:tcPr>
          <w:p w14:paraId="0B10EE1A">
            <w:pPr>
              <w:widowControl/>
              <w:adjustRightInd/>
              <w:snapToGrid/>
              <w:spacing w:line="240" w:lineRule="auto"/>
              <w:jc w:val="center"/>
              <w:rPr>
                <w:sz w:val="18"/>
                <w:szCs w:val="18"/>
              </w:rPr>
            </w:pPr>
            <w:r>
              <w:rPr>
                <w:rFonts w:hint="eastAsia"/>
                <w:color w:val="000000"/>
                <w:sz w:val="18"/>
                <w:szCs w:val="18"/>
              </w:rPr>
              <w:t>63.5</w:t>
            </w:r>
          </w:p>
        </w:tc>
        <w:tc>
          <w:tcPr>
            <w:tcW w:w="880" w:type="dxa"/>
            <w:noWrap/>
            <w:vAlign w:val="center"/>
          </w:tcPr>
          <w:p w14:paraId="238B215B">
            <w:pPr>
              <w:widowControl/>
              <w:adjustRightInd/>
              <w:snapToGrid/>
              <w:spacing w:line="240" w:lineRule="auto"/>
              <w:jc w:val="center"/>
              <w:rPr>
                <w:sz w:val="18"/>
                <w:szCs w:val="18"/>
              </w:rPr>
            </w:pPr>
            <w:r>
              <w:rPr>
                <w:color w:val="000000"/>
                <w:sz w:val="18"/>
                <w:szCs w:val="18"/>
              </w:rPr>
              <w:t xml:space="preserve">63.8 </w:t>
            </w:r>
          </w:p>
        </w:tc>
        <w:tc>
          <w:tcPr>
            <w:tcW w:w="880" w:type="dxa"/>
            <w:noWrap/>
            <w:vAlign w:val="center"/>
          </w:tcPr>
          <w:p w14:paraId="2B8B6598">
            <w:pPr>
              <w:widowControl/>
              <w:adjustRightInd/>
              <w:snapToGrid/>
              <w:spacing w:line="240" w:lineRule="auto"/>
              <w:jc w:val="center"/>
              <w:rPr>
                <w:sz w:val="18"/>
                <w:szCs w:val="18"/>
              </w:rPr>
            </w:pPr>
            <w:r>
              <w:rPr>
                <w:color w:val="000000"/>
                <w:sz w:val="18"/>
                <w:szCs w:val="18"/>
              </w:rPr>
              <w:t xml:space="preserve">11.8 </w:t>
            </w:r>
          </w:p>
        </w:tc>
        <w:tc>
          <w:tcPr>
            <w:tcW w:w="881" w:type="dxa"/>
            <w:noWrap/>
            <w:vAlign w:val="center"/>
          </w:tcPr>
          <w:p w14:paraId="1DC54147">
            <w:pPr>
              <w:widowControl/>
              <w:adjustRightInd/>
              <w:snapToGrid/>
              <w:spacing w:line="240" w:lineRule="auto"/>
              <w:jc w:val="center"/>
              <w:rPr>
                <w:sz w:val="18"/>
                <w:szCs w:val="18"/>
              </w:rPr>
            </w:pPr>
            <w:r>
              <w:rPr>
                <w:color w:val="000000"/>
                <w:sz w:val="18"/>
                <w:szCs w:val="18"/>
              </w:rPr>
              <w:t xml:space="preserve">3.8 </w:t>
            </w:r>
          </w:p>
        </w:tc>
      </w:tr>
      <w:tr w14:paraId="0B6CB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69EB6624">
            <w:pPr>
              <w:widowControl/>
              <w:adjustRightInd/>
              <w:snapToGrid/>
              <w:spacing w:line="240" w:lineRule="auto"/>
              <w:jc w:val="center"/>
              <w:rPr>
                <w:kern w:val="0"/>
                <w:sz w:val="18"/>
                <w:szCs w:val="18"/>
              </w:rPr>
            </w:pPr>
            <w:r>
              <w:rPr>
                <w:sz w:val="18"/>
                <w:szCs w:val="18"/>
              </w:rPr>
              <w:t>8</w:t>
            </w:r>
          </w:p>
        </w:tc>
        <w:tc>
          <w:tcPr>
            <w:tcW w:w="673" w:type="dxa"/>
            <w:vMerge w:val="continue"/>
            <w:vAlign w:val="center"/>
          </w:tcPr>
          <w:p w14:paraId="06BA607A">
            <w:pPr>
              <w:widowControl/>
              <w:adjustRightInd/>
              <w:snapToGrid/>
              <w:spacing w:line="240" w:lineRule="auto"/>
              <w:jc w:val="left"/>
              <w:rPr>
                <w:kern w:val="0"/>
                <w:sz w:val="18"/>
                <w:szCs w:val="18"/>
              </w:rPr>
            </w:pPr>
          </w:p>
        </w:tc>
        <w:tc>
          <w:tcPr>
            <w:tcW w:w="595" w:type="dxa"/>
            <w:vMerge w:val="continue"/>
            <w:vAlign w:val="center"/>
          </w:tcPr>
          <w:p w14:paraId="3713E34A">
            <w:pPr>
              <w:widowControl/>
              <w:adjustRightInd/>
              <w:snapToGrid/>
              <w:spacing w:line="240" w:lineRule="auto"/>
              <w:jc w:val="left"/>
              <w:rPr>
                <w:kern w:val="0"/>
                <w:sz w:val="18"/>
                <w:szCs w:val="18"/>
              </w:rPr>
            </w:pPr>
          </w:p>
        </w:tc>
        <w:tc>
          <w:tcPr>
            <w:tcW w:w="567" w:type="dxa"/>
            <w:vMerge w:val="continue"/>
            <w:vAlign w:val="center"/>
          </w:tcPr>
          <w:p w14:paraId="110365DA">
            <w:pPr>
              <w:widowControl/>
              <w:adjustRightInd/>
              <w:snapToGrid/>
              <w:spacing w:line="240" w:lineRule="auto"/>
              <w:jc w:val="left"/>
              <w:rPr>
                <w:kern w:val="0"/>
                <w:sz w:val="18"/>
                <w:szCs w:val="18"/>
              </w:rPr>
            </w:pPr>
          </w:p>
        </w:tc>
        <w:tc>
          <w:tcPr>
            <w:tcW w:w="426" w:type="dxa"/>
            <w:noWrap/>
            <w:vAlign w:val="center"/>
          </w:tcPr>
          <w:p w14:paraId="4A67191D">
            <w:pPr>
              <w:widowControl/>
              <w:adjustRightInd/>
              <w:snapToGrid/>
              <w:spacing w:line="240" w:lineRule="auto"/>
              <w:jc w:val="center"/>
              <w:rPr>
                <w:kern w:val="0"/>
                <w:sz w:val="18"/>
                <w:szCs w:val="18"/>
              </w:rPr>
            </w:pPr>
            <w:r>
              <w:rPr>
                <w:sz w:val="18"/>
                <w:szCs w:val="18"/>
              </w:rPr>
              <w:t>夜间</w:t>
            </w:r>
          </w:p>
        </w:tc>
        <w:tc>
          <w:tcPr>
            <w:tcW w:w="708" w:type="dxa"/>
            <w:noWrap/>
            <w:vAlign w:val="center"/>
          </w:tcPr>
          <w:p w14:paraId="703B3ADC">
            <w:pPr>
              <w:widowControl/>
              <w:adjustRightInd/>
              <w:snapToGrid/>
              <w:spacing w:line="240" w:lineRule="auto"/>
              <w:jc w:val="center"/>
              <w:rPr>
                <w:kern w:val="0"/>
                <w:sz w:val="18"/>
                <w:szCs w:val="18"/>
              </w:rPr>
            </w:pPr>
            <w:r>
              <w:rPr>
                <w:rFonts w:hint="eastAsia"/>
                <w:kern w:val="0"/>
                <w:sz w:val="18"/>
                <w:szCs w:val="18"/>
              </w:rPr>
              <w:t>50</w:t>
            </w:r>
          </w:p>
        </w:tc>
        <w:tc>
          <w:tcPr>
            <w:tcW w:w="709" w:type="dxa"/>
            <w:vMerge w:val="continue"/>
            <w:vAlign w:val="center"/>
          </w:tcPr>
          <w:p w14:paraId="2B4DF525">
            <w:pPr>
              <w:widowControl/>
              <w:adjustRightInd/>
              <w:snapToGrid/>
              <w:spacing w:line="240" w:lineRule="auto"/>
              <w:jc w:val="center"/>
              <w:rPr>
                <w:kern w:val="0"/>
                <w:sz w:val="18"/>
                <w:szCs w:val="18"/>
              </w:rPr>
            </w:pPr>
          </w:p>
        </w:tc>
        <w:tc>
          <w:tcPr>
            <w:tcW w:w="709" w:type="dxa"/>
            <w:vMerge w:val="continue"/>
            <w:vAlign w:val="center"/>
          </w:tcPr>
          <w:p w14:paraId="68C26395">
            <w:pPr>
              <w:widowControl/>
              <w:adjustRightInd/>
              <w:snapToGrid/>
              <w:spacing w:line="240" w:lineRule="auto"/>
              <w:jc w:val="center"/>
              <w:rPr>
                <w:kern w:val="0"/>
                <w:sz w:val="18"/>
                <w:szCs w:val="18"/>
              </w:rPr>
            </w:pPr>
          </w:p>
        </w:tc>
        <w:tc>
          <w:tcPr>
            <w:tcW w:w="880" w:type="dxa"/>
          </w:tcPr>
          <w:p w14:paraId="16512C28">
            <w:pPr>
              <w:widowControl/>
              <w:adjustRightInd/>
              <w:snapToGrid/>
              <w:spacing w:line="240" w:lineRule="auto"/>
              <w:jc w:val="center"/>
              <w:rPr>
                <w:kern w:val="0"/>
                <w:sz w:val="18"/>
                <w:szCs w:val="18"/>
              </w:rPr>
            </w:pPr>
            <w:r>
              <w:rPr>
                <w:rFonts w:hint="eastAsia"/>
                <w:color w:val="000000"/>
                <w:sz w:val="18"/>
                <w:szCs w:val="18"/>
              </w:rPr>
              <w:t>48.4</w:t>
            </w:r>
          </w:p>
        </w:tc>
        <w:tc>
          <w:tcPr>
            <w:tcW w:w="880" w:type="dxa"/>
            <w:vAlign w:val="center"/>
          </w:tcPr>
          <w:p w14:paraId="2F694E17">
            <w:pPr>
              <w:widowControl/>
              <w:adjustRightInd/>
              <w:snapToGrid/>
              <w:spacing w:line="240" w:lineRule="auto"/>
              <w:jc w:val="center"/>
              <w:rPr>
                <w:kern w:val="0"/>
                <w:sz w:val="18"/>
                <w:szCs w:val="18"/>
              </w:rPr>
            </w:pPr>
            <w:r>
              <w:rPr>
                <w:color w:val="000000"/>
                <w:sz w:val="18"/>
                <w:szCs w:val="18"/>
              </w:rPr>
              <w:t xml:space="preserve">49.5 </w:t>
            </w:r>
          </w:p>
        </w:tc>
        <w:tc>
          <w:tcPr>
            <w:tcW w:w="881" w:type="dxa"/>
            <w:vAlign w:val="center"/>
          </w:tcPr>
          <w:p w14:paraId="1B351127">
            <w:pPr>
              <w:widowControl/>
              <w:adjustRightInd/>
              <w:snapToGrid/>
              <w:spacing w:line="240" w:lineRule="auto"/>
              <w:jc w:val="center"/>
              <w:rPr>
                <w:kern w:val="0"/>
                <w:sz w:val="18"/>
                <w:szCs w:val="18"/>
              </w:rPr>
            </w:pPr>
            <w:r>
              <w:rPr>
                <w:rFonts w:hint="eastAsia"/>
                <w:color w:val="000000"/>
                <w:sz w:val="18"/>
                <w:szCs w:val="18"/>
              </w:rPr>
              <w:t xml:space="preserve">6.5 </w:t>
            </w:r>
          </w:p>
        </w:tc>
        <w:tc>
          <w:tcPr>
            <w:tcW w:w="880" w:type="dxa"/>
            <w:vAlign w:val="center"/>
          </w:tcPr>
          <w:p w14:paraId="3508A428">
            <w:pPr>
              <w:widowControl/>
              <w:adjustRightInd/>
              <w:snapToGrid/>
              <w:spacing w:line="240" w:lineRule="auto"/>
              <w:jc w:val="center"/>
              <w:rPr>
                <w:kern w:val="0"/>
                <w:sz w:val="18"/>
                <w:szCs w:val="18"/>
              </w:rPr>
            </w:pPr>
            <w:r>
              <w:rPr>
                <w:rFonts w:hint="eastAsia"/>
                <w:color w:val="000000"/>
                <w:sz w:val="18"/>
                <w:szCs w:val="18"/>
              </w:rPr>
              <w:t xml:space="preserve">-0.5 </w:t>
            </w:r>
          </w:p>
        </w:tc>
        <w:tc>
          <w:tcPr>
            <w:tcW w:w="880" w:type="dxa"/>
            <w:noWrap/>
            <w:vAlign w:val="center"/>
          </w:tcPr>
          <w:p w14:paraId="3B001D1B">
            <w:pPr>
              <w:widowControl/>
              <w:adjustRightInd/>
              <w:snapToGrid/>
              <w:spacing w:line="240" w:lineRule="auto"/>
              <w:jc w:val="center"/>
              <w:rPr>
                <w:kern w:val="0"/>
                <w:sz w:val="18"/>
                <w:szCs w:val="18"/>
              </w:rPr>
            </w:pPr>
            <w:r>
              <w:rPr>
                <w:kern w:val="0"/>
                <w:sz w:val="18"/>
                <w:szCs w:val="18"/>
              </w:rPr>
              <w:t>49.3</w:t>
            </w:r>
          </w:p>
        </w:tc>
        <w:tc>
          <w:tcPr>
            <w:tcW w:w="881" w:type="dxa"/>
            <w:noWrap/>
            <w:vAlign w:val="center"/>
          </w:tcPr>
          <w:p w14:paraId="0E695F97">
            <w:pPr>
              <w:widowControl/>
              <w:adjustRightInd/>
              <w:snapToGrid/>
              <w:spacing w:line="240" w:lineRule="auto"/>
              <w:jc w:val="center"/>
              <w:rPr>
                <w:kern w:val="0"/>
                <w:sz w:val="18"/>
                <w:szCs w:val="18"/>
              </w:rPr>
            </w:pPr>
            <w:r>
              <w:rPr>
                <w:color w:val="000000"/>
                <w:sz w:val="18"/>
                <w:szCs w:val="18"/>
              </w:rPr>
              <w:t>50.2</w:t>
            </w:r>
          </w:p>
        </w:tc>
        <w:tc>
          <w:tcPr>
            <w:tcW w:w="880" w:type="dxa"/>
            <w:noWrap/>
            <w:vAlign w:val="center"/>
          </w:tcPr>
          <w:p w14:paraId="7B84E1F8">
            <w:pPr>
              <w:widowControl/>
              <w:adjustRightInd/>
              <w:snapToGrid/>
              <w:spacing w:line="240" w:lineRule="auto"/>
              <w:jc w:val="center"/>
              <w:rPr>
                <w:kern w:val="0"/>
                <w:sz w:val="18"/>
                <w:szCs w:val="18"/>
              </w:rPr>
            </w:pPr>
            <w:r>
              <w:rPr>
                <w:color w:val="000000"/>
                <w:sz w:val="18"/>
                <w:szCs w:val="18"/>
              </w:rPr>
              <w:t>7.2</w:t>
            </w:r>
          </w:p>
        </w:tc>
        <w:tc>
          <w:tcPr>
            <w:tcW w:w="880" w:type="dxa"/>
            <w:noWrap/>
            <w:vAlign w:val="center"/>
          </w:tcPr>
          <w:p w14:paraId="33DDD730">
            <w:pPr>
              <w:widowControl/>
              <w:adjustRightInd/>
              <w:snapToGrid/>
              <w:spacing w:line="240" w:lineRule="auto"/>
              <w:jc w:val="center"/>
              <w:rPr>
                <w:kern w:val="0"/>
                <w:sz w:val="18"/>
                <w:szCs w:val="18"/>
              </w:rPr>
            </w:pPr>
            <w:r>
              <w:rPr>
                <w:color w:val="000000"/>
                <w:sz w:val="18"/>
                <w:szCs w:val="18"/>
              </w:rPr>
              <w:t xml:space="preserve">0.2 </w:t>
            </w:r>
          </w:p>
        </w:tc>
        <w:tc>
          <w:tcPr>
            <w:tcW w:w="881" w:type="dxa"/>
            <w:noWrap/>
            <w:vAlign w:val="center"/>
          </w:tcPr>
          <w:p w14:paraId="60951C16">
            <w:pPr>
              <w:widowControl/>
              <w:adjustRightInd/>
              <w:snapToGrid/>
              <w:spacing w:line="240" w:lineRule="auto"/>
              <w:jc w:val="center"/>
              <w:rPr>
                <w:kern w:val="0"/>
                <w:sz w:val="18"/>
                <w:szCs w:val="18"/>
              </w:rPr>
            </w:pPr>
            <w:r>
              <w:rPr>
                <w:kern w:val="0"/>
                <w:sz w:val="18"/>
                <w:szCs w:val="18"/>
              </w:rPr>
              <w:t>50.2</w:t>
            </w:r>
          </w:p>
        </w:tc>
        <w:tc>
          <w:tcPr>
            <w:tcW w:w="880" w:type="dxa"/>
            <w:noWrap/>
            <w:vAlign w:val="center"/>
          </w:tcPr>
          <w:p w14:paraId="5363550D">
            <w:pPr>
              <w:widowControl/>
              <w:adjustRightInd/>
              <w:snapToGrid/>
              <w:spacing w:line="240" w:lineRule="auto"/>
              <w:jc w:val="center"/>
              <w:rPr>
                <w:kern w:val="0"/>
                <w:sz w:val="18"/>
                <w:szCs w:val="18"/>
              </w:rPr>
            </w:pPr>
            <w:r>
              <w:rPr>
                <w:color w:val="000000"/>
                <w:sz w:val="18"/>
                <w:szCs w:val="18"/>
              </w:rPr>
              <w:t xml:space="preserve">51.0 </w:t>
            </w:r>
          </w:p>
        </w:tc>
        <w:tc>
          <w:tcPr>
            <w:tcW w:w="880" w:type="dxa"/>
            <w:noWrap/>
            <w:vAlign w:val="center"/>
          </w:tcPr>
          <w:p w14:paraId="24C2C47E">
            <w:pPr>
              <w:widowControl/>
              <w:adjustRightInd/>
              <w:snapToGrid/>
              <w:spacing w:line="240" w:lineRule="auto"/>
              <w:jc w:val="center"/>
              <w:rPr>
                <w:kern w:val="0"/>
                <w:sz w:val="18"/>
                <w:szCs w:val="18"/>
              </w:rPr>
            </w:pPr>
            <w:r>
              <w:rPr>
                <w:color w:val="000000"/>
                <w:sz w:val="18"/>
                <w:szCs w:val="18"/>
              </w:rPr>
              <w:t xml:space="preserve">8.0 </w:t>
            </w:r>
          </w:p>
        </w:tc>
        <w:tc>
          <w:tcPr>
            <w:tcW w:w="881" w:type="dxa"/>
            <w:noWrap/>
            <w:vAlign w:val="center"/>
          </w:tcPr>
          <w:p w14:paraId="5EF8D769">
            <w:pPr>
              <w:widowControl/>
              <w:adjustRightInd/>
              <w:snapToGrid/>
              <w:spacing w:line="240" w:lineRule="auto"/>
              <w:jc w:val="center"/>
              <w:rPr>
                <w:kern w:val="0"/>
                <w:sz w:val="18"/>
                <w:szCs w:val="18"/>
              </w:rPr>
            </w:pPr>
            <w:r>
              <w:rPr>
                <w:color w:val="000000"/>
                <w:sz w:val="18"/>
                <w:szCs w:val="18"/>
              </w:rPr>
              <w:t xml:space="preserve">1.0 </w:t>
            </w:r>
          </w:p>
        </w:tc>
      </w:tr>
      <w:tr w14:paraId="60DE32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647AFD75">
            <w:pPr>
              <w:widowControl/>
              <w:adjustRightInd/>
              <w:snapToGrid/>
              <w:spacing w:line="240" w:lineRule="auto"/>
              <w:jc w:val="center"/>
              <w:rPr>
                <w:sz w:val="18"/>
                <w:szCs w:val="18"/>
              </w:rPr>
            </w:pPr>
            <w:r>
              <w:rPr>
                <w:sz w:val="18"/>
                <w:szCs w:val="18"/>
              </w:rPr>
              <w:t>9</w:t>
            </w:r>
          </w:p>
        </w:tc>
        <w:tc>
          <w:tcPr>
            <w:tcW w:w="673" w:type="dxa"/>
            <w:vMerge w:val="continue"/>
            <w:vAlign w:val="center"/>
          </w:tcPr>
          <w:p w14:paraId="5D5A602C">
            <w:pPr>
              <w:widowControl/>
              <w:adjustRightInd/>
              <w:snapToGrid/>
              <w:spacing w:line="240" w:lineRule="auto"/>
              <w:jc w:val="left"/>
              <w:rPr>
                <w:kern w:val="0"/>
                <w:sz w:val="18"/>
                <w:szCs w:val="18"/>
              </w:rPr>
            </w:pPr>
          </w:p>
        </w:tc>
        <w:tc>
          <w:tcPr>
            <w:tcW w:w="595" w:type="dxa"/>
            <w:vMerge w:val="restart"/>
            <w:vAlign w:val="center"/>
          </w:tcPr>
          <w:p w14:paraId="6F285CAF">
            <w:pPr>
              <w:widowControl/>
              <w:adjustRightInd/>
              <w:snapToGrid/>
              <w:spacing w:line="240" w:lineRule="auto"/>
              <w:jc w:val="center"/>
              <w:rPr>
                <w:kern w:val="0"/>
                <w:sz w:val="18"/>
                <w:szCs w:val="18"/>
              </w:rPr>
            </w:pPr>
            <w:r>
              <w:rPr>
                <w:kern w:val="0"/>
                <w:sz w:val="18"/>
                <w:szCs w:val="18"/>
              </w:rPr>
              <w:t>61.2</w:t>
            </w:r>
          </w:p>
        </w:tc>
        <w:tc>
          <w:tcPr>
            <w:tcW w:w="567" w:type="dxa"/>
            <w:vMerge w:val="continue"/>
            <w:vAlign w:val="center"/>
          </w:tcPr>
          <w:p w14:paraId="7A78AA92">
            <w:pPr>
              <w:widowControl/>
              <w:adjustRightInd/>
              <w:snapToGrid/>
              <w:spacing w:line="240" w:lineRule="auto"/>
              <w:jc w:val="left"/>
              <w:rPr>
                <w:kern w:val="0"/>
                <w:sz w:val="18"/>
                <w:szCs w:val="18"/>
              </w:rPr>
            </w:pPr>
          </w:p>
        </w:tc>
        <w:tc>
          <w:tcPr>
            <w:tcW w:w="426" w:type="dxa"/>
            <w:noWrap/>
            <w:vAlign w:val="center"/>
          </w:tcPr>
          <w:p w14:paraId="02348CC4">
            <w:pPr>
              <w:widowControl/>
              <w:adjustRightInd/>
              <w:snapToGrid/>
              <w:spacing w:line="240" w:lineRule="auto"/>
              <w:jc w:val="center"/>
              <w:rPr>
                <w:sz w:val="18"/>
                <w:szCs w:val="18"/>
              </w:rPr>
            </w:pPr>
            <w:r>
              <w:rPr>
                <w:rFonts w:hint="eastAsia"/>
                <w:sz w:val="18"/>
                <w:szCs w:val="18"/>
              </w:rPr>
              <w:t>昼间</w:t>
            </w:r>
          </w:p>
        </w:tc>
        <w:tc>
          <w:tcPr>
            <w:tcW w:w="708" w:type="dxa"/>
            <w:noWrap/>
            <w:vAlign w:val="center"/>
          </w:tcPr>
          <w:p w14:paraId="3508FA12">
            <w:pPr>
              <w:widowControl/>
              <w:adjustRightInd/>
              <w:snapToGrid/>
              <w:spacing w:line="240" w:lineRule="auto"/>
              <w:jc w:val="center"/>
              <w:rPr>
                <w:sz w:val="18"/>
                <w:szCs w:val="18"/>
              </w:rPr>
            </w:pPr>
            <w:r>
              <w:rPr>
                <w:rFonts w:hint="eastAsia"/>
                <w:kern w:val="0"/>
                <w:sz w:val="18"/>
                <w:szCs w:val="18"/>
              </w:rPr>
              <w:t>60</w:t>
            </w:r>
          </w:p>
        </w:tc>
        <w:tc>
          <w:tcPr>
            <w:tcW w:w="709" w:type="dxa"/>
            <w:vMerge w:val="continue"/>
            <w:vAlign w:val="center"/>
          </w:tcPr>
          <w:p w14:paraId="346E473B">
            <w:pPr>
              <w:widowControl/>
              <w:adjustRightInd/>
              <w:snapToGrid/>
              <w:spacing w:line="240" w:lineRule="auto"/>
              <w:jc w:val="center"/>
              <w:rPr>
                <w:sz w:val="18"/>
                <w:szCs w:val="18"/>
              </w:rPr>
            </w:pPr>
          </w:p>
        </w:tc>
        <w:tc>
          <w:tcPr>
            <w:tcW w:w="709" w:type="dxa"/>
            <w:vMerge w:val="continue"/>
            <w:vAlign w:val="center"/>
          </w:tcPr>
          <w:p w14:paraId="05AF5FE1">
            <w:pPr>
              <w:widowControl/>
              <w:adjustRightInd/>
              <w:snapToGrid/>
              <w:spacing w:line="240" w:lineRule="auto"/>
              <w:jc w:val="center"/>
              <w:rPr>
                <w:sz w:val="18"/>
                <w:szCs w:val="18"/>
              </w:rPr>
            </w:pPr>
          </w:p>
        </w:tc>
        <w:tc>
          <w:tcPr>
            <w:tcW w:w="880" w:type="dxa"/>
          </w:tcPr>
          <w:p w14:paraId="7F24ECC4">
            <w:pPr>
              <w:widowControl/>
              <w:adjustRightInd/>
              <w:snapToGrid/>
              <w:spacing w:line="240" w:lineRule="auto"/>
              <w:jc w:val="center"/>
              <w:rPr>
                <w:color w:val="000000"/>
                <w:sz w:val="18"/>
                <w:szCs w:val="18"/>
              </w:rPr>
            </w:pPr>
            <w:r>
              <w:rPr>
                <w:rFonts w:hint="eastAsia"/>
                <w:color w:val="000000"/>
                <w:sz w:val="18"/>
                <w:szCs w:val="18"/>
              </w:rPr>
              <w:t>60.6</w:t>
            </w:r>
          </w:p>
        </w:tc>
        <w:tc>
          <w:tcPr>
            <w:tcW w:w="880" w:type="dxa"/>
            <w:vAlign w:val="center"/>
          </w:tcPr>
          <w:p w14:paraId="01AC7675">
            <w:pPr>
              <w:widowControl/>
              <w:adjustRightInd/>
              <w:snapToGrid/>
              <w:spacing w:line="240" w:lineRule="auto"/>
              <w:jc w:val="center"/>
              <w:rPr>
                <w:color w:val="000000"/>
                <w:sz w:val="18"/>
                <w:szCs w:val="18"/>
              </w:rPr>
            </w:pPr>
            <w:r>
              <w:rPr>
                <w:color w:val="000000"/>
                <w:sz w:val="18"/>
                <w:szCs w:val="18"/>
              </w:rPr>
              <w:t xml:space="preserve">61.2 </w:t>
            </w:r>
          </w:p>
        </w:tc>
        <w:tc>
          <w:tcPr>
            <w:tcW w:w="881" w:type="dxa"/>
            <w:vAlign w:val="center"/>
          </w:tcPr>
          <w:p w14:paraId="6F44AF5D">
            <w:pPr>
              <w:widowControl/>
              <w:adjustRightInd/>
              <w:snapToGrid/>
              <w:spacing w:line="240" w:lineRule="auto"/>
              <w:jc w:val="center"/>
              <w:rPr>
                <w:color w:val="000000"/>
                <w:sz w:val="18"/>
                <w:szCs w:val="18"/>
              </w:rPr>
            </w:pPr>
            <w:r>
              <w:rPr>
                <w:rFonts w:hint="eastAsia"/>
                <w:color w:val="000000"/>
                <w:sz w:val="18"/>
                <w:szCs w:val="18"/>
              </w:rPr>
              <w:t xml:space="preserve">9.2 </w:t>
            </w:r>
          </w:p>
        </w:tc>
        <w:tc>
          <w:tcPr>
            <w:tcW w:w="880" w:type="dxa"/>
            <w:vAlign w:val="center"/>
          </w:tcPr>
          <w:p w14:paraId="1A0EF628">
            <w:pPr>
              <w:widowControl/>
              <w:adjustRightInd/>
              <w:snapToGrid/>
              <w:spacing w:line="240" w:lineRule="auto"/>
              <w:jc w:val="center"/>
              <w:rPr>
                <w:color w:val="000000"/>
                <w:sz w:val="18"/>
                <w:szCs w:val="18"/>
              </w:rPr>
            </w:pPr>
            <w:r>
              <w:rPr>
                <w:rFonts w:hint="eastAsia"/>
                <w:color w:val="000000"/>
                <w:sz w:val="18"/>
                <w:szCs w:val="18"/>
              </w:rPr>
              <w:t xml:space="preserve">1.2 </w:t>
            </w:r>
          </w:p>
        </w:tc>
        <w:tc>
          <w:tcPr>
            <w:tcW w:w="880" w:type="dxa"/>
            <w:noWrap/>
            <w:vAlign w:val="center"/>
          </w:tcPr>
          <w:p w14:paraId="0E445C46">
            <w:pPr>
              <w:widowControl/>
              <w:adjustRightInd/>
              <w:snapToGrid/>
              <w:spacing w:line="240" w:lineRule="auto"/>
              <w:jc w:val="center"/>
              <w:rPr>
                <w:sz w:val="18"/>
                <w:szCs w:val="18"/>
              </w:rPr>
            </w:pPr>
            <w:r>
              <w:rPr>
                <w:rFonts w:hint="eastAsia"/>
                <w:color w:val="000000"/>
                <w:sz w:val="18"/>
                <w:szCs w:val="18"/>
              </w:rPr>
              <w:t>61.4</w:t>
            </w:r>
          </w:p>
        </w:tc>
        <w:tc>
          <w:tcPr>
            <w:tcW w:w="881" w:type="dxa"/>
            <w:noWrap/>
            <w:vAlign w:val="center"/>
          </w:tcPr>
          <w:p w14:paraId="6F94908A">
            <w:pPr>
              <w:widowControl/>
              <w:adjustRightInd/>
              <w:snapToGrid/>
              <w:spacing w:line="240" w:lineRule="auto"/>
              <w:jc w:val="center"/>
              <w:rPr>
                <w:sz w:val="18"/>
                <w:szCs w:val="18"/>
              </w:rPr>
            </w:pPr>
            <w:r>
              <w:rPr>
                <w:color w:val="000000"/>
                <w:sz w:val="18"/>
                <w:szCs w:val="18"/>
              </w:rPr>
              <w:t>61.9</w:t>
            </w:r>
          </w:p>
        </w:tc>
        <w:tc>
          <w:tcPr>
            <w:tcW w:w="880" w:type="dxa"/>
            <w:noWrap/>
            <w:vAlign w:val="center"/>
          </w:tcPr>
          <w:p w14:paraId="3179F74B">
            <w:pPr>
              <w:widowControl/>
              <w:adjustRightInd/>
              <w:snapToGrid/>
              <w:spacing w:line="240" w:lineRule="auto"/>
              <w:jc w:val="center"/>
              <w:rPr>
                <w:sz w:val="18"/>
                <w:szCs w:val="18"/>
              </w:rPr>
            </w:pPr>
            <w:r>
              <w:rPr>
                <w:color w:val="000000"/>
                <w:sz w:val="18"/>
                <w:szCs w:val="18"/>
              </w:rPr>
              <w:t>9.9</w:t>
            </w:r>
          </w:p>
        </w:tc>
        <w:tc>
          <w:tcPr>
            <w:tcW w:w="880" w:type="dxa"/>
            <w:noWrap/>
            <w:vAlign w:val="center"/>
          </w:tcPr>
          <w:p w14:paraId="2F10C726">
            <w:pPr>
              <w:widowControl/>
              <w:adjustRightInd/>
              <w:snapToGrid/>
              <w:spacing w:line="240" w:lineRule="auto"/>
              <w:jc w:val="center"/>
              <w:rPr>
                <w:sz w:val="18"/>
                <w:szCs w:val="18"/>
              </w:rPr>
            </w:pPr>
            <w:r>
              <w:rPr>
                <w:color w:val="000000"/>
                <w:sz w:val="18"/>
                <w:szCs w:val="18"/>
              </w:rPr>
              <w:t xml:space="preserve">1.9 </w:t>
            </w:r>
          </w:p>
        </w:tc>
        <w:tc>
          <w:tcPr>
            <w:tcW w:w="881" w:type="dxa"/>
            <w:noWrap/>
            <w:vAlign w:val="center"/>
          </w:tcPr>
          <w:p w14:paraId="31B4BA8C">
            <w:pPr>
              <w:widowControl/>
              <w:adjustRightInd/>
              <w:snapToGrid/>
              <w:spacing w:line="240" w:lineRule="auto"/>
              <w:jc w:val="center"/>
              <w:rPr>
                <w:sz w:val="18"/>
                <w:szCs w:val="18"/>
              </w:rPr>
            </w:pPr>
            <w:r>
              <w:rPr>
                <w:rFonts w:hint="eastAsia"/>
                <w:color w:val="000000"/>
                <w:sz w:val="18"/>
                <w:szCs w:val="18"/>
              </w:rPr>
              <w:t>62.3</w:t>
            </w:r>
          </w:p>
        </w:tc>
        <w:tc>
          <w:tcPr>
            <w:tcW w:w="880" w:type="dxa"/>
            <w:noWrap/>
            <w:vAlign w:val="center"/>
          </w:tcPr>
          <w:p w14:paraId="7D655A1B">
            <w:pPr>
              <w:widowControl/>
              <w:adjustRightInd/>
              <w:snapToGrid/>
              <w:spacing w:line="240" w:lineRule="auto"/>
              <w:jc w:val="center"/>
              <w:rPr>
                <w:sz w:val="18"/>
                <w:szCs w:val="18"/>
              </w:rPr>
            </w:pPr>
            <w:r>
              <w:rPr>
                <w:color w:val="000000"/>
                <w:sz w:val="18"/>
                <w:szCs w:val="18"/>
              </w:rPr>
              <w:t xml:space="preserve">62.7 </w:t>
            </w:r>
          </w:p>
        </w:tc>
        <w:tc>
          <w:tcPr>
            <w:tcW w:w="880" w:type="dxa"/>
            <w:noWrap/>
            <w:vAlign w:val="center"/>
          </w:tcPr>
          <w:p w14:paraId="343EC86D">
            <w:pPr>
              <w:widowControl/>
              <w:adjustRightInd/>
              <w:snapToGrid/>
              <w:spacing w:line="240" w:lineRule="auto"/>
              <w:jc w:val="center"/>
              <w:rPr>
                <w:sz w:val="18"/>
                <w:szCs w:val="18"/>
              </w:rPr>
            </w:pPr>
            <w:r>
              <w:rPr>
                <w:color w:val="000000"/>
                <w:sz w:val="18"/>
                <w:szCs w:val="18"/>
              </w:rPr>
              <w:t xml:space="preserve">10.7 </w:t>
            </w:r>
          </w:p>
        </w:tc>
        <w:tc>
          <w:tcPr>
            <w:tcW w:w="881" w:type="dxa"/>
            <w:noWrap/>
            <w:vAlign w:val="center"/>
          </w:tcPr>
          <w:p w14:paraId="679BD8EF">
            <w:pPr>
              <w:widowControl/>
              <w:adjustRightInd/>
              <w:snapToGrid/>
              <w:spacing w:line="240" w:lineRule="auto"/>
              <w:jc w:val="center"/>
              <w:rPr>
                <w:sz w:val="18"/>
                <w:szCs w:val="18"/>
              </w:rPr>
            </w:pPr>
            <w:r>
              <w:rPr>
                <w:color w:val="000000"/>
                <w:sz w:val="18"/>
                <w:szCs w:val="18"/>
              </w:rPr>
              <w:t xml:space="preserve">2.7 </w:t>
            </w:r>
          </w:p>
        </w:tc>
      </w:tr>
      <w:tr w14:paraId="2B54E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74EA9A0">
            <w:pPr>
              <w:widowControl/>
              <w:adjustRightInd/>
              <w:snapToGrid/>
              <w:spacing w:line="240" w:lineRule="auto"/>
              <w:jc w:val="center"/>
              <w:rPr>
                <w:sz w:val="18"/>
                <w:szCs w:val="18"/>
              </w:rPr>
            </w:pPr>
            <w:r>
              <w:rPr>
                <w:sz w:val="18"/>
                <w:szCs w:val="18"/>
              </w:rPr>
              <w:t>10</w:t>
            </w:r>
          </w:p>
        </w:tc>
        <w:tc>
          <w:tcPr>
            <w:tcW w:w="673" w:type="dxa"/>
            <w:vMerge w:val="continue"/>
            <w:vAlign w:val="center"/>
          </w:tcPr>
          <w:p w14:paraId="2FCE34D8">
            <w:pPr>
              <w:widowControl/>
              <w:adjustRightInd/>
              <w:snapToGrid/>
              <w:spacing w:line="240" w:lineRule="auto"/>
              <w:jc w:val="left"/>
              <w:rPr>
                <w:kern w:val="0"/>
                <w:sz w:val="18"/>
                <w:szCs w:val="18"/>
              </w:rPr>
            </w:pPr>
          </w:p>
        </w:tc>
        <w:tc>
          <w:tcPr>
            <w:tcW w:w="595" w:type="dxa"/>
            <w:vMerge w:val="continue"/>
            <w:vAlign w:val="center"/>
          </w:tcPr>
          <w:p w14:paraId="14CE1485">
            <w:pPr>
              <w:widowControl/>
              <w:adjustRightInd/>
              <w:snapToGrid/>
              <w:spacing w:line="240" w:lineRule="auto"/>
              <w:jc w:val="left"/>
              <w:rPr>
                <w:kern w:val="0"/>
                <w:sz w:val="18"/>
                <w:szCs w:val="18"/>
              </w:rPr>
            </w:pPr>
          </w:p>
        </w:tc>
        <w:tc>
          <w:tcPr>
            <w:tcW w:w="567" w:type="dxa"/>
            <w:vMerge w:val="continue"/>
            <w:vAlign w:val="center"/>
          </w:tcPr>
          <w:p w14:paraId="40F5E1D2">
            <w:pPr>
              <w:widowControl/>
              <w:adjustRightInd/>
              <w:snapToGrid/>
              <w:spacing w:line="240" w:lineRule="auto"/>
              <w:jc w:val="left"/>
              <w:rPr>
                <w:kern w:val="0"/>
                <w:sz w:val="18"/>
                <w:szCs w:val="18"/>
              </w:rPr>
            </w:pPr>
          </w:p>
        </w:tc>
        <w:tc>
          <w:tcPr>
            <w:tcW w:w="426" w:type="dxa"/>
            <w:noWrap/>
            <w:vAlign w:val="center"/>
          </w:tcPr>
          <w:p w14:paraId="33E51546">
            <w:pPr>
              <w:widowControl/>
              <w:adjustRightInd/>
              <w:snapToGrid/>
              <w:spacing w:line="240" w:lineRule="auto"/>
              <w:jc w:val="center"/>
              <w:rPr>
                <w:sz w:val="18"/>
                <w:szCs w:val="18"/>
              </w:rPr>
            </w:pPr>
            <w:r>
              <w:rPr>
                <w:rFonts w:hint="eastAsia"/>
                <w:sz w:val="18"/>
                <w:szCs w:val="18"/>
              </w:rPr>
              <w:t>夜间</w:t>
            </w:r>
          </w:p>
        </w:tc>
        <w:tc>
          <w:tcPr>
            <w:tcW w:w="708" w:type="dxa"/>
            <w:noWrap/>
            <w:vAlign w:val="center"/>
          </w:tcPr>
          <w:p w14:paraId="766DEC0D">
            <w:pPr>
              <w:widowControl/>
              <w:adjustRightInd/>
              <w:snapToGrid/>
              <w:spacing w:line="240" w:lineRule="auto"/>
              <w:jc w:val="center"/>
              <w:rPr>
                <w:sz w:val="18"/>
                <w:szCs w:val="18"/>
              </w:rPr>
            </w:pPr>
            <w:r>
              <w:rPr>
                <w:rFonts w:hint="eastAsia"/>
                <w:kern w:val="0"/>
                <w:sz w:val="18"/>
                <w:szCs w:val="18"/>
              </w:rPr>
              <w:t>50</w:t>
            </w:r>
          </w:p>
        </w:tc>
        <w:tc>
          <w:tcPr>
            <w:tcW w:w="709" w:type="dxa"/>
            <w:vMerge w:val="continue"/>
            <w:vAlign w:val="center"/>
          </w:tcPr>
          <w:p w14:paraId="7205B5D1">
            <w:pPr>
              <w:widowControl/>
              <w:adjustRightInd/>
              <w:snapToGrid/>
              <w:spacing w:line="240" w:lineRule="auto"/>
              <w:jc w:val="center"/>
              <w:rPr>
                <w:sz w:val="18"/>
                <w:szCs w:val="18"/>
              </w:rPr>
            </w:pPr>
          </w:p>
        </w:tc>
        <w:tc>
          <w:tcPr>
            <w:tcW w:w="709" w:type="dxa"/>
            <w:vMerge w:val="continue"/>
            <w:vAlign w:val="center"/>
          </w:tcPr>
          <w:p w14:paraId="601CFFF2">
            <w:pPr>
              <w:widowControl/>
              <w:adjustRightInd/>
              <w:snapToGrid/>
              <w:spacing w:line="240" w:lineRule="auto"/>
              <w:jc w:val="center"/>
              <w:rPr>
                <w:sz w:val="18"/>
                <w:szCs w:val="18"/>
              </w:rPr>
            </w:pPr>
          </w:p>
        </w:tc>
        <w:tc>
          <w:tcPr>
            <w:tcW w:w="880" w:type="dxa"/>
          </w:tcPr>
          <w:p w14:paraId="6BD1AD9A">
            <w:pPr>
              <w:widowControl/>
              <w:adjustRightInd/>
              <w:snapToGrid/>
              <w:spacing w:line="240" w:lineRule="auto"/>
              <w:jc w:val="center"/>
              <w:rPr>
                <w:kern w:val="0"/>
                <w:sz w:val="18"/>
                <w:szCs w:val="18"/>
              </w:rPr>
            </w:pPr>
            <w:r>
              <w:rPr>
                <w:rFonts w:hint="eastAsia"/>
                <w:color w:val="000000"/>
                <w:sz w:val="18"/>
                <w:szCs w:val="18"/>
              </w:rPr>
              <w:t>46.7</w:t>
            </w:r>
          </w:p>
        </w:tc>
        <w:tc>
          <w:tcPr>
            <w:tcW w:w="880" w:type="dxa"/>
            <w:vAlign w:val="center"/>
          </w:tcPr>
          <w:p w14:paraId="1FC1407F">
            <w:pPr>
              <w:widowControl/>
              <w:adjustRightInd/>
              <w:snapToGrid/>
              <w:spacing w:line="240" w:lineRule="auto"/>
              <w:jc w:val="center"/>
              <w:rPr>
                <w:kern w:val="0"/>
                <w:sz w:val="18"/>
                <w:szCs w:val="18"/>
              </w:rPr>
            </w:pPr>
            <w:r>
              <w:rPr>
                <w:color w:val="000000"/>
                <w:sz w:val="18"/>
                <w:szCs w:val="18"/>
              </w:rPr>
              <w:t xml:space="preserve">48.2 </w:t>
            </w:r>
          </w:p>
        </w:tc>
        <w:tc>
          <w:tcPr>
            <w:tcW w:w="881" w:type="dxa"/>
            <w:vAlign w:val="center"/>
          </w:tcPr>
          <w:p w14:paraId="143A50D1">
            <w:pPr>
              <w:widowControl/>
              <w:adjustRightInd/>
              <w:snapToGrid/>
              <w:spacing w:line="240" w:lineRule="auto"/>
              <w:jc w:val="center"/>
              <w:rPr>
                <w:kern w:val="0"/>
                <w:sz w:val="18"/>
                <w:szCs w:val="18"/>
              </w:rPr>
            </w:pPr>
            <w:r>
              <w:rPr>
                <w:rFonts w:hint="eastAsia"/>
                <w:color w:val="000000"/>
                <w:sz w:val="18"/>
                <w:szCs w:val="18"/>
              </w:rPr>
              <w:t xml:space="preserve">5.2 </w:t>
            </w:r>
          </w:p>
        </w:tc>
        <w:tc>
          <w:tcPr>
            <w:tcW w:w="880" w:type="dxa"/>
            <w:vAlign w:val="center"/>
          </w:tcPr>
          <w:p w14:paraId="45920C84">
            <w:pPr>
              <w:widowControl/>
              <w:adjustRightInd/>
              <w:snapToGrid/>
              <w:spacing w:line="240" w:lineRule="auto"/>
              <w:jc w:val="center"/>
              <w:rPr>
                <w:kern w:val="0"/>
                <w:sz w:val="18"/>
                <w:szCs w:val="18"/>
              </w:rPr>
            </w:pPr>
            <w:r>
              <w:rPr>
                <w:rFonts w:hint="eastAsia"/>
                <w:color w:val="000000"/>
                <w:sz w:val="18"/>
                <w:szCs w:val="18"/>
              </w:rPr>
              <w:t xml:space="preserve">-1.8 </w:t>
            </w:r>
          </w:p>
        </w:tc>
        <w:tc>
          <w:tcPr>
            <w:tcW w:w="880" w:type="dxa"/>
            <w:noWrap/>
            <w:vAlign w:val="center"/>
          </w:tcPr>
          <w:p w14:paraId="341ED5E0">
            <w:pPr>
              <w:widowControl/>
              <w:adjustRightInd/>
              <w:snapToGrid/>
              <w:spacing w:line="240" w:lineRule="auto"/>
              <w:jc w:val="center"/>
              <w:rPr>
                <w:sz w:val="18"/>
                <w:szCs w:val="18"/>
              </w:rPr>
            </w:pPr>
            <w:r>
              <w:rPr>
                <w:kern w:val="0"/>
                <w:sz w:val="18"/>
                <w:szCs w:val="18"/>
              </w:rPr>
              <w:t>47.6</w:t>
            </w:r>
          </w:p>
        </w:tc>
        <w:tc>
          <w:tcPr>
            <w:tcW w:w="881" w:type="dxa"/>
            <w:noWrap/>
            <w:vAlign w:val="center"/>
          </w:tcPr>
          <w:p w14:paraId="1DFFD1D6">
            <w:pPr>
              <w:widowControl/>
              <w:adjustRightInd/>
              <w:snapToGrid/>
              <w:spacing w:line="240" w:lineRule="auto"/>
              <w:jc w:val="center"/>
              <w:rPr>
                <w:sz w:val="18"/>
                <w:szCs w:val="18"/>
              </w:rPr>
            </w:pPr>
            <w:r>
              <w:rPr>
                <w:color w:val="000000"/>
                <w:sz w:val="18"/>
                <w:szCs w:val="18"/>
              </w:rPr>
              <w:t>48.9</w:t>
            </w:r>
          </w:p>
        </w:tc>
        <w:tc>
          <w:tcPr>
            <w:tcW w:w="880" w:type="dxa"/>
            <w:noWrap/>
            <w:vAlign w:val="center"/>
          </w:tcPr>
          <w:p w14:paraId="7A21C1F3">
            <w:pPr>
              <w:widowControl/>
              <w:adjustRightInd/>
              <w:snapToGrid/>
              <w:spacing w:line="240" w:lineRule="auto"/>
              <w:jc w:val="center"/>
              <w:rPr>
                <w:sz w:val="18"/>
                <w:szCs w:val="18"/>
              </w:rPr>
            </w:pPr>
            <w:r>
              <w:rPr>
                <w:color w:val="000000"/>
                <w:sz w:val="18"/>
                <w:szCs w:val="18"/>
              </w:rPr>
              <w:t>5.9</w:t>
            </w:r>
          </w:p>
        </w:tc>
        <w:tc>
          <w:tcPr>
            <w:tcW w:w="880" w:type="dxa"/>
            <w:noWrap/>
            <w:vAlign w:val="center"/>
          </w:tcPr>
          <w:p w14:paraId="7C1A84DB">
            <w:pPr>
              <w:widowControl/>
              <w:adjustRightInd/>
              <w:snapToGrid/>
              <w:spacing w:line="240" w:lineRule="auto"/>
              <w:jc w:val="center"/>
              <w:rPr>
                <w:sz w:val="18"/>
                <w:szCs w:val="18"/>
              </w:rPr>
            </w:pPr>
            <w:r>
              <w:rPr>
                <w:color w:val="000000"/>
                <w:sz w:val="18"/>
                <w:szCs w:val="18"/>
              </w:rPr>
              <w:t xml:space="preserve">-1.1 </w:t>
            </w:r>
          </w:p>
        </w:tc>
        <w:tc>
          <w:tcPr>
            <w:tcW w:w="881" w:type="dxa"/>
            <w:noWrap/>
            <w:vAlign w:val="center"/>
          </w:tcPr>
          <w:p w14:paraId="2067AFE2">
            <w:pPr>
              <w:widowControl/>
              <w:adjustRightInd/>
              <w:snapToGrid/>
              <w:spacing w:line="240" w:lineRule="auto"/>
              <w:jc w:val="center"/>
              <w:rPr>
                <w:sz w:val="18"/>
                <w:szCs w:val="18"/>
              </w:rPr>
            </w:pPr>
            <w:r>
              <w:rPr>
                <w:kern w:val="0"/>
                <w:sz w:val="18"/>
                <w:szCs w:val="18"/>
              </w:rPr>
              <w:t>48.5</w:t>
            </w:r>
          </w:p>
        </w:tc>
        <w:tc>
          <w:tcPr>
            <w:tcW w:w="880" w:type="dxa"/>
            <w:noWrap/>
            <w:vAlign w:val="center"/>
          </w:tcPr>
          <w:p w14:paraId="44D3415A">
            <w:pPr>
              <w:widowControl/>
              <w:adjustRightInd/>
              <w:snapToGrid/>
              <w:spacing w:line="240" w:lineRule="auto"/>
              <w:jc w:val="center"/>
              <w:rPr>
                <w:sz w:val="18"/>
                <w:szCs w:val="18"/>
              </w:rPr>
            </w:pPr>
            <w:r>
              <w:rPr>
                <w:color w:val="000000"/>
                <w:sz w:val="18"/>
                <w:szCs w:val="18"/>
              </w:rPr>
              <w:t xml:space="preserve">49.6 </w:t>
            </w:r>
          </w:p>
        </w:tc>
        <w:tc>
          <w:tcPr>
            <w:tcW w:w="880" w:type="dxa"/>
            <w:noWrap/>
            <w:vAlign w:val="center"/>
          </w:tcPr>
          <w:p w14:paraId="777EE1C6">
            <w:pPr>
              <w:widowControl/>
              <w:adjustRightInd/>
              <w:snapToGrid/>
              <w:spacing w:line="240" w:lineRule="auto"/>
              <w:jc w:val="center"/>
              <w:rPr>
                <w:sz w:val="18"/>
                <w:szCs w:val="18"/>
              </w:rPr>
            </w:pPr>
            <w:r>
              <w:rPr>
                <w:color w:val="000000"/>
                <w:sz w:val="18"/>
                <w:szCs w:val="18"/>
              </w:rPr>
              <w:t xml:space="preserve">6.6 </w:t>
            </w:r>
          </w:p>
        </w:tc>
        <w:tc>
          <w:tcPr>
            <w:tcW w:w="881" w:type="dxa"/>
            <w:noWrap/>
            <w:vAlign w:val="center"/>
          </w:tcPr>
          <w:p w14:paraId="59A85F17">
            <w:pPr>
              <w:widowControl/>
              <w:adjustRightInd/>
              <w:snapToGrid/>
              <w:spacing w:line="240" w:lineRule="auto"/>
              <w:jc w:val="center"/>
              <w:rPr>
                <w:sz w:val="18"/>
                <w:szCs w:val="18"/>
              </w:rPr>
            </w:pPr>
            <w:r>
              <w:rPr>
                <w:color w:val="000000"/>
                <w:sz w:val="18"/>
                <w:szCs w:val="18"/>
              </w:rPr>
              <w:t xml:space="preserve">-0.4 </w:t>
            </w:r>
          </w:p>
        </w:tc>
      </w:tr>
      <w:tr w14:paraId="27021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232A517">
            <w:pPr>
              <w:widowControl/>
              <w:adjustRightInd/>
              <w:snapToGrid/>
              <w:spacing w:line="240" w:lineRule="auto"/>
              <w:jc w:val="center"/>
              <w:rPr>
                <w:sz w:val="18"/>
                <w:szCs w:val="18"/>
              </w:rPr>
            </w:pPr>
            <w:r>
              <w:rPr>
                <w:sz w:val="18"/>
                <w:szCs w:val="18"/>
              </w:rPr>
              <w:t>11</w:t>
            </w:r>
          </w:p>
        </w:tc>
        <w:tc>
          <w:tcPr>
            <w:tcW w:w="673" w:type="dxa"/>
            <w:vMerge w:val="restart"/>
            <w:vAlign w:val="center"/>
          </w:tcPr>
          <w:p w14:paraId="057A664B">
            <w:pPr>
              <w:spacing w:line="240" w:lineRule="auto"/>
              <w:jc w:val="center"/>
              <w:rPr>
                <w:kern w:val="0"/>
                <w:sz w:val="18"/>
                <w:szCs w:val="18"/>
              </w:rPr>
            </w:pPr>
            <w:r>
              <w:rPr>
                <w:kern w:val="0"/>
                <w:sz w:val="18"/>
                <w:szCs w:val="18"/>
              </w:rPr>
              <w:t>规划住宅2</w:t>
            </w:r>
          </w:p>
        </w:tc>
        <w:tc>
          <w:tcPr>
            <w:tcW w:w="595" w:type="dxa"/>
            <w:vMerge w:val="restart"/>
            <w:vAlign w:val="center"/>
          </w:tcPr>
          <w:p w14:paraId="43B2F342">
            <w:pPr>
              <w:widowControl/>
              <w:adjustRightInd/>
              <w:snapToGrid/>
              <w:spacing w:line="240" w:lineRule="auto"/>
              <w:jc w:val="center"/>
              <w:rPr>
                <w:kern w:val="0"/>
                <w:sz w:val="18"/>
                <w:szCs w:val="18"/>
              </w:rPr>
            </w:pPr>
            <w:r>
              <w:rPr>
                <w:kern w:val="0"/>
                <w:sz w:val="18"/>
                <w:szCs w:val="18"/>
              </w:rPr>
              <w:t>1.2</w:t>
            </w:r>
          </w:p>
        </w:tc>
        <w:tc>
          <w:tcPr>
            <w:tcW w:w="567" w:type="dxa"/>
            <w:vMerge w:val="restart"/>
            <w:vAlign w:val="center"/>
          </w:tcPr>
          <w:p w14:paraId="432B04AA">
            <w:pPr>
              <w:spacing w:line="240" w:lineRule="auto"/>
              <w:jc w:val="center"/>
              <w:rPr>
                <w:kern w:val="0"/>
                <w:sz w:val="18"/>
                <w:szCs w:val="18"/>
              </w:rPr>
            </w:pPr>
            <w:r>
              <w:rPr>
                <w:rFonts w:hint="eastAsia"/>
                <w:kern w:val="0"/>
                <w:sz w:val="18"/>
                <w:szCs w:val="18"/>
              </w:rPr>
              <w:t>2</w:t>
            </w:r>
            <w:r>
              <w:rPr>
                <w:kern w:val="0"/>
                <w:sz w:val="18"/>
                <w:szCs w:val="18"/>
              </w:rPr>
              <w:t>类</w:t>
            </w:r>
          </w:p>
        </w:tc>
        <w:tc>
          <w:tcPr>
            <w:tcW w:w="426" w:type="dxa"/>
            <w:noWrap/>
            <w:vAlign w:val="center"/>
          </w:tcPr>
          <w:p w14:paraId="645ED7DB">
            <w:pPr>
              <w:widowControl/>
              <w:adjustRightInd/>
              <w:snapToGrid/>
              <w:spacing w:line="240" w:lineRule="auto"/>
              <w:jc w:val="center"/>
              <w:rPr>
                <w:sz w:val="18"/>
                <w:szCs w:val="18"/>
              </w:rPr>
            </w:pPr>
            <w:r>
              <w:rPr>
                <w:sz w:val="18"/>
                <w:szCs w:val="18"/>
              </w:rPr>
              <w:t>昼间</w:t>
            </w:r>
          </w:p>
        </w:tc>
        <w:tc>
          <w:tcPr>
            <w:tcW w:w="708" w:type="dxa"/>
            <w:noWrap/>
            <w:vAlign w:val="center"/>
          </w:tcPr>
          <w:p w14:paraId="258BCE31">
            <w:pPr>
              <w:widowControl/>
              <w:adjustRightInd/>
              <w:snapToGrid/>
              <w:spacing w:line="240" w:lineRule="auto"/>
              <w:jc w:val="center"/>
              <w:rPr>
                <w:sz w:val="18"/>
                <w:szCs w:val="18"/>
              </w:rPr>
            </w:pPr>
            <w:r>
              <w:rPr>
                <w:sz w:val="18"/>
                <w:szCs w:val="18"/>
              </w:rPr>
              <w:t>60</w:t>
            </w:r>
          </w:p>
        </w:tc>
        <w:tc>
          <w:tcPr>
            <w:tcW w:w="709" w:type="dxa"/>
            <w:vMerge w:val="restart"/>
            <w:vAlign w:val="center"/>
          </w:tcPr>
          <w:p w14:paraId="1D622AA9">
            <w:pPr>
              <w:widowControl/>
              <w:adjustRightInd/>
              <w:snapToGrid/>
              <w:spacing w:line="240" w:lineRule="auto"/>
              <w:jc w:val="center"/>
              <w:rPr>
                <w:kern w:val="0"/>
                <w:sz w:val="18"/>
                <w:szCs w:val="18"/>
              </w:rPr>
            </w:pPr>
            <w:r>
              <w:rPr>
                <w:rFonts w:hint="eastAsia"/>
                <w:kern w:val="0"/>
                <w:sz w:val="18"/>
                <w:szCs w:val="18"/>
              </w:rPr>
              <w:t>52（昼）</w:t>
            </w:r>
          </w:p>
          <w:p w14:paraId="7F71FB46">
            <w:pPr>
              <w:widowControl/>
              <w:adjustRightInd/>
              <w:snapToGrid/>
              <w:spacing w:line="240" w:lineRule="auto"/>
              <w:jc w:val="center"/>
              <w:rPr>
                <w:sz w:val="18"/>
                <w:szCs w:val="18"/>
              </w:rPr>
            </w:pPr>
            <w:r>
              <w:rPr>
                <w:rFonts w:hint="eastAsia"/>
                <w:kern w:val="0"/>
                <w:sz w:val="18"/>
                <w:szCs w:val="18"/>
              </w:rPr>
              <w:t>43（夜）</w:t>
            </w:r>
          </w:p>
        </w:tc>
        <w:tc>
          <w:tcPr>
            <w:tcW w:w="709" w:type="dxa"/>
            <w:vMerge w:val="restart"/>
            <w:vAlign w:val="center"/>
          </w:tcPr>
          <w:p w14:paraId="475FD02D">
            <w:pPr>
              <w:widowControl/>
              <w:adjustRightInd/>
              <w:snapToGrid/>
              <w:spacing w:line="240" w:lineRule="auto"/>
              <w:jc w:val="center"/>
              <w:rPr>
                <w:kern w:val="0"/>
                <w:sz w:val="18"/>
                <w:szCs w:val="18"/>
              </w:rPr>
            </w:pPr>
            <w:r>
              <w:rPr>
                <w:rFonts w:hint="eastAsia"/>
                <w:kern w:val="0"/>
                <w:sz w:val="18"/>
                <w:szCs w:val="18"/>
              </w:rPr>
              <w:t>52（昼）</w:t>
            </w:r>
          </w:p>
          <w:p w14:paraId="52C1A597">
            <w:pPr>
              <w:widowControl/>
              <w:adjustRightInd/>
              <w:snapToGrid/>
              <w:spacing w:line="240" w:lineRule="auto"/>
              <w:jc w:val="center"/>
              <w:rPr>
                <w:sz w:val="18"/>
                <w:szCs w:val="18"/>
              </w:rPr>
            </w:pPr>
            <w:r>
              <w:rPr>
                <w:rFonts w:hint="eastAsia"/>
                <w:kern w:val="0"/>
                <w:sz w:val="18"/>
                <w:szCs w:val="18"/>
              </w:rPr>
              <w:t>43（夜）</w:t>
            </w:r>
          </w:p>
        </w:tc>
        <w:tc>
          <w:tcPr>
            <w:tcW w:w="880" w:type="dxa"/>
            <w:vAlign w:val="center"/>
          </w:tcPr>
          <w:p w14:paraId="54FEF07C">
            <w:pPr>
              <w:widowControl/>
              <w:adjustRightInd/>
              <w:snapToGrid/>
              <w:spacing w:line="240" w:lineRule="auto"/>
              <w:jc w:val="center"/>
              <w:rPr>
                <w:sz w:val="18"/>
                <w:szCs w:val="18"/>
              </w:rPr>
            </w:pPr>
            <w:r>
              <w:rPr>
                <w:rFonts w:hint="eastAsia"/>
                <w:color w:val="000000"/>
                <w:sz w:val="18"/>
                <w:szCs w:val="18"/>
              </w:rPr>
              <w:t>63.9</w:t>
            </w:r>
          </w:p>
        </w:tc>
        <w:tc>
          <w:tcPr>
            <w:tcW w:w="880" w:type="dxa"/>
            <w:vAlign w:val="center"/>
          </w:tcPr>
          <w:p w14:paraId="0AFA7313">
            <w:pPr>
              <w:widowControl/>
              <w:adjustRightInd/>
              <w:snapToGrid/>
              <w:spacing w:line="240" w:lineRule="auto"/>
              <w:jc w:val="center"/>
              <w:rPr>
                <w:sz w:val="18"/>
                <w:szCs w:val="18"/>
              </w:rPr>
            </w:pPr>
            <w:r>
              <w:rPr>
                <w:color w:val="000000"/>
                <w:sz w:val="18"/>
                <w:szCs w:val="18"/>
              </w:rPr>
              <w:t xml:space="preserve">64.2 </w:t>
            </w:r>
          </w:p>
        </w:tc>
        <w:tc>
          <w:tcPr>
            <w:tcW w:w="881" w:type="dxa"/>
            <w:vAlign w:val="center"/>
          </w:tcPr>
          <w:p w14:paraId="25E111DA">
            <w:pPr>
              <w:widowControl/>
              <w:adjustRightInd/>
              <w:snapToGrid/>
              <w:spacing w:line="240" w:lineRule="auto"/>
              <w:jc w:val="center"/>
              <w:rPr>
                <w:sz w:val="18"/>
                <w:szCs w:val="18"/>
              </w:rPr>
            </w:pPr>
            <w:r>
              <w:rPr>
                <w:rFonts w:hint="eastAsia"/>
                <w:color w:val="000000"/>
                <w:sz w:val="18"/>
                <w:szCs w:val="18"/>
              </w:rPr>
              <w:t xml:space="preserve">12.2 </w:t>
            </w:r>
          </w:p>
        </w:tc>
        <w:tc>
          <w:tcPr>
            <w:tcW w:w="880" w:type="dxa"/>
            <w:vAlign w:val="center"/>
          </w:tcPr>
          <w:p w14:paraId="338D30C4">
            <w:pPr>
              <w:widowControl/>
              <w:adjustRightInd/>
              <w:snapToGrid/>
              <w:spacing w:line="240" w:lineRule="auto"/>
              <w:jc w:val="center"/>
              <w:rPr>
                <w:sz w:val="18"/>
                <w:szCs w:val="18"/>
              </w:rPr>
            </w:pPr>
            <w:r>
              <w:rPr>
                <w:rFonts w:hint="eastAsia"/>
                <w:color w:val="000000"/>
                <w:sz w:val="18"/>
                <w:szCs w:val="18"/>
              </w:rPr>
              <w:t xml:space="preserve">4.2 </w:t>
            </w:r>
          </w:p>
        </w:tc>
        <w:tc>
          <w:tcPr>
            <w:tcW w:w="880" w:type="dxa"/>
            <w:noWrap/>
            <w:vAlign w:val="center"/>
          </w:tcPr>
          <w:p w14:paraId="1EA00526">
            <w:pPr>
              <w:widowControl/>
              <w:adjustRightInd/>
              <w:snapToGrid/>
              <w:spacing w:line="240" w:lineRule="auto"/>
              <w:jc w:val="center"/>
              <w:rPr>
                <w:sz w:val="18"/>
                <w:szCs w:val="18"/>
              </w:rPr>
            </w:pPr>
            <w:r>
              <w:rPr>
                <w:sz w:val="18"/>
                <w:szCs w:val="18"/>
              </w:rPr>
              <w:t>64.7</w:t>
            </w:r>
          </w:p>
        </w:tc>
        <w:tc>
          <w:tcPr>
            <w:tcW w:w="881" w:type="dxa"/>
            <w:noWrap/>
            <w:vAlign w:val="center"/>
          </w:tcPr>
          <w:p w14:paraId="7BF23873">
            <w:pPr>
              <w:widowControl/>
              <w:adjustRightInd/>
              <w:snapToGrid/>
              <w:spacing w:line="240" w:lineRule="auto"/>
              <w:jc w:val="center"/>
              <w:rPr>
                <w:sz w:val="18"/>
                <w:szCs w:val="18"/>
              </w:rPr>
            </w:pPr>
            <w:r>
              <w:rPr>
                <w:color w:val="000000"/>
                <w:sz w:val="18"/>
                <w:szCs w:val="18"/>
              </w:rPr>
              <w:t xml:space="preserve">64.9 </w:t>
            </w:r>
          </w:p>
        </w:tc>
        <w:tc>
          <w:tcPr>
            <w:tcW w:w="880" w:type="dxa"/>
            <w:noWrap/>
            <w:vAlign w:val="center"/>
          </w:tcPr>
          <w:p w14:paraId="166C9615">
            <w:pPr>
              <w:widowControl/>
              <w:adjustRightInd/>
              <w:snapToGrid/>
              <w:spacing w:line="240" w:lineRule="auto"/>
              <w:jc w:val="center"/>
              <w:rPr>
                <w:sz w:val="18"/>
                <w:szCs w:val="18"/>
              </w:rPr>
            </w:pPr>
            <w:r>
              <w:rPr>
                <w:color w:val="000000"/>
                <w:sz w:val="18"/>
                <w:szCs w:val="18"/>
              </w:rPr>
              <w:t>12.9</w:t>
            </w:r>
          </w:p>
        </w:tc>
        <w:tc>
          <w:tcPr>
            <w:tcW w:w="880" w:type="dxa"/>
            <w:noWrap/>
            <w:vAlign w:val="center"/>
          </w:tcPr>
          <w:p w14:paraId="5EC6524F">
            <w:pPr>
              <w:widowControl/>
              <w:adjustRightInd/>
              <w:snapToGrid/>
              <w:spacing w:line="240" w:lineRule="auto"/>
              <w:jc w:val="center"/>
              <w:rPr>
                <w:sz w:val="18"/>
                <w:szCs w:val="18"/>
              </w:rPr>
            </w:pPr>
            <w:r>
              <w:rPr>
                <w:color w:val="000000"/>
                <w:sz w:val="18"/>
                <w:szCs w:val="18"/>
              </w:rPr>
              <w:t xml:space="preserve">4.9 </w:t>
            </w:r>
          </w:p>
        </w:tc>
        <w:tc>
          <w:tcPr>
            <w:tcW w:w="881" w:type="dxa"/>
            <w:noWrap/>
            <w:vAlign w:val="center"/>
          </w:tcPr>
          <w:p w14:paraId="795080C1">
            <w:pPr>
              <w:widowControl/>
              <w:adjustRightInd/>
              <w:snapToGrid/>
              <w:spacing w:line="240" w:lineRule="auto"/>
              <w:jc w:val="center"/>
              <w:rPr>
                <w:sz w:val="18"/>
                <w:szCs w:val="18"/>
              </w:rPr>
            </w:pPr>
            <w:r>
              <w:rPr>
                <w:sz w:val="18"/>
                <w:szCs w:val="18"/>
              </w:rPr>
              <w:t>65.6</w:t>
            </w:r>
          </w:p>
        </w:tc>
        <w:tc>
          <w:tcPr>
            <w:tcW w:w="880" w:type="dxa"/>
            <w:noWrap/>
            <w:vAlign w:val="center"/>
          </w:tcPr>
          <w:p w14:paraId="20686713">
            <w:pPr>
              <w:widowControl/>
              <w:adjustRightInd/>
              <w:snapToGrid/>
              <w:spacing w:line="240" w:lineRule="auto"/>
              <w:jc w:val="center"/>
              <w:rPr>
                <w:sz w:val="18"/>
                <w:szCs w:val="18"/>
              </w:rPr>
            </w:pPr>
            <w:r>
              <w:rPr>
                <w:color w:val="000000"/>
                <w:sz w:val="18"/>
                <w:szCs w:val="18"/>
              </w:rPr>
              <w:t xml:space="preserve">65.8 </w:t>
            </w:r>
          </w:p>
        </w:tc>
        <w:tc>
          <w:tcPr>
            <w:tcW w:w="880" w:type="dxa"/>
            <w:noWrap/>
            <w:vAlign w:val="center"/>
          </w:tcPr>
          <w:p w14:paraId="6046FA39">
            <w:pPr>
              <w:widowControl/>
              <w:adjustRightInd/>
              <w:snapToGrid/>
              <w:spacing w:line="240" w:lineRule="auto"/>
              <w:jc w:val="center"/>
              <w:rPr>
                <w:sz w:val="18"/>
                <w:szCs w:val="18"/>
              </w:rPr>
            </w:pPr>
            <w:r>
              <w:rPr>
                <w:color w:val="000000"/>
                <w:sz w:val="18"/>
                <w:szCs w:val="18"/>
              </w:rPr>
              <w:t xml:space="preserve">13.8 </w:t>
            </w:r>
          </w:p>
        </w:tc>
        <w:tc>
          <w:tcPr>
            <w:tcW w:w="881" w:type="dxa"/>
            <w:noWrap/>
            <w:vAlign w:val="center"/>
          </w:tcPr>
          <w:p w14:paraId="1DFA5100">
            <w:pPr>
              <w:widowControl/>
              <w:adjustRightInd/>
              <w:snapToGrid/>
              <w:spacing w:line="240" w:lineRule="auto"/>
              <w:jc w:val="center"/>
              <w:rPr>
                <w:sz w:val="18"/>
                <w:szCs w:val="18"/>
              </w:rPr>
            </w:pPr>
            <w:r>
              <w:rPr>
                <w:color w:val="000000"/>
                <w:sz w:val="18"/>
                <w:szCs w:val="18"/>
              </w:rPr>
              <w:t xml:space="preserve">5.8 </w:t>
            </w:r>
          </w:p>
        </w:tc>
      </w:tr>
      <w:tr w14:paraId="44ABD8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171AC034">
            <w:pPr>
              <w:widowControl/>
              <w:adjustRightInd/>
              <w:snapToGrid/>
              <w:spacing w:line="240" w:lineRule="auto"/>
              <w:jc w:val="center"/>
              <w:rPr>
                <w:sz w:val="18"/>
                <w:szCs w:val="18"/>
              </w:rPr>
            </w:pPr>
            <w:r>
              <w:rPr>
                <w:sz w:val="18"/>
                <w:szCs w:val="18"/>
              </w:rPr>
              <w:t>12</w:t>
            </w:r>
          </w:p>
        </w:tc>
        <w:tc>
          <w:tcPr>
            <w:tcW w:w="673" w:type="dxa"/>
            <w:vMerge w:val="continue"/>
            <w:vAlign w:val="center"/>
          </w:tcPr>
          <w:p w14:paraId="784C43E8">
            <w:pPr>
              <w:widowControl/>
              <w:adjustRightInd/>
              <w:snapToGrid/>
              <w:spacing w:line="240" w:lineRule="auto"/>
              <w:jc w:val="center"/>
              <w:rPr>
                <w:kern w:val="0"/>
                <w:sz w:val="18"/>
                <w:szCs w:val="18"/>
              </w:rPr>
            </w:pPr>
          </w:p>
        </w:tc>
        <w:tc>
          <w:tcPr>
            <w:tcW w:w="595" w:type="dxa"/>
            <w:vMerge w:val="continue"/>
            <w:vAlign w:val="center"/>
          </w:tcPr>
          <w:p w14:paraId="20D62441">
            <w:pPr>
              <w:widowControl/>
              <w:adjustRightInd/>
              <w:snapToGrid/>
              <w:spacing w:line="240" w:lineRule="auto"/>
              <w:jc w:val="left"/>
              <w:rPr>
                <w:kern w:val="0"/>
                <w:sz w:val="18"/>
                <w:szCs w:val="18"/>
              </w:rPr>
            </w:pPr>
          </w:p>
        </w:tc>
        <w:tc>
          <w:tcPr>
            <w:tcW w:w="567" w:type="dxa"/>
            <w:vMerge w:val="continue"/>
            <w:vAlign w:val="center"/>
          </w:tcPr>
          <w:p w14:paraId="52398696">
            <w:pPr>
              <w:spacing w:line="240" w:lineRule="auto"/>
              <w:jc w:val="center"/>
              <w:rPr>
                <w:kern w:val="0"/>
                <w:sz w:val="18"/>
                <w:szCs w:val="18"/>
              </w:rPr>
            </w:pPr>
          </w:p>
        </w:tc>
        <w:tc>
          <w:tcPr>
            <w:tcW w:w="426" w:type="dxa"/>
            <w:noWrap/>
            <w:vAlign w:val="center"/>
          </w:tcPr>
          <w:p w14:paraId="03ED1272">
            <w:pPr>
              <w:widowControl/>
              <w:adjustRightInd/>
              <w:snapToGrid/>
              <w:spacing w:line="240" w:lineRule="auto"/>
              <w:jc w:val="center"/>
              <w:rPr>
                <w:sz w:val="18"/>
                <w:szCs w:val="18"/>
              </w:rPr>
            </w:pPr>
            <w:r>
              <w:rPr>
                <w:sz w:val="18"/>
                <w:szCs w:val="18"/>
              </w:rPr>
              <w:t>夜间</w:t>
            </w:r>
          </w:p>
        </w:tc>
        <w:tc>
          <w:tcPr>
            <w:tcW w:w="708" w:type="dxa"/>
            <w:noWrap/>
            <w:vAlign w:val="center"/>
          </w:tcPr>
          <w:p w14:paraId="38E94CBF">
            <w:pPr>
              <w:widowControl/>
              <w:adjustRightInd/>
              <w:snapToGrid/>
              <w:spacing w:line="240" w:lineRule="auto"/>
              <w:jc w:val="center"/>
              <w:rPr>
                <w:sz w:val="18"/>
                <w:szCs w:val="18"/>
              </w:rPr>
            </w:pPr>
            <w:r>
              <w:rPr>
                <w:sz w:val="18"/>
                <w:szCs w:val="18"/>
              </w:rPr>
              <w:t>50</w:t>
            </w:r>
          </w:p>
        </w:tc>
        <w:tc>
          <w:tcPr>
            <w:tcW w:w="709" w:type="dxa"/>
            <w:vMerge w:val="continue"/>
            <w:vAlign w:val="center"/>
          </w:tcPr>
          <w:p w14:paraId="6932111A">
            <w:pPr>
              <w:widowControl/>
              <w:adjustRightInd/>
              <w:snapToGrid/>
              <w:spacing w:line="240" w:lineRule="auto"/>
              <w:jc w:val="center"/>
              <w:rPr>
                <w:sz w:val="18"/>
                <w:szCs w:val="18"/>
              </w:rPr>
            </w:pPr>
          </w:p>
        </w:tc>
        <w:tc>
          <w:tcPr>
            <w:tcW w:w="709" w:type="dxa"/>
            <w:vMerge w:val="continue"/>
            <w:vAlign w:val="center"/>
          </w:tcPr>
          <w:p w14:paraId="40C70ADB">
            <w:pPr>
              <w:widowControl/>
              <w:adjustRightInd/>
              <w:snapToGrid/>
              <w:spacing w:line="240" w:lineRule="auto"/>
              <w:jc w:val="center"/>
              <w:rPr>
                <w:sz w:val="18"/>
                <w:szCs w:val="18"/>
              </w:rPr>
            </w:pPr>
          </w:p>
        </w:tc>
        <w:tc>
          <w:tcPr>
            <w:tcW w:w="880" w:type="dxa"/>
            <w:vAlign w:val="center"/>
          </w:tcPr>
          <w:p w14:paraId="25BDBFD1">
            <w:pPr>
              <w:widowControl/>
              <w:adjustRightInd/>
              <w:snapToGrid/>
              <w:spacing w:line="240" w:lineRule="auto"/>
              <w:jc w:val="center"/>
              <w:rPr>
                <w:sz w:val="18"/>
                <w:szCs w:val="18"/>
              </w:rPr>
            </w:pPr>
            <w:r>
              <w:rPr>
                <w:rFonts w:hint="eastAsia"/>
                <w:color w:val="000000"/>
                <w:sz w:val="18"/>
                <w:szCs w:val="18"/>
              </w:rPr>
              <w:t>52.6</w:t>
            </w:r>
          </w:p>
        </w:tc>
        <w:tc>
          <w:tcPr>
            <w:tcW w:w="880" w:type="dxa"/>
            <w:vAlign w:val="center"/>
          </w:tcPr>
          <w:p w14:paraId="129E5032">
            <w:pPr>
              <w:widowControl/>
              <w:adjustRightInd/>
              <w:snapToGrid/>
              <w:spacing w:line="240" w:lineRule="auto"/>
              <w:jc w:val="center"/>
              <w:rPr>
                <w:sz w:val="18"/>
                <w:szCs w:val="18"/>
              </w:rPr>
            </w:pPr>
            <w:r>
              <w:rPr>
                <w:color w:val="000000"/>
                <w:sz w:val="18"/>
                <w:szCs w:val="18"/>
              </w:rPr>
              <w:t xml:space="preserve">53.1 </w:t>
            </w:r>
          </w:p>
        </w:tc>
        <w:tc>
          <w:tcPr>
            <w:tcW w:w="881" w:type="dxa"/>
            <w:vAlign w:val="center"/>
          </w:tcPr>
          <w:p w14:paraId="5222FA3E">
            <w:pPr>
              <w:widowControl/>
              <w:adjustRightInd/>
              <w:snapToGrid/>
              <w:spacing w:line="240" w:lineRule="auto"/>
              <w:jc w:val="center"/>
              <w:rPr>
                <w:sz w:val="18"/>
                <w:szCs w:val="18"/>
              </w:rPr>
            </w:pPr>
            <w:r>
              <w:rPr>
                <w:rFonts w:hint="eastAsia"/>
                <w:color w:val="000000"/>
                <w:sz w:val="18"/>
                <w:szCs w:val="18"/>
              </w:rPr>
              <w:t xml:space="preserve">10.1 </w:t>
            </w:r>
          </w:p>
        </w:tc>
        <w:tc>
          <w:tcPr>
            <w:tcW w:w="880" w:type="dxa"/>
            <w:vAlign w:val="center"/>
          </w:tcPr>
          <w:p w14:paraId="41BEB858">
            <w:pPr>
              <w:widowControl/>
              <w:adjustRightInd/>
              <w:snapToGrid/>
              <w:spacing w:line="240" w:lineRule="auto"/>
              <w:jc w:val="center"/>
              <w:rPr>
                <w:sz w:val="18"/>
                <w:szCs w:val="18"/>
              </w:rPr>
            </w:pPr>
            <w:r>
              <w:rPr>
                <w:rFonts w:hint="eastAsia"/>
                <w:color w:val="000000"/>
                <w:sz w:val="18"/>
                <w:szCs w:val="18"/>
              </w:rPr>
              <w:t xml:space="preserve">3.1 </w:t>
            </w:r>
          </w:p>
        </w:tc>
        <w:tc>
          <w:tcPr>
            <w:tcW w:w="880" w:type="dxa"/>
            <w:noWrap/>
            <w:vAlign w:val="center"/>
          </w:tcPr>
          <w:p w14:paraId="70A2F27D">
            <w:pPr>
              <w:widowControl/>
              <w:adjustRightInd/>
              <w:snapToGrid/>
              <w:spacing w:line="240" w:lineRule="auto"/>
              <w:jc w:val="center"/>
              <w:rPr>
                <w:sz w:val="18"/>
                <w:szCs w:val="18"/>
              </w:rPr>
            </w:pPr>
            <w:r>
              <w:rPr>
                <w:sz w:val="18"/>
                <w:szCs w:val="18"/>
              </w:rPr>
              <w:t>53.5</w:t>
            </w:r>
          </w:p>
        </w:tc>
        <w:tc>
          <w:tcPr>
            <w:tcW w:w="881" w:type="dxa"/>
            <w:noWrap/>
            <w:vAlign w:val="center"/>
          </w:tcPr>
          <w:p w14:paraId="363D8A44">
            <w:pPr>
              <w:widowControl/>
              <w:adjustRightInd/>
              <w:snapToGrid/>
              <w:spacing w:line="240" w:lineRule="auto"/>
              <w:jc w:val="center"/>
              <w:rPr>
                <w:sz w:val="18"/>
                <w:szCs w:val="18"/>
              </w:rPr>
            </w:pPr>
            <w:r>
              <w:rPr>
                <w:color w:val="000000"/>
                <w:sz w:val="18"/>
                <w:szCs w:val="18"/>
              </w:rPr>
              <w:t xml:space="preserve">53.9 </w:t>
            </w:r>
          </w:p>
        </w:tc>
        <w:tc>
          <w:tcPr>
            <w:tcW w:w="880" w:type="dxa"/>
            <w:noWrap/>
            <w:vAlign w:val="center"/>
          </w:tcPr>
          <w:p w14:paraId="71EE190F">
            <w:pPr>
              <w:widowControl/>
              <w:adjustRightInd/>
              <w:snapToGrid/>
              <w:spacing w:line="240" w:lineRule="auto"/>
              <w:jc w:val="center"/>
              <w:rPr>
                <w:sz w:val="18"/>
                <w:szCs w:val="18"/>
              </w:rPr>
            </w:pPr>
            <w:r>
              <w:rPr>
                <w:color w:val="000000"/>
                <w:sz w:val="18"/>
                <w:szCs w:val="18"/>
              </w:rPr>
              <w:t xml:space="preserve">10.9 </w:t>
            </w:r>
          </w:p>
        </w:tc>
        <w:tc>
          <w:tcPr>
            <w:tcW w:w="880" w:type="dxa"/>
            <w:noWrap/>
            <w:vAlign w:val="center"/>
          </w:tcPr>
          <w:p w14:paraId="564443CB">
            <w:pPr>
              <w:widowControl/>
              <w:adjustRightInd/>
              <w:snapToGrid/>
              <w:spacing w:line="240" w:lineRule="auto"/>
              <w:jc w:val="center"/>
              <w:rPr>
                <w:sz w:val="18"/>
                <w:szCs w:val="18"/>
              </w:rPr>
            </w:pPr>
            <w:r>
              <w:rPr>
                <w:color w:val="000000"/>
                <w:sz w:val="18"/>
                <w:szCs w:val="18"/>
              </w:rPr>
              <w:t xml:space="preserve">3.9 </w:t>
            </w:r>
          </w:p>
        </w:tc>
        <w:tc>
          <w:tcPr>
            <w:tcW w:w="881" w:type="dxa"/>
            <w:noWrap/>
            <w:vAlign w:val="center"/>
          </w:tcPr>
          <w:p w14:paraId="13E99997">
            <w:pPr>
              <w:widowControl/>
              <w:adjustRightInd/>
              <w:snapToGrid/>
              <w:spacing w:line="240" w:lineRule="auto"/>
              <w:jc w:val="center"/>
              <w:rPr>
                <w:sz w:val="18"/>
                <w:szCs w:val="18"/>
              </w:rPr>
            </w:pPr>
            <w:r>
              <w:rPr>
                <w:sz w:val="18"/>
                <w:szCs w:val="18"/>
              </w:rPr>
              <w:t>54.4</w:t>
            </w:r>
          </w:p>
        </w:tc>
        <w:tc>
          <w:tcPr>
            <w:tcW w:w="880" w:type="dxa"/>
            <w:noWrap/>
            <w:vAlign w:val="center"/>
          </w:tcPr>
          <w:p w14:paraId="03B5FD57">
            <w:pPr>
              <w:widowControl/>
              <w:adjustRightInd/>
              <w:snapToGrid/>
              <w:spacing w:line="240" w:lineRule="auto"/>
              <w:jc w:val="center"/>
              <w:rPr>
                <w:sz w:val="18"/>
                <w:szCs w:val="18"/>
              </w:rPr>
            </w:pPr>
            <w:r>
              <w:rPr>
                <w:color w:val="000000"/>
                <w:sz w:val="18"/>
                <w:szCs w:val="18"/>
              </w:rPr>
              <w:t xml:space="preserve">54.7 </w:t>
            </w:r>
          </w:p>
        </w:tc>
        <w:tc>
          <w:tcPr>
            <w:tcW w:w="880" w:type="dxa"/>
            <w:noWrap/>
            <w:vAlign w:val="center"/>
          </w:tcPr>
          <w:p w14:paraId="77C4B105">
            <w:pPr>
              <w:widowControl/>
              <w:adjustRightInd/>
              <w:snapToGrid/>
              <w:spacing w:line="240" w:lineRule="auto"/>
              <w:jc w:val="center"/>
              <w:rPr>
                <w:sz w:val="18"/>
                <w:szCs w:val="18"/>
              </w:rPr>
            </w:pPr>
            <w:r>
              <w:rPr>
                <w:color w:val="000000"/>
                <w:sz w:val="18"/>
                <w:szCs w:val="18"/>
              </w:rPr>
              <w:t xml:space="preserve">11.7 </w:t>
            </w:r>
          </w:p>
        </w:tc>
        <w:tc>
          <w:tcPr>
            <w:tcW w:w="881" w:type="dxa"/>
            <w:noWrap/>
            <w:vAlign w:val="center"/>
          </w:tcPr>
          <w:p w14:paraId="4FC7F26B">
            <w:pPr>
              <w:widowControl/>
              <w:adjustRightInd/>
              <w:snapToGrid/>
              <w:spacing w:line="240" w:lineRule="auto"/>
              <w:jc w:val="center"/>
              <w:rPr>
                <w:sz w:val="18"/>
                <w:szCs w:val="18"/>
              </w:rPr>
            </w:pPr>
            <w:r>
              <w:rPr>
                <w:color w:val="000000"/>
                <w:sz w:val="18"/>
                <w:szCs w:val="18"/>
              </w:rPr>
              <w:t xml:space="preserve">4.7 </w:t>
            </w:r>
          </w:p>
        </w:tc>
      </w:tr>
      <w:tr w14:paraId="65337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F999F9E">
            <w:pPr>
              <w:widowControl/>
              <w:adjustRightInd/>
              <w:snapToGrid/>
              <w:spacing w:line="240" w:lineRule="auto"/>
              <w:jc w:val="center"/>
              <w:rPr>
                <w:kern w:val="0"/>
                <w:sz w:val="18"/>
                <w:szCs w:val="18"/>
              </w:rPr>
            </w:pPr>
            <w:r>
              <w:rPr>
                <w:sz w:val="18"/>
                <w:szCs w:val="18"/>
              </w:rPr>
              <w:t>13</w:t>
            </w:r>
          </w:p>
        </w:tc>
        <w:tc>
          <w:tcPr>
            <w:tcW w:w="673" w:type="dxa"/>
            <w:vMerge w:val="continue"/>
            <w:noWrap/>
            <w:vAlign w:val="center"/>
          </w:tcPr>
          <w:p w14:paraId="138D2CB8">
            <w:pPr>
              <w:widowControl/>
              <w:adjustRightInd/>
              <w:snapToGrid/>
              <w:spacing w:line="240" w:lineRule="auto"/>
              <w:jc w:val="center"/>
              <w:rPr>
                <w:kern w:val="0"/>
                <w:sz w:val="18"/>
                <w:szCs w:val="18"/>
              </w:rPr>
            </w:pPr>
          </w:p>
        </w:tc>
        <w:tc>
          <w:tcPr>
            <w:tcW w:w="595" w:type="dxa"/>
            <w:vMerge w:val="restart"/>
            <w:vAlign w:val="center"/>
          </w:tcPr>
          <w:p w14:paraId="29F94ACA">
            <w:pPr>
              <w:widowControl/>
              <w:adjustRightInd/>
              <w:snapToGrid/>
              <w:spacing w:line="240" w:lineRule="auto"/>
              <w:jc w:val="center"/>
              <w:rPr>
                <w:kern w:val="0"/>
                <w:sz w:val="18"/>
                <w:szCs w:val="18"/>
              </w:rPr>
            </w:pPr>
            <w:r>
              <w:rPr>
                <w:kern w:val="0"/>
                <w:sz w:val="18"/>
                <w:szCs w:val="18"/>
              </w:rPr>
              <w:t>16.2</w:t>
            </w:r>
          </w:p>
        </w:tc>
        <w:tc>
          <w:tcPr>
            <w:tcW w:w="567" w:type="dxa"/>
            <w:vMerge w:val="continue"/>
            <w:vAlign w:val="center"/>
          </w:tcPr>
          <w:p w14:paraId="5BB6E6D9">
            <w:pPr>
              <w:widowControl/>
              <w:adjustRightInd/>
              <w:snapToGrid/>
              <w:spacing w:line="240" w:lineRule="auto"/>
              <w:jc w:val="center"/>
              <w:rPr>
                <w:kern w:val="0"/>
                <w:sz w:val="18"/>
                <w:szCs w:val="18"/>
              </w:rPr>
            </w:pPr>
          </w:p>
        </w:tc>
        <w:tc>
          <w:tcPr>
            <w:tcW w:w="426" w:type="dxa"/>
            <w:noWrap/>
            <w:vAlign w:val="center"/>
          </w:tcPr>
          <w:p w14:paraId="12C2E6E8">
            <w:pPr>
              <w:widowControl/>
              <w:adjustRightInd/>
              <w:snapToGrid/>
              <w:spacing w:line="240" w:lineRule="auto"/>
              <w:jc w:val="center"/>
              <w:rPr>
                <w:kern w:val="0"/>
                <w:sz w:val="18"/>
                <w:szCs w:val="18"/>
              </w:rPr>
            </w:pPr>
            <w:r>
              <w:rPr>
                <w:rFonts w:hint="eastAsia"/>
                <w:sz w:val="18"/>
                <w:szCs w:val="18"/>
              </w:rPr>
              <w:t>昼间</w:t>
            </w:r>
          </w:p>
        </w:tc>
        <w:tc>
          <w:tcPr>
            <w:tcW w:w="708" w:type="dxa"/>
            <w:noWrap/>
            <w:vAlign w:val="center"/>
          </w:tcPr>
          <w:p w14:paraId="5A20FE1D">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3EC18257">
            <w:pPr>
              <w:widowControl/>
              <w:adjustRightInd/>
              <w:snapToGrid/>
              <w:spacing w:line="240" w:lineRule="auto"/>
              <w:jc w:val="center"/>
              <w:rPr>
                <w:kern w:val="0"/>
                <w:sz w:val="18"/>
                <w:szCs w:val="18"/>
              </w:rPr>
            </w:pPr>
          </w:p>
        </w:tc>
        <w:tc>
          <w:tcPr>
            <w:tcW w:w="709" w:type="dxa"/>
            <w:vMerge w:val="continue"/>
            <w:noWrap/>
            <w:vAlign w:val="center"/>
          </w:tcPr>
          <w:p w14:paraId="20B21B59">
            <w:pPr>
              <w:widowControl/>
              <w:adjustRightInd/>
              <w:snapToGrid/>
              <w:spacing w:line="240" w:lineRule="auto"/>
              <w:jc w:val="center"/>
              <w:rPr>
                <w:kern w:val="0"/>
                <w:sz w:val="18"/>
                <w:szCs w:val="18"/>
              </w:rPr>
            </w:pPr>
          </w:p>
        </w:tc>
        <w:tc>
          <w:tcPr>
            <w:tcW w:w="880" w:type="dxa"/>
            <w:vAlign w:val="center"/>
          </w:tcPr>
          <w:p w14:paraId="3E7F4A71">
            <w:pPr>
              <w:widowControl/>
              <w:adjustRightInd/>
              <w:snapToGrid/>
              <w:spacing w:line="240" w:lineRule="auto"/>
              <w:jc w:val="center"/>
              <w:rPr>
                <w:sz w:val="18"/>
                <w:szCs w:val="18"/>
              </w:rPr>
            </w:pPr>
            <w:r>
              <w:rPr>
                <w:rFonts w:hint="eastAsia"/>
                <w:color w:val="000000"/>
                <w:sz w:val="18"/>
                <w:szCs w:val="18"/>
              </w:rPr>
              <w:t>66</w:t>
            </w:r>
          </w:p>
        </w:tc>
        <w:tc>
          <w:tcPr>
            <w:tcW w:w="880" w:type="dxa"/>
            <w:vAlign w:val="center"/>
          </w:tcPr>
          <w:p w14:paraId="21AD9047">
            <w:pPr>
              <w:widowControl/>
              <w:adjustRightInd/>
              <w:snapToGrid/>
              <w:spacing w:line="240" w:lineRule="auto"/>
              <w:jc w:val="center"/>
              <w:rPr>
                <w:sz w:val="18"/>
                <w:szCs w:val="18"/>
              </w:rPr>
            </w:pPr>
            <w:r>
              <w:rPr>
                <w:color w:val="000000"/>
                <w:sz w:val="18"/>
                <w:szCs w:val="18"/>
              </w:rPr>
              <w:t xml:space="preserve">66.2 </w:t>
            </w:r>
          </w:p>
        </w:tc>
        <w:tc>
          <w:tcPr>
            <w:tcW w:w="881" w:type="dxa"/>
            <w:vAlign w:val="center"/>
          </w:tcPr>
          <w:p w14:paraId="13C7E577">
            <w:pPr>
              <w:widowControl/>
              <w:adjustRightInd/>
              <w:snapToGrid/>
              <w:spacing w:line="240" w:lineRule="auto"/>
              <w:jc w:val="center"/>
              <w:rPr>
                <w:sz w:val="18"/>
                <w:szCs w:val="18"/>
              </w:rPr>
            </w:pPr>
            <w:r>
              <w:rPr>
                <w:rFonts w:hint="eastAsia"/>
                <w:color w:val="000000"/>
                <w:sz w:val="18"/>
                <w:szCs w:val="18"/>
              </w:rPr>
              <w:t xml:space="preserve">14.2 </w:t>
            </w:r>
          </w:p>
        </w:tc>
        <w:tc>
          <w:tcPr>
            <w:tcW w:w="880" w:type="dxa"/>
            <w:vAlign w:val="center"/>
          </w:tcPr>
          <w:p w14:paraId="056B156D">
            <w:pPr>
              <w:widowControl/>
              <w:adjustRightInd/>
              <w:snapToGrid/>
              <w:spacing w:line="240" w:lineRule="auto"/>
              <w:jc w:val="center"/>
              <w:rPr>
                <w:sz w:val="18"/>
                <w:szCs w:val="18"/>
              </w:rPr>
            </w:pPr>
            <w:r>
              <w:rPr>
                <w:rFonts w:hint="eastAsia"/>
                <w:color w:val="000000"/>
                <w:sz w:val="18"/>
                <w:szCs w:val="18"/>
              </w:rPr>
              <w:t xml:space="preserve">6.2 </w:t>
            </w:r>
          </w:p>
        </w:tc>
        <w:tc>
          <w:tcPr>
            <w:tcW w:w="880" w:type="dxa"/>
            <w:noWrap/>
            <w:vAlign w:val="center"/>
          </w:tcPr>
          <w:p w14:paraId="6874080D">
            <w:pPr>
              <w:widowControl/>
              <w:adjustRightInd/>
              <w:snapToGrid/>
              <w:spacing w:line="240" w:lineRule="auto"/>
              <w:jc w:val="center"/>
              <w:rPr>
                <w:sz w:val="18"/>
                <w:szCs w:val="18"/>
              </w:rPr>
            </w:pPr>
            <w:r>
              <w:rPr>
                <w:sz w:val="18"/>
                <w:szCs w:val="18"/>
              </w:rPr>
              <w:t>66.9</w:t>
            </w:r>
          </w:p>
        </w:tc>
        <w:tc>
          <w:tcPr>
            <w:tcW w:w="881" w:type="dxa"/>
            <w:noWrap/>
            <w:vAlign w:val="center"/>
          </w:tcPr>
          <w:p w14:paraId="4665D442">
            <w:pPr>
              <w:widowControl/>
              <w:adjustRightInd/>
              <w:snapToGrid/>
              <w:spacing w:line="240" w:lineRule="auto"/>
              <w:jc w:val="center"/>
              <w:rPr>
                <w:kern w:val="0"/>
                <w:sz w:val="18"/>
                <w:szCs w:val="18"/>
              </w:rPr>
            </w:pPr>
            <w:r>
              <w:rPr>
                <w:color w:val="000000"/>
                <w:sz w:val="18"/>
                <w:szCs w:val="18"/>
              </w:rPr>
              <w:t xml:space="preserve">67.0 </w:t>
            </w:r>
          </w:p>
        </w:tc>
        <w:tc>
          <w:tcPr>
            <w:tcW w:w="880" w:type="dxa"/>
            <w:noWrap/>
            <w:vAlign w:val="center"/>
          </w:tcPr>
          <w:p w14:paraId="4B8CB347">
            <w:pPr>
              <w:widowControl/>
              <w:adjustRightInd/>
              <w:snapToGrid/>
              <w:spacing w:line="240" w:lineRule="auto"/>
              <w:jc w:val="center"/>
              <w:rPr>
                <w:kern w:val="0"/>
                <w:sz w:val="18"/>
                <w:szCs w:val="18"/>
              </w:rPr>
            </w:pPr>
            <w:r>
              <w:rPr>
                <w:color w:val="000000"/>
                <w:sz w:val="18"/>
                <w:szCs w:val="18"/>
              </w:rPr>
              <w:t xml:space="preserve">15.0 </w:t>
            </w:r>
          </w:p>
        </w:tc>
        <w:tc>
          <w:tcPr>
            <w:tcW w:w="880" w:type="dxa"/>
            <w:noWrap/>
            <w:vAlign w:val="center"/>
          </w:tcPr>
          <w:p w14:paraId="6FC699AF">
            <w:pPr>
              <w:widowControl/>
              <w:adjustRightInd/>
              <w:snapToGrid/>
              <w:spacing w:line="240" w:lineRule="auto"/>
              <w:jc w:val="center"/>
              <w:rPr>
                <w:kern w:val="0"/>
                <w:sz w:val="18"/>
                <w:szCs w:val="18"/>
              </w:rPr>
            </w:pPr>
            <w:r>
              <w:rPr>
                <w:color w:val="000000"/>
                <w:sz w:val="18"/>
                <w:szCs w:val="18"/>
              </w:rPr>
              <w:t xml:space="preserve">7.0 </w:t>
            </w:r>
          </w:p>
        </w:tc>
        <w:tc>
          <w:tcPr>
            <w:tcW w:w="881" w:type="dxa"/>
            <w:noWrap/>
            <w:vAlign w:val="center"/>
          </w:tcPr>
          <w:p w14:paraId="3102C82F">
            <w:pPr>
              <w:widowControl/>
              <w:adjustRightInd/>
              <w:snapToGrid/>
              <w:spacing w:line="240" w:lineRule="auto"/>
              <w:jc w:val="center"/>
              <w:rPr>
                <w:sz w:val="18"/>
                <w:szCs w:val="18"/>
              </w:rPr>
            </w:pPr>
            <w:r>
              <w:rPr>
                <w:sz w:val="18"/>
                <w:szCs w:val="18"/>
              </w:rPr>
              <w:t>67.8</w:t>
            </w:r>
          </w:p>
        </w:tc>
        <w:tc>
          <w:tcPr>
            <w:tcW w:w="880" w:type="dxa"/>
            <w:noWrap/>
            <w:vAlign w:val="center"/>
          </w:tcPr>
          <w:p w14:paraId="52C6856B">
            <w:pPr>
              <w:widowControl/>
              <w:adjustRightInd/>
              <w:snapToGrid/>
              <w:spacing w:line="240" w:lineRule="auto"/>
              <w:jc w:val="center"/>
              <w:rPr>
                <w:kern w:val="0"/>
                <w:sz w:val="18"/>
                <w:szCs w:val="18"/>
              </w:rPr>
            </w:pPr>
            <w:r>
              <w:rPr>
                <w:color w:val="000000"/>
                <w:sz w:val="18"/>
                <w:szCs w:val="18"/>
              </w:rPr>
              <w:t xml:space="preserve">67.9 </w:t>
            </w:r>
          </w:p>
        </w:tc>
        <w:tc>
          <w:tcPr>
            <w:tcW w:w="880" w:type="dxa"/>
            <w:noWrap/>
            <w:vAlign w:val="center"/>
          </w:tcPr>
          <w:p w14:paraId="24F94B9D">
            <w:pPr>
              <w:widowControl/>
              <w:adjustRightInd/>
              <w:snapToGrid/>
              <w:spacing w:line="240" w:lineRule="auto"/>
              <w:jc w:val="center"/>
              <w:rPr>
                <w:kern w:val="0"/>
                <w:sz w:val="18"/>
                <w:szCs w:val="18"/>
              </w:rPr>
            </w:pPr>
            <w:r>
              <w:rPr>
                <w:color w:val="000000"/>
                <w:sz w:val="18"/>
                <w:szCs w:val="18"/>
              </w:rPr>
              <w:t xml:space="preserve">15.9 </w:t>
            </w:r>
          </w:p>
        </w:tc>
        <w:tc>
          <w:tcPr>
            <w:tcW w:w="881" w:type="dxa"/>
            <w:noWrap/>
            <w:vAlign w:val="center"/>
          </w:tcPr>
          <w:p w14:paraId="0AD6958A">
            <w:pPr>
              <w:widowControl/>
              <w:adjustRightInd/>
              <w:snapToGrid/>
              <w:spacing w:line="240" w:lineRule="auto"/>
              <w:jc w:val="center"/>
              <w:rPr>
                <w:kern w:val="0"/>
                <w:sz w:val="18"/>
                <w:szCs w:val="18"/>
              </w:rPr>
            </w:pPr>
            <w:r>
              <w:rPr>
                <w:color w:val="000000"/>
                <w:sz w:val="18"/>
                <w:szCs w:val="18"/>
              </w:rPr>
              <w:t xml:space="preserve">7.9 </w:t>
            </w:r>
          </w:p>
        </w:tc>
      </w:tr>
      <w:tr w14:paraId="5B41CC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28B5ED7">
            <w:pPr>
              <w:widowControl/>
              <w:adjustRightInd/>
              <w:snapToGrid/>
              <w:spacing w:line="240" w:lineRule="auto"/>
              <w:jc w:val="center"/>
              <w:rPr>
                <w:kern w:val="0"/>
                <w:sz w:val="18"/>
                <w:szCs w:val="18"/>
              </w:rPr>
            </w:pPr>
            <w:r>
              <w:rPr>
                <w:sz w:val="18"/>
                <w:szCs w:val="18"/>
              </w:rPr>
              <w:t>14</w:t>
            </w:r>
          </w:p>
        </w:tc>
        <w:tc>
          <w:tcPr>
            <w:tcW w:w="673" w:type="dxa"/>
            <w:vMerge w:val="continue"/>
            <w:vAlign w:val="center"/>
          </w:tcPr>
          <w:p w14:paraId="37C21EFF">
            <w:pPr>
              <w:widowControl/>
              <w:adjustRightInd/>
              <w:snapToGrid/>
              <w:spacing w:line="240" w:lineRule="auto"/>
              <w:jc w:val="left"/>
              <w:rPr>
                <w:kern w:val="0"/>
                <w:sz w:val="18"/>
                <w:szCs w:val="18"/>
              </w:rPr>
            </w:pPr>
          </w:p>
        </w:tc>
        <w:tc>
          <w:tcPr>
            <w:tcW w:w="595" w:type="dxa"/>
            <w:vMerge w:val="continue"/>
            <w:vAlign w:val="center"/>
          </w:tcPr>
          <w:p w14:paraId="2D2BDBA8">
            <w:pPr>
              <w:widowControl/>
              <w:adjustRightInd/>
              <w:snapToGrid/>
              <w:spacing w:line="240" w:lineRule="auto"/>
              <w:jc w:val="left"/>
              <w:rPr>
                <w:kern w:val="0"/>
                <w:sz w:val="18"/>
                <w:szCs w:val="18"/>
              </w:rPr>
            </w:pPr>
          </w:p>
        </w:tc>
        <w:tc>
          <w:tcPr>
            <w:tcW w:w="567" w:type="dxa"/>
            <w:vMerge w:val="continue"/>
            <w:vAlign w:val="center"/>
          </w:tcPr>
          <w:p w14:paraId="06967D4C">
            <w:pPr>
              <w:widowControl/>
              <w:adjustRightInd/>
              <w:snapToGrid/>
              <w:spacing w:line="240" w:lineRule="auto"/>
              <w:jc w:val="left"/>
              <w:rPr>
                <w:kern w:val="0"/>
                <w:sz w:val="18"/>
                <w:szCs w:val="18"/>
              </w:rPr>
            </w:pPr>
          </w:p>
        </w:tc>
        <w:tc>
          <w:tcPr>
            <w:tcW w:w="426" w:type="dxa"/>
            <w:noWrap/>
            <w:vAlign w:val="center"/>
          </w:tcPr>
          <w:p w14:paraId="5651881A">
            <w:pPr>
              <w:widowControl/>
              <w:adjustRightInd/>
              <w:snapToGrid/>
              <w:spacing w:line="240" w:lineRule="auto"/>
              <w:jc w:val="center"/>
              <w:rPr>
                <w:kern w:val="0"/>
                <w:sz w:val="18"/>
                <w:szCs w:val="18"/>
              </w:rPr>
            </w:pPr>
            <w:r>
              <w:rPr>
                <w:rFonts w:hint="eastAsia"/>
                <w:sz w:val="18"/>
                <w:szCs w:val="18"/>
              </w:rPr>
              <w:t>夜间</w:t>
            </w:r>
          </w:p>
        </w:tc>
        <w:tc>
          <w:tcPr>
            <w:tcW w:w="708" w:type="dxa"/>
            <w:noWrap/>
            <w:vAlign w:val="center"/>
          </w:tcPr>
          <w:p w14:paraId="10DF2FD4">
            <w:pPr>
              <w:widowControl/>
              <w:adjustRightInd/>
              <w:snapToGrid/>
              <w:spacing w:line="240" w:lineRule="auto"/>
              <w:jc w:val="center"/>
              <w:rPr>
                <w:kern w:val="0"/>
                <w:sz w:val="18"/>
                <w:szCs w:val="18"/>
              </w:rPr>
            </w:pPr>
            <w:r>
              <w:rPr>
                <w:rFonts w:hint="eastAsia"/>
                <w:kern w:val="0"/>
                <w:sz w:val="18"/>
                <w:szCs w:val="18"/>
              </w:rPr>
              <w:t>50</w:t>
            </w:r>
          </w:p>
        </w:tc>
        <w:tc>
          <w:tcPr>
            <w:tcW w:w="709" w:type="dxa"/>
            <w:vMerge w:val="continue"/>
            <w:noWrap/>
            <w:vAlign w:val="center"/>
          </w:tcPr>
          <w:p w14:paraId="5D3A9E72">
            <w:pPr>
              <w:widowControl/>
              <w:adjustRightInd/>
              <w:snapToGrid/>
              <w:spacing w:line="240" w:lineRule="auto"/>
              <w:jc w:val="center"/>
              <w:rPr>
                <w:kern w:val="0"/>
                <w:sz w:val="18"/>
                <w:szCs w:val="18"/>
              </w:rPr>
            </w:pPr>
          </w:p>
        </w:tc>
        <w:tc>
          <w:tcPr>
            <w:tcW w:w="709" w:type="dxa"/>
            <w:vMerge w:val="continue"/>
            <w:noWrap/>
            <w:vAlign w:val="center"/>
          </w:tcPr>
          <w:p w14:paraId="2CDD71BA">
            <w:pPr>
              <w:widowControl/>
              <w:adjustRightInd/>
              <w:snapToGrid/>
              <w:spacing w:line="240" w:lineRule="auto"/>
              <w:jc w:val="center"/>
              <w:rPr>
                <w:kern w:val="0"/>
                <w:sz w:val="18"/>
                <w:szCs w:val="18"/>
              </w:rPr>
            </w:pPr>
          </w:p>
        </w:tc>
        <w:tc>
          <w:tcPr>
            <w:tcW w:w="880" w:type="dxa"/>
            <w:vAlign w:val="center"/>
          </w:tcPr>
          <w:p w14:paraId="1F91DD8A">
            <w:pPr>
              <w:widowControl/>
              <w:adjustRightInd/>
              <w:snapToGrid/>
              <w:spacing w:line="240" w:lineRule="auto"/>
              <w:jc w:val="center"/>
              <w:rPr>
                <w:sz w:val="18"/>
                <w:szCs w:val="18"/>
              </w:rPr>
            </w:pPr>
            <w:r>
              <w:rPr>
                <w:rFonts w:hint="eastAsia"/>
                <w:color w:val="000000"/>
                <w:sz w:val="18"/>
                <w:szCs w:val="18"/>
              </w:rPr>
              <w:t>54</w:t>
            </w:r>
          </w:p>
        </w:tc>
        <w:tc>
          <w:tcPr>
            <w:tcW w:w="880" w:type="dxa"/>
            <w:vAlign w:val="center"/>
          </w:tcPr>
          <w:p w14:paraId="6E652FFC">
            <w:pPr>
              <w:widowControl/>
              <w:adjustRightInd/>
              <w:snapToGrid/>
              <w:spacing w:line="240" w:lineRule="auto"/>
              <w:jc w:val="center"/>
              <w:rPr>
                <w:sz w:val="18"/>
                <w:szCs w:val="18"/>
              </w:rPr>
            </w:pPr>
            <w:r>
              <w:rPr>
                <w:color w:val="000000"/>
                <w:sz w:val="18"/>
                <w:szCs w:val="18"/>
              </w:rPr>
              <w:t xml:space="preserve">54.3 </w:t>
            </w:r>
          </w:p>
        </w:tc>
        <w:tc>
          <w:tcPr>
            <w:tcW w:w="881" w:type="dxa"/>
            <w:vAlign w:val="center"/>
          </w:tcPr>
          <w:p w14:paraId="76BAAC2B">
            <w:pPr>
              <w:widowControl/>
              <w:adjustRightInd/>
              <w:snapToGrid/>
              <w:spacing w:line="240" w:lineRule="auto"/>
              <w:jc w:val="center"/>
              <w:rPr>
                <w:sz w:val="18"/>
                <w:szCs w:val="18"/>
              </w:rPr>
            </w:pPr>
            <w:r>
              <w:rPr>
                <w:rFonts w:hint="eastAsia"/>
                <w:color w:val="000000"/>
                <w:sz w:val="18"/>
                <w:szCs w:val="18"/>
              </w:rPr>
              <w:t xml:space="preserve">11.3 </w:t>
            </w:r>
          </w:p>
        </w:tc>
        <w:tc>
          <w:tcPr>
            <w:tcW w:w="880" w:type="dxa"/>
            <w:vAlign w:val="center"/>
          </w:tcPr>
          <w:p w14:paraId="401E9A36">
            <w:pPr>
              <w:widowControl/>
              <w:adjustRightInd/>
              <w:snapToGrid/>
              <w:spacing w:line="240" w:lineRule="auto"/>
              <w:jc w:val="center"/>
              <w:rPr>
                <w:sz w:val="18"/>
                <w:szCs w:val="18"/>
              </w:rPr>
            </w:pPr>
            <w:r>
              <w:rPr>
                <w:rFonts w:hint="eastAsia"/>
                <w:color w:val="000000"/>
                <w:sz w:val="18"/>
                <w:szCs w:val="18"/>
              </w:rPr>
              <w:t xml:space="preserve">4.3 </w:t>
            </w:r>
          </w:p>
        </w:tc>
        <w:tc>
          <w:tcPr>
            <w:tcW w:w="880" w:type="dxa"/>
            <w:noWrap/>
            <w:vAlign w:val="center"/>
          </w:tcPr>
          <w:p w14:paraId="5BD8EEA0">
            <w:pPr>
              <w:widowControl/>
              <w:adjustRightInd/>
              <w:snapToGrid/>
              <w:spacing w:line="240" w:lineRule="auto"/>
              <w:jc w:val="center"/>
              <w:rPr>
                <w:sz w:val="18"/>
                <w:szCs w:val="18"/>
              </w:rPr>
            </w:pPr>
            <w:r>
              <w:rPr>
                <w:sz w:val="18"/>
                <w:szCs w:val="18"/>
              </w:rPr>
              <w:t>54.9</w:t>
            </w:r>
          </w:p>
        </w:tc>
        <w:tc>
          <w:tcPr>
            <w:tcW w:w="881" w:type="dxa"/>
            <w:noWrap/>
            <w:vAlign w:val="center"/>
          </w:tcPr>
          <w:p w14:paraId="2C47664A">
            <w:pPr>
              <w:widowControl/>
              <w:adjustRightInd/>
              <w:snapToGrid/>
              <w:spacing w:line="240" w:lineRule="auto"/>
              <w:jc w:val="center"/>
              <w:rPr>
                <w:kern w:val="0"/>
                <w:sz w:val="18"/>
                <w:szCs w:val="18"/>
              </w:rPr>
            </w:pPr>
            <w:r>
              <w:rPr>
                <w:color w:val="000000"/>
                <w:sz w:val="18"/>
                <w:szCs w:val="18"/>
              </w:rPr>
              <w:t xml:space="preserve">55.2 </w:t>
            </w:r>
          </w:p>
        </w:tc>
        <w:tc>
          <w:tcPr>
            <w:tcW w:w="880" w:type="dxa"/>
            <w:noWrap/>
            <w:vAlign w:val="center"/>
          </w:tcPr>
          <w:p w14:paraId="4A2BE984">
            <w:pPr>
              <w:widowControl/>
              <w:adjustRightInd/>
              <w:snapToGrid/>
              <w:spacing w:line="240" w:lineRule="auto"/>
              <w:jc w:val="center"/>
              <w:rPr>
                <w:kern w:val="0"/>
                <w:sz w:val="18"/>
                <w:szCs w:val="18"/>
              </w:rPr>
            </w:pPr>
            <w:r>
              <w:rPr>
                <w:color w:val="000000"/>
                <w:sz w:val="18"/>
                <w:szCs w:val="18"/>
              </w:rPr>
              <w:t xml:space="preserve">12.2 </w:t>
            </w:r>
          </w:p>
        </w:tc>
        <w:tc>
          <w:tcPr>
            <w:tcW w:w="880" w:type="dxa"/>
            <w:noWrap/>
            <w:vAlign w:val="center"/>
          </w:tcPr>
          <w:p w14:paraId="11AA557B">
            <w:pPr>
              <w:widowControl/>
              <w:adjustRightInd/>
              <w:snapToGrid/>
              <w:spacing w:line="240" w:lineRule="auto"/>
              <w:jc w:val="center"/>
              <w:rPr>
                <w:kern w:val="0"/>
                <w:sz w:val="18"/>
                <w:szCs w:val="18"/>
              </w:rPr>
            </w:pPr>
            <w:r>
              <w:rPr>
                <w:color w:val="000000"/>
                <w:sz w:val="18"/>
                <w:szCs w:val="18"/>
              </w:rPr>
              <w:t xml:space="preserve">5.2 </w:t>
            </w:r>
          </w:p>
        </w:tc>
        <w:tc>
          <w:tcPr>
            <w:tcW w:w="881" w:type="dxa"/>
            <w:noWrap/>
            <w:vAlign w:val="center"/>
          </w:tcPr>
          <w:p w14:paraId="4E9E1212">
            <w:pPr>
              <w:widowControl/>
              <w:adjustRightInd/>
              <w:snapToGrid/>
              <w:spacing w:line="240" w:lineRule="auto"/>
              <w:jc w:val="center"/>
              <w:rPr>
                <w:sz w:val="18"/>
                <w:szCs w:val="18"/>
              </w:rPr>
            </w:pPr>
            <w:r>
              <w:rPr>
                <w:sz w:val="18"/>
                <w:szCs w:val="18"/>
              </w:rPr>
              <w:t>55.8</w:t>
            </w:r>
          </w:p>
        </w:tc>
        <w:tc>
          <w:tcPr>
            <w:tcW w:w="880" w:type="dxa"/>
            <w:noWrap/>
            <w:vAlign w:val="center"/>
          </w:tcPr>
          <w:p w14:paraId="212813D5">
            <w:pPr>
              <w:widowControl/>
              <w:adjustRightInd/>
              <w:snapToGrid/>
              <w:spacing w:line="240" w:lineRule="auto"/>
              <w:jc w:val="center"/>
              <w:rPr>
                <w:kern w:val="0"/>
                <w:sz w:val="18"/>
                <w:szCs w:val="18"/>
              </w:rPr>
            </w:pPr>
            <w:r>
              <w:rPr>
                <w:color w:val="000000"/>
                <w:sz w:val="18"/>
                <w:szCs w:val="18"/>
              </w:rPr>
              <w:t xml:space="preserve">56.0 </w:t>
            </w:r>
          </w:p>
        </w:tc>
        <w:tc>
          <w:tcPr>
            <w:tcW w:w="880" w:type="dxa"/>
            <w:noWrap/>
            <w:vAlign w:val="center"/>
          </w:tcPr>
          <w:p w14:paraId="198D9D4F">
            <w:pPr>
              <w:widowControl/>
              <w:adjustRightInd/>
              <w:snapToGrid/>
              <w:spacing w:line="240" w:lineRule="auto"/>
              <w:jc w:val="center"/>
              <w:rPr>
                <w:kern w:val="0"/>
                <w:sz w:val="18"/>
                <w:szCs w:val="18"/>
              </w:rPr>
            </w:pPr>
            <w:r>
              <w:rPr>
                <w:color w:val="000000"/>
                <w:sz w:val="18"/>
                <w:szCs w:val="18"/>
              </w:rPr>
              <w:t xml:space="preserve">13.0 </w:t>
            </w:r>
          </w:p>
        </w:tc>
        <w:tc>
          <w:tcPr>
            <w:tcW w:w="881" w:type="dxa"/>
            <w:noWrap/>
            <w:vAlign w:val="center"/>
          </w:tcPr>
          <w:p w14:paraId="68D8ABC0">
            <w:pPr>
              <w:widowControl/>
              <w:adjustRightInd/>
              <w:snapToGrid/>
              <w:spacing w:line="240" w:lineRule="auto"/>
              <w:jc w:val="center"/>
              <w:rPr>
                <w:kern w:val="0"/>
                <w:sz w:val="18"/>
                <w:szCs w:val="18"/>
              </w:rPr>
            </w:pPr>
            <w:r>
              <w:rPr>
                <w:color w:val="000000"/>
                <w:sz w:val="18"/>
                <w:szCs w:val="18"/>
              </w:rPr>
              <w:t xml:space="preserve">6.0 </w:t>
            </w:r>
          </w:p>
        </w:tc>
      </w:tr>
      <w:tr w14:paraId="5593B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6530059">
            <w:pPr>
              <w:widowControl/>
              <w:adjustRightInd/>
              <w:snapToGrid/>
              <w:spacing w:line="240" w:lineRule="auto"/>
              <w:jc w:val="center"/>
              <w:rPr>
                <w:kern w:val="0"/>
                <w:sz w:val="18"/>
                <w:szCs w:val="18"/>
              </w:rPr>
            </w:pPr>
            <w:r>
              <w:rPr>
                <w:sz w:val="18"/>
                <w:szCs w:val="18"/>
              </w:rPr>
              <w:t>15</w:t>
            </w:r>
          </w:p>
        </w:tc>
        <w:tc>
          <w:tcPr>
            <w:tcW w:w="673" w:type="dxa"/>
            <w:vMerge w:val="continue"/>
            <w:vAlign w:val="center"/>
          </w:tcPr>
          <w:p w14:paraId="394105FD">
            <w:pPr>
              <w:widowControl/>
              <w:adjustRightInd/>
              <w:snapToGrid/>
              <w:spacing w:line="240" w:lineRule="auto"/>
              <w:jc w:val="left"/>
              <w:rPr>
                <w:kern w:val="0"/>
                <w:sz w:val="18"/>
                <w:szCs w:val="18"/>
              </w:rPr>
            </w:pPr>
          </w:p>
        </w:tc>
        <w:tc>
          <w:tcPr>
            <w:tcW w:w="595" w:type="dxa"/>
            <w:vMerge w:val="restart"/>
            <w:vAlign w:val="center"/>
          </w:tcPr>
          <w:p w14:paraId="0E8F8278">
            <w:pPr>
              <w:widowControl/>
              <w:adjustRightInd/>
              <w:snapToGrid/>
              <w:spacing w:line="240" w:lineRule="auto"/>
              <w:jc w:val="center"/>
              <w:rPr>
                <w:kern w:val="0"/>
                <w:sz w:val="18"/>
                <w:szCs w:val="18"/>
              </w:rPr>
            </w:pPr>
            <w:r>
              <w:rPr>
                <w:kern w:val="0"/>
                <w:sz w:val="18"/>
                <w:szCs w:val="18"/>
              </w:rPr>
              <w:t>31.2</w:t>
            </w:r>
          </w:p>
        </w:tc>
        <w:tc>
          <w:tcPr>
            <w:tcW w:w="567" w:type="dxa"/>
            <w:vMerge w:val="continue"/>
            <w:vAlign w:val="center"/>
          </w:tcPr>
          <w:p w14:paraId="328CFAFA">
            <w:pPr>
              <w:widowControl/>
              <w:adjustRightInd/>
              <w:snapToGrid/>
              <w:spacing w:line="240" w:lineRule="auto"/>
              <w:jc w:val="left"/>
              <w:rPr>
                <w:kern w:val="0"/>
                <w:sz w:val="18"/>
                <w:szCs w:val="18"/>
              </w:rPr>
            </w:pPr>
          </w:p>
        </w:tc>
        <w:tc>
          <w:tcPr>
            <w:tcW w:w="426" w:type="dxa"/>
            <w:noWrap/>
            <w:vAlign w:val="center"/>
          </w:tcPr>
          <w:p w14:paraId="65852A4D">
            <w:pPr>
              <w:widowControl/>
              <w:adjustRightInd/>
              <w:snapToGrid/>
              <w:spacing w:line="240" w:lineRule="auto"/>
              <w:jc w:val="center"/>
              <w:rPr>
                <w:kern w:val="0"/>
                <w:sz w:val="18"/>
                <w:szCs w:val="18"/>
              </w:rPr>
            </w:pPr>
            <w:r>
              <w:rPr>
                <w:sz w:val="18"/>
                <w:szCs w:val="18"/>
              </w:rPr>
              <w:t>昼间</w:t>
            </w:r>
          </w:p>
        </w:tc>
        <w:tc>
          <w:tcPr>
            <w:tcW w:w="708" w:type="dxa"/>
            <w:noWrap/>
            <w:vAlign w:val="center"/>
          </w:tcPr>
          <w:p w14:paraId="40B4B1E0">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6F18B969">
            <w:pPr>
              <w:widowControl/>
              <w:adjustRightInd/>
              <w:snapToGrid/>
              <w:spacing w:line="240" w:lineRule="auto"/>
              <w:jc w:val="center"/>
              <w:rPr>
                <w:kern w:val="0"/>
                <w:sz w:val="18"/>
                <w:szCs w:val="18"/>
              </w:rPr>
            </w:pPr>
          </w:p>
        </w:tc>
        <w:tc>
          <w:tcPr>
            <w:tcW w:w="709" w:type="dxa"/>
            <w:vMerge w:val="continue"/>
            <w:noWrap/>
            <w:vAlign w:val="center"/>
          </w:tcPr>
          <w:p w14:paraId="228DE596">
            <w:pPr>
              <w:widowControl/>
              <w:adjustRightInd/>
              <w:snapToGrid/>
              <w:spacing w:line="240" w:lineRule="auto"/>
              <w:jc w:val="center"/>
              <w:rPr>
                <w:kern w:val="0"/>
                <w:sz w:val="18"/>
                <w:szCs w:val="18"/>
              </w:rPr>
            </w:pPr>
          </w:p>
        </w:tc>
        <w:tc>
          <w:tcPr>
            <w:tcW w:w="880" w:type="dxa"/>
            <w:vAlign w:val="center"/>
          </w:tcPr>
          <w:p w14:paraId="4BC68164">
            <w:pPr>
              <w:widowControl/>
              <w:adjustRightInd/>
              <w:snapToGrid/>
              <w:spacing w:line="240" w:lineRule="auto"/>
              <w:jc w:val="center"/>
              <w:rPr>
                <w:sz w:val="18"/>
                <w:szCs w:val="18"/>
              </w:rPr>
            </w:pPr>
            <w:r>
              <w:rPr>
                <w:rFonts w:hint="eastAsia"/>
                <w:color w:val="000000"/>
                <w:sz w:val="18"/>
                <w:szCs w:val="18"/>
              </w:rPr>
              <w:t>64.7</w:t>
            </w:r>
          </w:p>
        </w:tc>
        <w:tc>
          <w:tcPr>
            <w:tcW w:w="880" w:type="dxa"/>
            <w:vAlign w:val="center"/>
          </w:tcPr>
          <w:p w14:paraId="76F67DFA">
            <w:pPr>
              <w:widowControl/>
              <w:adjustRightInd/>
              <w:snapToGrid/>
              <w:spacing w:line="240" w:lineRule="auto"/>
              <w:jc w:val="center"/>
              <w:rPr>
                <w:sz w:val="18"/>
                <w:szCs w:val="18"/>
              </w:rPr>
            </w:pPr>
            <w:r>
              <w:rPr>
                <w:color w:val="000000"/>
                <w:sz w:val="18"/>
                <w:szCs w:val="18"/>
              </w:rPr>
              <w:t xml:space="preserve">64.9 </w:t>
            </w:r>
          </w:p>
        </w:tc>
        <w:tc>
          <w:tcPr>
            <w:tcW w:w="881" w:type="dxa"/>
            <w:vAlign w:val="center"/>
          </w:tcPr>
          <w:p w14:paraId="329DBD3E">
            <w:pPr>
              <w:widowControl/>
              <w:adjustRightInd/>
              <w:snapToGrid/>
              <w:spacing w:line="240" w:lineRule="auto"/>
              <w:jc w:val="center"/>
              <w:rPr>
                <w:sz w:val="18"/>
                <w:szCs w:val="18"/>
              </w:rPr>
            </w:pPr>
            <w:r>
              <w:rPr>
                <w:rFonts w:hint="eastAsia"/>
                <w:color w:val="000000"/>
                <w:sz w:val="18"/>
                <w:szCs w:val="18"/>
              </w:rPr>
              <w:t xml:space="preserve">12.9 </w:t>
            </w:r>
          </w:p>
        </w:tc>
        <w:tc>
          <w:tcPr>
            <w:tcW w:w="880" w:type="dxa"/>
            <w:vAlign w:val="center"/>
          </w:tcPr>
          <w:p w14:paraId="61B1E2C3">
            <w:pPr>
              <w:widowControl/>
              <w:adjustRightInd/>
              <w:snapToGrid/>
              <w:spacing w:line="240" w:lineRule="auto"/>
              <w:jc w:val="center"/>
              <w:rPr>
                <w:sz w:val="18"/>
                <w:szCs w:val="18"/>
              </w:rPr>
            </w:pPr>
            <w:r>
              <w:rPr>
                <w:rFonts w:hint="eastAsia"/>
                <w:color w:val="000000"/>
                <w:sz w:val="18"/>
                <w:szCs w:val="18"/>
              </w:rPr>
              <w:t xml:space="preserve">4.9 </w:t>
            </w:r>
          </w:p>
        </w:tc>
        <w:tc>
          <w:tcPr>
            <w:tcW w:w="880" w:type="dxa"/>
            <w:noWrap/>
            <w:vAlign w:val="center"/>
          </w:tcPr>
          <w:p w14:paraId="620D46B2">
            <w:pPr>
              <w:widowControl/>
              <w:adjustRightInd/>
              <w:snapToGrid/>
              <w:spacing w:line="240" w:lineRule="auto"/>
              <w:jc w:val="center"/>
              <w:rPr>
                <w:sz w:val="18"/>
                <w:szCs w:val="18"/>
              </w:rPr>
            </w:pPr>
            <w:r>
              <w:rPr>
                <w:sz w:val="18"/>
                <w:szCs w:val="18"/>
              </w:rPr>
              <w:t>65.5</w:t>
            </w:r>
          </w:p>
        </w:tc>
        <w:tc>
          <w:tcPr>
            <w:tcW w:w="881" w:type="dxa"/>
            <w:noWrap/>
            <w:vAlign w:val="center"/>
          </w:tcPr>
          <w:p w14:paraId="325E0164">
            <w:pPr>
              <w:widowControl/>
              <w:adjustRightInd/>
              <w:snapToGrid/>
              <w:spacing w:line="240" w:lineRule="auto"/>
              <w:jc w:val="center"/>
              <w:rPr>
                <w:kern w:val="0"/>
                <w:sz w:val="18"/>
                <w:szCs w:val="18"/>
              </w:rPr>
            </w:pPr>
            <w:r>
              <w:rPr>
                <w:color w:val="000000"/>
                <w:sz w:val="18"/>
                <w:szCs w:val="18"/>
              </w:rPr>
              <w:t xml:space="preserve">65.7 </w:t>
            </w:r>
          </w:p>
        </w:tc>
        <w:tc>
          <w:tcPr>
            <w:tcW w:w="880" w:type="dxa"/>
            <w:noWrap/>
            <w:vAlign w:val="center"/>
          </w:tcPr>
          <w:p w14:paraId="5B68344A">
            <w:pPr>
              <w:widowControl/>
              <w:adjustRightInd/>
              <w:snapToGrid/>
              <w:spacing w:line="240" w:lineRule="auto"/>
              <w:jc w:val="center"/>
              <w:rPr>
                <w:kern w:val="0"/>
                <w:sz w:val="18"/>
                <w:szCs w:val="18"/>
              </w:rPr>
            </w:pPr>
            <w:r>
              <w:rPr>
                <w:color w:val="000000"/>
                <w:sz w:val="18"/>
                <w:szCs w:val="18"/>
              </w:rPr>
              <w:t xml:space="preserve">13.7 </w:t>
            </w:r>
          </w:p>
        </w:tc>
        <w:tc>
          <w:tcPr>
            <w:tcW w:w="880" w:type="dxa"/>
            <w:noWrap/>
            <w:vAlign w:val="center"/>
          </w:tcPr>
          <w:p w14:paraId="47AAE85A">
            <w:pPr>
              <w:widowControl/>
              <w:adjustRightInd/>
              <w:snapToGrid/>
              <w:spacing w:line="240" w:lineRule="auto"/>
              <w:jc w:val="center"/>
              <w:rPr>
                <w:kern w:val="0"/>
                <w:sz w:val="18"/>
                <w:szCs w:val="18"/>
              </w:rPr>
            </w:pPr>
            <w:r>
              <w:rPr>
                <w:color w:val="000000"/>
                <w:sz w:val="18"/>
                <w:szCs w:val="18"/>
              </w:rPr>
              <w:t xml:space="preserve">5.7 </w:t>
            </w:r>
          </w:p>
        </w:tc>
        <w:tc>
          <w:tcPr>
            <w:tcW w:w="881" w:type="dxa"/>
            <w:noWrap/>
            <w:vAlign w:val="center"/>
          </w:tcPr>
          <w:p w14:paraId="02A0AD00">
            <w:pPr>
              <w:widowControl/>
              <w:adjustRightInd/>
              <w:snapToGrid/>
              <w:spacing w:line="240" w:lineRule="auto"/>
              <w:jc w:val="center"/>
              <w:rPr>
                <w:sz w:val="18"/>
                <w:szCs w:val="18"/>
              </w:rPr>
            </w:pPr>
            <w:r>
              <w:rPr>
                <w:sz w:val="18"/>
                <w:szCs w:val="18"/>
              </w:rPr>
              <w:t>66.5</w:t>
            </w:r>
          </w:p>
        </w:tc>
        <w:tc>
          <w:tcPr>
            <w:tcW w:w="880" w:type="dxa"/>
            <w:noWrap/>
            <w:vAlign w:val="center"/>
          </w:tcPr>
          <w:p w14:paraId="6919867B">
            <w:pPr>
              <w:widowControl/>
              <w:adjustRightInd/>
              <w:snapToGrid/>
              <w:spacing w:line="240" w:lineRule="auto"/>
              <w:jc w:val="center"/>
              <w:rPr>
                <w:kern w:val="0"/>
                <w:sz w:val="18"/>
                <w:szCs w:val="18"/>
              </w:rPr>
            </w:pPr>
            <w:r>
              <w:rPr>
                <w:color w:val="000000"/>
                <w:sz w:val="18"/>
                <w:szCs w:val="18"/>
              </w:rPr>
              <w:t xml:space="preserve">66.7 </w:t>
            </w:r>
          </w:p>
        </w:tc>
        <w:tc>
          <w:tcPr>
            <w:tcW w:w="880" w:type="dxa"/>
            <w:noWrap/>
            <w:vAlign w:val="center"/>
          </w:tcPr>
          <w:p w14:paraId="13490058">
            <w:pPr>
              <w:widowControl/>
              <w:adjustRightInd/>
              <w:snapToGrid/>
              <w:spacing w:line="240" w:lineRule="auto"/>
              <w:jc w:val="center"/>
              <w:rPr>
                <w:kern w:val="0"/>
                <w:sz w:val="18"/>
                <w:szCs w:val="18"/>
              </w:rPr>
            </w:pPr>
            <w:r>
              <w:rPr>
                <w:color w:val="000000"/>
                <w:sz w:val="18"/>
                <w:szCs w:val="18"/>
              </w:rPr>
              <w:t xml:space="preserve">14.7 </w:t>
            </w:r>
          </w:p>
        </w:tc>
        <w:tc>
          <w:tcPr>
            <w:tcW w:w="881" w:type="dxa"/>
            <w:noWrap/>
            <w:vAlign w:val="center"/>
          </w:tcPr>
          <w:p w14:paraId="729EEA69">
            <w:pPr>
              <w:widowControl/>
              <w:adjustRightInd/>
              <w:snapToGrid/>
              <w:spacing w:line="240" w:lineRule="auto"/>
              <w:jc w:val="center"/>
              <w:rPr>
                <w:kern w:val="0"/>
                <w:sz w:val="18"/>
                <w:szCs w:val="18"/>
              </w:rPr>
            </w:pPr>
            <w:r>
              <w:rPr>
                <w:color w:val="000000"/>
                <w:sz w:val="18"/>
                <w:szCs w:val="18"/>
              </w:rPr>
              <w:t xml:space="preserve">6.7 </w:t>
            </w:r>
          </w:p>
        </w:tc>
      </w:tr>
      <w:tr w14:paraId="77CB1F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1E22C34A">
            <w:pPr>
              <w:widowControl/>
              <w:adjustRightInd/>
              <w:snapToGrid/>
              <w:spacing w:line="240" w:lineRule="auto"/>
              <w:jc w:val="center"/>
              <w:rPr>
                <w:kern w:val="0"/>
                <w:sz w:val="18"/>
                <w:szCs w:val="18"/>
              </w:rPr>
            </w:pPr>
            <w:r>
              <w:rPr>
                <w:sz w:val="18"/>
                <w:szCs w:val="18"/>
              </w:rPr>
              <w:t>16</w:t>
            </w:r>
          </w:p>
        </w:tc>
        <w:tc>
          <w:tcPr>
            <w:tcW w:w="673" w:type="dxa"/>
            <w:vMerge w:val="continue"/>
            <w:vAlign w:val="center"/>
          </w:tcPr>
          <w:p w14:paraId="36AABF8E">
            <w:pPr>
              <w:widowControl/>
              <w:adjustRightInd/>
              <w:snapToGrid/>
              <w:spacing w:line="240" w:lineRule="auto"/>
              <w:jc w:val="left"/>
              <w:rPr>
                <w:kern w:val="0"/>
                <w:sz w:val="18"/>
                <w:szCs w:val="18"/>
              </w:rPr>
            </w:pPr>
          </w:p>
        </w:tc>
        <w:tc>
          <w:tcPr>
            <w:tcW w:w="595" w:type="dxa"/>
            <w:vMerge w:val="continue"/>
            <w:vAlign w:val="center"/>
          </w:tcPr>
          <w:p w14:paraId="4F8383FA">
            <w:pPr>
              <w:widowControl/>
              <w:adjustRightInd/>
              <w:snapToGrid/>
              <w:spacing w:line="240" w:lineRule="auto"/>
              <w:jc w:val="left"/>
              <w:rPr>
                <w:kern w:val="0"/>
                <w:sz w:val="18"/>
                <w:szCs w:val="18"/>
              </w:rPr>
            </w:pPr>
          </w:p>
        </w:tc>
        <w:tc>
          <w:tcPr>
            <w:tcW w:w="567" w:type="dxa"/>
            <w:vMerge w:val="continue"/>
            <w:vAlign w:val="center"/>
          </w:tcPr>
          <w:p w14:paraId="036ADC0D">
            <w:pPr>
              <w:widowControl/>
              <w:adjustRightInd/>
              <w:snapToGrid/>
              <w:spacing w:line="240" w:lineRule="auto"/>
              <w:jc w:val="left"/>
              <w:rPr>
                <w:kern w:val="0"/>
                <w:sz w:val="18"/>
                <w:szCs w:val="18"/>
              </w:rPr>
            </w:pPr>
          </w:p>
        </w:tc>
        <w:tc>
          <w:tcPr>
            <w:tcW w:w="426" w:type="dxa"/>
            <w:noWrap/>
            <w:vAlign w:val="center"/>
          </w:tcPr>
          <w:p w14:paraId="3588841D">
            <w:pPr>
              <w:widowControl/>
              <w:adjustRightInd/>
              <w:snapToGrid/>
              <w:spacing w:line="240" w:lineRule="auto"/>
              <w:jc w:val="center"/>
              <w:rPr>
                <w:kern w:val="0"/>
                <w:sz w:val="18"/>
                <w:szCs w:val="18"/>
              </w:rPr>
            </w:pPr>
            <w:r>
              <w:rPr>
                <w:sz w:val="18"/>
                <w:szCs w:val="18"/>
              </w:rPr>
              <w:t>夜间</w:t>
            </w:r>
          </w:p>
        </w:tc>
        <w:tc>
          <w:tcPr>
            <w:tcW w:w="708" w:type="dxa"/>
            <w:noWrap/>
            <w:vAlign w:val="center"/>
          </w:tcPr>
          <w:p w14:paraId="51411883">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49563A79">
            <w:pPr>
              <w:widowControl/>
              <w:adjustRightInd/>
              <w:snapToGrid/>
              <w:spacing w:line="240" w:lineRule="auto"/>
              <w:jc w:val="center"/>
              <w:rPr>
                <w:kern w:val="0"/>
                <w:sz w:val="18"/>
                <w:szCs w:val="18"/>
              </w:rPr>
            </w:pPr>
          </w:p>
        </w:tc>
        <w:tc>
          <w:tcPr>
            <w:tcW w:w="709" w:type="dxa"/>
            <w:vMerge w:val="continue"/>
            <w:noWrap/>
            <w:vAlign w:val="center"/>
          </w:tcPr>
          <w:p w14:paraId="0C0E087B">
            <w:pPr>
              <w:widowControl/>
              <w:adjustRightInd/>
              <w:snapToGrid/>
              <w:spacing w:line="240" w:lineRule="auto"/>
              <w:jc w:val="center"/>
              <w:rPr>
                <w:kern w:val="0"/>
                <w:sz w:val="18"/>
                <w:szCs w:val="18"/>
              </w:rPr>
            </w:pPr>
          </w:p>
        </w:tc>
        <w:tc>
          <w:tcPr>
            <w:tcW w:w="880" w:type="dxa"/>
            <w:vAlign w:val="center"/>
          </w:tcPr>
          <w:p w14:paraId="5F1DE089">
            <w:pPr>
              <w:widowControl/>
              <w:adjustRightInd/>
              <w:snapToGrid/>
              <w:spacing w:line="240" w:lineRule="auto"/>
              <w:jc w:val="center"/>
              <w:rPr>
                <w:sz w:val="18"/>
                <w:szCs w:val="18"/>
              </w:rPr>
            </w:pPr>
            <w:r>
              <w:rPr>
                <w:rFonts w:hint="eastAsia"/>
                <w:color w:val="000000"/>
                <w:sz w:val="18"/>
                <w:szCs w:val="18"/>
              </w:rPr>
              <w:t>51.9</w:t>
            </w:r>
          </w:p>
        </w:tc>
        <w:tc>
          <w:tcPr>
            <w:tcW w:w="880" w:type="dxa"/>
            <w:vAlign w:val="center"/>
          </w:tcPr>
          <w:p w14:paraId="1B09E41B">
            <w:pPr>
              <w:widowControl/>
              <w:adjustRightInd/>
              <w:snapToGrid/>
              <w:spacing w:line="240" w:lineRule="auto"/>
              <w:jc w:val="center"/>
              <w:rPr>
                <w:sz w:val="18"/>
                <w:szCs w:val="18"/>
              </w:rPr>
            </w:pPr>
            <w:r>
              <w:rPr>
                <w:color w:val="000000"/>
                <w:sz w:val="18"/>
                <w:szCs w:val="18"/>
              </w:rPr>
              <w:t xml:space="preserve">52.4 </w:t>
            </w:r>
          </w:p>
        </w:tc>
        <w:tc>
          <w:tcPr>
            <w:tcW w:w="881" w:type="dxa"/>
            <w:vAlign w:val="center"/>
          </w:tcPr>
          <w:p w14:paraId="714D758A">
            <w:pPr>
              <w:widowControl/>
              <w:adjustRightInd/>
              <w:snapToGrid/>
              <w:spacing w:line="240" w:lineRule="auto"/>
              <w:jc w:val="center"/>
              <w:rPr>
                <w:sz w:val="18"/>
                <w:szCs w:val="18"/>
              </w:rPr>
            </w:pPr>
            <w:r>
              <w:rPr>
                <w:rFonts w:hint="eastAsia"/>
                <w:color w:val="000000"/>
                <w:sz w:val="18"/>
                <w:szCs w:val="18"/>
              </w:rPr>
              <w:t xml:space="preserve">9.4 </w:t>
            </w:r>
          </w:p>
        </w:tc>
        <w:tc>
          <w:tcPr>
            <w:tcW w:w="880" w:type="dxa"/>
            <w:vAlign w:val="center"/>
          </w:tcPr>
          <w:p w14:paraId="6215390C">
            <w:pPr>
              <w:widowControl/>
              <w:adjustRightInd/>
              <w:snapToGrid/>
              <w:spacing w:line="240" w:lineRule="auto"/>
              <w:jc w:val="center"/>
              <w:rPr>
                <w:sz w:val="18"/>
                <w:szCs w:val="18"/>
              </w:rPr>
            </w:pPr>
            <w:r>
              <w:rPr>
                <w:rFonts w:hint="eastAsia"/>
                <w:color w:val="000000"/>
                <w:sz w:val="18"/>
                <w:szCs w:val="18"/>
              </w:rPr>
              <w:t xml:space="preserve">2.4 </w:t>
            </w:r>
          </w:p>
        </w:tc>
        <w:tc>
          <w:tcPr>
            <w:tcW w:w="880" w:type="dxa"/>
            <w:noWrap/>
            <w:vAlign w:val="center"/>
          </w:tcPr>
          <w:p w14:paraId="70CBFC81">
            <w:pPr>
              <w:widowControl/>
              <w:adjustRightInd/>
              <w:snapToGrid/>
              <w:spacing w:line="240" w:lineRule="auto"/>
              <w:jc w:val="center"/>
              <w:rPr>
                <w:sz w:val="18"/>
                <w:szCs w:val="18"/>
              </w:rPr>
            </w:pPr>
            <w:r>
              <w:rPr>
                <w:sz w:val="18"/>
                <w:szCs w:val="18"/>
              </w:rPr>
              <w:t>52.8</w:t>
            </w:r>
          </w:p>
        </w:tc>
        <w:tc>
          <w:tcPr>
            <w:tcW w:w="881" w:type="dxa"/>
            <w:noWrap/>
            <w:vAlign w:val="center"/>
          </w:tcPr>
          <w:p w14:paraId="5CA2D633">
            <w:pPr>
              <w:widowControl/>
              <w:adjustRightInd/>
              <w:snapToGrid/>
              <w:spacing w:line="240" w:lineRule="auto"/>
              <w:jc w:val="center"/>
              <w:rPr>
                <w:kern w:val="0"/>
                <w:sz w:val="18"/>
                <w:szCs w:val="18"/>
              </w:rPr>
            </w:pPr>
            <w:r>
              <w:rPr>
                <w:color w:val="000000"/>
                <w:sz w:val="18"/>
                <w:szCs w:val="18"/>
              </w:rPr>
              <w:t xml:space="preserve">53.2 </w:t>
            </w:r>
          </w:p>
        </w:tc>
        <w:tc>
          <w:tcPr>
            <w:tcW w:w="880" w:type="dxa"/>
            <w:noWrap/>
            <w:vAlign w:val="center"/>
          </w:tcPr>
          <w:p w14:paraId="6E004DBF">
            <w:pPr>
              <w:widowControl/>
              <w:adjustRightInd/>
              <w:snapToGrid/>
              <w:spacing w:line="240" w:lineRule="auto"/>
              <w:jc w:val="center"/>
              <w:rPr>
                <w:kern w:val="0"/>
                <w:sz w:val="18"/>
                <w:szCs w:val="18"/>
              </w:rPr>
            </w:pPr>
            <w:r>
              <w:rPr>
                <w:color w:val="000000"/>
                <w:sz w:val="18"/>
                <w:szCs w:val="18"/>
              </w:rPr>
              <w:t xml:space="preserve">10.2 </w:t>
            </w:r>
          </w:p>
        </w:tc>
        <w:tc>
          <w:tcPr>
            <w:tcW w:w="880" w:type="dxa"/>
            <w:noWrap/>
            <w:vAlign w:val="center"/>
          </w:tcPr>
          <w:p w14:paraId="1CB395D2">
            <w:pPr>
              <w:widowControl/>
              <w:adjustRightInd/>
              <w:snapToGrid/>
              <w:spacing w:line="240" w:lineRule="auto"/>
              <w:jc w:val="center"/>
              <w:rPr>
                <w:kern w:val="0"/>
                <w:sz w:val="18"/>
                <w:szCs w:val="18"/>
              </w:rPr>
            </w:pPr>
            <w:r>
              <w:rPr>
                <w:color w:val="000000"/>
                <w:sz w:val="18"/>
                <w:szCs w:val="18"/>
              </w:rPr>
              <w:t xml:space="preserve">3.2 </w:t>
            </w:r>
          </w:p>
        </w:tc>
        <w:tc>
          <w:tcPr>
            <w:tcW w:w="881" w:type="dxa"/>
            <w:noWrap/>
            <w:vAlign w:val="center"/>
          </w:tcPr>
          <w:p w14:paraId="30874F77">
            <w:pPr>
              <w:widowControl/>
              <w:adjustRightInd/>
              <w:snapToGrid/>
              <w:spacing w:line="240" w:lineRule="auto"/>
              <w:jc w:val="center"/>
              <w:rPr>
                <w:sz w:val="18"/>
                <w:szCs w:val="18"/>
              </w:rPr>
            </w:pPr>
            <w:r>
              <w:rPr>
                <w:sz w:val="18"/>
                <w:szCs w:val="18"/>
              </w:rPr>
              <w:t>53.7</w:t>
            </w:r>
          </w:p>
        </w:tc>
        <w:tc>
          <w:tcPr>
            <w:tcW w:w="880" w:type="dxa"/>
            <w:noWrap/>
            <w:vAlign w:val="center"/>
          </w:tcPr>
          <w:p w14:paraId="52004838">
            <w:pPr>
              <w:widowControl/>
              <w:adjustRightInd/>
              <w:snapToGrid/>
              <w:spacing w:line="240" w:lineRule="auto"/>
              <w:jc w:val="center"/>
              <w:rPr>
                <w:kern w:val="0"/>
                <w:sz w:val="18"/>
                <w:szCs w:val="18"/>
              </w:rPr>
            </w:pPr>
            <w:r>
              <w:rPr>
                <w:color w:val="000000"/>
                <w:sz w:val="18"/>
                <w:szCs w:val="18"/>
              </w:rPr>
              <w:t xml:space="preserve">54.1 </w:t>
            </w:r>
          </w:p>
        </w:tc>
        <w:tc>
          <w:tcPr>
            <w:tcW w:w="880" w:type="dxa"/>
            <w:noWrap/>
            <w:vAlign w:val="center"/>
          </w:tcPr>
          <w:p w14:paraId="6FDF6AD3">
            <w:pPr>
              <w:widowControl/>
              <w:adjustRightInd/>
              <w:snapToGrid/>
              <w:spacing w:line="240" w:lineRule="auto"/>
              <w:jc w:val="center"/>
              <w:rPr>
                <w:kern w:val="0"/>
                <w:sz w:val="18"/>
                <w:szCs w:val="18"/>
              </w:rPr>
            </w:pPr>
            <w:r>
              <w:rPr>
                <w:color w:val="000000"/>
                <w:sz w:val="18"/>
                <w:szCs w:val="18"/>
              </w:rPr>
              <w:t xml:space="preserve">11.1 </w:t>
            </w:r>
          </w:p>
        </w:tc>
        <w:tc>
          <w:tcPr>
            <w:tcW w:w="881" w:type="dxa"/>
            <w:noWrap/>
            <w:vAlign w:val="center"/>
          </w:tcPr>
          <w:p w14:paraId="691222BA">
            <w:pPr>
              <w:widowControl/>
              <w:adjustRightInd/>
              <w:snapToGrid/>
              <w:spacing w:line="240" w:lineRule="auto"/>
              <w:jc w:val="center"/>
              <w:rPr>
                <w:kern w:val="0"/>
                <w:sz w:val="18"/>
                <w:szCs w:val="18"/>
              </w:rPr>
            </w:pPr>
            <w:r>
              <w:rPr>
                <w:color w:val="000000"/>
                <w:sz w:val="18"/>
                <w:szCs w:val="18"/>
              </w:rPr>
              <w:t xml:space="preserve">4.1 </w:t>
            </w:r>
          </w:p>
        </w:tc>
      </w:tr>
      <w:tr w14:paraId="181AE9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6975F17">
            <w:pPr>
              <w:widowControl/>
              <w:adjustRightInd/>
              <w:snapToGrid/>
              <w:spacing w:line="240" w:lineRule="auto"/>
              <w:jc w:val="center"/>
              <w:rPr>
                <w:kern w:val="0"/>
                <w:sz w:val="18"/>
                <w:szCs w:val="18"/>
              </w:rPr>
            </w:pPr>
            <w:r>
              <w:rPr>
                <w:sz w:val="18"/>
                <w:szCs w:val="18"/>
              </w:rPr>
              <w:t>17</w:t>
            </w:r>
          </w:p>
        </w:tc>
        <w:tc>
          <w:tcPr>
            <w:tcW w:w="673" w:type="dxa"/>
            <w:vMerge w:val="continue"/>
            <w:vAlign w:val="center"/>
          </w:tcPr>
          <w:p w14:paraId="3827CD19">
            <w:pPr>
              <w:widowControl/>
              <w:adjustRightInd/>
              <w:snapToGrid/>
              <w:spacing w:line="240" w:lineRule="auto"/>
              <w:jc w:val="left"/>
              <w:rPr>
                <w:kern w:val="0"/>
                <w:sz w:val="18"/>
                <w:szCs w:val="18"/>
              </w:rPr>
            </w:pPr>
          </w:p>
        </w:tc>
        <w:tc>
          <w:tcPr>
            <w:tcW w:w="595" w:type="dxa"/>
            <w:vMerge w:val="restart"/>
            <w:vAlign w:val="center"/>
          </w:tcPr>
          <w:p w14:paraId="69F40674">
            <w:pPr>
              <w:widowControl/>
              <w:adjustRightInd/>
              <w:snapToGrid/>
              <w:spacing w:line="240" w:lineRule="auto"/>
              <w:jc w:val="center"/>
              <w:rPr>
                <w:kern w:val="0"/>
                <w:sz w:val="18"/>
                <w:szCs w:val="18"/>
              </w:rPr>
            </w:pPr>
            <w:r>
              <w:rPr>
                <w:kern w:val="0"/>
                <w:sz w:val="18"/>
                <w:szCs w:val="18"/>
              </w:rPr>
              <w:t>46.2</w:t>
            </w:r>
          </w:p>
        </w:tc>
        <w:tc>
          <w:tcPr>
            <w:tcW w:w="567" w:type="dxa"/>
            <w:vMerge w:val="continue"/>
            <w:vAlign w:val="center"/>
          </w:tcPr>
          <w:p w14:paraId="51A89031">
            <w:pPr>
              <w:widowControl/>
              <w:adjustRightInd/>
              <w:snapToGrid/>
              <w:spacing w:line="240" w:lineRule="auto"/>
              <w:jc w:val="left"/>
              <w:rPr>
                <w:kern w:val="0"/>
                <w:sz w:val="18"/>
                <w:szCs w:val="18"/>
              </w:rPr>
            </w:pPr>
          </w:p>
        </w:tc>
        <w:tc>
          <w:tcPr>
            <w:tcW w:w="426" w:type="dxa"/>
            <w:noWrap/>
            <w:vAlign w:val="center"/>
          </w:tcPr>
          <w:p w14:paraId="4AB091E6">
            <w:pPr>
              <w:widowControl/>
              <w:adjustRightInd/>
              <w:snapToGrid/>
              <w:spacing w:line="240" w:lineRule="auto"/>
              <w:jc w:val="center"/>
              <w:rPr>
                <w:kern w:val="0"/>
                <w:sz w:val="18"/>
                <w:szCs w:val="18"/>
              </w:rPr>
            </w:pPr>
            <w:r>
              <w:rPr>
                <w:sz w:val="18"/>
                <w:szCs w:val="18"/>
              </w:rPr>
              <w:t>昼间</w:t>
            </w:r>
          </w:p>
        </w:tc>
        <w:tc>
          <w:tcPr>
            <w:tcW w:w="708" w:type="dxa"/>
            <w:noWrap/>
            <w:vAlign w:val="center"/>
          </w:tcPr>
          <w:p w14:paraId="72DA062F">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312C2CEA">
            <w:pPr>
              <w:widowControl/>
              <w:adjustRightInd/>
              <w:snapToGrid/>
              <w:spacing w:line="240" w:lineRule="auto"/>
              <w:jc w:val="center"/>
              <w:rPr>
                <w:kern w:val="0"/>
                <w:sz w:val="18"/>
                <w:szCs w:val="18"/>
              </w:rPr>
            </w:pPr>
          </w:p>
        </w:tc>
        <w:tc>
          <w:tcPr>
            <w:tcW w:w="709" w:type="dxa"/>
            <w:vMerge w:val="continue"/>
            <w:noWrap/>
            <w:vAlign w:val="center"/>
          </w:tcPr>
          <w:p w14:paraId="06C3DFF5">
            <w:pPr>
              <w:widowControl/>
              <w:adjustRightInd/>
              <w:snapToGrid/>
              <w:spacing w:line="240" w:lineRule="auto"/>
              <w:jc w:val="center"/>
              <w:rPr>
                <w:kern w:val="0"/>
                <w:sz w:val="18"/>
                <w:szCs w:val="18"/>
              </w:rPr>
            </w:pPr>
          </w:p>
        </w:tc>
        <w:tc>
          <w:tcPr>
            <w:tcW w:w="880" w:type="dxa"/>
            <w:vAlign w:val="center"/>
          </w:tcPr>
          <w:p w14:paraId="4A2B7090">
            <w:pPr>
              <w:widowControl/>
              <w:adjustRightInd/>
              <w:snapToGrid/>
              <w:spacing w:line="240" w:lineRule="auto"/>
              <w:jc w:val="center"/>
              <w:rPr>
                <w:sz w:val="18"/>
                <w:szCs w:val="18"/>
              </w:rPr>
            </w:pPr>
            <w:r>
              <w:rPr>
                <w:rFonts w:hint="eastAsia"/>
                <w:color w:val="000000"/>
                <w:sz w:val="18"/>
                <w:szCs w:val="18"/>
              </w:rPr>
              <w:t>63.3</w:t>
            </w:r>
          </w:p>
        </w:tc>
        <w:tc>
          <w:tcPr>
            <w:tcW w:w="880" w:type="dxa"/>
            <w:vAlign w:val="center"/>
          </w:tcPr>
          <w:p w14:paraId="10854A5C">
            <w:pPr>
              <w:widowControl/>
              <w:adjustRightInd/>
              <w:snapToGrid/>
              <w:spacing w:line="240" w:lineRule="auto"/>
              <w:jc w:val="center"/>
              <w:rPr>
                <w:sz w:val="18"/>
                <w:szCs w:val="18"/>
              </w:rPr>
            </w:pPr>
            <w:r>
              <w:rPr>
                <w:color w:val="000000"/>
                <w:sz w:val="18"/>
                <w:szCs w:val="18"/>
              </w:rPr>
              <w:t xml:space="preserve">63.6 </w:t>
            </w:r>
          </w:p>
        </w:tc>
        <w:tc>
          <w:tcPr>
            <w:tcW w:w="881" w:type="dxa"/>
            <w:vAlign w:val="center"/>
          </w:tcPr>
          <w:p w14:paraId="65D1CE32">
            <w:pPr>
              <w:widowControl/>
              <w:adjustRightInd/>
              <w:snapToGrid/>
              <w:spacing w:line="240" w:lineRule="auto"/>
              <w:jc w:val="center"/>
              <w:rPr>
                <w:sz w:val="18"/>
                <w:szCs w:val="18"/>
              </w:rPr>
            </w:pPr>
            <w:r>
              <w:rPr>
                <w:rFonts w:hint="eastAsia"/>
                <w:color w:val="000000"/>
                <w:sz w:val="18"/>
                <w:szCs w:val="18"/>
              </w:rPr>
              <w:t xml:space="preserve">11.6 </w:t>
            </w:r>
          </w:p>
        </w:tc>
        <w:tc>
          <w:tcPr>
            <w:tcW w:w="880" w:type="dxa"/>
            <w:vAlign w:val="center"/>
          </w:tcPr>
          <w:p w14:paraId="55F997D6">
            <w:pPr>
              <w:widowControl/>
              <w:adjustRightInd/>
              <w:snapToGrid/>
              <w:spacing w:line="240" w:lineRule="auto"/>
              <w:jc w:val="center"/>
              <w:rPr>
                <w:sz w:val="18"/>
                <w:szCs w:val="18"/>
              </w:rPr>
            </w:pPr>
            <w:r>
              <w:rPr>
                <w:rFonts w:hint="eastAsia"/>
                <w:color w:val="000000"/>
                <w:sz w:val="18"/>
                <w:szCs w:val="18"/>
              </w:rPr>
              <w:t xml:space="preserve">3.6 </w:t>
            </w:r>
          </w:p>
        </w:tc>
        <w:tc>
          <w:tcPr>
            <w:tcW w:w="880" w:type="dxa"/>
            <w:noWrap/>
            <w:vAlign w:val="center"/>
          </w:tcPr>
          <w:p w14:paraId="79FDFC81">
            <w:pPr>
              <w:widowControl/>
              <w:adjustRightInd/>
              <w:snapToGrid/>
              <w:spacing w:line="240" w:lineRule="auto"/>
              <w:jc w:val="center"/>
              <w:rPr>
                <w:sz w:val="18"/>
                <w:szCs w:val="18"/>
              </w:rPr>
            </w:pPr>
            <w:r>
              <w:rPr>
                <w:sz w:val="18"/>
                <w:szCs w:val="18"/>
              </w:rPr>
              <w:t>64.2</w:t>
            </w:r>
          </w:p>
        </w:tc>
        <w:tc>
          <w:tcPr>
            <w:tcW w:w="881" w:type="dxa"/>
            <w:noWrap/>
            <w:vAlign w:val="center"/>
          </w:tcPr>
          <w:p w14:paraId="1FCCD53B">
            <w:pPr>
              <w:widowControl/>
              <w:adjustRightInd/>
              <w:snapToGrid/>
              <w:spacing w:line="240" w:lineRule="auto"/>
              <w:jc w:val="center"/>
              <w:rPr>
                <w:kern w:val="0"/>
                <w:sz w:val="18"/>
                <w:szCs w:val="18"/>
              </w:rPr>
            </w:pPr>
            <w:r>
              <w:rPr>
                <w:color w:val="000000"/>
                <w:sz w:val="18"/>
                <w:szCs w:val="18"/>
              </w:rPr>
              <w:t xml:space="preserve">64.5 </w:t>
            </w:r>
          </w:p>
        </w:tc>
        <w:tc>
          <w:tcPr>
            <w:tcW w:w="880" w:type="dxa"/>
            <w:noWrap/>
            <w:vAlign w:val="center"/>
          </w:tcPr>
          <w:p w14:paraId="101CEF5C">
            <w:pPr>
              <w:widowControl/>
              <w:adjustRightInd/>
              <w:snapToGrid/>
              <w:spacing w:line="240" w:lineRule="auto"/>
              <w:jc w:val="center"/>
              <w:rPr>
                <w:kern w:val="0"/>
                <w:sz w:val="18"/>
                <w:szCs w:val="18"/>
              </w:rPr>
            </w:pPr>
            <w:r>
              <w:rPr>
                <w:color w:val="000000"/>
                <w:sz w:val="18"/>
                <w:szCs w:val="18"/>
              </w:rPr>
              <w:t xml:space="preserve">12.5 </w:t>
            </w:r>
          </w:p>
        </w:tc>
        <w:tc>
          <w:tcPr>
            <w:tcW w:w="880" w:type="dxa"/>
            <w:noWrap/>
            <w:vAlign w:val="center"/>
          </w:tcPr>
          <w:p w14:paraId="4117555E">
            <w:pPr>
              <w:widowControl/>
              <w:adjustRightInd/>
              <w:snapToGrid/>
              <w:spacing w:line="240" w:lineRule="auto"/>
              <w:jc w:val="center"/>
              <w:rPr>
                <w:kern w:val="0"/>
                <w:sz w:val="18"/>
                <w:szCs w:val="18"/>
              </w:rPr>
            </w:pPr>
            <w:r>
              <w:rPr>
                <w:color w:val="000000"/>
                <w:sz w:val="18"/>
                <w:szCs w:val="18"/>
              </w:rPr>
              <w:t xml:space="preserve">4.5 </w:t>
            </w:r>
          </w:p>
        </w:tc>
        <w:tc>
          <w:tcPr>
            <w:tcW w:w="881" w:type="dxa"/>
            <w:noWrap/>
            <w:vAlign w:val="center"/>
          </w:tcPr>
          <w:p w14:paraId="3732D2C9">
            <w:pPr>
              <w:widowControl/>
              <w:adjustRightInd/>
              <w:snapToGrid/>
              <w:spacing w:line="240" w:lineRule="auto"/>
              <w:jc w:val="center"/>
              <w:rPr>
                <w:sz w:val="18"/>
                <w:szCs w:val="18"/>
              </w:rPr>
            </w:pPr>
            <w:r>
              <w:rPr>
                <w:sz w:val="18"/>
                <w:szCs w:val="18"/>
              </w:rPr>
              <w:t>65.1</w:t>
            </w:r>
          </w:p>
        </w:tc>
        <w:tc>
          <w:tcPr>
            <w:tcW w:w="880" w:type="dxa"/>
            <w:noWrap/>
            <w:vAlign w:val="center"/>
          </w:tcPr>
          <w:p w14:paraId="33CD487B">
            <w:pPr>
              <w:widowControl/>
              <w:adjustRightInd/>
              <w:snapToGrid/>
              <w:spacing w:line="240" w:lineRule="auto"/>
              <w:jc w:val="center"/>
              <w:rPr>
                <w:kern w:val="0"/>
                <w:sz w:val="18"/>
                <w:szCs w:val="18"/>
              </w:rPr>
            </w:pPr>
            <w:r>
              <w:rPr>
                <w:color w:val="000000"/>
                <w:sz w:val="18"/>
                <w:szCs w:val="18"/>
              </w:rPr>
              <w:t xml:space="preserve">65.3 </w:t>
            </w:r>
          </w:p>
        </w:tc>
        <w:tc>
          <w:tcPr>
            <w:tcW w:w="880" w:type="dxa"/>
            <w:noWrap/>
            <w:vAlign w:val="center"/>
          </w:tcPr>
          <w:p w14:paraId="656259E4">
            <w:pPr>
              <w:widowControl/>
              <w:adjustRightInd/>
              <w:snapToGrid/>
              <w:spacing w:line="240" w:lineRule="auto"/>
              <w:jc w:val="center"/>
              <w:rPr>
                <w:kern w:val="0"/>
                <w:sz w:val="18"/>
                <w:szCs w:val="18"/>
              </w:rPr>
            </w:pPr>
            <w:r>
              <w:rPr>
                <w:color w:val="000000"/>
                <w:sz w:val="18"/>
                <w:szCs w:val="18"/>
              </w:rPr>
              <w:t xml:space="preserve">13.3 </w:t>
            </w:r>
          </w:p>
        </w:tc>
        <w:tc>
          <w:tcPr>
            <w:tcW w:w="881" w:type="dxa"/>
            <w:noWrap/>
            <w:vAlign w:val="center"/>
          </w:tcPr>
          <w:p w14:paraId="091F7D69">
            <w:pPr>
              <w:widowControl/>
              <w:adjustRightInd/>
              <w:snapToGrid/>
              <w:spacing w:line="240" w:lineRule="auto"/>
              <w:jc w:val="center"/>
              <w:rPr>
                <w:kern w:val="0"/>
                <w:sz w:val="18"/>
                <w:szCs w:val="18"/>
              </w:rPr>
            </w:pPr>
            <w:r>
              <w:rPr>
                <w:color w:val="000000"/>
                <w:sz w:val="18"/>
                <w:szCs w:val="18"/>
              </w:rPr>
              <w:t xml:space="preserve">5.3 </w:t>
            </w:r>
          </w:p>
        </w:tc>
      </w:tr>
      <w:tr w14:paraId="525A3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B6D80FB">
            <w:pPr>
              <w:widowControl/>
              <w:adjustRightInd/>
              <w:snapToGrid/>
              <w:spacing w:line="240" w:lineRule="auto"/>
              <w:jc w:val="center"/>
              <w:rPr>
                <w:kern w:val="0"/>
                <w:sz w:val="18"/>
                <w:szCs w:val="18"/>
              </w:rPr>
            </w:pPr>
            <w:r>
              <w:rPr>
                <w:sz w:val="18"/>
                <w:szCs w:val="18"/>
              </w:rPr>
              <w:t>18</w:t>
            </w:r>
          </w:p>
        </w:tc>
        <w:tc>
          <w:tcPr>
            <w:tcW w:w="673" w:type="dxa"/>
            <w:vMerge w:val="continue"/>
            <w:vAlign w:val="center"/>
          </w:tcPr>
          <w:p w14:paraId="12FA04AA">
            <w:pPr>
              <w:widowControl/>
              <w:adjustRightInd/>
              <w:snapToGrid/>
              <w:spacing w:line="240" w:lineRule="auto"/>
              <w:jc w:val="left"/>
              <w:rPr>
                <w:kern w:val="0"/>
                <w:sz w:val="18"/>
                <w:szCs w:val="18"/>
              </w:rPr>
            </w:pPr>
          </w:p>
        </w:tc>
        <w:tc>
          <w:tcPr>
            <w:tcW w:w="595" w:type="dxa"/>
            <w:vMerge w:val="continue"/>
            <w:vAlign w:val="center"/>
          </w:tcPr>
          <w:p w14:paraId="1C919B51">
            <w:pPr>
              <w:widowControl/>
              <w:adjustRightInd/>
              <w:snapToGrid/>
              <w:spacing w:line="240" w:lineRule="auto"/>
              <w:jc w:val="left"/>
              <w:rPr>
                <w:kern w:val="0"/>
                <w:sz w:val="18"/>
                <w:szCs w:val="18"/>
              </w:rPr>
            </w:pPr>
          </w:p>
        </w:tc>
        <w:tc>
          <w:tcPr>
            <w:tcW w:w="567" w:type="dxa"/>
            <w:vMerge w:val="continue"/>
            <w:vAlign w:val="center"/>
          </w:tcPr>
          <w:p w14:paraId="190036B0">
            <w:pPr>
              <w:widowControl/>
              <w:adjustRightInd/>
              <w:snapToGrid/>
              <w:spacing w:line="240" w:lineRule="auto"/>
              <w:jc w:val="left"/>
              <w:rPr>
                <w:kern w:val="0"/>
                <w:sz w:val="18"/>
                <w:szCs w:val="18"/>
              </w:rPr>
            </w:pPr>
          </w:p>
        </w:tc>
        <w:tc>
          <w:tcPr>
            <w:tcW w:w="426" w:type="dxa"/>
            <w:noWrap/>
            <w:vAlign w:val="center"/>
          </w:tcPr>
          <w:p w14:paraId="383EC39F">
            <w:pPr>
              <w:widowControl/>
              <w:adjustRightInd/>
              <w:snapToGrid/>
              <w:spacing w:line="240" w:lineRule="auto"/>
              <w:jc w:val="center"/>
              <w:rPr>
                <w:kern w:val="0"/>
                <w:sz w:val="18"/>
                <w:szCs w:val="18"/>
              </w:rPr>
            </w:pPr>
            <w:r>
              <w:rPr>
                <w:sz w:val="18"/>
                <w:szCs w:val="18"/>
              </w:rPr>
              <w:t>夜间</w:t>
            </w:r>
          </w:p>
        </w:tc>
        <w:tc>
          <w:tcPr>
            <w:tcW w:w="708" w:type="dxa"/>
            <w:noWrap/>
            <w:vAlign w:val="center"/>
          </w:tcPr>
          <w:p w14:paraId="5AE381C1">
            <w:pPr>
              <w:widowControl/>
              <w:adjustRightInd/>
              <w:snapToGrid/>
              <w:spacing w:line="240" w:lineRule="auto"/>
              <w:jc w:val="center"/>
              <w:rPr>
                <w:kern w:val="0"/>
                <w:sz w:val="18"/>
                <w:szCs w:val="18"/>
              </w:rPr>
            </w:pPr>
            <w:r>
              <w:rPr>
                <w:rFonts w:hint="eastAsia"/>
                <w:kern w:val="0"/>
                <w:sz w:val="18"/>
                <w:szCs w:val="18"/>
              </w:rPr>
              <w:t>50</w:t>
            </w:r>
          </w:p>
        </w:tc>
        <w:tc>
          <w:tcPr>
            <w:tcW w:w="709" w:type="dxa"/>
            <w:vMerge w:val="continue"/>
            <w:noWrap/>
            <w:vAlign w:val="center"/>
          </w:tcPr>
          <w:p w14:paraId="64F59E88">
            <w:pPr>
              <w:widowControl/>
              <w:adjustRightInd/>
              <w:snapToGrid/>
              <w:spacing w:line="240" w:lineRule="auto"/>
              <w:jc w:val="center"/>
              <w:rPr>
                <w:kern w:val="0"/>
                <w:sz w:val="18"/>
                <w:szCs w:val="18"/>
              </w:rPr>
            </w:pPr>
          </w:p>
        </w:tc>
        <w:tc>
          <w:tcPr>
            <w:tcW w:w="709" w:type="dxa"/>
            <w:vMerge w:val="continue"/>
            <w:noWrap/>
            <w:vAlign w:val="center"/>
          </w:tcPr>
          <w:p w14:paraId="3DCFA3F1">
            <w:pPr>
              <w:widowControl/>
              <w:adjustRightInd/>
              <w:snapToGrid/>
              <w:spacing w:line="240" w:lineRule="auto"/>
              <w:jc w:val="center"/>
              <w:rPr>
                <w:kern w:val="0"/>
                <w:sz w:val="18"/>
                <w:szCs w:val="18"/>
              </w:rPr>
            </w:pPr>
          </w:p>
        </w:tc>
        <w:tc>
          <w:tcPr>
            <w:tcW w:w="880" w:type="dxa"/>
            <w:vAlign w:val="center"/>
          </w:tcPr>
          <w:p w14:paraId="732073E7">
            <w:pPr>
              <w:widowControl/>
              <w:adjustRightInd/>
              <w:snapToGrid/>
              <w:spacing w:line="240" w:lineRule="auto"/>
              <w:jc w:val="center"/>
              <w:rPr>
                <w:sz w:val="18"/>
                <w:szCs w:val="18"/>
              </w:rPr>
            </w:pPr>
            <w:r>
              <w:rPr>
                <w:rFonts w:hint="eastAsia"/>
                <w:color w:val="000000"/>
                <w:sz w:val="18"/>
                <w:szCs w:val="18"/>
              </w:rPr>
              <w:t>50</w:t>
            </w:r>
          </w:p>
        </w:tc>
        <w:tc>
          <w:tcPr>
            <w:tcW w:w="880" w:type="dxa"/>
            <w:vAlign w:val="center"/>
          </w:tcPr>
          <w:p w14:paraId="783D5233">
            <w:pPr>
              <w:widowControl/>
              <w:adjustRightInd/>
              <w:snapToGrid/>
              <w:spacing w:line="240" w:lineRule="auto"/>
              <w:jc w:val="center"/>
              <w:rPr>
                <w:sz w:val="18"/>
                <w:szCs w:val="18"/>
              </w:rPr>
            </w:pPr>
            <w:r>
              <w:rPr>
                <w:color w:val="000000"/>
                <w:sz w:val="18"/>
                <w:szCs w:val="18"/>
              </w:rPr>
              <w:t xml:space="preserve">50.8 </w:t>
            </w:r>
          </w:p>
        </w:tc>
        <w:tc>
          <w:tcPr>
            <w:tcW w:w="881" w:type="dxa"/>
            <w:vAlign w:val="center"/>
          </w:tcPr>
          <w:p w14:paraId="0131B871">
            <w:pPr>
              <w:widowControl/>
              <w:adjustRightInd/>
              <w:snapToGrid/>
              <w:spacing w:line="240" w:lineRule="auto"/>
              <w:jc w:val="center"/>
              <w:rPr>
                <w:sz w:val="18"/>
                <w:szCs w:val="18"/>
              </w:rPr>
            </w:pPr>
            <w:r>
              <w:rPr>
                <w:rFonts w:hint="eastAsia"/>
                <w:color w:val="000000"/>
                <w:sz w:val="18"/>
                <w:szCs w:val="18"/>
              </w:rPr>
              <w:t xml:space="preserve">7.8 </w:t>
            </w:r>
          </w:p>
        </w:tc>
        <w:tc>
          <w:tcPr>
            <w:tcW w:w="880" w:type="dxa"/>
            <w:vAlign w:val="center"/>
          </w:tcPr>
          <w:p w14:paraId="15220449">
            <w:pPr>
              <w:widowControl/>
              <w:adjustRightInd/>
              <w:snapToGrid/>
              <w:spacing w:line="240" w:lineRule="auto"/>
              <w:jc w:val="center"/>
              <w:rPr>
                <w:sz w:val="18"/>
                <w:szCs w:val="18"/>
              </w:rPr>
            </w:pPr>
            <w:r>
              <w:rPr>
                <w:rFonts w:hint="eastAsia"/>
                <w:color w:val="000000"/>
                <w:sz w:val="18"/>
                <w:szCs w:val="18"/>
              </w:rPr>
              <w:t xml:space="preserve">0.8 </w:t>
            </w:r>
          </w:p>
        </w:tc>
        <w:tc>
          <w:tcPr>
            <w:tcW w:w="880" w:type="dxa"/>
            <w:noWrap/>
            <w:vAlign w:val="center"/>
          </w:tcPr>
          <w:p w14:paraId="5731E8F6">
            <w:pPr>
              <w:widowControl/>
              <w:adjustRightInd/>
              <w:snapToGrid/>
              <w:spacing w:line="240" w:lineRule="auto"/>
              <w:jc w:val="center"/>
              <w:rPr>
                <w:sz w:val="18"/>
                <w:szCs w:val="18"/>
              </w:rPr>
            </w:pPr>
            <w:r>
              <w:rPr>
                <w:sz w:val="18"/>
                <w:szCs w:val="18"/>
              </w:rPr>
              <w:t>50.9</w:t>
            </w:r>
          </w:p>
        </w:tc>
        <w:tc>
          <w:tcPr>
            <w:tcW w:w="881" w:type="dxa"/>
            <w:noWrap/>
            <w:vAlign w:val="center"/>
          </w:tcPr>
          <w:p w14:paraId="30C2FCF6">
            <w:pPr>
              <w:widowControl/>
              <w:adjustRightInd/>
              <w:snapToGrid/>
              <w:spacing w:line="240" w:lineRule="auto"/>
              <w:jc w:val="center"/>
              <w:rPr>
                <w:kern w:val="0"/>
                <w:sz w:val="18"/>
                <w:szCs w:val="18"/>
              </w:rPr>
            </w:pPr>
            <w:r>
              <w:rPr>
                <w:color w:val="000000"/>
                <w:sz w:val="18"/>
                <w:szCs w:val="18"/>
              </w:rPr>
              <w:t xml:space="preserve">51.6 </w:t>
            </w:r>
          </w:p>
        </w:tc>
        <w:tc>
          <w:tcPr>
            <w:tcW w:w="880" w:type="dxa"/>
            <w:noWrap/>
            <w:vAlign w:val="center"/>
          </w:tcPr>
          <w:p w14:paraId="436F29CE">
            <w:pPr>
              <w:widowControl/>
              <w:adjustRightInd/>
              <w:snapToGrid/>
              <w:spacing w:line="240" w:lineRule="auto"/>
              <w:jc w:val="center"/>
              <w:rPr>
                <w:kern w:val="0"/>
                <w:sz w:val="18"/>
                <w:szCs w:val="18"/>
              </w:rPr>
            </w:pPr>
            <w:r>
              <w:rPr>
                <w:color w:val="000000"/>
                <w:sz w:val="18"/>
                <w:szCs w:val="18"/>
              </w:rPr>
              <w:t xml:space="preserve">8.6 </w:t>
            </w:r>
          </w:p>
        </w:tc>
        <w:tc>
          <w:tcPr>
            <w:tcW w:w="880" w:type="dxa"/>
            <w:noWrap/>
            <w:vAlign w:val="center"/>
          </w:tcPr>
          <w:p w14:paraId="1AA3A5C5">
            <w:pPr>
              <w:widowControl/>
              <w:adjustRightInd/>
              <w:snapToGrid/>
              <w:spacing w:line="240" w:lineRule="auto"/>
              <w:jc w:val="center"/>
              <w:rPr>
                <w:kern w:val="0"/>
                <w:sz w:val="18"/>
                <w:szCs w:val="18"/>
              </w:rPr>
            </w:pPr>
            <w:r>
              <w:rPr>
                <w:color w:val="000000"/>
                <w:sz w:val="18"/>
                <w:szCs w:val="18"/>
              </w:rPr>
              <w:t xml:space="preserve">1.6 </w:t>
            </w:r>
          </w:p>
        </w:tc>
        <w:tc>
          <w:tcPr>
            <w:tcW w:w="881" w:type="dxa"/>
            <w:noWrap/>
            <w:vAlign w:val="center"/>
          </w:tcPr>
          <w:p w14:paraId="131B398E">
            <w:pPr>
              <w:widowControl/>
              <w:adjustRightInd/>
              <w:snapToGrid/>
              <w:spacing w:line="240" w:lineRule="auto"/>
              <w:jc w:val="center"/>
              <w:rPr>
                <w:sz w:val="18"/>
                <w:szCs w:val="18"/>
              </w:rPr>
            </w:pPr>
            <w:r>
              <w:rPr>
                <w:sz w:val="18"/>
                <w:szCs w:val="18"/>
              </w:rPr>
              <w:t>51.8</w:t>
            </w:r>
          </w:p>
        </w:tc>
        <w:tc>
          <w:tcPr>
            <w:tcW w:w="880" w:type="dxa"/>
            <w:noWrap/>
            <w:vAlign w:val="center"/>
          </w:tcPr>
          <w:p w14:paraId="167BBEE6">
            <w:pPr>
              <w:widowControl/>
              <w:adjustRightInd/>
              <w:snapToGrid/>
              <w:spacing w:line="240" w:lineRule="auto"/>
              <w:jc w:val="center"/>
              <w:rPr>
                <w:kern w:val="0"/>
                <w:sz w:val="18"/>
                <w:szCs w:val="18"/>
              </w:rPr>
            </w:pPr>
            <w:r>
              <w:rPr>
                <w:color w:val="000000"/>
                <w:sz w:val="18"/>
                <w:szCs w:val="18"/>
              </w:rPr>
              <w:t xml:space="preserve">52.3 </w:t>
            </w:r>
          </w:p>
        </w:tc>
        <w:tc>
          <w:tcPr>
            <w:tcW w:w="880" w:type="dxa"/>
            <w:noWrap/>
            <w:vAlign w:val="center"/>
          </w:tcPr>
          <w:p w14:paraId="24574DE1">
            <w:pPr>
              <w:widowControl/>
              <w:adjustRightInd/>
              <w:snapToGrid/>
              <w:spacing w:line="240" w:lineRule="auto"/>
              <w:jc w:val="center"/>
              <w:rPr>
                <w:kern w:val="0"/>
                <w:sz w:val="18"/>
                <w:szCs w:val="18"/>
              </w:rPr>
            </w:pPr>
            <w:r>
              <w:rPr>
                <w:color w:val="000000"/>
                <w:sz w:val="18"/>
                <w:szCs w:val="18"/>
              </w:rPr>
              <w:t xml:space="preserve">9.3 </w:t>
            </w:r>
          </w:p>
        </w:tc>
        <w:tc>
          <w:tcPr>
            <w:tcW w:w="881" w:type="dxa"/>
            <w:noWrap/>
            <w:vAlign w:val="center"/>
          </w:tcPr>
          <w:p w14:paraId="44537FCA">
            <w:pPr>
              <w:widowControl/>
              <w:adjustRightInd/>
              <w:snapToGrid/>
              <w:spacing w:line="240" w:lineRule="auto"/>
              <w:jc w:val="center"/>
              <w:rPr>
                <w:kern w:val="0"/>
                <w:sz w:val="18"/>
                <w:szCs w:val="18"/>
              </w:rPr>
            </w:pPr>
            <w:r>
              <w:rPr>
                <w:color w:val="000000"/>
                <w:sz w:val="18"/>
                <w:szCs w:val="18"/>
              </w:rPr>
              <w:t xml:space="preserve">2.3 </w:t>
            </w:r>
          </w:p>
        </w:tc>
      </w:tr>
      <w:tr w14:paraId="7435B8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698C0ED2">
            <w:pPr>
              <w:widowControl/>
              <w:adjustRightInd/>
              <w:snapToGrid/>
              <w:spacing w:line="240" w:lineRule="auto"/>
              <w:jc w:val="center"/>
              <w:rPr>
                <w:kern w:val="0"/>
                <w:sz w:val="18"/>
                <w:szCs w:val="18"/>
              </w:rPr>
            </w:pPr>
            <w:r>
              <w:rPr>
                <w:sz w:val="18"/>
                <w:szCs w:val="18"/>
              </w:rPr>
              <w:t>19</w:t>
            </w:r>
          </w:p>
        </w:tc>
        <w:tc>
          <w:tcPr>
            <w:tcW w:w="673" w:type="dxa"/>
            <w:vMerge w:val="continue"/>
            <w:vAlign w:val="center"/>
          </w:tcPr>
          <w:p w14:paraId="3D21734B">
            <w:pPr>
              <w:widowControl/>
              <w:adjustRightInd/>
              <w:snapToGrid/>
              <w:spacing w:line="240" w:lineRule="auto"/>
              <w:jc w:val="left"/>
              <w:rPr>
                <w:kern w:val="0"/>
                <w:sz w:val="18"/>
                <w:szCs w:val="18"/>
              </w:rPr>
            </w:pPr>
          </w:p>
        </w:tc>
        <w:tc>
          <w:tcPr>
            <w:tcW w:w="595" w:type="dxa"/>
            <w:vMerge w:val="restart"/>
            <w:vAlign w:val="center"/>
          </w:tcPr>
          <w:p w14:paraId="4750D864">
            <w:pPr>
              <w:widowControl/>
              <w:adjustRightInd/>
              <w:snapToGrid/>
              <w:spacing w:line="240" w:lineRule="auto"/>
              <w:jc w:val="center"/>
              <w:rPr>
                <w:kern w:val="0"/>
                <w:sz w:val="18"/>
                <w:szCs w:val="18"/>
              </w:rPr>
            </w:pPr>
            <w:r>
              <w:rPr>
                <w:kern w:val="0"/>
                <w:sz w:val="18"/>
                <w:szCs w:val="18"/>
              </w:rPr>
              <w:t>61.2</w:t>
            </w:r>
          </w:p>
        </w:tc>
        <w:tc>
          <w:tcPr>
            <w:tcW w:w="567" w:type="dxa"/>
            <w:vMerge w:val="continue"/>
            <w:vAlign w:val="center"/>
          </w:tcPr>
          <w:p w14:paraId="038A4D7F">
            <w:pPr>
              <w:widowControl/>
              <w:adjustRightInd/>
              <w:snapToGrid/>
              <w:spacing w:line="240" w:lineRule="auto"/>
              <w:jc w:val="left"/>
              <w:rPr>
                <w:kern w:val="0"/>
                <w:sz w:val="18"/>
                <w:szCs w:val="18"/>
              </w:rPr>
            </w:pPr>
          </w:p>
        </w:tc>
        <w:tc>
          <w:tcPr>
            <w:tcW w:w="426" w:type="dxa"/>
            <w:noWrap/>
            <w:vAlign w:val="center"/>
          </w:tcPr>
          <w:p w14:paraId="6BCBBA74">
            <w:pPr>
              <w:widowControl/>
              <w:adjustRightInd/>
              <w:snapToGrid/>
              <w:spacing w:line="240" w:lineRule="auto"/>
              <w:jc w:val="center"/>
              <w:rPr>
                <w:kern w:val="0"/>
                <w:sz w:val="18"/>
                <w:szCs w:val="18"/>
              </w:rPr>
            </w:pPr>
            <w:r>
              <w:rPr>
                <w:sz w:val="18"/>
                <w:szCs w:val="18"/>
              </w:rPr>
              <w:t>昼间</w:t>
            </w:r>
          </w:p>
        </w:tc>
        <w:tc>
          <w:tcPr>
            <w:tcW w:w="708" w:type="dxa"/>
            <w:noWrap/>
            <w:vAlign w:val="center"/>
          </w:tcPr>
          <w:p w14:paraId="01BCF2A0">
            <w:pPr>
              <w:widowControl/>
              <w:adjustRightInd/>
              <w:snapToGrid/>
              <w:spacing w:line="240" w:lineRule="auto"/>
              <w:jc w:val="center"/>
              <w:rPr>
                <w:kern w:val="0"/>
                <w:sz w:val="18"/>
                <w:szCs w:val="18"/>
              </w:rPr>
            </w:pPr>
            <w:r>
              <w:rPr>
                <w:rFonts w:hint="eastAsia"/>
                <w:kern w:val="0"/>
                <w:sz w:val="18"/>
                <w:szCs w:val="18"/>
              </w:rPr>
              <w:t>60</w:t>
            </w:r>
          </w:p>
        </w:tc>
        <w:tc>
          <w:tcPr>
            <w:tcW w:w="709" w:type="dxa"/>
            <w:vMerge w:val="continue"/>
            <w:noWrap/>
            <w:vAlign w:val="center"/>
          </w:tcPr>
          <w:p w14:paraId="48B4889D">
            <w:pPr>
              <w:widowControl/>
              <w:adjustRightInd/>
              <w:snapToGrid/>
              <w:spacing w:line="240" w:lineRule="auto"/>
              <w:jc w:val="center"/>
              <w:rPr>
                <w:kern w:val="0"/>
                <w:sz w:val="18"/>
                <w:szCs w:val="18"/>
              </w:rPr>
            </w:pPr>
          </w:p>
        </w:tc>
        <w:tc>
          <w:tcPr>
            <w:tcW w:w="709" w:type="dxa"/>
            <w:vMerge w:val="continue"/>
            <w:noWrap/>
            <w:vAlign w:val="center"/>
          </w:tcPr>
          <w:p w14:paraId="50E9DA7C">
            <w:pPr>
              <w:widowControl/>
              <w:adjustRightInd/>
              <w:snapToGrid/>
              <w:spacing w:line="240" w:lineRule="auto"/>
              <w:jc w:val="center"/>
              <w:rPr>
                <w:kern w:val="0"/>
                <w:sz w:val="18"/>
                <w:szCs w:val="18"/>
              </w:rPr>
            </w:pPr>
          </w:p>
        </w:tc>
        <w:tc>
          <w:tcPr>
            <w:tcW w:w="880" w:type="dxa"/>
            <w:vAlign w:val="center"/>
          </w:tcPr>
          <w:p w14:paraId="31FCB5FA">
            <w:pPr>
              <w:widowControl/>
              <w:adjustRightInd/>
              <w:snapToGrid/>
              <w:spacing w:line="240" w:lineRule="auto"/>
              <w:jc w:val="center"/>
              <w:rPr>
                <w:sz w:val="18"/>
                <w:szCs w:val="18"/>
              </w:rPr>
            </w:pPr>
            <w:r>
              <w:rPr>
                <w:rFonts w:hint="eastAsia"/>
                <w:color w:val="000000"/>
                <w:sz w:val="18"/>
                <w:szCs w:val="18"/>
              </w:rPr>
              <w:t>62.2</w:t>
            </w:r>
          </w:p>
        </w:tc>
        <w:tc>
          <w:tcPr>
            <w:tcW w:w="880" w:type="dxa"/>
            <w:vAlign w:val="center"/>
          </w:tcPr>
          <w:p w14:paraId="5A939194">
            <w:pPr>
              <w:widowControl/>
              <w:adjustRightInd/>
              <w:snapToGrid/>
              <w:spacing w:line="240" w:lineRule="auto"/>
              <w:jc w:val="center"/>
              <w:rPr>
                <w:sz w:val="18"/>
                <w:szCs w:val="18"/>
              </w:rPr>
            </w:pPr>
            <w:r>
              <w:rPr>
                <w:color w:val="000000"/>
                <w:sz w:val="18"/>
                <w:szCs w:val="18"/>
              </w:rPr>
              <w:t xml:space="preserve">62.6 </w:t>
            </w:r>
          </w:p>
        </w:tc>
        <w:tc>
          <w:tcPr>
            <w:tcW w:w="881" w:type="dxa"/>
            <w:vAlign w:val="center"/>
          </w:tcPr>
          <w:p w14:paraId="481A3B7C">
            <w:pPr>
              <w:widowControl/>
              <w:adjustRightInd/>
              <w:snapToGrid/>
              <w:spacing w:line="240" w:lineRule="auto"/>
              <w:jc w:val="center"/>
              <w:rPr>
                <w:sz w:val="18"/>
                <w:szCs w:val="18"/>
              </w:rPr>
            </w:pPr>
            <w:r>
              <w:rPr>
                <w:rFonts w:hint="eastAsia"/>
                <w:color w:val="000000"/>
                <w:sz w:val="18"/>
                <w:szCs w:val="18"/>
              </w:rPr>
              <w:t xml:space="preserve">10.6 </w:t>
            </w:r>
          </w:p>
        </w:tc>
        <w:tc>
          <w:tcPr>
            <w:tcW w:w="880" w:type="dxa"/>
            <w:vAlign w:val="center"/>
          </w:tcPr>
          <w:p w14:paraId="26341CD8">
            <w:pPr>
              <w:widowControl/>
              <w:adjustRightInd/>
              <w:snapToGrid/>
              <w:spacing w:line="240" w:lineRule="auto"/>
              <w:jc w:val="center"/>
              <w:rPr>
                <w:sz w:val="18"/>
                <w:szCs w:val="18"/>
              </w:rPr>
            </w:pPr>
            <w:r>
              <w:rPr>
                <w:rFonts w:hint="eastAsia"/>
                <w:color w:val="000000"/>
                <w:sz w:val="18"/>
                <w:szCs w:val="18"/>
              </w:rPr>
              <w:t xml:space="preserve">2.6 </w:t>
            </w:r>
          </w:p>
        </w:tc>
        <w:tc>
          <w:tcPr>
            <w:tcW w:w="880" w:type="dxa"/>
            <w:noWrap/>
            <w:vAlign w:val="center"/>
          </w:tcPr>
          <w:p w14:paraId="4656DD6B">
            <w:pPr>
              <w:widowControl/>
              <w:adjustRightInd/>
              <w:snapToGrid/>
              <w:spacing w:line="240" w:lineRule="auto"/>
              <w:jc w:val="center"/>
              <w:rPr>
                <w:kern w:val="0"/>
                <w:sz w:val="18"/>
                <w:szCs w:val="18"/>
              </w:rPr>
            </w:pPr>
            <w:r>
              <w:rPr>
                <w:sz w:val="18"/>
                <w:szCs w:val="18"/>
              </w:rPr>
              <w:t>63</w:t>
            </w:r>
          </w:p>
        </w:tc>
        <w:tc>
          <w:tcPr>
            <w:tcW w:w="881" w:type="dxa"/>
            <w:noWrap/>
            <w:vAlign w:val="center"/>
          </w:tcPr>
          <w:p w14:paraId="0D791A7B">
            <w:pPr>
              <w:widowControl/>
              <w:adjustRightInd/>
              <w:snapToGrid/>
              <w:spacing w:line="240" w:lineRule="auto"/>
              <w:jc w:val="center"/>
              <w:rPr>
                <w:kern w:val="0"/>
                <w:sz w:val="18"/>
                <w:szCs w:val="18"/>
              </w:rPr>
            </w:pPr>
            <w:r>
              <w:rPr>
                <w:color w:val="000000"/>
                <w:sz w:val="18"/>
                <w:szCs w:val="18"/>
              </w:rPr>
              <w:t xml:space="preserve">63.3 </w:t>
            </w:r>
          </w:p>
        </w:tc>
        <w:tc>
          <w:tcPr>
            <w:tcW w:w="880" w:type="dxa"/>
            <w:noWrap/>
            <w:vAlign w:val="center"/>
          </w:tcPr>
          <w:p w14:paraId="79F99488">
            <w:pPr>
              <w:widowControl/>
              <w:adjustRightInd/>
              <w:snapToGrid/>
              <w:spacing w:line="240" w:lineRule="auto"/>
              <w:jc w:val="center"/>
              <w:rPr>
                <w:kern w:val="0"/>
                <w:sz w:val="18"/>
                <w:szCs w:val="18"/>
              </w:rPr>
            </w:pPr>
            <w:r>
              <w:rPr>
                <w:color w:val="000000"/>
                <w:sz w:val="18"/>
                <w:szCs w:val="18"/>
              </w:rPr>
              <w:t xml:space="preserve">11.3 </w:t>
            </w:r>
          </w:p>
        </w:tc>
        <w:tc>
          <w:tcPr>
            <w:tcW w:w="880" w:type="dxa"/>
            <w:noWrap/>
            <w:vAlign w:val="center"/>
          </w:tcPr>
          <w:p w14:paraId="76C419EB">
            <w:pPr>
              <w:widowControl/>
              <w:adjustRightInd/>
              <w:snapToGrid/>
              <w:spacing w:line="240" w:lineRule="auto"/>
              <w:jc w:val="center"/>
              <w:rPr>
                <w:kern w:val="0"/>
                <w:sz w:val="18"/>
                <w:szCs w:val="18"/>
              </w:rPr>
            </w:pPr>
            <w:r>
              <w:rPr>
                <w:color w:val="000000"/>
                <w:sz w:val="18"/>
                <w:szCs w:val="18"/>
              </w:rPr>
              <w:t xml:space="preserve">3.3 </w:t>
            </w:r>
          </w:p>
        </w:tc>
        <w:tc>
          <w:tcPr>
            <w:tcW w:w="881" w:type="dxa"/>
            <w:noWrap/>
            <w:vAlign w:val="center"/>
          </w:tcPr>
          <w:p w14:paraId="5C233798">
            <w:pPr>
              <w:widowControl/>
              <w:adjustRightInd/>
              <w:snapToGrid/>
              <w:spacing w:line="240" w:lineRule="auto"/>
              <w:jc w:val="center"/>
              <w:rPr>
                <w:kern w:val="0"/>
                <w:sz w:val="18"/>
                <w:szCs w:val="18"/>
              </w:rPr>
            </w:pPr>
            <w:r>
              <w:rPr>
                <w:sz w:val="18"/>
                <w:szCs w:val="18"/>
              </w:rPr>
              <w:t>64</w:t>
            </w:r>
          </w:p>
        </w:tc>
        <w:tc>
          <w:tcPr>
            <w:tcW w:w="880" w:type="dxa"/>
            <w:noWrap/>
            <w:vAlign w:val="center"/>
          </w:tcPr>
          <w:p w14:paraId="4E18995C">
            <w:pPr>
              <w:widowControl/>
              <w:adjustRightInd/>
              <w:snapToGrid/>
              <w:spacing w:line="240" w:lineRule="auto"/>
              <w:jc w:val="center"/>
              <w:rPr>
                <w:kern w:val="0"/>
                <w:sz w:val="18"/>
                <w:szCs w:val="18"/>
              </w:rPr>
            </w:pPr>
            <w:r>
              <w:rPr>
                <w:color w:val="000000"/>
                <w:sz w:val="18"/>
                <w:szCs w:val="18"/>
              </w:rPr>
              <w:t xml:space="preserve">64.3 </w:t>
            </w:r>
          </w:p>
        </w:tc>
        <w:tc>
          <w:tcPr>
            <w:tcW w:w="880" w:type="dxa"/>
            <w:noWrap/>
            <w:vAlign w:val="center"/>
          </w:tcPr>
          <w:p w14:paraId="20C041C7">
            <w:pPr>
              <w:widowControl/>
              <w:adjustRightInd/>
              <w:snapToGrid/>
              <w:spacing w:line="240" w:lineRule="auto"/>
              <w:jc w:val="center"/>
              <w:rPr>
                <w:kern w:val="0"/>
                <w:sz w:val="18"/>
                <w:szCs w:val="18"/>
              </w:rPr>
            </w:pPr>
            <w:r>
              <w:rPr>
                <w:color w:val="000000"/>
                <w:sz w:val="18"/>
                <w:szCs w:val="18"/>
              </w:rPr>
              <w:t xml:space="preserve">12.3 </w:t>
            </w:r>
          </w:p>
        </w:tc>
        <w:tc>
          <w:tcPr>
            <w:tcW w:w="881" w:type="dxa"/>
            <w:noWrap/>
            <w:vAlign w:val="center"/>
          </w:tcPr>
          <w:p w14:paraId="0AA84397">
            <w:pPr>
              <w:widowControl/>
              <w:adjustRightInd/>
              <w:snapToGrid/>
              <w:spacing w:line="240" w:lineRule="auto"/>
              <w:jc w:val="center"/>
              <w:rPr>
                <w:kern w:val="0"/>
                <w:sz w:val="18"/>
                <w:szCs w:val="18"/>
              </w:rPr>
            </w:pPr>
            <w:r>
              <w:rPr>
                <w:color w:val="000000"/>
                <w:sz w:val="18"/>
                <w:szCs w:val="18"/>
              </w:rPr>
              <w:t xml:space="preserve">4.3 </w:t>
            </w:r>
          </w:p>
        </w:tc>
      </w:tr>
      <w:tr w14:paraId="324F93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BF776A9">
            <w:pPr>
              <w:widowControl/>
              <w:adjustRightInd/>
              <w:snapToGrid/>
              <w:spacing w:line="240" w:lineRule="auto"/>
              <w:jc w:val="center"/>
              <w:rPr>
                <w:kern w:val="0"/>
                <w:sz w:val="18"/>
                <w:szCs w:val="18"/>
              </w:rPr>
            </w:pPr>
            <w:r>
              <w:rPr>
                <w:sz w:val="18"/>
                <w:szCs w:val="18"/>
              </w:rPr>
              <w:t>20</w:t>
            </w:r>
          </w:p>
        </w:tc>
        <w:tc>
          <w:tcPr>
            <w:tcW w:w="673" w:type="dxa"/>
            <w:vMerge w:val="continue"/>
            <w:vAlign w:val="center"/>
          </w:tcPr>
          <w:p w14:paraId="6F900A55">
            <w:pPr>
              <w:widowControl/>
              <w:adjustRightInd/>
              <w:snapToGrid/>
              <w:spacing w:line="240" w:lineRule="auto"/>
              <w:jc w:val="left"/>
              <w:rPr>
                <w:kern w:val="0"/>
                <w:sz w:val="18"/>
                <w:szCs w:val="18"/>
              </w:rPr>
            </w:pPr>
          </w:p>
        </w:tc>
        <w:tc>
          <w:tcPr>
            <w:tcW w:w="595" w:type="dxa"/>
            <w:vMerge w:val="continue"/>
            <w:vAlign w:val="center"/>
          </w:tcPr>
          <w:p w14:paraId="03E95006">
            <w:pPr>
              <w:widowControl/>
              <w:adjustRightInd/>
              <w:snapToGrid/>
              <w:spacing w:line="240" w:lineRule="auto"/>
              <w:jc w:val="left"/>
              <w:rPr>
                <w:kern w:val="0"/>
                <w:sz w:val="18"/>
                <w:szCs w:val="18"/>
              </w:rPr>
            </w:pPr>
          </w:p>
        </w:tc>
        <w:tc>
          <w:tcPr>
            <w:tcW w:w="567" w:type="dxa"/>
            <w:vMerge w:val="continue"/>
            <w:vAlign w:val="center"/>
          </w:tcPr>
          <w:p w14:paraId="28AFB472">
            <w:pPr>
              <w:widowControl/>
              <w:adjustRightInd/>
              <w:snapToGrid/>
              <w:spacing w:line="240" w:lineRule="auto"/>
              <w:jc w:val="left"/>
              <w:rPr>
                <w:kern w:val="0"/>
                <w:sz w:val="18"/>
                <w:szCs w:val="18"/>
              </w:rPr>
            </w:pPr>
          </w:p>
        </w:tc>
        <w:tc>
          <w:tcPr>
            <w:tcW w:w="426" w:type="dxa"/>
            <w:noWrap/>
            <w:vAlign w:val="center"/>
          </w:tcPr>
          <w:p w14:paraId="77AA5114">
            <w:pPr>
              <w:widowControl/>
              <w:adjustRightInd/>
              <w:snapToGrid/>
              <w:spacing w:line="240" w:lineRule="auto"/>
              <w:jc w:val="center"/>
              <w:rPr>
                <w:kern w:val="0"/>
                <w:sz w:val="18"/>
                <w:szCs w:val="18"/>
              </w:rPr>
            </w:pPr>
            <w:r>
              <w:rPr>
                <w:sz w:val="18"/>
                <w:szCs w:val="18"/>
              </w:rPr>
              <w:t>夜间</w:t>
            </w:r>
          </w:p>
        </w:tc>
        <w:tc>
          <w:tcPr>
            <w:tcW w:w="708" w:type="dxa"/>
            <w:noWrap/>
            <w:vAlign w:val="center"/>
          </w:tcPr>
          <w:p w14:paraId="5BF55A09">
            <w:pPr>
              <w:widowControl/>
              <w:adjustRightInd/>
              <w:snapToGrid/>
              <w:spacing w:line="240" w:lineRule="auto"/>
              <w:jc w:val="center"/>
              <w:rPr>
                <w:kern w:val="0"/>
                <w:sz w:val="18"/>
                <w:szCs w:val="18"/>
              </w:rPr>
            </w:pPr>
            <w:r>
              <w:rPr>
                <w:rFonts w:hint="eastAsia"/>
                <w:kern w:val="0"/>
                <w:sz w:val="18"/>
                <w:szCs w:val="18"/>
              </w:rPr>
              <w:t>50</w:t>
            </w:r>
          </w:p>
        </w:tc>
        <w:tc>
          <w:tcPr>
            <w:tcW w:w="709" w:type="dxa"/>
            <w:vMerge w:val="continue"/>
            <w:noWrap/>
            <w:vAlign w:val="center"/>
          </w:tcPr>
          <w:p w14:paraId="6E8BE927">
            <w:pPr>
              <w:widowControl/>
              <w:adjustRightInd/>
              <w:snapToGrid/>
              <w:spacing w:line="240" w:lineRule="auto"/>
              <w:jc w:val="center"/>
              <w:rPr>
                <w:kern w:val="0"/>
                <w:sz w:val="18"/>
                <w:szCs w:val="18"/>
              </w:rPr>
            </w:pPr>
          </w:p>
        </w:tc>
        <w:tc>
          <w:tcPr>
            <w:tcW w:w="709" w:type="dxa"/>
            <w:vMerge w:val="continue"/>
            <w:noWrap/>
            <w:vAlign w:val="center"/>
          </w:tcPr>
          <w:p w14:paraId="087C6DDD">
            <w:pPr>
              <w:widowControl/>
              <w:adjustRightInd/>
              <w:snapToGrid/>
              <w:spacing w:line="240" w:lineRule="auto"/>
              <w:jc w:val="center"/>
              <w:rPr>
                <w:kern w:val="0"/>
                <w:sz w:val="18"/>
                <w:szCs w:val="18"/>
              </w:rPr>
            </w:pPr>
          </w:p>
        </w:tc>
        <w:tc>
          <w:tcPr>
            <w:tcW w:w="880" w:type="dxa"/>
            <w:vAlign w:val="center"/>
          </w:tcPr>
          <w:p w14:paraId="4F080132">
            <w:pPr>
              <w:widowControl/>
              <w:adjustRightInd/>
              <w:snapToGrid/>
              <w:spacing w:line="240" w:lineRule="auto"/>
              <w:jc w:val="center"/>
              <w:rPr>
                <w:sz w:val="18"/>
                <w:szCs w:val="18"/>
              </w:rPr>
            </w:pPr>
            <w:r>
              <w:rPr>
                <w:rFonts w:hint="eastAsia"/>
                <w:color w:val="000000"/>
                <w:sz w:val="18"/>
                <w:szCs w:val="18"/>
              </w:rPr>
              <w:t>48.4</w:t>
            </w:r>
          </w:p>
        </w:tc>
        <w:tc>
          <w:tcPr>
            <w:tcW w:w="880" w:type="dxa"/>
            <w:vAlign w:val="center"/>
          </w:tcPr>
          <w:p w14:paraId="696F88DE">
            <w:pPr>
              <w:widowControl/>
              <w:adjustRightInd/>
              <w:snapToGrid/>
              <w:spacing w:line="240" w:lineRule="auto"/>
              <w:jc w:val="center"/>
              <w:rPr>
                <w:sz w:val="18"/>
                <w:szCs w:val="18"/>
              </w:rPr>
            </w:pPr>
            <w:r>
              <w:rPr>
                <w:color w:val="000000"/>
                <w:sz w:val="18"/>
                <w:szCs w:val="18"/>
              </w:rPr>
              <w:t xml:space="preserve">49.5 </w:t>
            </w:r>
          </w:p>
        </w:tc>
        <w:tc>
          <w:tcPr>
            <w:tcW w:w="881" w:type="dxa"/>
            <w:vAlign w:val="center"/>
          </w:tcPr>
          <w:p w14:paraId="1CD07943">
            <w:pPr>
              <w:widowControl/>
              <w:adjustRightInd/>
              <w:snapToGrid/>
              <w:spacing w:line="240" w:lineRule="auto"/>
              <w:jc w:val="center"/>
              <w:rPr>
                <w:sz w:val="18"/>
                <w:szCs w:val="18"/>
              </w:rPr>
            </w:pPr>
            <w:r>
              <w:rPr>
                <w:rFonts w:hint="eastAsia"/>
                <w:color w:val="000000"/>
                <w:sz w:val="18"/>
                <w:szCs w:val="18"/>
              </w:rPr>
              <w:t xml:space="preserve">6.5 </w:t>
            </w:r>
          </w:p>
        </w:tc>
        <w:tc>
          <w:tcPr>
            <w:tcW w:w="880" w:type="dxa"/>
            <w:vAlign w:val="center"/>
          </w:tcPr>
          <w:p w14:paraId="0A3895B9">
            <w:pPr>
              <w:widowControl/>
              <w:adjustRightInd/>
              <w:snapToGrid/>
              <w:spacing w:line="240" w:lineRule="auto"/>
              <w:jc w:val="center"/>
              <w:rPr>
                <w:sz w:val="18"/>
                <w:szCs w:val="18"/>
              </w:rPr>
            </w:pPr>
            <w:r>
              <w:rPr>
                <w:rFonts w:hint="eastAsia"/>
                <w:color w:val="000000"/>
                <w:sz w:val="18"/>
                <w:szCs w:val="18"/>
              </w:rPr>
              <w:t xml:space="preserve">-0.5 </w:t>
            </w:r>
          </w:p>
        </w:tc>
        <w:tc>
          <w:tcPr>
            <w:tcW w:w="880" w:type="dxa"/>
            <w:noWrap/>
            <w:vAlign w:val="center"/>
          </w:tcPr>
          <w:p w14:paraId="6F8FB051">
            <w:pPr>
              <w:widowControl/>
              <w:adjustRightInd/>
              <w:snapToGrid/>
              <w:spacing w:line="240" w:lineRule="auto"/>
              <w:jc w:val="center"/>
              <w:rPr>
                <w:kern w:val="0"/>
                <w:sz w:val="18"/>
                <w:szCs w:val="18"/>
              </w:rPr>
            </w:pPr>
            <w:r>
              <w:rPr>
                <w:sz w:val="18"/>
                <w:szCs w:val="18"/>
              </w:rPr>
              <w:t>49.3</w:t>
            </w:r>
          </w:p>
        </w:tc>
        <w:tc>
          <w:tcPr>
            <w:tcW w:w="881" w:type="dxa"/>
            <w:noWrap/>
            <w:vAlign w:val="center"/>
          </w:tcPr>
          <w:p w14:paraId="766C168C">
            <w:pPr>
              <w:widowControl/>
              <w:adjustRightInd/>
              <w:snapToGrid/>
              <w:spacing w:line="240" w:lineRule="auto"/>
              <w:jc w:val="center"/>
              <w:rPr>
                <w:kern w:val="0"/>
                <w:sz w:val="18"/>
                <w:szCs w:val="18"/>
              </w:rPr>
            </w:pPr>
            <w:r>
              <w:rPr>
                <w:color w:val="000000"/>
                <w:sz w:val="18"/>
                <w:szCs w:val="18"/>
              </w:rPr>
              <w:t xml:space="preserve">50.2 </w:t>
            </w:r>
          </w:p>
        </w:tc>
        <w:tc>
          <w:tcPr>
            <w:tcW w:w="880" w:type="dxa"/>
            <w:noWrap/>
            <w:vAlign w:val="center"/>
          </w:tcPr>
          <w:p w14:paraId="2BA9F445">
            <w:pPr>
              <w:widowControl/>
              <w:adjustRightInd/>
              <w:snapToGrid/>
              <w:spacing w:line="240" w:lineRule="auto"/>
              <w:jc w:val="center"/>
              <w:rPr>
                <w:kern w:val="0"/>
                <w:sz w:val="18"/>
                <w:szCs w:val="18"/>
              </w:rPr>
            </w:pPr>
            <w:r>
              <w:rPr>
                <w:color w:val="000000"/>
                <w:sz w:val="18"/>
                <w:szCs w:val="18"/>
              </w:rPr>
              <w:t xml:space="preserve">7.2 </w:t>
            </w:r>
          </w:p>
        </w:tc>
        <w:tc>
          <w:tcPr>
            <w:tcW w:w="880" w:type="dxa"/>
            <w:noWrap/>
            <w:vAlign w:val="center"/>
          </w:tcPr>
          <w:p w14:paraId="320CB4D6">
            <w:pPr>
              <w:widowControl/>
              <w:adjustRightInd/>
              <w:snapToGrid/>
              <w:spacing w:line="240" w:lineRule="auto"/>
              <w:jc w:val="center"/>
              <w:rPr>
                <w:kern w:val="0"/>
                <w:sz w:val="18"/>
                <w:szCs w:val="18"/>
              </w:rPr>
            </w:pPr>
            <w:r>
              <w:rPr>
                <w:color w:val="000000"/>
                <w:sz w:val="18"/>
                <w:szCs w:val="18"/>
              </w:rPr>
              <w:t xml:space="preserve">0.2 </w:t>
            </w:r>
          </w:p>
        </w:tc>
        <w:tc>
          <w:tcPr>
            <w:tcW w:w="881" w:type="dxa"/>
            <w:noWrap/>
            <w:vAlign w:val="center"/>
          </w:tcPr>
          <w:p w14:paraId="2C82514E">
            <w:pPr>
              <w:widowControl/>
              <w:adjustRightInd/>
              <w:snapToGrid/>
              <w:spacing w:line="240" w:lineRule="auto"/>
              <w:jc w:val="center"/>
              <w:rPr>
                <w:kern w:val="0"/>
                <w:sz w:val="18"/>
                <w:szCs w:val="18"/>
              </w:rPr>
            </w:pPr>
            <w:r>
              <w:rPr>
                <w:sz w:val="18"/>
                <w:szCs w:val="18"/>
              </w:rPr>
              <w:t>50.2</w:t>
            </w:r>
          </w:p>
        </w:tc>
        <w:tc>
          <w:tcPr>
            <w:tcW w:w="880" w:type="dxa"/>
            <w:noWrap/>
            <w:vAlign w:val="center"/>
          </w:tcPr>
          <w:p w14:paraId="1E75F5D4">
            <w:pPr>
              <w:widowControl/>
              <w:adjustRightInd/>
              <w:snapToGrid/>
              <w:spacing w:line="240" w:lineRule="auto"/>
              <w:jc w:val="center"/>
              <w:rPr>
                <w:kern w:val="0"/>
                <w:sz w:val="18"/>
                <w:szCs w:val="18"/>
              </w:rPr>
            </w:pPr>
            <w:r>
              <w:rPr>
                <w:color w:val="000000"/>
                <w:sz w:val="18"/>
                <w:szCs w:val="18"/>
              </w:rPr>
              <w:t xml:space="preserve">51.0 </w:t>
            </w:r>
          </w:p>
        </w:tc>
        <w:tc>
          <w:tcPr>
            <w:tcW w:w="880" w:type="dxa"/>
            <w:noWrap/>
            <w:vAlign w:val="center"/>
          </w:tcPr>
          <w:p w14:paraId="2E648D59">
            <w:pPr>
              <w:widowControl/>
              <w:adjustRightInd/>
              <w:snapToGrid/>
              <w:spacing w:line="240" w:lineRule="auto"/>
              <w:jc w:val="center"/>
              <w:rPr>
                <w:kern w:val="0"/>
                <w:sz w:val="18"/>
                <w:szCs w:val="18"/>
              </w:rPr>
            </w:pPr>
            <w:r>
              <w:rPr>
                <w:color w:val="000000"/>
                <w:sz w:val="18"/>
                <w:szCs w:val="18"/>
              </w:rPr>
              <w:t xml:space="preserve">8.0 </w:t>
            </w:r>
          </w:p>
        </w:tc>
        <w:tc>
          <w:tcPr>
            <w:tcW w:w="881" w:type="dxa"/>
            <w:noWrap/>
            <w:vAlign w:val="center"/>
          </w:tcPr>
          <w:p w14:paraId="628F662C">
            <w:pPr>
              <w:widowControl/>
              <w:adjustRightInd/>
              <w:snapToGrid/>
              <w:spacing w:line="240" w:lineRule="auto"/>
              <w:jc w:val="center"/>
              <w:rPr>
                <w:kern w:val="0"/>
                <w:sz w:val="18"/>
                <w:szCs w:val="18"/>
              </w:rPr>
            </w:pPr>
            <w:r>
              <w:rPr>
                <w:color w:val="000000"/>
                <w:sz w:val="18"/>
                <w:szCs w:val="18"/>
              </w:rPr>
              <w:t xml:space="preserve">1.0 </w:t>
            </w:r>
          </w:p>
        </w:tc>
      </w:tr>
      <w:tr w14:paraId="70876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1E710CC">
            <w:pPr>
              <w:widowControl/>
              <w:adjustRightInd/>
              <w:snapToGrid/>
              <w:spacing w:line="240" w:lineRule="auto"/>
              <w:jc w:val="center"/>
              <w:rPr>
                <w:kern w:val="0"/>
                <w:sz w:val="18"/>
                <w:szCs w:val="18"/>
              </w:rPr>
            </w:pPr>
            <w:r>
              <w:rPr>
                <w:sz w:val="18"/>
                <w:szCs w:val="18"/>
              </w:rPr>
              <w:t>21</w:t>
            </w:r>
          </w:p>
        </w:tc>
        <w:tc>
          <w:tcPr>
            <w:tcW w:w="673" w:type="dxa"/>
            <w:vMerge w:val="restart"/>
            <w:noWrap/>
            <w:vAlign w:val="center"/>
          </w:tcPr>
          <w:p w14:paraId="087C215A">
            <w:pPr>
              <w:widowControl/>
              <w:adjustRightInd/>
              <w:snapToGrid/>
              <w:spacing w:line="240" w:lineRule="auto"/>
              <w:jc w:val="center"/>
              <w:rPr>
                <w:kern w:val="0"/>
                <w:sz w:val="18"/>
                <w:szCs w:val="18"/>
              </w:rPr>
            </w:pPr>
            <w:r>
              <w:rPr>
                <w:kern w:val="0"/>
                <w:sz w:val="18"/>
                <w:szCs w:val="18"/>
              </w:rPr>
              <w:t>规划住宅3</w:t>
            </w:r>
          </w:p>
        </w:tc>
        <w:tc>
          <w:tcPr>
            <w:tcW w:w="595" w:type="dxa"/>
            <w:vMerge w:val="restart"/>
            <w:vAlign w:val="center"/>
          </w:tcPr>
          <w:p w14:paraId="1D1838DD">
            <w:pPr>
              <w:widowControl/>
              <w:adjustRightInd/>
              <w:snapToGrid/>
              <w:spacing w:line="240" w:lineRule="auto"/>
              <w:jc w:val="center"/>
              <w:rPr>
                <w:kern w:val="0"/>
                <w:sz w:val="18"/>
                <w:szCs w:val="18"/>
              </w:rPr>
            </w:pPr>
            <w:r>
              <w:rPr>
                <w:kern w:val="0"/>
                <w:sz w:val="18"/>
                <w:szCs w:val="18"/>
              </w:rPr>
              <w:t>1.2</w:t>
            </w:r>
          </w:p>
        </w:tc>
        <w:tc>
          <w:tcPr>
            <w:tcW w:w="567" w:type="dxa"/>
            <w:vMerge w:val="restart"/>
            <w:vAlign w:val="center"/>
          </w:tcPr>
          <w:p w14:paraId="454A2E7B">
            <w:pPr>
              <w:widowControl/>
              <w:adjustRightInd/>
              <w:snapToGrid/>
              <w:spacing w:line="240" w:lineRule="auto"/>
              <w:jc w:val="center"/>
              <w:rPr>
                <w:kern w:val="0"/>
                <w:sz w:val="18"/>
                <w:szCs w:val="18"/>
              </w:rPr>
            </w:pPr>
            <w:r>
              <w:rPr>
                <w:kern w:val="0"/>
                <w:sz w:val="18"/>
                <w:szCs w:val="18"/>
              </w:rPr>
              <w:t>2类</w:t>
            </w:r>
          </w:p>
        </w:tc>
        <w:tc>
          <w:tcPr>
            <w:tcW w:w="426" w:type="dxa"/>
            <w:noWrap/>
            <w:vAlign w:val="center"/>
          </w:tcPr>
          <w:p w14:paraId="49E6075D">
            <w:pPr>
              <w:widowControl/>
              <w:adjustRightInd/>
              <w:snapToGrid/>
              <w:spacing w:line="240" w:lineRule="auto"/>
              <w:jc w:val="center"/>
              <w:rPr>
                <w:kern w:val="0"/>
                <w:sz w:val="18"/>
                <w:szCs w:val="18"/>
              </w:rPr>
            </w:pPr>
            <w:r>
              <w:rPr>
                <w:sz w:val="18"/>
                <w:szCs w:val="18"/>
              </w:rPr>
              <w:t>昼间</w:t>
            </w:r>
          </w:p>
        </w:tc>
        <w:tc>
          <w:tcPr>
            <w:tcW w:w="708" w:type="dxa"/>
            <w:noWrap/>
            <w:vAlign w:val="center"/>
          </w:tcPr>
          <w:p w14:paraId="18B55D18">
            <w:pPr>
              <w:widowControl/>
              <w:adjustRightInd/>
              <w:snapToGrid/>
              <w:spacing w:line="240" w:lineRule="auto"/>
              <w:jc w:val="center"/>
              <w:rPr>
                <w:kern w:val="0"/>
                <w:sz w:val="18"/>
                <w:szCs w:val="18"/>
              </w:rPr>
            </w:pPr>
            <w:r>
              <w:rPr>
                <w:sz w:val="18"/>
                <w:szCs w:val="18"/>
              </w:rPr>
              <w:t>60</w:t>
            </w:r>
          </w:p>
        </w:tc>
        <w:tc>
          <w:tcPr>
            <w:tcW w:w="709" w:type="dxa"/>
            <w:vMerge w:val="restart"/>
            <w:noWrap/>
            <w:vAlign w:val="center"/>
          </w:tcPr>
          <w:p w14:paraId="2175FE98">
            <w:pPr>
              <w:widowControl/>
              <w:adjustRightInd/>
              <w:snapToGrid/>
              <w:spacing w:line="240" w:lineRule="auto"/>
              <w:jc w:val="center"/>
              <w:rPr>
                <w:kern w:val="0"/>
                <w:sz w:val="18"/>
                <w:szCs w:val="18"/>
              </w:rPr>
            </w:pPr>
            <w:r>
              <w:rPr>
                <w:rFonts w:hint="eastAsia"/>
                <w:kern w:val="0"/>
                <w:sz w:val="18"/>
                <w:szCs w:val="18"/>
              </w:rPr>
              <w:t>52（昼）</w:t>
            </w:r>
          </w:p>
          <w:p w14:paraId="00C12130">
            <w:pPr>
              <w:widowControl/>
              <w:adjustRightInd/>
              <w:snapToGrid/>
              <w:spacing w:line="240" w:lineRule="auto"/>
              <w:jc w:val="center"/>
              <w:rPr>
                <w:kern w:val="0"/>
                <w:sz w:val="18"/>
                <w:szCs w:val="18"/>
              </w:rPr>
            </w:pPr>
            <w:r>
              <w:rPr>
                <w:rFonts w:hint="eastAsia"/>
                <w:kern w:val="0"/>
                <w:sz w:val="18"/>
                <w:szCs w:val="18"/>
              </w:rPr>
              <w:t>43（夜）</w:t>
            </w:r>
          </w:p>
        </w:tc>
        <w:tc>
          <w:tcPr>
            <w:tcW w:w="709" w:type="dxa"/>
            <w:vMerge w:val="restart"/>
            <w:noWrap/>
            <w:vAlign w:val="center"/>
          </w:tcPr>
          <w:p w14:paraId="1F84FC03">
            <w:pPr>
              <w:widowControl/>
              <w:adjustRightInd/>
              <w:snapToGrid/>
              <w:spacing w:line="240" w:lineRule="auto"/>
              <w:jc w:val="center"/>
              <w:rPr>
                <w:kern w:val="0"/>
                <w:sz w:val="18"/>
                <w:szCs w:val="18"/>
              </w:rPr>
            </w:pPr>
            <w:r>
              <w:rPr>
                <w:rFonts w:hint="eastAsia"/>
                <w:kern w:val="0"/>
                <w:sz w:val="18"/>
                <w:szCs w:val="18"/>
              </w:rPr>
              <w:t>52（昼）</w:t>
            </w:r>
          </w:p>
          <w:p w14:paraId="0C22DC26">
            <w:pPr>
              <w:widowControl/>
              <w:adjustRightInd/>
              <w:snapToGrid/>
              <w:spacing w:line="240" w:lineRule="auto"/>
              <w:jc w:val="center"/>
              <w:rPr>
                <w:kern w:val="0"/>
                <w:sz w:val="18"/>
                <w:szCs w:val="18"/>
              </w:rPr>
            </w:pPr>
            <w:r>
              <w:rPr>
                <w:rFonts w:hint="eastAsia"/>
                <w:kern w:val="0"/>
                <w:sz w:val="18"/>
                <w:szCs w:val="18"/>
              </w:rPr>
              <w:t>43（夜）</w:t>
            </w:r>
          </w:p>
        </w:tc>
        <w:tc>
          <w:tcPr>
            <w:tcW w:w="880" w:type="dxa"/>
          </w:tcPr>
          <w:p w14:paraId="2EB9F42E">
            <w:pPr>
              <w:widowControl/>
              <w:adjustRightInd/>
              <w:snapToGrid/>
              <w:spacing w:line="240" w:lineRule="auto"/>
              <w:jc w:val="center"/>
              <w:rPr>
                <w:color w:val="000000"/>
                <w:sz w:val="18"/>
                <w:szCs w:val="18"/>
              </w:rPr>
            </w:pPr>
            <w:r>
              <w:rPr>
                <w:rFonts w:hint="eastAsia"/>
                <w:color w:val="000000"/>
                <w:sz w:val="18"/>
                <w:szCs w:val="18"/>
              </w:rPr>
              <w:t>63.5</w:t>
            </w:r>
          </w:p>
        </w:tc>
        <w:tc>
          <w:tcPr>
            <w:tcW w:w="880" w:type="dxa"/>
            <w:vAlign w:val="center"/>
          </w:tcPr>
          <w:p w14:paraId="6BC415C7">
            <w:pPr>
              <w:widowControl/>
              <w:adjustRightInd/>
              <w:snapToGrid/>
              <w:spacing w:line="240" w:lineRule="auto"/>
              <w:jc w:val="center"/>
              <w:rPr>
                <w:color w:val="000000"/>
                <w:sz w:val="18"/>
                <w:szCs w:val="18"/>
              </w:rPr>
            </w:pPr>
            <w:r>
              <w:rPr>
                <w:color w:val="000000"/>
                <w:sz w:val="18"/>
                <w:szCs w:val="18"/>
              </w:rPr>
              <w:t xml:space="preserve">63.8 </w:t>
            </w:r>
          </w:p>
        </w:tc>
        <w:tc>
          <w:tcPr>
            <w:tcW w:w="881" w:type="dxa"/>
            <w:vAlign w:val="center"/>
          </w:tcPr>
          <w:p w14:paraId="2674A014">
            <w:pPr>
              <w:widowControl/>
              <w:adjustRightInd/>
              <w:snapToGrid/>
              <w:spacing w:line="240" w:lineRule="auto"/>
              <w:jc w:val="center"/>
              <w:rPr>
                <w:color w:val="000000"/>
                <w:sz w:val="18"/>
                <w:szCs w:val="18"/>
              </w:rPr>
            </w:pPr>
            <w:r>
              <w:rPr>
                <w:rFonts w:hint="eastAsia"/>
                <w:color w:val="000000"/>
                <w:sz w:val="18"/>
                <w:szCs w:val="18"/>
              </w:rPr>
              <w:t xml:space="preserve">11.8 </w:t>
            </w:r>
          </w:p>
        </w:tc>
        <w:tc>
          <w:tcPr>
            <w:tcW w:w="880" w:type="dxa"/>
            <w:vAlign w:val="center"/>
          </w:tcPr>
          <w:p w14:paraId="708B8166">
            <w:pPr>
              <w:widowControl/>
              <w:adjustRightInd/>
              <w:snapToGrid/>
              <w:spacing w:line="240" w:lineRule="auto"/>
              <w:jc w:val="center"/>
              <w:rPr>
                <w:color w:val="000000"/>
                <w:sz w:val="18"/>
                <w:szCs w:val="18"/>
              </w:rPr>
            </w:pPr>
            <w:r>
              <w:rPr>
                <w:rFonts w:hint="eastAsia"/>
                <w:color w:val="000000"/>
                <w:sz w:val="18"/>
                <w:szCs w:val="18"/>
              </w:rPr>
              <w:t xml:space="preserve">3.8 </w:t>
            </w:r>
          </w:p>
        </w:tc>
        <w:tc>
          <w:tcPr>
            <w:tcW w:w="880" w:type="dxa"/>
            <w:noWrap/>
            <w:vAlign w:val="center"/>
          </w:tcPr>
          <w:p w14:paraId="221AE9F8">
            <w:pPr>
              <w:widowControl/>
              <w:adjustRightInd/>
              <w:snapToGrid/>
              <w:spacing w:line="240" w:lineRule="auto"/>
              <w:jc w:val="center"/>
              <w:rPr>
                <w:kern w:val="0"/>
                <w:sz w:val="18"/>
                <w:szCs w:val="18"/>
              </w:rPr>
            </w:pPr>
            <w:r>
              <w:rPr>
                <w:rFonts w:hint="eastAsia"/>
                <w:color w:val="000000"/>
                <w:sz w:val="18"/>
                <w:szCs w:val="18"/>
              </w:rPr>
              <w:t>64.4</w:t>
            </w:r>
          </w:p>
        </w:tc>
        <w:tc>
          <w:tcPr>
            <w:tcW w:w="881" w:type="dxa"/>
            <w:noWrap/>
            <w:vAlign w:val="center"/>
          </w:tcPr>
          <w:p w14:paraId="7D8EA64F">
            <w:pPr>
              <w:widowControl/>
              <w:adjustRightInd/>
              <w:snapToGrid/>
              <w:spacing w:line="240" w:lineRule="auto"/>
              <w:jc w:val="center"/>
              <w:rPr>
                <w:kern w:val="0"/>
                <w:sz w:val="18"/>
                <w:szCs w:val="18"/>
              </w:rPr>
            </w:pPr>
            <w:r>
              <w:rPr>
                <w:color w:val="000000"/>
                <w:sz w:val="18"/>
                <w:szCs w:val="18"/>
              </w:rPr>
              <w:t xml:space="preserve">64.6 </w:t>
            </w:r>
          </w:p>
        </w:tc>
        <w:tc>
          <w:tcPr>
            <w:tcW w:w="880" w:type="dxa"/>
            <w:noWrap/>
            <w:vAlign w:val="center"/>
          </w:tcPr>
          <w:p w14:paraId="648F0F05">
            <w:pPr>
              <w:widowControl/>
              <w:adjustRightInd/>
              <w:snapToGrid/>
              <w:spacing w:line="240" w:lineRule="auto"/>
              <w:jc w:val="center"/>
              <w:rPr>
                <w:kern w:val="0"/>
                <w:sz w:val="18"/>
                <w:szCs w:val="18"/>
              </w:rPr>
            </w:pPr>
            <w:r>
              <w:rPr>
                <w:color w:val="000000"/>
                <w:sz w:val="18"/>
                <w:szCs w:val="18"/>
              </w:rPr>
              <w:t xml:space="preserve">12.6 </w:t>
            </w:r>
          </w:p>
        </w:tc>
        <w:tc>
          <w:tcPr>
            <w:tcW w:w="880" w:type="dxa"/>
            <w:noWrap/>
            <w:vAlign w:val="center"/>
          </w:tcPr>
          <w:p w14:paraId="5F40296D">
            <w:pPr>
              <w:widowControl/>
              <w:adjustRightInd/>
              <w:snapToGrid/>
              <w:spacing w:line="240" w:lineRule="auto"/>
              <w:jc w:val="center"/>
              <w:rPr>
                <w:kern w:val="0"/>
                <w:sz w:val="18"/>
                <w:szCs w:val="18"/>
              </w:rPr>
            </w:pPr>
            <w:r>
              <w:rPr>
                <w:color w:val="000000"/>
                <w:sz w:val="18"/>
                <w:szCs w:val="18"/>
              </w:rPr>
              <w:t xml:space="preserve">4.6 </w:t>
            </w:r>
          </w:p>
        </w:tc>
        <w:tc>
          <w:tcPr>
            <w:tcW w:w="881" w:type="dxa"/>
            <w:noWrap/>
            <w:vAlign w:val="center"/>
          </w:tcPr>
          <w:p w14:paraId="3B82290B">
            <w:pPr>
              <w:widowControl/>
              <w:adjustRightInd/>
              <w:snapToGrid/>
              <w:spacing w:line="240" w:lineRule="auto"/>
              <w:jc w:val="center"/>
              <w:rPr>
                <w:kern w:val="0"/>
                <w:sz w:val="18"/>
                <w:szCs w:val="18"/>
              </w:rPr>
            </w:pPr>
            <w:r>
              <w:rPr>
                <w:kern w:val="0"/>
                <w:sz w:val="18"/>
                <w:szCs w:val="18"/>
              </w:rPr>
              <w:t>65.3</w:t>
            </w:r>
          </w:p>
        </w:tc>
        <w:tc>
          <w:tcPr>
            <w:tcW w:w="880" w:type="dxa"/>
            <w:noWrap/>
            <w:vAlign w:val="center"/>
          </w:tcPr>
          <w:p w14:paraId="0B6D5ACC">
            <w:pPr>
              <w:widowControl/>
              <w:adjustRightInd/>
              <w:snapToGrid/>
              <w:spacing w:line="240" w:lineRule="auto"/>
              <w:jc w:val="center"/>
              <w:rPr>
                <w:kern w:val="0"/>
                <w:sz w:val="18"/>
                <w:szCs w:val="18"/>
              </w:rPr>
            </w:pPr>
            <w:r>
              <w:rPr>
                <w:color w:val="000000"/>
                <w:sz w:val="18"/>
                <w:szCs w:val="18"/>
              </w:rPr>
              <w:t xml:space="preserve">65.5 </w:t>
            </w:r>
          </w:p>
        </w:tc>
        <w:tc>
          <w:tcPr>
            <w:tcW w:w="880" w:type="dxa"/>
            <w:noWrap/>
            <w:vAlign w:val="center"/>
          </w:tcPr>
          <w:p w14:paraId="7D4108BE">
            <w:pPr>
              <w:widowControl/>
              <w:adjustRightInd/>
              <w:snapToGrid/>
              <w:spacing w:line="240" w:lineRule="auto"/>
              <w:jc w:val="center"/>
              <w:rPr>
                <w:kern w:val="0"/>
                <w:sz w:val="18"/>
                <w:szCs w:val="18"/>
              </w:rPr>
            </w:pPr>
            <w:r>
              <w:rPr>
                <w:color w:val="000000"/>
                <w:sz w:val="18"/>
                <w:szCs w:val="18"/>
              </w:rPr>
              <w:t xml:space="preserve">13.5 </w:t>
            </w:r>
          </w:p>
        </w:tc>
        <w:tc>
          <w:tcPr>
            <w:tcW w:w="881" w:type="dxa"/>
            <w:noWrap/>
            <w:vAlign w:val="center"/>
          </w:tcPr>
          <w:p w14:paraId="42F9498C">
            <w:pPr>
              <w:widowControl/>
              <w:adjustRightInd/>
              <w:snapToGrid/>
              <w:spacing w:line="240" w:lineRule="auto"/>
              <w:jc w:val="center"/>
              <w:rPr>
                <w:kern w:val="0"/>
                <w:sz w:val="18"/>
                <w:szCs w:val="18"/>
              </w:rPr>
            </w:pPr>
            <w:r>
              <w:rPr>
                <w:color w:val="000000"/>
                <w:sz w:val="18"/>
                <w:szCs w:val="18"/>
              </w:rPr>
              <w:t xml:space="preserve">5.5 </w:t>
            </w:r>
          </w:p>
        </w:tc>
      </w:tr>
      <w:tr w14:paraId="2AF8D2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15C7DFD6">
            <w:pPr>
              <w:widowControl/>
              <w:adjustRightInd/>
              <w:snapToGrid/>
              <w:spacing w:line="240" w:lineRule="auto"/>
              <w:jc w:val="center"/>
              <w:rPr>
                <w:kern w:val="0"/>
                <w:sz w:val="18"/>
                <w:szCs w:val="18"/>
              </w:rPr>
            </w:pPr>
            <w:r>
              <w:rPr>
                <w:sz w:val="18"/>
                <w:szCs w:val="18"/>
              </w:rPr>
              <w:t>22</w:t>
            </w:r>
          </w:p>
        </w:tc>
        <w:tc>
          <w:tcPr>
            <w:tcW w:w="673" w:type="dxa"/>
            <w:vMerge w:val="continue"/>
            <w:vAlign w:val="center"/>
          </w:tcPr>
          <w:p w14:paraId="2FE2DBB3">
            <w:pPr>
              <w:widowControl/>
              <w:adjustRightInd/>
              <w:snapToGrid/>
              <w:spacing w:line="240" w:lineRule="auto"/>
              <w:jc w:val="left"/>
              <w:rPr>
                <w:kern w:val="0"/>
                <w:sz w:val="18"/>
                <w:szCs w:val="18"/>
              </w:rPr>
            </w:pPr>
          </w:p>
        </w:tc>
        <w:tc>
          <w:tcPr>
            <w:tcW w:w="595" w:type="dxa"/>
            <w:vMerge w:val="continue"/>
            <w:vAlign w:val="center"/>
          </w:tcPr>
          <w:p w14:paraId="2D133C64">
            <w:pPr>
              <w:widowControl/>
              <w:adjustRightInd/>
              <w:snapToGrid/>
              <w:spacing w:line="240" w:lineRule="auto"/>
              <w:jc w:val="left"/>
              <w:rPr>
                <w:kern w:val="0"/>
                <w:sz w:val="18"/>
                <w:szCs w:val="18"/>
              </w:rPr>
            </w:pPr>
          </w:p>
        </w:tc>
        <w:tc>
          <w:tcPr>
            <w:tcW w:w="567" w:type="dxa"/>
            <w:vMerge w:val="continue"/>
            <w:vAlign w:val="center"/>
          </w:tcPr>
          <w:p w14:paraId="5600A46A">
            <w:pPr>
              <w:widowControl/>
              <w:adjustRightInd/>
              <w:snapToGrid/>
              <w:spacing w:line="240" w:lineRule="auto"/>
              <w:jc w:val="left"/>
              <w:rPr>
                <w:kern w:val="0"/>
                <w:sz w:val="18"/>
                <w:szCs w:val="18"/>
              </w:rPr>
            </w:pPr>
          </w:p>
        </w:tc>
        <w:tc>
          <w:tcPr>
            <w:tcW w:w="426" w:type="dxa"/>
            <w:noWrap/>
            <w:vAlign w:val="center"/>
          </w:tcPr>
          <w:p w14:paraId="71B05969">
            <w:pPr>
              <w:widowControl/>
              <w:adjustRightInd/>
              <w:snapToGrid/>
              <w:spacing w:line="240" w:lineRule="auto"/>
              <w:jc w:val="center"/>
              <w:rPr>
                <w:kern w:val="0"/>
                <w:sz w:val="18"/>
                <w:szCs w:val="18"/>
              </w:rPr>
            </w:pPr>
            <w:r>
              <w:rPr>
                <w:sz w:val="18"/>
                <w:szCs w:val="18"/>
              </w:rPr>
              <w:t>夜间</w:t>
            </w:r>
          </w:p>
        </w:tc>
        <w:tc>
          <w:tcPr>
            <w:tcW w:w="708" w:type="dxa"/>
            <w:noWrap/>
            <w:vAlign w:val="center"/>
          </w:tcPr>
          <w:p w14:paraId="1563085C">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1344649A">
            <w:pPr>
              <w:widowControl/>
              <w:adjustRightInd/>
              <w:snapToGrid/>
              <w:spacing w:line="240" w:lineRule="auto"/>
              <w:jc w:val="center"/>
              <w:rPr>
                <w:kern w:val="0"/>
                <w:sz w:val="18"/>
                <w:szCs w:val="18"/>
              </w:rPr>
            </w:pPr>
          </w:p>
        </w:tc>
        <w:tc>
          <w:tcPr>
            <w:tcW w:w="709" w:type="dxa"/>
            <w:vMerge w:val="continue"/>
            <w:noWrap/>
            <w:vAlign w:val="center"/>
          </w:tcPr>
          <w:p w14:paraId="41D41DBE">
            <w:pPr>
              <w:widowControl/>
              <w:adjustRightInd/>
              <w:snapToGrid/>
              <w:spacing w:line="240" w:lineRule="auto"/>
              <w:jc w:val="center"/>
              <w:rPr>
                <w:kern w:val="0"/>
                <w:sz w:val="18"/>
                <w:szCs w:val="18"/>
              </w:rPr>
            </w:pPr>
          </w:p>
        </w:tc>
        <w:tc>
          <w:tcPr>
            <w:tcW w:w="880" w:type="dxa"/>
          </w:tcPr>
          <w:p w14:paraId="610BE1E8">
            <w:pPr>
              <w:widowControl/>
              <w:adjustRightInd/>
              <w:snapToGrid/>
              <w:spacing w:line="240" w:lineRule="auto"/>
              <w:jc w:val="center"/>
              <w:rPr>
                <w:kern w:val="0"/>
                <w:sz w:val="18"/>
                <w:szCs w:val="18"/>
              </w:rPr>
            </w:pPr>
            <w:r>
              <w:rPr>
                <w:rFonts w:hint="eastAsia"/>
                <w:color w:val="000000"/>
                <w:sz w:val="18"/>
                <w:szCs w:val="18"/>
              </w:rPr>
              <w:t>51.9</w:t>
            </w:r>
          </w:p>
        </w:tc>
        <w:tc>
          <w:tcPr>
            <w:tcW w:w="880" w:type="dxa"/>
            <w:vAlign w:val="center"/>
          </w:tcPr>
          <w:p w14:paraId="5DEE3C4D">
            <w:pPr>
              <w:widowControl/>
              <w:adjustRightInd/>
              <w:snapToGrid/>
              <w:spacing w:line="240" w:lineRule="auto"/>
              <w:jc w:val="center"/>
              <w:rPr>
                <w:kern w:val="0"/>
                <w:sz w:val="18"/>
                <w:szCs w:val="18"/>
              </w:rPr>
            </w:pPr>
            <w:r>
              <w:rPr>
                <w:color w:val="000000"/>
                <w:sz w:val="18"/>
                <w:szCs w:val="18"/>
              </w:rPr>
              <w:t xml:space="preserve">52.4 </w:t>
            </w:r>
          </w:p>
        </w:tc>
        <w:tc>
          <w:tcPr>
            <w:tcW w:w="881" w:type="dxa"/>
            <w:vAlign w:val="center"/>
          </w:tcPr>
          <w:p w14:paraId="70FD490E">
            <w:pPr>
              <w:widowControl/>
              <w:adjustRightInd/>
              <w:snapToGrid/>
              <w:spacing w:line="240" w:lineRule="auto"/>
              <w:jc w:val="center"/>
              <w:rPr>
                <w:kern w:val="0"/>
                <w:sz w:val="18"/>
                <w:szCs w:val="18"/>
              </w:rPr>
            </w:pPr>
            <w:r>
              <w:rPr>
                <w:rFonts w:hint="eastAsia"/>
                <w:color w:val="000000"/>
                <w:sz w:val="18"/>
                <w:szCs w:val="18"/>
              </w:rPr>
              <w:t xml:space="preserve">9.4 </w:t>
            </w:r>
          </w:p>
        </w:tc>
        <w:tc>
          <w:tcPr>
            <w:tcW w:w="880" w:type="dxa"/>
            <w:vAlign w:val="center"/>
          </w:tcPr>
          <w:p w14:paraId="3FD09C8E">
            <w:pPr>
              <w:widowControl/>
              <w:adjustRightInd/>
              <w:snapToGrid/>
              <w:spacing w:line="240" w:lineRule="auto"/>
              <w:jc w:val="center"/>
              <w:rPr>
                <w:kern w:val="0"/>
                <w:sz w:val="18"/>
                <w:szCs w:val="18"/>
              </w:rPr>
            </w:pPr>
            <w:r>
              <w:rPr>
                <w:rFonts w:hint="eastAsia"/>
                <w:color w:val="000000"/>
                <w:sz w:val="18"/>
                <w:szCs w:val="18"/>
              </w:rPr>
              <w:t xml:space="preserve">2.4 </w:t>
            </w:r>
          </w:p>
        </w:tc>
        <w:tc>
          <w:tcPr>
            <w:tcW w:w="880" w:type="dxa"/>
            <w:noWrap/>
            <w:vAlign w:val="center"/>
          </w:tcPr>
          <w:p w14:paraId="685FFE33">
            <w:pPr>
              <w:widowControl/>
              <w:adjustRightInd/>
              <w:snapToGrid/>
              <w:spacing w:line="240" w:lineRule="auto"/>
              <w:jc w:val="center"/>
              <w:rPr>
                <w:kern w:val="0"/>
                <w:sz w:val="18"/>
                <w:szCs w:val="18"/>
              </w:rPr>
            </w:pPr>
            <w:r>
              <w:rPr>
                <w:kern w:val="0"/>
                <w:sz w:val="18"/>
                <w:szCs w:val="18"/>
              </w:rPr>
              <w:t>52.8</w:t>
            </w:r>
          </w:p>
        </w:tc>
        <w:tc>
          <w:tcPr>
            <w:tcW w:w="881" w:type="dxa"/>
            <w:noWrap/>
            <w:vAlign w:val="center"/>
          </w:tcPr>
          <w:p w14:paraId="45A7C8DD">
            <w:pPr>
              <w:widowControl/>
              <w:adjustRightInd/>
              <w:snapToGrid/>
              <w:spacing w:line="240" w:lineRule="auto"/>
              <w:jc w:val="center"/>
              <w:rPr>
                <w:kern w:val="0"/>
                <w:sz w:val="18"/>
                <w:szCs w:val="18"/>
              </w:rPr>
            </w:pPr>
            <w:r>
              <w:rPr>
                <w:color w:val="000000"/>
                <w:sz w:val="18"/>
                <w:szCs w:val="18"/>
              </w:rPr>
              <w:t xml:space="preserve">53.2 </w:t>
            </w:r>
          </w:p>
        </w:tc>
        <w:tc>
          <w:tcPr>
            <w:tcW w:w="880" w:type="dxa"/>
            <w:noWrap/>
            <w:vAlign w:val="center"/>
          </w:tcPr>
          <w:p w14:paraId="50D1940F">
            <w:pPr>
              <w:widowControl/>
              <w:adjustRightInd/>
              <w:snapToGrid/>
              <w:spacing w:line="240" w:lineRule="auto"/>
              <w:jc w:val="center"/>
              <w:rPr>
                <w:kern w:val="0"/>
                <w:sz w:val="18"/>
                <w:szCs w:val="18"/>
              </w:rPr>
            </w:pPr>
            <w:r>
              <w:rPr>
                <w:color w:val="000000"/>
                <w:sz w:val="18"/>
                <w:szCs w:val="18"/>
              </w:rPr>
              <w:t xml:space="preserve">10.2 </w:t>
            </w:r>
          </w:p>
        </w:tc>
        <w:tc>
          <w:tcPr>
            <w:tcW w:w="880" w:type="dxa"/>
            <w:noWrap/>
            <w:vAlign w:val="center"/>
          </w:tcPr>
          <w:p w14:paraId="1329F21F">
            <w:pPr>
              <w:widowControl/>
              <w:adjustRightInd/>
              <w:snapToGrid/>
              <w:spacing w:line="240" w:lineRule="auto"/>
              <w:jc w:val="center"/>
              <w:rPr>
                <w:kern w:val="0"/>
                <w:sz w:val="18"/>
                <w:szCs w:val="18"/>
              </w:rPr>
            </w:pPr>
            <w:r>
              <w:rPr>
                <w:color w:val="000000"/>
                <w:sz w:val="18"/>
                <w:szCs w:val="18"/>
              </w:rPr>
              <w:t xml:space="preserve">3.2 </w:t>
            </w:r>
          </w:p>
        </w:tc>
        <w:tc>
          <w:tcPr>
            <w:tcW w:w="881" w:type="dxa"/>
            <w:noWrap/>
            <w:vAlign w:val="center"/>
          </w:tcPr>
          <w:p w14:paraId="4B3A4D9A">
            <w:pPr>
              <w:widowControl/>
              <w:adjustRightInd/>
              <w:snapToGrid/>
              <w:spacing w:line="240" w:lineRule="auto"/>
              <w:jc w:val="center"/>
              <w:rPr>
                <w:kern w:val="0"/>
                <w:sz w:val="18"/>
                <w:szCs w:val="18"/>
              </w:rPr>
            </w:pPr>
            <w:r>
              <w:rPr>
                <w:kern w:val="0"/>
                <w:sz w:val="18"/>
                <w:szCs w:val="18"/>
              </w:rPr>
              <w:t>53.8</w:t>
            </w:r>
          </w:p>
        </w:tc>
        <w:tc>
          <w:tcPr>
            <w:tcW w:w="880" w:type="dxa"/>
            <w:noWrap/>
            <w:vAlign w:val="center"/>
          </w:tcPr>
          <w:p w14:paraId="16BFEB95">
            <w:pPr>
              <w:widowControl/>
              <w:adjustRightInd/>
              <w:snapToGrid/>
              <w:spacing w:line="240" w:lineRule="auto"/>
              <w:jc w:val="center"/>
              <w:rPr>
                <w:kern w:val="0"/>
                <w:sz w:val="18"/>
                <w:szCs w:val="18"/>
              </w:rPr>
            </w:pPr>
            <w:r>
              <w:rPr>
                <w:color w:val="000000"/>
                <w:sz w:val="18"/>
                <w:szCs w:val="18"/>
              </w:rPr>
              <w:t xml:space="preserve">54.1 </w:t>
            </w:r>
          </w:p>
        </w:tc>
        <w:tc>
          <w:tcPr>
            <w:tcW w:w="880" w:type="dxa"/>
            <w:noWrap/>
            <w:vAlign w:val="center"/>
          </w:tcPr>
          <w:p w14:paraId="5BBD766A">
            <w:pPr>
              <w:widowControl/>
              <w:adjustRightInd/>
              <w:snapToGrid/>
              <w:spacing w:line="240" w:lineRule="auto"/>
              <w:jc w:val="center"/>
              <w:rPr>
                <w:kern w:val="0"/>
                <w:sz w:val="18"/>
                <w:szCs w:val="18"/>
              </w:rPr>
            </w:pPr>
            <w:r>
              <w:rPr>
                <w:color w:val="000000"/>
                <w:sz w:val="18"/>
                <w:szCs w:val="18"/>
              </w:rPr>
              <w:t xml:space="preserve">11.1 </w:t>
            </w:r>
          </w:p>
        </w:tc>
        <w:tc>
          <w:tcPr>
            <w:tcW w:w="881" w:type="dxa"/>
            <w:noWrap/>
            <w:vAlign w:val="center"/>
          </w:tcPr>
          <w:p w14:paraId="0E749EB2">
            <w:pPr>
              <w:widowControl/>
              <w:adjustRightInd/>
              <w:snapToGrid/>
              <w:spacing w:line="240" w:lineRule="auto"/>
              <w:jc w:val="center"/>
              <w:rPr>
                <w:kern w:val="0"/>
                <w:sz w:val="18"/>
                <w:szCs w:val="18"/>
              </w:rPr>
            </w:pPr>
            <w:r>
              <w:rPr>
                <w:color w:val="000000"/>
                <w:sz w:val="18"/>
                <w:szCs w:val="18"/>
              </w:rPr>
              <w:t xml:space="preserve">4.1 </w:t>
            </w:r>
          </w:p>
        </w:tc>
      </w:tr>
      <w:tr w14:paraId="63FB3D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26B06F6A">
            <w:pPr>
              <w:widowControl/>
              <w:adjustRightInd/>
              <w:snapToGrid/>
              <w:spacing w:line="240" w:lineRule="auto"/>
              <w:jc w:val="center"/>
              <w:rPr>
                <w:kern w:val="0"/>
                <w:sz w:val="18"/>
                <w:szCs w:val="18"/>
              </w:rPr>
            </w:pPr>
            <w:r>
              <w:rPr>
                <w:sz w:val="18"/>
                <w:szCs w:val="18"/>
              </w:rPr>
              <w:t>23</w:t>
            </w:r>
          </w:p>
        </w:tc>
        <w:tc>
          <w:tcPr>
            <w:tcW w:w="673" w:type="dxa"/>
            <w:vMerge w:val="continue"/>
            <w:vAlign w:val="center"/>
          </w:tcPr>
          <w:p w14:paraId="59AEF319">
            <w:pPr>
              <w:widowControl/>
              <w:adjustRightInd/>
              <w:snapToGrid/>
              <w:spacing w:line="240" w:lineRule="auto"/>
              <w:jc w:val="left"/>
              <w:rPr>
                <w:kern w:val="0"/>
                <w:sz w:val="18"/>
                <w:szCs w:val="18"/>
              </w:rPr>
            </w:pPr>
          </w:p>
        </w:tc>
        <w:tc>
          <w:tcPr>
            <w:tcW w:w="595" w:type="dxa"/>
            <w:vMerge w:val="restart"/>
            <w:vAlign w:val="center"/>
          </w:tcPr>
          <w:p w14:paraId="27B0EBC3">
            <w:pPr>
              <w:widowControl/>
              <w:adjustRightInd/>
              <w:snapToGrid/>
              <w:spacing w:line="240" w:lineRule="auto"/>
              <w:jc w:val="center"/>
              <w:rPr>
                <w:kern w:val="0"/>
                <w:sz w:val="18"/>
                <w:szCs w:val="18"/>
              </w:rPr>
            </w:pPr>
            <w:r>
              <w:rPr>
                <w:kern w:val="0"/>
                <w:sz w:val="18"/>
                <w:szCs w:val="18"/>
              </w:rPr>
              <w:t>16.2</w:t>
            </w:r>
          </w:p>
        </w:tc>
        <w:tc>
          <w:tcPr>
            <w:tcW w:w="567" w:type="dxa"/>
            <w:vMerge w:val="continue"/>
            <w:vAlign w:val="center"/>
          </w:tcPr>
          <w:p w14:paraId="49515DF9">
            <w:pPr>
              <w:widowControl/>
              <w:adjustRightInd/>
              <w:snapToGrid/>
              <w:spacing w:line="240" w:lineRule="auto"/>
              <w:jc w:val="left"/>
              <w:rPr>
                <w:kern w:val="0"/>
                <w:sz w:val="18"/>
                <w:szCs w:val="18"/>
              </w:rPr>
            </w:pPr>
          </w:p>
        </w:tc>
        <w:tc>
          <w:tcPr>
            <w:tcW w:w="426" w:type="dxa"/>
            <w:noWrap/>
            <w:vAlign w:val="center"/>
          </w:tcPr>
          <w:p w14:paraId="518EF3E5">
            <w:pPr>
              <w:widowControl/>
              <w:adjustRightInd/>
              <w:snapToGrid/>
              <w:spacing w:line="240" w:lineRule="auto"/>
              <w:jc w:val="center"/>
              <w:rPr>
                <w:kern w:val="0"/>
                <w:sz w:val="18"/>
                <w:szCs w:val="18"/>
              </w:rPr>
            </w:pPr>
            <w:r>
              <w:rPr>
                <w:sz w:val="18"/>
                <w:szCs w:val="18"/>
              </w:rPr>
              <w:t>昼间</w:t>
            </w:r>
          </w:p>
        </w:tc>
        <w:tc>
          <w:tcPr>
            <w:tcW w:w="708" w:type="dxa"/>
            <w:noWrap/>
            <w:vAlign w:val="center"/>
          </w:tcPr>
          <w:p w14:paraId="742F7B3E">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5C97FEAB">
            <w:pPr>
              <w:widowControl/>
              <w:adjustRightInd/>
              <w:snapToGrid/>
              <w:spacing w:line="240" w:lineRule="auto"/>
              <w:jc w:val="center"/>
              <w:rPr>
                <w:kern w:val="0"/>
                <w:sz w:val="18"/>
                <w:szCs w:val="18"/>
              </w:rPr>
            </w:pPr>
          </w:p>
        </w:tc>
        <w:tc>
          <w:tcPr>
            <w:tcW w:w="709" w:type="dxa"/>
            <w:vMerge w:val="continue"/>
            <w:noWrap/>
            <w:vAlign w:val="center"/>
          </w:tcPr>
          <w:p w14:paraId="4E11DDC8">
            <w:pPr>
              <w:widowControl/>
              <w:adjustRightInd/>
              <w:snapToGrid/>
              <w:spacing w:line="240" w:lineRule="auto"/>
              <w:jc w:val="center"/>
              <w:rPr>
                <w:kern w:val="0"/>
                <w:sz w:val="18"/>
                <w:szCs w:val="18"/>
              </w:rPr>
            </w:pPr>
          </w:p>
        </w:tc>
        <w:tc>
          <w:tcPr>
            <w:tcW w:w="880" w:type="dxa"/>
          </w:tcPr>
          <w:p w14:paraId="68293D71">
            <w:pPr>
              <w:widowControl/>
              <w:adjustRightInd/>
              <w:snapToGrid/>
              <w:spacing w:line="240" w:lineRule="auto"/>
              <w:jc w:val="center"/>
              <w:rPr>
                <w:color w:val="000000"/>
                <w:sz w:val="18"/>
                <w:szCs w:val="18"/>
              </w:rPr>
            </w:pPr>
            <w:r>
              <w:rPr>
                <w:rFonts w:hint="eastAsia"/>
                <w:color w:val="000000"/>
                <w:sz w:val="18"/>
                <w:szCs w:val="18"/>
              </w:rPr>
              <w:t>66</w:t>
            </w:r>
          </w:p>
        </w:tc>
        <w:tc>
          <w:tcPr>
            <w:tcW w:w="880" w:type="dxa"/>
            <w:vAlign w:val="center"/>
          </w:tcPr>
          <w:p w14:paraId="77BFB3FB">
            <w:pPr>
              <w:widowControl/>
              <w:adjustRightInd/>
              <w:snapToGrid/>
              <w:spacing w:line="240" w:lineRule="auto"/>
              <w:jc w:val="center"/>
              <w:rPr>
                <w:color w:val="000000"/>
                <w:sz w:val="18"/>
                <w:szCs w:val="18"/>
              </w:rPr>
            </w:pPr>
            <w:r>
              <w:rPr>
                <w:color w:val="000000"/>
                <w:sz w:val="18"/>
                <w:szCs w:val="18"/>
              </w:rPr>
              <w:t xml:space="preserve">66.2 </w:t>
            </w:r>
          </w:p>
        </w:tc>
        <w:tc>
          <w:tcPr>
            <w:tcW w:w="881" w:type="dxa"/>
            <w:vAlign w:val="center"/>
          </w:tcPr>
          <w:p w14:paraId="5624FBA2">
            <w:pPr>
              <w:widowControl/>
              <w:adjustRightInd/>
              <w:snapToGrid/>
              <w:spacing w:line="240" w:lineRule="auto"/>
              <w:jc w:val="center"/>
              <w:rPr>
                <w:color w:val="000000"/>
                <w:sz w:val="18"/>
                <w:szCs w:val="18"/>
              </w:rPr>
            </w:pPr>
            <w:r>
              <w:rPr>
                <w:rFonts w:hint="eastAsia"/>
                <w:color w:val="000000"/>
                <w:sz w:val="18"/>
                <w:szCs w:val="18"/>
              </w:rPr>
              <w:t xml:space="preserve">14.2 </w:t>
            </w:r>
          </w:p>
        </w:tc>
        <w:tc>
          <w:tcPr>
            <w:tcW w:w="880" w:type="dxa"/>
            <w:vAlign w:val="center"/>
          </w:tcPr>
          <w:p w14:paraId="0831CDDA">
            <w:pPr>
              <w:widowControl/>
              <w:adjustRightInd/>
              <w:snapToGrid/>
              <w:spacing w:line="240" w:lineRule="auto"/>
              <w:jc w:val="center"/>
              <w:rPr>
                <w:color w:val="000000"/>
                <w:sz w:val="18"/>
                <w:szCs w:val="18"/>
              </w:rPr>
            </w:pPr>
            <w:r>
              <w:rPr>
                <w:rFonts w:hint="eastAsia"/>
                <w:color w:val="000000"/>
                <w:sz w:val="18"/>
                <w:szCs w:val="18"/>
              </w:rPr>
              <w:t xml:space="preserve">6.2 </w:t>
            </w:r>
          </w:p>
        </w:tc>
        <w:tc>
          <w:tcPr>
            <w:tcW w:w="880" w:type="dxa"/>
            <w:noWrap/>
            <w:vAlign w:val="center"/>
          </w:tcPr>
          <w:p w14:paraId="2AF35883">
            <w:pPr>
              <w:widowControl/>
              <w:adjustRightInd/>
              <w:snapToGrid/>
              <w:spacing w:line="240" w:lineRule="auto"/>
              <w:jc w:val="center"/>
              <w:rPr>
                <w:kern w:val="0"/>
                <w:sz w:val="18"/>
                <w:szCs w:val="18"/>
              </w:rPr>
            </w:pPr>
            <w:r>
              <w:rPr>
                <w:rFonts w:hint="eastAsia"/>
                <w:color w:val="000000"/>
                <w:sz w:val="18"/>
                <w:szCs w:val="18"/>
              </w:rPr>
              <w:t>66.8</w:t>
            </w:r>
          </w:p>
        </w:tc>
        <w:tc>
          <w:tcPr>
            <w:tcW w:w="881" w:type="dxa"/>
            <w:noWrap/>
            <w:vAlign w:val="center"/>
          </w:tcPr>
          <w:p w14:paraId="549764BE">
            <w:pPr>
              <w:widowControl/>
              <w:adjustRightInd/>
              <w:snapToGrid/>
              <w:spacing w:line="240" w:lineRule="auto"/>
              <w:jc w:val="center"/>
              <w:rPr>
                <w:kern w:val="0"/>
                <w:sz w:val="18"/>
                <w:szCs w:val="18"/>
              </w:rPr>
            </w:pPr>
            <w:r>
              <w:rPr>
                <w:color w:val="000000"/>
                <w:sz w:val="18"/>
                <w:szCs w:val="18"/>
              </w:rPr>
              <w:t xml:space="preserve">66.9 </w:t>
            </w:r>
          </w:p>
        </w:tc>
        <w:tc>
          <w:tcPr>
            <w:tcW w:w="880" w:type="dxa"/>
            <w:noWrap/>
            <w:vAlign w:val="center"/>
          </w:tcPr>
          <w:p w14:paraId="4F00ADFB">
            <w:pPr>
              <w:widowControl/>
              <w:adjustRightInd/>
              <w:snapToGrid/>
              <w:spacing w:line="240" w:lineRule="auto"/>
              <w:jc w:val="center"/>
              <w:rPr>
                <w:kern w:val="0"/>
                <w:sz w:val="18"/>
                <w:szCs w:val="18"/>
              </w:rPr>
            </w:pPr>
            <w:r>
              <w:rPr>
                <w:color w:val="000000"/>
                <w:sz w:val="18"/>
                <w:szCs w:val="18"/>
              </w:rPr>
              <w:t xml:space="preserve">14.9 </w:t>
            </w:r>
          </w:p>
        </w:tc>
        <w:tc>
          <w:tcPr>
            <w:tcW w:w="880" w:type="dxa"/>
            <w:noWrap/>
            <w:vAlign w:val="center"/>
          </w:tcPr>
          <w:p w14:paraId="681F51AB">
            <w:pPr>
              <w:widowControl/>
              <w:adjustRightInd/>
              <w:snapToGrid/>
              <w:spacing w:line="240" w:lineRule="auto"/>
              <w:jc w:val="center"/>
              <w:rPr>
                <w:kern w:val="0"/>
                <w:sz w:val="18"/>
                <w:szCs w:val="18"/>
              </w:rPr>
            </w:pPr>
            <w:r>
              <w:rPr>
                <w:color w:val="000000"/>
                <w:sz w:val="18"/>
                <w:szCs w:val="18"/>
              </w:rPr>
              <w:t xml:space="preserve">6.9 </w:t>
            </w:r>
          </w:p>
        </w:tc>
        <w:tc>
          <w:tcPr>
            <w:tcW w:w="881" w:type="dxa"/>
            <w:noWrap/>
            <w:vAlign w:val="center"/>
          </w:tcPr>
          <w:p w14:paraId="148D0502">
            <w:pPr>
              <w:widowControl/>
              <w:adjustRightInd/>
              <w:snapToGrid/>
              <w:spacing w:line="240" w:lineRule="auto"/>
              <w:jc w:val="center"/>
              <w:rPr>
                <w:kern w:val="0"/>
                <w:sz w:val="18"/>
                <w:szCs w:val="18"/>
              </w:rPr>
            </w:pPr>
            <w:r>
              <w:rPr>
                <w:kern w:val="0"/>
                <w:sz w:val="18"/>
                <w:szCs w:val="18"/>
              </w:rPr>
              <w:t>67.8</w:t>
            </w:r>
          </w:p>
        </w:tc>
        <w:tc>
          <w:tcPr>
            <w:tcW w:w="880" w:type="dxa"/>
            <w:noWrap/>
            <w:vAlign w:val="center"/>
          </w:tcPr>
          <w:p w14:paraId="0105E92F">
            <w:pPr>
              <w:widowControl/>
              <w:adjustRightInd/>
              <w:snapToGrid/>
              <w:spacing w:line="240" w:lineRule="auto"/>
              <w:jc w:val="center"/>
              <w:rPr>
                <w:kern w:val="0"/>
                <w:sz w:val="18"/>
                <w:szCs w:val="18"/>
              </w:rPr>
            </w:pPr>
            <w:r>
              <w:rPr>
                <w:color w:val="000000"/>
                <w:sz w:val="18"/>
                <w:szCs w:val="18"/>
              </w:rPr>
              <w:t xml:space="preserve">67.9 </w:t>
            </w:r>
          </w:p>
        </w:tc>
        <w:tc>
          <w:tcPr>
            <w:tcW w:w="880" w:type="dxa"/>
            <w:noWrap/>
            <w:vAlign w:val="center"/>
          </w:tcPr>
          <w:p w14:paraId="5ACF602D">
            <w:pPr>
              <w:widowControl/>
              <w:adjustRightInd/>
              <w:snapToGrid/>
              <w:spacing w:line="240" w:lineRule="auto"/>
              <w:jc w:val="center"/>
              <w:rPr>
                <w:kern w:val="0"/>
                <w:sz w:val="18"/>
                <w:szCs w:val="18"/>
              </w:rPr>
            </w:pPr>
            <w:r>
              <w:rPr>
                <w:color w:val="000000"/>
                <w:sz w:val="18"/>
                <w:szCs w:val="18"/>
              </w:rPr>
              <w:t xml:space="preserve">15.9 </w:t>
            </w:r>
          </w:p>
        </w:tc>
        <w:tc>
          <w:tcPr>
            <w:tcW w:w="881" w:type="dxa"/>
            <w:noWrap/>
            <w:vAlign w:val="center"/>
          </w:tcPr>
          <w:p w14:paraId="60A98FB7">
            <w:pPr>
              <w:widowControl/>
              <w:adjustRightInd/>
              <w:snapToGrid/>
              <w:spacing w:line="240" w:lineRule="auto"/>
              <w:jc w:val="center"/>
              <w:rPr>
                <w:kern w:val="0"/>
                <w:sz w:val="18"/>
                <w:szCs w:val="18"/>
              </w:rPr>
            </w:pPr>
            <w:r>
              <w:rPr>
                <w:color w:val="000000"/>
                <w:sz w:val="18"/>
                <w:szCs w:val="18"/>
              </w:rPr>
              <w:t xml:space="preserve">7.9 </w:t>
            </w:r>
          </w:p>
        </w:tc>
      </w:tr>
      <w:tr w14:paraId="028ABC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8850872">
            <w:pPr>
              <w:widowControl/>
              <w:adjustRightInd/>
              <w:snapToGrid/>
              <w:spacing w:line="240" w:lineRule="auto"/>
              <w:jc w:val="center"/>
              <w:rPr>
                <w:kern w:val="0"/>
                <w:sz w:val="18"/>
                <w:szCs w:val="18"/>
              </w:rPr>
            </w:pPr>
            <w:r>
              <w:rPr>
                <w:sz w:val="18"/>
                <w:szCs w:val="18"/>
              </w:rPr>
              <w:t>24</w:t>
            </w:r>
          </w:p>
        </w:tc>
        <w:tc>
          <w:tcPr>
            <w:tcW w:w="673" w:type="dxa"/>
            <w:vMerge w:val="continue"/>
            <w:vAlign w:val="center"/>
          </w:tcPr>
          <w:p w14:paraId="62A1BD7A">
            <w:pPr>
              <w:widowControl/>
              <w:adjustRightInd/>
              <w:snapToGrid/>
              <w:spacing w:line="240" w:lineRule="auto"/>
              <w:jc w:val="left"/>
              <w:rPr>
                <w:kern w:val="0"/>
                <w:sz w:val="18"/>
                <w:szCs w:val="18"/>
              </w:rPr>
            </w:pPr>
          </w:p>
        </w:tc>
        <w:tc>
          <w:tcPr>
            <w:tcW w:w="595" w:type="dxa"/>
            <w:vMerge w:val="continue"/>
            <w:vAlign w:val="center"/>
          </w:tcPr>
          <w:p w14:paraId="71EED6C5">
            <w:pPr>
              <w:widowControl/>
              <w:adjustRightInd/>
              <w:snapToGrid/>
              <w:spacing w:line="240" w:lineRule="auto"/>
              <w:jc w:val="left"/>
              <w:rPr>
                <w:kern w:val="0"/>
                <w:sz w:val="18"/>
                <w:szCs w:val="18"/>
              </w:rPr>
            </w:pPr>
          </w:p>
        </w:tc>
        <w:tc>
          <w:tcPr>
            <w:tcW w:w="567" w:type="dxa"/>
            <w:vMerge w:val="continue"/>
            <w:vAlign w:val="center"/>
          </w:tcPr>
          <w:p w14:paraId="72B24185">
            <w:pPr>
              <w:widowControl/>
              <w:adjustRightInd/>
              <w:snapToGrid/>
              <w:spacing w:line="240" w:lineRule="auto"/>
              <w:jc w:val="left"/>
              <w:rPr>
                <w:kern w:val="0"/>
                <w:sz w:val="18"/>
                <w:szCs w:val="18"/>
              </w:rPr>
            </w:pPr>
          </w:p>
        </w:tc>
        <w:tc>
          <w:tcPr>
            <w:tcW w:w="426" w:type="dxa"/>
            <w:noWrap/>
            <w:vAlign w:val="center"/>
          </w:tcPr>
          <w:p w14:paraId="3B887232">
            <w:pPr>
              <w:widowControl/>
              <w:adjustRightInd/>
              <w:snapToGrid/>
              <w:spacing w:line="240" w:lineRule="auto"/>
              <w:jc w:val="center"/>
              <w:rPr>
                <w:kern w:val="0"/>
                <w:sz w:val="18"/>
                <w:szCs w:val="18"/>
              </w:rPr>
            </w:pPr>
            <w:r>
              <w:rPr>
                <w:sz w:val="18"/>
                <w:szCs w:val="18"/>
              </w:rPr>
              <w:t>夜间</w:t>
            </w:r>
          </w:p>
        </w:tc>
        <w:tc>
          <w:tcPr>
            <w:tcW w:w="708" w:type="dxa"/>
            <w:noWrap/>
            <w:vAlign w:val="center"/>
          </w:tcPr>
          <w:p w14:paraId="7C91AAC6">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7B515A1F">
            <w:pPr>
              <w:widowControl/>
              <w:adjustRightInd/>
              <w:snapToGrid/>
              <w:spacing w:line="240" w:lineRule="auto"/>
              <w:jc w:val="center"/>
              <w:rPr>
                <w:kern w:val="0"/>
                <w:sz w:val="18"/>
                <w:szCs w:val="18"/>
              </w:rPr>
            </w:pPr>
          </w:p>
        </w:tc>
        <w:tc>
          <w:tcPr>
            <w:tcW w:w="709" w:type="dxa"/>
            <w:vMerge w:val="continue"/>
            <w:noWrap/>
            <w:vAlign w:val="center"/>
          </w:tcPr>
          <w:p w14:paraId="7AFB628D">
            <w:pPr>
              <w:widowControl/>
              <w:adjustRightInd/>
              <w:snapToGrid/>
              <w:spacing w:line="240" w:lineRule="auto"/>
              <w:jc w:val="center"/>
              <w:rPr>
                <w:kern w:val="0"/>
                <w:sz w:val="18"/>
                <w:szCs w:val="18"/>
              </w:rPr>
            </w:pPr>
          </w:p>
        </w:tc>
        <w:tc>
          <w:tcPr>
            <w:tcW w:w="880" w:type="dxa"/>
          </w:tcPr>
          <w:p w14:paraId="23E5C6C5">
            <w:pPr>
              <w:widowControl/>
              <w:adjustRightInd/>
              <w:snapToGrid/>
              <w:spacing w:line="240" w:lineRule="auto"/>
              <w:jc w:val="center"/>
              <w:rPr>
                <w:kern w:val="0"/>
                <w:sz w:val="18"/>
                <w:szCs w:val="18"/>
              </w:rPr>
            </w:pPr>
            <w:r>
              <w:rPr>
                <w:rFonts w:hint="eastAsia"/>
                <w:color w:val="000000"/>
                <w:sz w:val="18"/>
                <w:szCs w:val="18"/>
              </w:rPr>
              <w:t>53.8</w:t>
            </w:r>
          </w:p>
        </w:tc>
        <w:tc>
          <w:tcPr>
            <w:tcW w:w="880" w:type="dxa"/>
            <w:vAlign w:val="center"/>
          </w:tcPr>
          <w:p w14:paraId="1A0F94C9">
            <w:pPr>
              <w:widowControl/>
              <w:adjustRightInd/>
              <w:snapToGrid/>
              <w:spacing w:line="240" w:lineRule="auto"/>
              <w:jc w:val="center"/>
              <w:rPr>
                <w:kern w:val="0"/>
                <w:sz w:val="18"/>
                <w:szCs w:val="18"/>
              </w:rPr>
            </w:pPr>
            <w:r>
              <w:rPr>
                <w:color w:val="000000"/>
                <w:sz w:val="18"/>
                <w:szCs w:val="18"/>
              </w:rPr>
              <w:t xml:space="preserve">54.1 </w:t>
            </w:r>
          </w:p>
        </w:tc>
        <w:tc>
          <w:tcPr>
            <w:tcW w:w="881" w:type="dxa"/>
            <w:vAlign w:val="center"/>
          </w:tcPr>
          <w:p w14:paraId="32E98660">
            <w:pPr>
              <w:widowControl/>
              <w:adjustRightInd/>
              <w:snapToGrid/>
              <w:spacing w:line="240" w:lineRule="auto"/>
              <w:jc w:val="center"/>
              <w:rPr>
                <w:kern w:val="0"/>
                <w:sz w:val="18"/>
                <w:szCs w:val="18"/>
              </w:rPr>
            </w:pPr>
            <w:r>
              <w:rPr>
                <w:rFonts w:hint="eastAsia"/>
                <w:color w:val="000000"/>
                <w:sz w:val="18"/>
                <w:szCs w:val="18"/>
              </w:rPr>
              <w:t xml:space="preserve">11.1 </w:t>
            </w:r>
          </w:p>
        </w:tc>
        <w:tc>
          <w:tcPr>
            <w:tcW w:w="880" w:type="dxa"/>
            <w:vAlign w:val="center"/>
          </w:tcPr>
          <w:p w14:paraId="5E928170">
            <w:pPr>
              <w:widowControl/>
              <w:adjustRightInd/>
              <w:snapToGrid/>
              <w:spacing w:line="240" w:lineRule="auto"/>
              <w:jc w:val="center"/>
              <w:rPr>
                <w:kern w:val="0"/>
                <w:sz w:val="18"/>
                <w:szCs w:val="18"/>
              </w:rPr>
            </w:pPr>
            <w:r>
              <w:rPr>
                <w:rFonts w:hint="eastAsia"/>
                <w:color w:val="000000"/>
                <w:sz w:val="18"/>
                <w:szCs w:val="18"/>
              </w:rPr>
              <w:t xml:space="preserve">4.1 </w:t>
            </w:r>
          </w:p>
        </w:tc>
        <w:tc>
          <w:tcPr>
            <w:tcW w:w="880" w:type="dxa"/>
            <w:noWrap/>
            <w:vAlign w:val="center"/>
          </w:tcPr>
          <w:p w14:paraId="5B3527E5">
            <w:pPr>
              <w:widowControl/>
              <w:adjustRightInd/>
              <w:snapToGrid/>
              <w:spacing w:line="240" w:lineRule="auto"/>
              <w:jc w:val="center"/>
              <w:rPr>
                <w:kern w:val="0"/>
                <w:sz w:val="18"/>
                <w:szCs w:val="18"/>
              </w:rPr>
            </w:pPr>
            <w:r>
              <w:rPr>
                <w:kern w:val="0"/>
                <w:sz w:val="18"/>
                <w:szCs w:val="18"/>
              </w:rPr>
              <w:t>54.7</w:t>
            </w:r>
          </w:p>
        </w:tc>
        <w:tc>
          <w:tcPr>
            <w:tcW w:w="881" w:type="dxa"/>
            <w:noWrap/>
            <w:vAlign w:val="center"/>
          </w:tcPr>
          <w:p w14:paraId="21487401">
            <w:pPr>
              <w:widowControl/>
              <w:adjustRightInd/>
              <w:snapToGrid/>
              <w:spacing w:line="240" w:lineRule="auto"/>
              <w:jc w:val="center"/>
              <w:rPr>
                <w:kern w:val="0"/>
                <w:sz w:val="18"/>
                <w:szCs w:val="18"/>
              </w:rPr>
            </w:pPr>
            <w:r>
              <w:rPr>
                <w:color w:val="000000"/>
                <w:sz w:val="18"/>
                <w:szCs w:val="18"/>
              </w:rPr>
              <w:t xml:space="preserve">55.0 </w:t>
            </w:r>
          </w:p>
        </w:tc>
        <w:tc>
          <w:tcPr>
            <w:tcW w:w="880" w:type="dxa"/>
            <w:noWrap/>
            <w:vAlign w:val="center"/>
          </w:tcPr>
          <w:p w14:paraId="73970ED8">
            <w:pPr>
              <w:widowControl/>
              <w:adjustRightInd/>
              <w:snapToGrid/>
              <w:spacing w:line="240" w:lineRule="auto"/>
              <w:jc w:val="center"/>
              <w:rPr>
                <w:kern w:val="0"/>
                <w:sz w:val="18"/>
                <w:szCs w:val="18"/>
              </w:rPr>
            </w:pPr>
            <w:r>
              <w:rPr>
                <w:color w:val="000000"/>
                <w:sz w:val="18"/>
                <w:szCs w:val="18"/>
              </w:rPr>
              <w:t xml:space="preserve">12.0 </w:t>
            </w:r>
          </w:p>
        </w:tc>
        <w:tc>
          <w:tcPr>
            <w:tcW w:w="880" w:type="dxa"/>
            <w:noWrap/>
            <w:vAlign w:val="center"/>
          </w:tcPr>
          <w:p w14:paraId="0521756D">
            <w:pPr>
              <w:widowControl/>
              <w:adjustRightInd/>
              <w:snapToGrid/>
              <w:spacing w:line="240" w:lineRule="auto"/>
              <w:jc w:val="center"/>
              <w:rPr>
                <w:kern w:val="0"/>
                <w:sz w:val="18"/>
                <w:szCs w:val="18"/>
              </w:rPr>
            </w:pPr>
            <w:r>
              <w:rPr>
                <w:color w:val="000000"/>
                <w:sz w:val="18"/>
                <w:szCs w:val="18"/>
              </w:rPr>
              <w:t xml:space="preserve">5.0 </w:t>
            </w:r>
          </w:p>
        </w:tc>
        <w:tc>
          <w:tcPr>
            <w:tcW w:w="881" w:type="dxa"/>
            <w:noWrap/>
            <w:vAlign w:val="center"/>
          </w:tcPr>
          <w:p w14:paraId="6FA27AEF">
            <w:pPr>
              <w:widowControl/>
              <w:adjustRightInd/>
              <w:snapToGrid/>
              <w:spacing w:line="240" w:lineRule="auto"/>
              <w:jc w:val="center"/>
              <w:rPr>
                <w:kern w:val="0"/>
                <w:sz w:val="18"/>
                <w:szCs w:val="18"/>
              </w:rPr>
            </w:pPr>
            <w:r>
              <w:rPr>
                <w:kern w:val="0"/>
                <w:sz w:val="18"/>
                <w:szCs w:val="18"/>
              </w:rPr>
              <w:t>55.6</w:t>
            </w:r>
          </w:p>
        </w:tc>
        <w:tc>
          <w:tcPr>
            <w:tcW w:w="880" w:type="dxa"/>
            <w:noWrap/>
            <w:vAlign w:val="center"/>
          </w:tcPr>
          <w:p w14:paraId="475326B3">
            <w:pPr>
              <w:widowControl/>
              <w:adjustRightInd/>
              <w:snapToGrid/>
              <w:spacing w:line="240" w:lineRule="auto"/>
              <w:jc w:val="center"/>
              <w:rPr>
                <w:kern w:val="0"/>
                <w:sz w:val="18"/>
                <w:szCs w:val="18"/>
              </w:rPr>
            </w:pPr>
            <w:r>
              <w:rPr>
                <w:color w:val="000000"/>
                <w:sz w:val="18"/>
                <w:szCs w:val="18"/>
              </w:rPr>
              <w:t xml:space="preserve">55.8 </w:t>
            </w:r>
          </w:p>
        </w:tc>
        <w:tc>
          <w:tcPr>
            <w:tcW w:w="880" w:type="dxa"/>
            <w:noWrap/>
            <w:vAlign w:val="center"/>
          </w:tcPr>
          <w:p w14:paraId="5C006EE0">
            <w:pPr>
              <w:widowControl/>
              <w:adjustRightInd/>
              <w:snapToGrid/>
              <w:spacing w:line="240" w:lineRule="auto"/>
              <w:jc w:val="center"/>
              <w:rPr>
                <w:kern w:val="0"/>
                <w:sz w:val="18"/>
                <w:szCs w:val="18"/>
              </w:rPr>
            </w:pPr>
            <w:r>
              <w:rPr>
                <w:color w:val="000000"/>
                <w:sz w:val="18"/>
                <w:szCs w:val="18"/>
              </w:rPr>
              <w:t xml:space="preserve">12.8 </w:t>
            </w:r>
          </w:p>
        </w:tc>
        <w:tc>
          <w:tcPr>
            <w:tcW w:w="881" w:type="dxa"/>
            <w:noWrap/>
            <w:vAlign w:val="center"/>
          </w:tcPr>
          <w:p w14:paraId="17AA7D04">
            <w:pPr>
              <w:widowControl/>
              <w:adjustRightInd/>
              <w:snapToGrid/>
              <w:spacing w:line="240" w:lineRule="auto"/>
              <w:jc w:val="center"/>
              <w:rPr>
                <w:kern w:val="0"/>
                <w:sz w:val="18"/>
                <w:szCs w:val="18"/>
              </w:rPr>
            </w:pPr>
            <w:r>
              <w:rPr>
                <w:color w:val="000000"/>
                <w:sz w:val="18"/>
                <w:szCs w:val="18"/>
              </w:rPr>
              <w:t xml:space="preserve">5.8 </w:t>
            </w:r>
          </w:p>
        </w:tc>
      </w:tr>
      <w:tr w14:paraId="75A01D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1F74F17F">
            <w:pPr>
              <w:widowControl/>
              <w:adjustRightInd/>
              <w:snapToGrid/>
              <w:spacing w:line="240" w:lineRule="auto"/>
              <w:jc w:val="center"/>
              <w:rPr>
                <w:kern w:val="0"/>
                <w:sz w:val="18"/>
                <w:szCs w:val="18"/>
              </w:rPr>
            </w:pPr>
            <w:r>
              <w:rPr>
                <w:sz w:val="18"/>
                <w:szCs w:val="18"/>
              </w:rPr>
              <w:t>25</w:t>
            </w:r>
          </w:p>
        </w:tc>
        <w:tc>
          <w:tcPr>
            <w:tcW w:w="673" w:type="dxa"/>
            <w:vMerge w:val="continue"/>
            <w:vAlign w:val="center"/>
          </w:tcPr>
          <w:p w14:paraId="646154E7">
            <w:pPr>
              <w:widowControl/>
              <w:adjustRightInd/>
              <w:snapToGrid/>
              <w:spacing w:line="240" w:lineRule="auto"/>
              <w:jc w:val="left"/>
              <w:rPr>
                <w:kern w:val="0"/>
                <w:sz w:val="18"/>
                <w:szCs w:val="18"/>
              </w:rPr>
            </w:pPr>
          </w:p>
        </w:tc>
        <w:tc>
          <w:tcPr>
            <w:tcW w:w="595" w:type="dxa"/>
            <w:vMerge w:val="restart"/>
            <w:vAlign w:val="center"/>
          </w:tcPr>
          <w:p w14:paraId="05030281">
            <w:pPr>
              <w:widowControl/>
              <w:adjustRightInd/>
              <w:snapToGrid/>
              <w:spacing w:line="240" w:lineRule="auto"/>
              <w:jc w:val="center"/>
              <w:rPr>
                <w:kern w:val="0"/>
                <w:sz w:val="18"/>
                <w:szCs w:val="18"/>
              </w:rPr>
            </w:pPr>
            <w:r>
              <w:rPr>
                <w:kern w:val="0"/>
                <w:sz w:val="18"/>
                <w:szCs w:val="18"/>
              </w:rPr>
              <w:t>31.2</w:t>
            </w:r>
          </w:p>
        </w:tc>
        <w:tc>
          <w:tcPr>
            <w:tcW w:w="567" w:type="dxa"/>
            <w:vMerge w:val="continue"/>
            <w:vAlign w:val="center"/>
          </w:tcPr>
          <w:p w14:paraId="5F83C782">
            <w:pPr>
              <w:widowControl/>
              <w:adjustRightInd/>
              <w:snapToGrid/>
              <w:spacing w:line="240" w:lineRule="auto"/>
              <w:jc w:val="left"/>
              <w:rPr>
                <w:kern w:val="0"/>
                <w:sz w:val="18"/>
                <w:szCs w:val="18"/>
              </w:rPr>
            </w:pPr>
          </w:p>
        </w:tc>
        <w:tc>
          <w:tcPr>
            <w:tcW w:w="426" w:type="dxa"/>
            <w:noWrap/>
            <w:vAlign w:val="center"/>
          </w:tcPr>
          <w:p w14:paraId="5D89AC5A">
            <w:pPr>
              <w:widowControl/>
              <w:adjustRightInd/>
              <w:snapToGrid/>
              <w:spacing w:line="240" w:lineRule="auto"/>
              <w:jc w:val="center"/>
              <w:rPr>
                <w:kern w:val="0"/>
                <w:sz w:val="18"/>
                <w:szCs w:val="18"/>
              </w:rPr>
            </w:pPr>
            <w:r>
              <w:rPr>
                <w:sz w:val="18"/>
                <w:szCs w:val="18"/>
              </w:rPr>
              <w:t>昼间</w:t>
            </w:r>
          </w:p>
        </w:tc>
        <w:tc>
          <w:tcPr>
            <w:tcW w:w="708" w:type="dxa"/>
            <w:noWrap/>
            <w:vAlign w:val="center"/>
          </w:tcPr>
          <w:p w14:paraId="05A5E8A4">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48DA9D4A">
            <w:pPr>
              <w:widowControl/>
              <w:adjustRightInd/>
              <w:snapToGrid/>
              <w:spacing w:line="240" w:lineRule="auto"/>
              <w:jc w:val="center"/>
              <w:rPr>
                <w:kern w:val="0"/>
                <w:sz w:val="18"/>
                <w:szCs w:val="18"/>
              </w:rPr>
            </w:pPr>
          </w:p>
        </w:tc>
        <w:tc>
          <w:tcPr>
            <w:tcW w:w="709" w:type="dxa"/>
            <w:vMerge w:val="continue"/>
            <w:noWrap/>
            <w:vAlign w:val="center"/>
          </w:tcPr>
          <w:p w14:paraId="05D10531">
            <w:pPr>
              <w:widowControl/>
              <w:adjustRightInd/>
              <w:snapToGrid/>
              <w:spacing w:line="240" w:lineRule="auto"/>
              <w:jc w:val="center"/>
              <w:rPr>
                <w:kern w:val="0"/>
                <w:sz w:val="18"/>
                <w:szCs w:val="18"/>
              </w:rPr>
            </w:pPr>
          </w:p>
        </w:tc>
        <w:tc>
          <w:tcPr>
            <w:tcW w:w="880" w:type="dxa"/>
          </w:tcPr>
          <w:p w14:paraId="4DA7BDAE">
            <w:pPr>
              <w:widowControl/>
              <w:adjustRightInd/>
              <w:snapToGrid/>
              <w:spacing w:line="240" w:lineRule="auto"/>
              <w:jc w:val="center"/>
              <w:rPr>
                <w:color w:val="000000"/>
                <w:sz w:val="18"/>
                <w:szCs w:val="18"/>
              </w:rPr>
            </w:pPr>
            <w:r>
              <w:rPr>
                <w:rFonts w:hint="eastAsia"/>
                <w:color w:val="000000"/>
                <w:sz w:val="18"/>
                <w:szCs w:val="18"/>
              </w:rPr>
              <w:t>64.7</w:t>
            </w:r>
          </w:p>
        </w:tc>
        <w:tc>
          <w:tcPr>
            <w:tcW w:w="880" w:type="dxa"/>
            <w:vAlign w:val="center"/>
          </w:tcPr>
          <w:p w14:paraId="390B6448">
            <w:pPr>
              <w:widowControl/>
              <w:adjustRightInd/>
              <w:snapToGrid/>
              <w:spacing w:line="240" w:lineRule="auto"/>
              <w:jc w:val="center"/>
              <w:rPr>
                <w:color w:val="000000"/>
                <w:sz w:val="18"/>
                <w:szCs w:val="18"/>
              </w:rPr>
            </w:pPr>
            <w:r>
              <w:rPr>
                <w:color w:val="000000"/>
                <w:sz w:val="18"/>
                <w:szCs w:val="18"/>
              </w:rPr>
              <w:t xml:space="preserve">64.9 </w:t>
            </w:r>
          </w:p>
        </w:tc>
        <w:tc>
          <w:tcPr>
            <w:tcW w:w="881" w:type="dxa"/>
            <w:vAlign w:val="center"/>
          </w:tcPr>
          <w:p w14:paraId="57DEBB70">
            <w:pPr>
              <w:widowControl/>
              <w:adjustRightInd/>
              <w:snapToGrid/>
              <w:spacing w:line="240" w:lineRule="auto"/>
              <w:jc w:val="center"/>
              <w:rPr>
                <w:color w:val="000000"/>
                <w:sz w:val="18"/>
                <w:szCs w:val="18"/>
              </w:rPr>
            </w:pPr>
            <w:r>
              <w:rPr>
                <w:rFonts w:hint="eastAsia"/>
                <w:color w:val="000000"/>
                <w:sz w:val="18"/>
                <w:szCs w:val="18"/>
              </w:rPr>
              <w:t xml:space="preserve">12.9 </w:t>
            </w:r>
          </w:p>
        </w:tc>
        <w:tc>
          <w:tcPr>
            <w:tcW w:w="880" w:type="dxa"/>
            <w:vAlign w:val="center"/>
          </w:tcPr>
          <w:p w14:paraId="05C79D9D">
            <w:pPr>
              <w:widowControl/>
              <w:adjustRightInd/>
              <w:snapToGrid/>
              <w:spacing w:line="240" w:lineRule="auto"/>
              <w:jc w:val="center"/>
              <w:rPr>
                <w:color w:val="000000"/>
                <w:sz w:val="18"/>
                <w:szCs w:val="18"/>
              </w:rPr>
            </w:pPr>
            <w:r>
              <w:rPr>
                <w:rFonts w:hint="eastAsia"/>
                <w:color w:val="000000"/>
                <w:sz w:val="18"/>
                <w:szCs w:val="18"/>
              </w:rPr>
              <w:t xml:space="preserve">4.9 </w:t>
            </w:r>
          </w:p>
        </w:tc>
        <w:tc>
          <w:tcPr>
            <w:tcW w:w="880" w:type="dxa"/>
            <w:noWrap/>
            <w:vAlign w:val="center"/>
          </w:tcPr>
          <w:p w14:paraId="3112FDF6">
            <w:pPr>
              <w:widowControl/>
              <w:adjustRightInd/>
              <w:snapToGrid/>
              <w:spacing w:line="240" w:lineRule="auto"/>
              <w:jc w:val="center"/>
              <w:rPr>
                <w:kern w:val="0"/>
                <w:sz w:val="18"/>
                <w:szCs w:val="18"/>
              </w:rPr>
            </w:pPr>
            <w:r>
              <w:rPr>
                <w:rFonts w:hint="eastAsia"/>
                <w:color w:val="000000"/>
                <w:sz w:val="18"/>
                <w:szCs w:val="18"/>
              </w:rPr>
              <w:t>65.5</w:t>
            </w:r>
          </w:p>
        </w:tc>
        <w:tc>
          <w:tcPr>
            <w:tcW w:w="881" w:type="dxa"/>
            <w:noWrap/>
            <w:vAlign w:val="center"/>
          </w:tcPr>
          <w:p w14:paraId="40A592F2">
            <w:pPr>
              <w:widowControl/>
              <w:adjustRightInd/>
              <w:snapToGrid/>
              <w:spacing w:line="240" w:lineRule="auto"/>
              <w:jc w:val="center"/>
              <w:rPr>
                <w:kern w:val="0"/>
                <w:sz w:val="18"/>
                <w:szCs w:val="18"/>
              </w:rPr>
            </w:pPr>
            <w:r>
              <w:rPr>
                <w:color w:val="000000"/>
                <w:sz w:val="18"/>
                <w:szCs w:val="18"/>
              </w:rPr>
              <w:t xml:space="preserve">65.7 </w:t>
            </w:r>
          </w:p>
        </w:tc>
        <w:tc>
          <w:tcPr>
            <w:tcW w:w="880" w:type="dxa"/>
            <w:noWrap/>
            <w:vAlign w:val="center"/>
          </w:tcPr>
          <w:p w14:paraId="2B0319D1">
            <w:pPr>
              <w:widowControl/>
              <w:adjustRightInd/>
              <w:snapToGrid/>
              <w:spacing w:line="240" w:lineRule="auto"/>
              <w:jc w:val="center"/>
              <w:rPr>
                <w:kern w:val="0"/>
                <w:sz w:val="18"/>
                <w:szCs w:val="18"/>
              </w:rPr>
            </w:pPr>
            <w:r>
              <w:rPr>
                <w:color w:val="000000"/>
                <w:sz w:val="18"/>
                <w:szCs w:val="18"/>
              </w:rPr>
              <w:t xml:space="preserve">13.7 </w:t>
            </w:r>
          </w:p>
        </w:tc>
        <w:tc>
          <w:tcPr>
            <w:tcW w:w="880" w:type="dxa"/>
            <w:noWrap/>
            <w:vAlign w:val="center"/>
          </w:tcPr>
          <w:p w14:paraId="310240D7">
            <w:pPr>
              <w:widowControl/>
              <w:adjustRightInd/>
              <w:snapToGrid/>
              <w:spacing w:line="240" w:lineRule="auto"/>
              <w:jc w:val="center"/>
              <w:rPr>
                <w:kern w:val="0"/>
                <w:sz w:val="18"/>
                <w:szCs w:val="18"/>
              </w:rPr>
            </w:pPr>
            <w:r>
              <w:rPr>
                <w:color w:val="000000"/>
                <w:sz w:val="18"/>
                <w:szCs w:val="18"/>
              </w:rPr>
              <w:t xml:space="preserve">5.7 </w:t>
            </w:r>
          </w:p>
        </w:tc>
        <w:tc>
          <w:tcPr>
            <w:tcW w:w="881" w:type="dxa"/>
            <w:noWrap/>
            <w:vAlign w:val="center"/>
          </w:tcPr>
          <w:p w14:paraId="3E7E50BF">
            <w:pPr>
              <w:widowControl/>
              <w:adjustRightInd/>
              <w:snapToGrid/>
              <w:spacing w:line="240" w:lineRule="auto"/>
              <w:jc w:val="center"/>
              <w:rPr>
                <w:kern w:val="0"/>
                <w:sz w:val="18"/>
                <w:szCs w:val="18"/>
              </w:rPr>
            </w:pPr>
            <w:r>
              <w:rPr>
                <w:kern w:val="0"/>
                <w:sz w:val="18"/>
                <w:szCs w:val="18"/>
              </w:rPr>
              <w:t>66.4</w:t>
            </w:r>
          </w:p>
        </w:tc>
        <w:tc>
          <w:tcPr>
            <w:tcW w:w="880" w:type="dxa"/>
            <w:noWrap/>
            <w:vAlign w:val="center"/>
          </w:tcPr>
          <w:p w14:paraId="0EEC84A9">
            <w:pPr>
              <w:widowControl/>
              <w:adjustRightInd/>
              <w:snapToGrid/>
              <w:spacing w:line="240" w:lineRule="auto"/>
              <w:jc w:val="center"/>
              <w:rPr>
                <w:kern w:val="0"/>
                <w:sz w:val="18"/>
                <w:szCs w:val="18"/>
              </w:rPr>
            </w:pPr>
            <w:r>
              <w:rPr>
                <w:color w:val="000000"/>
                <w:sz w:val="18"/>
                <w:szCs w:val="18"/>
              </w:rPr>
              <w:t xml:space="preserve">66.6 </w:t>
            </w:r>
          </w:p>
        </w:tc>
        <w:tc>
          <w:tcPr>
            <w:tcW w:w="880" w:type="dxa"/>
            <w:noWrap/>
            <w:vAlign w:val="center"/>
          </w:tcPr>
          <w:p w14:paraId="22A9EFA2">
            <w:pPr>
              <w:widowControl/>
              <w:adjustRightInd/>
              <w:snapToGrid/>
              <w:spacing w:line="240" w:lineRule="auto"/>
              <w:jc w:val="center"/>
              <w:rPr>
                <w:kern w:val="0"/>
                <w:sz w:val="18"/>
                <w:szCs w:val="18"/>
              </w:rPr>
            </w:pPr>
            <w:r>
              <w:rPr>
                <w:color w:val="000000"/>
                <w:sz w:val="18"/>
                <w:szCs w:val="18"/>
              </w:rPr>
              <w:t xml:space="preserve">14.6 </w:t>
            </w:r>
          </w:p>
        </w:tc>
        <w:tc>
          <w:tcPr>
            <w:tcW w:w="881" w:type="dxa"/>
            <w:noWrap/>
            <w:vAlign w:val="center"/>
          </w:tcPr>
          <w:p w14:paraId="6C5AE214">
            <w:pPr>
              <w:widowControl/>
              <w:adjustRightInd/>
              <w:snapToGrid/>
              <w:spacing w:line="240" w:lineRule="auto"/>
              <w:jc w:val="center"/>
              <w:rPr>
                <w:kern w:val="0"/>
                <w:sz w:val="18"/>
                <w:szCs w:val="18"/>
              </w:rPr>
            </w:pPr>
            <w:r>
              <w:rPr>
                <w:color w:val="000000"/>
                <w:sz w:val="18"/>
                <w:szCs w:val="18"/>
              </w:rPr>
              <w:t xml:space="preserve">6.6 </w:t>
            </w:r>
          </w:p>
        </w:tc>
      </w:tr>
      <w:tr w14:paraId="454B79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1A935B9E">
            <w:pPr>
              <w:widowControl/>
              <w:adjustRightInd/>
              <w:snapToGrid/>
              <w:spacing w:line="240" w:lineRule="auto"/>
              <w:jc w:val="center"/>
              <w:rPr>
                <w:kern w:val="0"/>
                <w:sz w:val="18"/>
                <w:szCs w:val="18"/>
              </w:rPr>
            </w:pPr>
            <w:r>
              <w:rPr>
                <w:sz w:val="18"/>
                <w:szCs w:val="18"/>
              </w:rPr>
              <w:t>26</w:t>
            </w:r>
          </w:p>
        </w:tc>
        <w:tc>
          <w:tcPr>
            <w:tcW w:w="673" w:type="dxa"/>
            <w:vMerge w:val="continue"/>
            <w:vAlign w:val="center"/>
          </w:tcPr>
          <w:p w14:paraId="222E865B">
            <w:pPr>
              <w:widowControl/>
              <w:adjustRightInd/>
              <w:snapToGrid/>
              <w:spacing w:line="240" w:lineRule="auto"/>
              <w:jc w:val="left"/>
              <w:rPr>
                <w:kern w:val="0"/>
                <w:sz w:val="18"/>
                <w:szCs w:val="18"/>
              </w:rPr>
            </w:pPr>
          </w:p>
        </w:tc>
        <w:tc>
          <w:tcPr>
            <w:tcW w:w="595" w:type="dxa"/>
            <w:vMerge w:val="continue"/>
            <w:vAlign w:val="center"/>
          </w:tcPr>
          <w:p w14:paraId="6DE50F3F">
            <w:pPr>
              <w:widowControl/>
              <w:adjustRightInd/>
              <w:snapToGrid/>
              <w:spacing w:line="240" w:lineRule="auto"/>
              <w:jc w:val="left"/>
              <w:rPr>
                <w:kern w:val="0"/>
                <w:sz w:val="18"/>
                <w:szCs w:val="18"/>
              </w:rPr>
            </w:pPr>
          </w:p>
        </w:tc>
        <w:tc>
          <w:tcPr>
            <w:tcW w:w="567" w:type="dxa"/>
            <w:vMerge w:val="continue"/>
            <w:vAlign w:val="center"/>
          </w:tcPr>
          <w:p w14:paraId="0786DAF4">
            <w:pPr>
              <w:widowControl/>
              <w:adjustRightInd/>
              <w:snapToGrid/>
              <w:spacing w:line="240" w:lineRule="auto"/>
              <w:jc w:val="left"/>
              <w:rPr>
                <w:kern w:val="0"/>
                <w:sz w:val="18"/>
                <w:szCs w:val="18"/>
              </w:rPr>
            </w:pPr>
          </w:p>
        </w:tc>
        <w:tc>
          <w:tcPr>
            <w:tcW w:w="426" w:type="dxa"/>
            <w:noWrap/>
            <w:vAlign w:val="center"/>
          </w:tcPr>
          <w:p w14:paraId="5B8A67E1">
            <w:pPr>
              <w:widowControl/>
              <w:adjustRightInd/>
              <w:snapToGrid/>
              <w:spacing w:line="240" w:lineRule="auto"/>
              <w:jc w:val="center"/>
              <w:rPr>
                <w:kern w:val="0"/>
                <w:sz w:val="18"/>
                <w:szCs w:val="18"/>
              </w:rPr>
            </w:pPr>
            <w:r>
              <w:rPr>
                <w:sz w:val="18"/>
                <w:szCs w:val="18"/>
              </w:rPr>
              <w:t>夜间</w:t>
            </w:r>
          </w:p>
        </w:tc>
        <w:tc>
          <w:tcPr>
            <w:tcW w:w="708" w:type="dxa"/>
            <w:noWrap/>
            <w:vAlign w:val="center"/>
          </w:tcPr>
          <w:p w14:paraId="67C00724">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4CDED934">
            <w:pPr>
              <w:widowControl/>
              <w:adjustRightInd/>
              <w:snapToGrid/>
              <w:spacing w:line="240" w:lineRule="auto"/>
              <w:jc w:val="center"/>
              <w:rPr>
                <w:kern w:val="0"/>
                <w:sz w:val="18"/>
                <w:szCs w:val="18"/>
              </w:rPr>
            </w:pPr>
          </w:p>
        </w:tc>
        <w:tc>
          <w:tcPr>
            <w:tcW w:w="709" w:type="dxa"/>
            <w:vMerge w:val="continue"/>
            <w:noWrap/>
            <w:vAlign w:val="center"/>
          </w:tcPr>
          <w:p w14:paraId="1C3F73AA">
            <w:pPr>
              <w:widowControl/>
              <w:adjustRightInd/>
              <w:snapToGrid/>
              <w:spacing w:line="240" w:lineRule="auto"/>
              <w:jc w:val="center"/>
              <w:rPr>
                <w:kern w:val="0"/>
                <w:sz w:val="18"/>
                <w:szCs w:val="18"/>
              </w:rPr>
            </w:pPr>
          </w:p>
        </w:tc>
        <w:tc>
          <w:tcPr>
            <w:tcW w:w="880" w:type="dxa"/>
          </w:tcPr>
          <w:p w14:paraId="132430CF">
            <w:pPr>
              <w:widowControl/>
              <w:adjustRightInd/>
              <w:snapToGrid/>
              <w:spacing w:line="240" w:lineRule="auto"/>
              <w:jc w:val="center"/>
              <w:rPr>
                <w:kern w:val="0"/>
                <w:sz w:val="18"/>
                <w:szCs w:val="18"/>
              </w:rPr>
            </w:pPr>
            <w:r>
              <w:rPr>
                <w:rFonts w:hint="eastAsia"/>
                <w:color w:val="000000"/>
                <w:sz w:val="18"/>
                <w:szCs w:val="18"/>
              </w:rPr>
              <w:t>51.8</w:t>
            </w:r>
          </w:p>
        </w:tc>
        <w:tc>
          <w:tcPr>
            <w:tcW w:w="880" w:type="dxa"/>
            <w:vAlign w:val="center"/>
          </w:tcPr>
          <w:p w14:paraId="426AB2B3">
            <w:pPr>
              <w:widowControl/>
              <w:adjustRightInd/>
              <w:snapToGrid/>
              <w:spacing w:line="240" w:lineRule="auto"/>
              <w:jc w:val="center"/>
              <w:rPr>
                <w:kern w:val="0"/>
                <w:sz w:val="18"/>
                <w:szCs w:val="18"/>
              </w:rPr>
            </w:pPr>
            <w:r>
              <w:rPr>
                <w:color w:val="000000"/>
                <w:sz w:val="18"/>
                <w:szCs w:val="18"/>
              </w:rPr>
              <w:t xml:space="preserve">52.3 </w:t>
            </w:r>
          </w:p>
        </w:tc>
        <w:tc>
          <w:tcPr>
            <w:tcW w:w="881" w:type="dxa"/>
            <w:vAlign w:val="center"/>
          </w:tcPr>
          <w:p w14:paraId="51A3AE64">
            <w:pPr>
              <w:widowControl/>
              <w:adjustRightInd/>
              <w:snapToGrid/>
              <w:spacing w:line="240" w:lineRule="auto"/>
              <w:jc w:val="center"/>
              <w:rPr>
                <w:kern w:val="0"/>
                <w:sz w:val="18"/>
                <w:szCs w:val="18"/>
              </w:rPr>
            </w:pPr>
            <w:r>
              <w:rPr>
                <w:rFonts w:hint="eastAsia"/>
                <w:color w:val="000000"/>
                <w:sz w:val="18"/>
                <w:szCs w:val="18"/>
              </w:rPr>
              <w:t xml:space="preserve">9.3 </w:t>
            </w:r>
          </w:p>
        </w:tc>
        <w:tc>
          <w:tcPr>
            <w:tcW w:w="880" w:type="dxa"/>
            <w:vAlign w:val="center"/>
          </w:tcPr>
          <w:p w14:paraId="633E0D9F">
            <w:pPr>
              <w:widowControl/>
              <w:adjustRightInd/>
              <w:snapToGrid/>
              <w:spacing w:line="240" w:lineRule="auto"/>
              <w:jc w:val="center"/>
              <w:rPr>
                <w:kern w:val="0"/>
                <w:sz w:val="18"/>
                <w:szCs w:val="18"/>
              </w:rPr>
            </w:pPr>
            <w:r>
              <w:rPr>
                <w:rFonts w:hint="eastAsia"/>
                <w:color w:val="000000"/>
                <w:sz w:val="18"/>
                <w:szCs w:val="18"/>
              </w:rPr>
              <w:t xml:space="preserve">2.3 </w:t>
            </w:r>
          </w:p>
        </w:tc>
        <w:tc>
          <w:tcPr>
            <w:tcW w:w="880" w:type="dxa"/>
            <w:noWrap/>
            <w:vAlign w:val="center"/>
          </w:tcPr>
          <w:p w14:paraId="7146AF92">
            <w:pPr>
              <w:widowControl/>
              <w:adjustRightInd/>
              <w:snapToGrid/>
              <w:spacing w:line="240" w:lineRule="auto"/>
              <w:jc w:val="center"/>
              <w:rPr>
                <w:kern w:val="0"/>
                <w:sz w:val="18"/>
                <w:szCs w:val="18"/>
              </w:rPr>
            </w:pPr>
            <w:r>
              <w:rPr>
                <w:kern w:val="0"/>
                <w:sz w:val="18"/>
                <w:szCs w:val="18"/>
              </w:rPr>
              <w:t>52.7</w:t>
            </w:r>
          </w:p>
        </w:tc>
        <w:tc>
          <w:tcPr>
            <w:tcW w:w="881" w:type="dxa"/>
            <w:noWrap/>
            <w:vAlign w:val="center"/>
          </w:tcPr>
          <w:p w14:paraId="3FCA78E3">
            <w:pPr>
              <w:widowControl/>
              <w:adjustRightInd/>
              <w:snapToGrid/>
              <w:spacing w:line="240" w:lineRule="auto"/>
              <w:jc w:val="center"/>
              <w:rPr>
                <w:kern w:val="0"/>
                <w:sz w:val="18"/>
                <w:szCs w:val="18"/>
              </w:rPr>
            </w:pPr>
            <w:r>
              <w:rPr>
                <w:color w:val="000000"/>
                <w:sz w:val="18"/>
                <w:szCs w:val="18"/>
              </w:rPr>
              <w:t xml:space="preserve">53.1 </w:t>
            </w:r>
          </w:p>
        </w:tc>
        <w:tc>
          <w:tcPr>
            <w:tcW w:w="880" w:type="dxa"/>
            <w:noWrap/>
            <w:vAlign w:val="center"/>
          </w:tcPr>
          <w:p w14:paraId="558C7840">
            <w:pPr>
              <w:widowControl/>
              <w:adjustRightInd/>
              <w:snapToGrid/>
              <w:spacing w:line="240" w:lineRule="auto"/>
              <w:jc w:val="center"/>
              <w:rPr>
                <w:kern w:val="0"/>
                <w:sz w:val="18"/>
                <w:szCs w:val="18"/>
              </w:rPr>
            </w:pPr>
            <w:r>
              <w:rPr>
                <w:color w:val="000000"/>
                <w:sz w:val="18"/>
                <w:szCs w:val="18"/>
              </w:rPr>
              <w:t xml:space="preserve">10.1 </w:t>
            </w:r>
          </w:p>
        </w:tc>
        <w:tc>
          <w:tcPr>
            <w:tcW w:w="880" w:type="dxa"/>
            <w:noWrap/>
            <w:vAlign w:val="center"/>
          </w:tcPr>
          <w:p w14:paraId="08EE1CA6">
            <w:pPr>
              <w:widowControl/>
              <w:adjustRightInd/>
              <w:snapToGrid/>
              <w:spacing w:line="240" w:lineRule="auto"/>
              <w:jc w:val="center"/>
              <w:rPr>
                <w:kern w:val="0"/>
                <w:sz w:val="18"/>
                <w:szCs w:val="18"/>
              </w:rPr>
            </w:pPr>
            <w:r>
              <w:rPr>
                <w:color w:val="000000"/>
                <w:sz w:val="18"/>
                <w:szCs w:val="18"/>
              </w:rPr>
              <w:t xml:space="preserve">3.1 </w:t>
            </w:r>
          </w:p>
        </w:tc>
        <w:tc>
          <w:tcPr>
            <w:tcW w:w="881" w:type="dxa"/>
            <w:noWrap/>
            <w:vAlign w:val="center"/>
          </w:tcPr>
          <w:p w14:paraId="31CDC746">
            <w:pPr>
              <w:widowControl/>
              <w:adjustRightInd/>
              <w:snapToGrid/>
              <w:spacing w:line="240" w:lineRule="auto"/>
              <w:jc w:val="center"/>
              <w:rPr>
                <w:kern w:val="0"/>
                <w:sz w:val="18"/>
                <w:szCs w:val="18"/>
              </w:rPr>
            </w:pPr>
            <w:r>
              <w:rPr>
                <w:kern w:val="0"/>
                <w:sz w:val="18"/>
                <w:szCs w:val="18"/>
              </w:rPr>
              <w:t>53.6</w:t>
            </w:r>
          </w:p>
        </w:tc>
        <w:tc>
          <w:tcPr>
            <w:tcW w:w="880" w:type="dxa"/>
            <w:noWrap/>
            <w:vAlign w:val="center"/>
          </w:tcPr>
          <w:p w14:paraId="3E62A065">
            <w:pPr>
              <w:widowControl/>
              <w:adjustRightInd/>
              <w:snapToGrid/>
              <w:spacing w:line="240" w:lineRule="auto"/>
              <w:jc w:val="center"/>
              <w:rPr>
                <w:kern w:val="0"/>
                <w:sz w:val="18"/>
                <w:szCs w:val="18"/>
              </w:rPr>
            </w:pPr>
            <w:r>
              <w:rPr>
                <w:color w:val="000000"/>
                <w:sz w:val="18"/>
                <w:szCs w:val="18"/>
              </w:rPr>
              <w:t xml:space="preserve">54.0 </w:t>
            </w:r>
          </w:p>
        </w:tc>
        <w:tc>
          <w:tcPr>
            <w:tcW w:w="880" w:type="dxa"/>
            <w:noWrap/>
            <w:vAlign w:val="center"/>
          </w:tcPr>
          <w:p w14:paraId="68B025F8">
            <w:pPr>
              <w:widowControl/>
              <w:adjustRightInd/>
              <w:snapToGrid/>
              <w:spacing w:line="240" w:lineRule="auto"/>
              <w:jc w:val="center"/>
              <w:rPr>
                <w:kern w:val="0"/>
                <w:sz w:val="18"/>
                <w:szCs w:val="18"/>
              </w:rPr>
            </w:pPr>
            <w:r>
              <w:rPr>
                <w:color w:val="000000"/>
                <w:sz w:val="18"/>
                <w:szCs w:val="18"/>
              </w:rPr>
              <w:t xml:space="preserve">11.0 </w:t>
            </w:r>
          </w:p>
        </w:tc>
        <w:tc>
          <w:tcPr>
            <w:tcW w:w="881" w:type="dxa"/>
            <w:noWrap/>
            <w:vAlign w:val="center"/>
          </w:tcPr>
          <w:p w14:paraId="48AD8EC8">
            <w:pPr>
              <w:widowControl/>
              <w:adjustRightInd/>
              <w:snapToGrid/>
              <w:spacing w:line="240" w:lineRule="auto"/>
              <w:jc w:val="center"/>
              <w:rPr>
                <w:kern w:val="0"/>
                <w:sz w:val="18"/>
                <w:szCs w:val="18"/>
              </w:rPr>
            </w:pPr>
            <w:r>
              <w:rPr>
                <w:color w:val="000000"/>
                <w:sz w:val="18"/>
                <w:szCs w:val="18"/>
              </w:rPr>
              <w:t xml:space="preserve">4.0 </w:t>
            </w:r>
          </w:p>
        </w:tc>
      </w:tr>
      <w:tr w14:paraId="2E40A1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B8F83CD">
            <w:pPr>
              <w:widowControl/>
              <w:adjustRightInd/>
              <w:snapToGrid/>
              <w:spacing w:line="240" w:lineRule="auto"/>
              <w:jc w:val="center"/>
              <w:rPr>
                <w:kern w:val="0"/>
                <w:sz w:val="18"/>
                <w:szCs w:val="18"/>
              </w:rPr>
            </w:pPr>
            <w:r>
              <w:rPr>
                <w:sz w:val="18"/>
                <w:szCs w:val="18"/>
              </w:rPr>
              <w:t>27</w:t>
            </w:r>
          </w:p>
        </w:tc>
        <w:tc>
          <w:tcPr>
            <w:tcW w:w="673" w:type="dxa"/>
            <w:vMerge w:val="continue"/>
            <w:vAlign w:val="center"/>
          </w:tcPr>
          <w:p w14:paraId="4BC05239">
            <w:pPr>
              <w:widowControl/>
              <w:adjustRightInd/>
              <w:snapToGrid/>
              <w:spacing w:line="240" w:lineRule="auto"/>
              <w:jc w:val="left"/>
              <w:rPr>
                <w:kern w:val="0"/>
                <w:sz w:val="18"/>
                <w:szCs w:val="18"/>
              </w:rPr>
            </w:pPr>
          </w:p>
        </w:tc>
        <w:tc>
          <w:tcPr>
            <w:tcW w:w="595" w:type="dxa"/>
            <w:vMerge w:val="restart"/>
            <w:vAlign w:val="center"/>
          </w:tcPr>
          <w:p w14:paraId="2C1F2D33">
            <w:pPr>
              <w:widowControl/>
              <w:adjustRightInd/>
              <w:snapToGrid/>
              <w:spacing w:line="240" w:lineRule="auto"/>
              <w:jc w:val="center"/>
              <w:rPr>
                <w:kern w:val="0"/>
                <w:sz w:val="18"/>
                <w:szCs w:val="18"/>
              </w:rPr>
            </w:pPr>
            <w:r>
              <w:rPr>
                <w:kern w:val="0"/>
                <w:sz w:val="18"/>
                <w:szCs w:val="18"/>
              </w:rPr>
              <w:t>46.2</w:t>
            </w:r>
          </w:p>
        </w:tc>
        <w:tc>
          <w:tcPr>
            <w:tcW w:w="567" w:type="dxa"/>
            <w:vMerge w:val="continue"/>
            <w:vAlign w:val="center"/>
          </w:tcPr>
          <w:p w14:paraId="4315C4DC">
            <w:pPr>
              <w:widowControl/>
              <w:adjustRightInd/>
              <w:snapToGrid/>
              <w:spacing w:line="240" w:lineRule="auto"/>
              <w:jc w:val="left"/>
              <w:rPr>
                <w:kern w:val="0"/>
                <w:sz w:val="18"/>
                <w:szCs w:val="18"/>
              </w:rPr>
            </w:pPr>
          </w:p>
        </w:tc>
        <w:tc>
          <w:tcPr>
            <w:tcW w:w="426" w:type="dxa"/>
            <w:noWrap/>
            <w:vAlign w:val="center"/>
          </w:tcPr>
          <w:p w14:paraId="352E02C4">
            <w:pPr>
              <w:widowControl/>
              <w:adjustRightInd/>
              <w:snapToGrid/>
              <w:spacing w:line="240" w:lineRule="auto"/>
              <w:jc w:val="center"/>
              <w:rPr>
                <w:kern w:val="0"/>
                <w:sz w:val="18"/>
                <w:szCs w:val="18"/>
              </w:rPr>
            </w:pPr>
            <w:r>
              <w:rPr>
                <w:sz w:val="18"/>
                <w:szCs w:val="18"/>
              </w:rPr>
              <w:t>昼间</w:t>
            </w:r>
          </w:p>
        </w:tc>
        <w:tc>
          <w:tcPr>
            <w:tcW w:w="708" w:type="dxa"/>
            <w:noWrap/>
            <w:vAlign w:val="center"/>
          </w:tcPr>
          <w:p w14:paraId="412CE0AF">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71B47E5A">
            <w:pPr>
              <w:widowControl/>
              <w:adjustRightInd/>
              <w:snapToGrid/>
              <w:spacing w:line="240" w:lineRule="auto"/>
              <w:jc w:val="center"/>
              <w:rPr>
                <w:kern w:val="0"/>
                <w:sz w:val="18"/>
                <w:szCs w:val="18"/>
              </w:rPr>
            </w:pPr>
          </w:p>
        </w:tc>
        <w:tc>
          <w:tcPr>
            <w:tcW w:w="709" w:type="dxa"/>
            <w:vMerge w:val="continue"/>
            <w:noWrap/>
            <w:vAlign w:val="center"/>
          </w:tcPr>
          <w:p w14:paraId="3460284D">
            <w:pPr>
              <w:widowControl/>
              <w:adjustRightInd/>
              <w:snapToGrid/>
              <w:spacing w:line="240" w:lineRule="auto"/>
              <w:jc w:val="center"/>
              <w:rPr>
                <w:kern w:val="0"/>
                <w:sz w:val="18"/>
                <w:szCs w:val="18"/>
              </w:rPr>
            </w:pPr>
          </w:p>
        </w:tc>
        <w:tc>
          <w:tcPr>
            <w:tcW w:w="880" w:type="dxa"/>
          </w:tcPr>
          <w:p w14:paraId="085FED6F">
            <w:pPr>
              <w:widowControl/>
              <w:adjustRightInd/>
              <w:snapToGrid/>
              <w:spacing w:line="240" w:lineRule="auto"/>
              <w:jc w:val="center"/>
              <w:rPr>
                <w:color w:val="000000"/>
                <w:sz w:val="18"/>
                <w:szCs w:val="18"/>
              </w:rPr>
            </w:pPr>
            <w:r>
              <w:rPr>
                <w:rFonts w:hint="eastAsia"/>
                <w:color w:val="000000"/>
                <w:sz w:val="18"/>
                <w:szCs w:val="18"/>
              </w:rPr>
              <w:t>63.4</w:t>
            </w:r>
          </w:p>
        </w:tc>
        <w:tc>
          <w:tcPr>
            <w:tcW w:w="880" w:type="dxa"/>
            <w:vAlign w:val="center"/>
          </w:tcPr>
          <w:p w14:paraId="13FF0374">
            <w:pPr>
              <w:widowControl/>
              <w:adjustRightInd/>
              <w:snapToGrid/>
              <w:spacing w:line="240" w:lineRule="auto"/>
              <w:jc w:val="center"/>
              <w:rPr>
                <w:color w:val="000000"/>
                <w:sz w:val="18"/>
                <w:szCs w:val="18"/>
              </w:rPr>
            </w:pPr>
            <w:r>
              <w:rPr>
                <w:color w:val="000000"/>
                <w:sz w:val="18"/>
                <w:szCs w:val="18"/>
              </w:rPr>
              <w:t xml:space="preserve">63.7 </w:t>
            </w:r>
          </w:p>
        </w:tc>
        <w:tc>
          <w:tcPr>
            <w:tcW w:w="881" w:type="dxa"/>
            <w:vAlign w:val="center"/>
          </w:tcPr>
          <w:p w14:paraId="58F07F2A">
            <w:pPr>
              <w:widowControl/>
              <w:adjustRightInd/>
              <w:snapToGrid/>
              <w:spacing w:line="240" w:lineRule="auto"/>
              <w:jc w:val="center"/>
              <w:rPr>
                <w:color w:val="000000"/>
                <w:sz w:val="18"/>
                <w:szCs w:val="18"/>
              </w:rPr>
            </w:pPr>
            <w:r>
              <w:rPr>
                <w:rFonts w:hint="eastAsia"/>
                <w:color w:val="000000"/>
                <w:sz w:val="18"/>
                <w:szCs w:val="18"/>
              </w:rPr>
              <w:t xml:space="preserve">11.7 </w:t>
            </w:r>
          </w:p>
        </w:tc>
        <w:tc>
          <w:tcPr>
            <w:tcW w:w="880" w:type="dxa"/>
            <w:vAlign w:val="center"/>
          </w:tcPr>
          <w:p w14:paraId="5BF3BFE3">
            <w:pPr>
              <w:widowControl/>
              <w:adjustRightInd/>
              <w:snapToGrid/>
              <w:spacing w:line="240" w:lineRule="auto"/>
              <w:jc w:val="center"/>
              <w:rPr>
                <w:color w:val="000000"/>
                <w:sz w:val="18"/>
                <w:szCs w:val="18"/>
              </w:rPr>
            </w:pPr>
            <w:r>
              <w:rPr>
                <w:rFonts w:hint="eastAsia"/>
                <w:color w:val="000000"/>
                <w:sz w:val="18"/>
                <w:szCs w:val="18"/>
              </w:rPr>
              <w:t xml:space="preserve">3.7 </w:t>
            </w:r>
          </w:p>
        </w:tc>
        <w:tc>
          <w:tcPr>
            <w:tcW w:w="880" w:type="dxa"/>
            <w:noWrap/>
            <w:vAlign w:val="center"/>
          </w:tcPr>
          <w:p w14:paraId="04201B28">
            <w:pPr>
              <w:widowControl/>
              <w:adjustRightInd/>
              <w:snapToGrid/>
              <w:spacing w:line="240" w:lineRule="auto"/>
              <w:jc w:val="center"/>
              <w:rPr>
                <w:kern w:val="0"/>
                <w:sz w:val="18"/>
                <w:szCs w:val="18"/>
              </w:rPr>
            </w:pPr>
            <w:r>
              <w:rPr>
                <w:rFonts w:hint="eastAsia"/>
                <w:color w:val="000000"/>
                <w:sz w:val="18"/>
                <w:szCs w:val="18"/>
              </w:rPr>
              <w:t>64.3</w:t>
            </w:r>
          </w:p>
        </w:tc>
        <w:tc>
          <w:tcPr>
            <w:tcW w:w="881" w:type="dxa"/>
            <w:noWrap/>
            <w:vAlign w:val="center"/>
          </w:tcPr>
          <w:p w14:paraId="5EBE722B">
            <w:pPr>
              <w:widowControl/>
              <w:adjustRightInd/>
              <w:snapToGrid/>
              <w:spacing w:line="240" w:lineRule="auto"/>
              <w:jc w:val="center"/>
              <w:rPr>
                <w:kern w:val="0"/>
                <w:sz w:val="18"/>
                <w:szCs w:val="18"/>
              </w:rPr>
            </w:pPr>
            <w:r>
              <w:rPr>
                <w:color w:val="000000"/>
                <w:sz w:val="18"/>
                <w:szCs w:val="18"/>
              </w:rPr>
              <w:t xml:space="preserve">64.5 </w:t>
            </w:r>
          </w:p>
        </w:tc>
        <w:tc>
          <w:tcPr>
            <w:tcW w:w="880" w:type="dxa"/>
            <w:noWrap/>
            <w:vAlign w:val="center"/>
          </w:tcPr>
          <w:p w14:paraId="4B2ED501">
            <w:pPr>
              <w:widowControl/>
              <w:adjustRightInd/>
              <w:snapToGrid/>
              <w:spacing w:line="240" w:lineRule="auto"/>
              <w:jc w:val="center"/>
              <w:rPr>
                <w:kern w:val="0"/>
                <w:sz w:val="18"/>
                <w:szCs w:val="18"/>
              </w:rPr>
            </w:pPr>
            <w:r>
              <w:rPr>
                <w:color w:val="000000"/>
                <w:sz w:val="18"/>
                <w:szCs w:val="18"/>
              </w:rPr>
              <w:t xml:space="preserve">12.5 </w:t>
            </w:r>
          </w:p>
        </w:tc>
        <w:tc>
          <w:tcPr>
            <w:tcW w:w="880" w:type="dxa"/>
            <w:noWrap/>
            <w:vAlign w:val="center"/>
          </w:tcPr>
          <w:p w14:paraId="5EAE6B17">
            <w:pPr>
              <w:widowControl/>
              <w:adjustRightInd/>
              <w:snapToGrid/>
              <w:spacing w:line="240" w:lineRule="auto"/>
              <w:jc w:val="center"/>
              <w:rPr>
                <w:kern w:val="0"/>
                <w:sz w:val="18"/>
                <w:szCs w:val="18"/>
              </w:rPr>
            </w:pPr>
            <w:r>
              <w:rPr>
                <w:color w:val="000000"/>
                <w:sz w:val="18"/>
                <w:szCs w:val="18"/>
              </w:rPr>
              <w:t xml:space="preserve">4.5 </w:t>
            </w:r>
          </w:p>
        </w:tc>
        <w:tc>
          <w:tcPr>
            <w:tcW w:w="881" w:type="dxa"/>
            <w:noWrap/>
            <w:vAlign w:val="center"/>
          </w:tcPr>
          <w:p w14:paraId="644F487D">
            <w:pPr>
              <w:widowControl/>
              <w:adjustRightInd/>
              <w:snapToGrid/>
              <w:spacing w:line="240" w:lineRule="auto"/>
              <w:jc w:val="center"/>
              <w:rPr>
                <w:kern w:val="0"/>
                <w:sz w:val="18"/>
                <w:szCs w:val="18"/>
              </w:rPr>
            </w:pPr>
            <w:r>
              <w:rPr>
                <w:kern w:val="0"/>
                <w:sz w:val="18"/>
                <w:szCs w:val="18"/>
              </w:rPr>
              <w:t>65.2</w:t>
            </w:r>
          </w:p>
        </w:tc>
        <w:tc>
          <w:tcPr>
            <w:tcW w:w="880" w:type="dxa"/>
            <w:noWrap/>
            <w:vAlign w:val="center"/>
          </w:tcPr>
          <w:p w14:paraId="509CDC45">
            <w:pPr>
              <w:widowControl/>
              <w:adjustRightInd/>
              <w:snapToGrid/>
              <w:spacing w:line="240" w:lineRule="auto"/>
              <w:jc w:val="center"/>
              <w:rPr>
                <w:kern w:val="0"/>
                <w:sz w:val="18"/>
                <w:szCs w:val="18"/>
              </w:rPr>
            </w:pPr>
            <w:r>
              <w:rPr>
                <w:color w:val="000000"/>
                <w:sz w:val="18"/>
                <w:szCs w:val="18"/>
              </w:rPr>
              <w:t xml:space="preserve">65.4 </w:t>
            </w:r>
          </w:p>
        </w:tc>
        <w:tc>
          <w:tcPr>
            <w:tcW w:w="880" w:type="dxa"/>
            <w:noWrap/>
            <w:vAlign w:val="center"/>
          </w:tcPr>
          <w:p w14:paraId="2CBB1C62">
            <w:pPr>
              <w:widowControl/>
              <w:adjustRightInd/>
              <w:snapToGrid/>
              <w:spacing w:line="240" w:lineRule="auto"/>
              <w:jc w:val="center"/>
              <w:rPr>
                <w:kern w:val="0"/>
                <w:sz w:val="18"/>
                <w:szCs w:val="18"/>
              </w:rPr>
            </w:pPr>
            <w:r>
              <w:rPr>
                <w:color w:val="000000"/>
                <w:sz w:val="18"/>
                <w:szCs w:val="18"/>
              </w:rPr>
              <w:t xml:space="preserve">13.4 </w:t>
            </w:r>
          </w:p>
        </w:tc>
        <w:tc>
          <w:tcPr>
            <w:tcW w:w="881" w:type="dxa"/>
            <w:noWrap/>
            <w:vAlign w:val="center"/>
          </w:tcPr>
          <w:p w14:paraId="213CA2DC">
            <w:pPr>
              <w:widowControl/>
              <w:adjustRightInd/>
              <w:snapToGrid/>
              <w:spacing w:line="240" w:lineRule="auto"/>
              <w:jc w:val="center"/>
              <w:rPr>
                <w:kern w:val="0"/>
                <w:sz w:val="18"/>
                <w:szCs w:val="18"/>
              </w:rPr>
            </w:pPr>
            <w:r>
              <w:rPr>
                <w:color w:val="000000"/>
                <w:sz w:val="18"/>
                <w:szCs w:val="18"/>
              </w:rPr>
              <w:t xml:space="preserve">5.4 </w:t>
            </w:r>
          </w:p>
        </w:tc>
      </w:tr>
      <w:tr w14:paraId="000358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08BDAB7">
            <w:pPr>
              <w:widowControl/>
              <w:adjustRightInd/>
              <w:snapToGrid/>
              <w:spacing w:line="240" w:lineRule="auto"/>
              <w:jc w:val="center"/>
              <w:rPr>
                <w:kern w:val="0"/>
                <w:sz w:val="18"/>
                <w:szCs w:val="18"/>
              </w:rPr>
            </w:pPr>
            <w:r>
              <w:rPr>
                <w:sz w:val="18"/>
                <w:szCs w:val="18"/>
              </w:rPr>
              <w:t>28</w:t>
            </w:r>
          </w:p>
        </w:tc>
        <w:tc>
          <w:tcPr>
            <w:tcW w:w="673" w:type="dxa"/>
            <w:vMerge w:val="continue"/>
            <w:vAlign w:val="center"/>
          </w:tcPr>
          <w:p w14:paraId="10525C86">
            <w:pPr>
              <w:widowControl/>
              <w:adjustRightInd/>
              <w:snapToGrid/>
              <w:spacing w:line="240" w:lineRule="auto"/>
              <w:jc w:val="left"/>
              <w:rPr>
                <w:kern w:val="0"/>
                <w:sz w:val="18"/>
                <w:szCs w:val="18"/>
              </w:rPr>
            </w:pPr>
          </w:p>
        </w:tc>
        <w:tc>
          <w:tcPr>
            <w:tcW w:w="595" w:type="dxa"/>
            <w:vMerge w:val="continue"/>
            <w:vAlign w:val="center"/>
          </w:tcPr>
          <w:p w14:paraId="42B44371">
            <w:pPr>
              <w:widowControl/>
              <w:adjustRightInd/>
              <w:snapToGrid/>
              <w:spacing w:line="240" w:lineRule="auto"/>
              <w:jc w:val="left"/>
              <w:rPr>
                <w:kern w:val="0"/>
                <w:sz w:val="18"/>
                <w:szCs w:val="18"/>
              </w:rPr>
            </w:pPr>
          </w:p>
        </w:tc>
        <w:tc>
          <w:tcPr>
            <w:tcW w:w="567" w:type="dxa"/>
            <w:vMerge w:val="continue"/>
            <w:vAlign w:val="center"/>
          </w:tcPr>
          <w:p w14:paraId="188C2553">
            <w:pPr>
              <w:widowControl/>
              <w:adjustRightInd/>
              <w:snapToGrid/>
              <w:spacing w:line="240" w:lineRule="auto"/>
              <w:jc w:val="left"/>
              <w:rPr>
                <w:kern w:val="0"/>
                <w:sz w:val="18"/>
                <w:szCs w:val="18"/>
              </w:rPr>
            </w:pPr>
          </w:p>
        </w:tc>
        <w:tc>
          <w:tcPr>
            <w:tcW w:w="426" w:type="dxa"/>
            <w:noWrap/>
            <w:vAlign w:val="center"/>
          </w:tcPr>
          <w:p w14:paraId="5380A616">
            <w:pPr>
              <w:widowControl/>
              <w:adjustRightInd/>
              <w:snapToGrid/>
              <w:spacing w:line="240" w:lineRule="auto"/>
              <w:jc w:val="center"/>
              <w:rPr>
                <w:kern w:val="0"/>
                <w:sz w:val="18"/>
                <w:szCs w:val="18"/>
              </w:rPr>
            </w:pPr>
            <w:r>
              <w:rPr>
                <w:sz w:val="18"/>
                <w:szCs w:val="18"/>
              </w:rPr>
              <w:t>夜间</w:t>
            </w:r>
          </w:p>
        </w:tc>
        <w:tc>
          <w:tcPr>
            <w:tcW w:w="708" w:type="dxa"/>
            <w:noWrap/>
            <w:vAlign w:val="center"/>
          </w:tcPr>
          <w:p w14:paraId="09707808">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3AB97CCF">
            <w:pPr>
              <w:widowControl/>
              <w:adjustRightInd/>
              <w:snapToGrid/>
              <w:spacing w:line="240" w:lineRule="auto"/>
              <w:jc w:val="center"/>
              <w:rPr>
                <w:kern w:val="0"/>
                <w:sz w:val="18"/>
                <w:szCs w:val="18"/>
              </w:rPr>
            </w:pPr>
          </w:p>
        </w:tc>
        <w:tc>
          <w:tcPr>
            <w:tcW w:w="709" w:type="dxa"/>
            <w:vMerge w:val="continue"/>
            <w:noWrap/>
            <w:vAlign w:val="center"/>
          </w:tcPr>
          <w:p w14:paraId="78F5E9FC">
            <w:pPr>
              <w:widowControl/>
              <w:adjustRightInd/>
              <w:snapToGrid/>
              <w:spacing w:line="240" w:lineRule="auto"/>
              <w:jc w:val="center"/>
              <w:rPr>
                <w:kern w:val="0"/>
                <w:sz w:val="18"/>
                <w:szCs w:val="18"/>
              </w:rPr>
            </w:pPr>
          </w:p>
        </w:tc>
        <w:tc>
          <w:tcPr>
            <w:tcW w:w="880" w:type="dxa"/>
          </w:tcPr>
          <w:p w14:paraId="0895F652">
            <w:pPr>
              <w:widowControl/>
              <w:adjustRightInd/>
              <w:snapToGrid/>
              <w:spacing w:line="240" w:lineRule="auto"/>
              <w:jc w:val="center"/>
              <w:rPr>
                <w:kern w:val="0"/>
                <w:sz w:val="18"/>
                <w:szCs w:val="18"/>
              </w:rPr>
            </w:pPr>
            <w:r>
              <w:rPr>
                <w:rFonts w:hint="eastAsia"/>
                <w:color w:val="000000"/>
                <w:sz w:val="18"/>
                <w:szCs w:val="18"/>
              </w:rPr>
              <w:t>50</w:t>
            </w:r>
          </w:p>
        </w:tc>
        <w:tc>
          <w:tcPr>
            <w:tcW w:w="880" w:type="dxa"/>
            <w:vAlign w:val="center"/>
          </w:tcPr>
          <w:p w14:paraId="24D3B637">
            <w:pPr>
              <w:widowControl/>
              <w:adjustRightInd/>
              <w:snapToGrid/>
              <w:spacing w:line="240" w:lineRule="auto"/>
              <w:jc w:val="center"/>
              <w:rPr>
                <w:kern w:val="0"/>
                <w:sz w:val="18"/>
                <w:szCs w:val="18"/>
              </w:rPr>
            </w:pPr>
            <w:r>
              <w:rPr>
                <w:color w:val="000000"/>
                <w:sz w:val="18"/>
                <w:szCs w:val="18"/>
              </w:rPr>
              <w:t xml:space="preserve">50.8 </w:t>
            </w:r>
          </w:p>
        </w:tc>
        <w:tc>
          <w:tcPr>
            <w:tcW w:w="881" w:type="dxa"/>
            <w:vAlign w:val="center"/>
          </w:tcPr>
          <w:p w14:paraId="6B6A60A4">
            <w:pPr>
              <w:widowControl/>
              <w:adjustRightInd/>
              <w:snapToGrid/>
              <w:spacing w:line="240" w:lineRule="auto"/>
              <w:jc w:val="center"/>
              <w:rPr>
                <w:kern w:val="0"/>
                <w:sz w:val="18"/>
                <w:szCs w:val="18"/>
              </w:rPr>
            </w:pPr>
            <w:r>
              <w:rPr>
                <w:rFonts w:hint="eastAsia"/>
                <w:color w:val="000000"/>
                <w:sz w:val="18"/>
                <w:szCs w:val="18"/>
              </w:rPr>
              <w:t xml:space="preserve">7.8 </w:t>
            </w:r>
          </w:p>
        </w:tc>
        <w:tc>
          <w:tcPr>
            <w:tcW w:w="880" w:type="dxa"/>
            <w:vAlign w:val="center"/>
          </w:tcPr>
          <w:p w14:paraId="1793DDB8">
            <w:pPr>
              <w:widowControl/>
              <w:adjustRightInd/>
              <w:snapToGrid/>
              <w:spacing w:line="240" w:lineRule="auto"/>
              <w:jc w:val="center"/>
              <w:rPr>
                <w:kern w:val="0"/>
                <w:sz w:val="18"/>
                <w:szCs w:val="18"/>
              </w:rPr>
            </w:pPr>
            <w:r>
              <w:rPr>
                <w:rFonts w:hint="eastAsia"/>
                <w:color w:val="000000"/>
                <w:sz w:val="18"/>
                <w:szCs w:val="18"/>
              </w:rPr>
              <w:t xml:space="preserve">0.8 </w:t>
            </w:r>
          </w:p>
        </w:tc>
        <w:tc>
          <w:tcPr>
            <w:tcW w:w="880" w:type="dxa"/>
            <w:noWrap/>
            <w:vAlign w:val="center"/>
          </w:tcPr>
          <w:p w14:paraId="46D63C92">
            <w:pPr>
              <w:widowControl/>
              <w:adjustRightInd/>
              <w:snapToGrid/>
              <w:spacing w:line="240" w:lineRule="auto"/>
              <w:jc w:val="center"/>
              <w:rPr>
                <w:kern w:val="0"/>
                <w:sz w:val="18"/>
                <w:szCs w:val="18"/>
              </w:rPr>
            </w:pPr>
            <w:r>
              <w:rPr>
                <w:kern w:val="0"/>
                <w:sz w:val="18"/>
                <w:szCs w:val="18"/>
              </w:rPr>
              <w:t>50.9</w:t>
            </w:r>
          </w:p>
        </w:tc>
        <w:tc>
          <w:tcPr>
            <w:tcW w:w="881" w:type="dxa"/>
            <w:noWrap/>
            <w:vAlign w:val="center"/>
          </w:tcPr>
          <w:p w14:paraId="23DE9A10">
            <w:pPr>
              <w:widowControl/>
              <w:adjustRightInd/>
              <w:snapToGrid/>
              <w:spacing w:line="240" w:lineRule="auto"/>
              <w:jc w:val="center"/>
              <w:rPr>
                <w:kern w:val="0"/>
                <w:sz w:val="18"/>
                <w:szCs w:val="18"/>
              </w:rPr>
            </w:pPr>
            <w:r>
              <w:rPr>
                <w:color w:val="000000"/>
                <w:sz w:val="18"/>
                <w:szCs w:val="18"/>
              </w:rPr>
              <w:t xml:space="preserve">51.6 </w:t>
            </w:r>
          </w:p>
        </w:tc>
        <w:tc>
          <w:tcPr>
            <w:tcW w:w="880" w:type="dxa"/>
            <w:noWrap/>
            <w:vAlign w:val="center"/>
          </w:tcPr>
          <w:p w14:paraId="2DC9164E">
            <w:pPr>
              <w:widowControl/>
              <w:adjustRightInd/>
              <w:snapToGrid/>
              <w:spacing w:line="240" w:lineRule="auto"/>
              <w:jc w:val="center"/>
              <w:rPr>
                <w:kern w:val="0"/>
                <w:sz w:val="18"/>
                <w:szCs w:val="18"/>
              </w:rPr>
            </w:pPr>
            <w:r>
              <w:rPr>
                <w:color w:val="000000"/>
                <w:sz w:val="18"/>
                <w:szCs w:val="18"/>
              </w:rPr>
              <w:t xml:space="preserve">8.6 </w:t>
            </w:r>
          </w:p>
        </w:tc>
        <w:tc>
          <w:tcPr>
            <w:tcW w:w="880" w:type="dxa"/>
            <w:noWrap/>
            <w:vAlign w:val="center"/>
          </w:tcPr>
          <w:p w14:paraId="1669748C">
            <w:pPr>
              <w:widowControl/>
              <w:adjustRightInd/>
              <w:snapToGrid/>
              <w:spacing w:line="240" w:lineRule="auto"/>
              <w:jc w:val="center"/>
              <w:rPr>
                <w:kern w:val="0"/>
                <w:sz w:val="18"/>
                <w:szCs w:val="18"/>
              </w:rPr>
            </w:pPr>
            <w:r>
              <w:rPr>
                <w:color w:val="000000"/>
                <w:sz w:val="18"/>
                <w:szCs w:val="18"/>
              </w:rPr>
              <w:t xml:space="preserve">1.6 </w:t>
            </w:r>
          </w:p>
        </w:tc>
        <w:tc>
          <w:tcPr>
            <w:tcW w:w="881" w:type="dxa"/>
            <w:noWrap/>
            <w:vAlign w:val="center"/>
          </w:tcPr>
          <w:p w14:paraId="66A8D9E7">
            <w:pPr>
              <w:widowControl/>
              <w:adjustRightInd/>
              <w:snapToGrid/>
              <w:spacing w:line="240" w:lineRule="auto"/>
              <w:jc w:val="center"/>
              <w:rPr>
                <w:kern w:val="0"/>
                <w:sz w:val="18"/>
                <w:szCs w:val="18"/>
              </w:rPr>
            </w:pPr>
            <w:r>
              <w:rPr>
                <w:kern w:val="0"/>
                <w:sz w:val="18"/>
                <w:szCs w:val="18"/>
              </w:rPr>
              <w:t>51.8</w:t>
            </w:r>
          </w:p>
        </w:tc>
        <w:tc>
          <w:tcPr>
            <w:tcW w:w="880" w:type="dxa"/>
            <w:noWrap/>
            <w:vAlign w:val="center"/>
          </w:tcPr>
          <w:p w14:paraId="76BC51D9">
            <w:pPr>
              <w:widowControl/>
              <w:adjustRightInd/>
              <w:snapToGrid/>
              <w:spacing w:line="240" w:lineRule="auto"/>
              <w:jc w:val="center"/>
              <w:rPr>
                <w:kern w:val="0"/>
                <w:sz w:val="18"/>
                <w:szCs w:val="18"/>
              </w:rPr>
            </w:pPr>
            <w:r>
              <w:rPr>
                <w:color w:val="000000"/>
                <w:sz w:val="18"/>
                <w:szCs w:val="18"/>
              </w:rPr>
              <w:t xml:space="preserve">52.3 </w:t>
            </w:r>
          </w:p>
        </w:tc>
        <w:tc>
          <w:tcPr>
            <w:tcW w:w="880" w:type="dxa"/>
            <w:noWrap/>
            <w:vAlign w:val="center"/>
          </w:tcPr>
          <w:p w14:paraId="319CF75B">
            <w:pPr>
              <w:widowControl/>
              <w:adjustRightInd/>
              <w:snapToGrid/>
              <w:spacing w:line="240" w:lineRule="auto"/>
              <w:jc w:val="center"/>
              <w:rPr>
                <w:kern w:val="0"/>
                <w:sz w:val="18"/>
                <w:szCs w:val="18"/>
              </w:rPr>
            </w:pPr>
            <w:r>
              <w:rPr>
                <w:color w:val="000000"/>
                <w:sz w:val="18"/>
                <w:szCs w:val="18"/>
              </w:rPr>
              <w:t xml:space="preserve">9.3 </w:t>
            </w:r>
          </w:p>
        </w:tc>
        <w:tc>
          <w:tcPr>
            <w:tcW w:w="881" w:type="dxa"/>
            <w:noWrap/>
            <w:vAlign w:val="center"/>
          </w:tcPr>
          <w:p w14:paraId="6DCA2BE8">
            <w:pPr>
              <w:widowControl/>
              <w:adjustRightInd/>
              <w:snapToGrid/>
              <w:spacing w:line="240" w:lineRule="auto"/>
              <w:jc w:val="center"/>
              <w:rPr>
                <w:kern w:val="0"/>
                <w:sz w:val="18"/>
                <w:szCs w:val="18"/>
              </w:rPr>
            </w:pPr>
            <w:r>
              <w:rPr>
                <w:color w:val="000000"/>
                <w:sz w:val="18"/>
                <w:szCs w:val="18"/>
              </w:rPr>
              <w:t xml:space="preserve">2.3 </w:t>
            </w:r>
          </w:p>
        </w:tc>
      </w:tr>
      <w:tr w14:paraId="0C0CED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1B77101B">
            <w:pPr>
              <w:widowControl/>
              <w:adjustRightInd/>
              <w:snapToGrid/>
              <w:spacing w:line="240" w:lineRule="auto"/>
              <w:jc w:val="center"/>
              <w:rPr>
                <w:kern w:val="0"/>
                <w:sz w:val="18"/>
                <w:szCs w:val="18"/>
              </w:rPr>
            </w:pPr>
            <w:r>
              <w:rPr>
                <w:sz w:val="18"/>
                <w:szCs w:val="18"/>
              </w:rPr>
              <w:t>29</w:t>
            </w:r>
          </w:p>
        </w:tc>
        <w:tc>
          <w:tcPr>
            <w:tcW w:w="673" w:type="dxa"/>
            <w:vMerge w:val="continue"/>
            <w:vAlign w:val="center"/>
          </w:tcPr>
          <w:p w14:paraId="41B1A265">
            <w:pPr>
              <w:widowControl/>
              <w:adjustRightInd/>
              <w:snapToGrid/>
              <w:spacing w:line="240" w:lineRule="auto"/>
              <w:jc w:val="left"/>
              <w:rPr>
                <w:kern w:val="0"/>
                <w:sz w:val="18"/>
                <w:szCs w:val="18"/>
              </w:rPr>
            </w:pPr>
          </w:p>
        </w:tc>
        <w:tc>
          <w:tcPr>
            <w:tcW w:w="595" w:type="dxa"/>
            <w:vMerge w:val="restart"/>
            <w:vAlign w:val="center"/>
          </w:tcPr>
          <w:p w14:paraId="56AFC209">
            <w:pPr>
              <w:widowControl/>
              <w:adjustRightInd/>
              <w:snapToGrid/>
              <w:spacing w:line="240" w:lineRule="auto"/>
              <w:jc w:val="center"/>
              <w:rPr>
                <w:kern w:val="0"/>
                <w:sz w:val="18"/>
                <w:szCs w:val="18"/>
              </w:rPr>
            </w:pPr>
            <w:r>
              <w:rPr>
                <w:kern w:val="0"/>
                <w:sz w:val="18"/>
                <w:szCs w:val="18"/>
              </w:rPr>
              <w:t>61.2</w:t>
            </w:r>
          </w:p>
        </w:tc>
        <w:tc>
          <w:tcPr>
            <w:tcW w:w="567" w:type="dxa"/>
            <w:vMerge w:val="continue"/>
            <w:vAlign w:val="center"/>
          </w:tcPr>
          <w:p w14:paraId="2FB3C46A">
            <w:pPr>
              <w:widowControl/>
              <w:adjustRightInd/>
              <w:snapToGrid/>
              <w:spacing w:line="240" w:lineRule="auto"/>
              <w:jc w:val="left"/>
              <w:rPr>
                <w:kern w:val="0"/>
                <w:sz w:val="18"/>
                <w:szCs w:val="18"/>
              </w:rPr>
            </w:pPr>
          </w:p>
        </w:tc>
        <w:tc>
          <w:tcPr>
            <w:tcW w:w="426" w:type="dxa"/>
            <w:noWrap/>
            <w:vAlign w:val="center"/>
          </w:tcPr>
          <w:p w14:paraId="1E82D4A0">
            <w:pPr>
              <w:widowControl/>
              <w:adjustRightInd/>
              <w:snapToGrid/>
              <w:spacing w:line="240" w:lineRule="auto"/>
              <w:jc w:val="center"/>
              <w:rPr>
                <w:kern w:val="0"/>
                <w:sz w:val="18"/>
                <w:szCs w:val="18"/>
              </w:rPr>
            </w:pPr>
            <w:r>
              <w:rPr>
                <w:sz w:val="18"/>
                <w:szCs w:val="18"/>
              </w:rPr>
              <w:t>昼间</w:t>
            </w:r>
          </w:p>
        </w:tc>
        <w:tc>
          <w:tcPr>
            <w:tcW w:w="708" w:type="dxa"/>
            <w:noWrap/>
            <w:vAlign w:val="center"/>
          </w:tcPr>
          <w:p w14:paraId="1C23C7DB">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23B6EC36">
            <w:pPr>
              <w:widowControl/>
              <w:adjustRightInd/>
              <w:snapToGrid/>
              <w:spacing w:line="240" w:lineRule="auto"/>
              <w:jc w:val="center"/>
              <w:rPr>
                <w:kern w:val="0"/>
                <w:sz w:val="18"/>
                <w:szCs w:val="18"/>
              </w:rPr>
            </w:pPr>
          </w:p>
        </w:tc>
        <w:tc>
          <w:tcPr>
            <w:tcW w:w="709" w:type="dxa"/>
            <w:vMerge w:val="continue"/>
            <w:noWrap/>
            <w:vAlign w:val="center"/>
          </w:tcPr>
          <w:p w14:paraId="3B908A51">
            <w:pPr>
              <w:widowControl/>
              <w:adjustRightInd/>
              <w:snapToGrid/>
              <w:spacing w:line="240" w:lineRule="auto"/>
              <w:jc w:val="center"/>
              <w:rPr>
                <w:kern w:val="0"/>
                <w:sz w:val="18"/>
                <w:szCs w:val="18"/>
              </w:rPr>
            </w:pPr>
          </w:p>
        </w:tc>
        <w:tc>
          <w:tcPr>
            <w:tcW w:w="880" w:type="dxa"/>
          </w:tcPr>
          <w:p w14:paraId="26125D04">
            <w:pPr>
              <w:widowControl/>
              <w:adjustRightInd/>
              <w:snapToGrid/>
              <w:spacing w:line="240" w:lineRule="auto"/>
              <w:jc w:val="center"/>
              <w:rPr>
                <w:color w:val="000000"/>
                <w:sz w:val="18"/>
                <w:szCs w:val="18"/>
              </w:rPr>
            </w:pPr>
            <w:r>
              <w:rPr>
                <w:rFonts w:hint="eastAsia"/>
                <w:color w:val="000000"/>
                <w:sz w:val="18"/>
                <w:szCs w:val="18"/>
              </w:rPr>
              <w:t>62.4</w:t>
            </w:r>
          </w:p>
        </w:tc>
        <w:tc>
          <w:tcPr>
            <w:tcW w:w="880" w:type="dxa"/>
            <w:vAlign w:val="center"/>
          </w:tcPr>
          <w:p w14:paraId="113CD47A">
            <w:pPr>
              <w:widowControl/>
              <w:adjustRightInd/>
              <w:snapToGrid/>
              <w:spacing w:line="240" w:lineRule="auto"/>
              <w:jc w:val="center"/>
              <w:rPr>
                <w:color w:val="000000"/>
                <w:sz w:val="18"/>
                <w:szCs w:val="18"/>
              </w:rPr>
            </w:pPr>
            <w:r>
              <w:rPr>
                <w:color w:val="000000"/>
                <w:sz w:val="18"/>
                <w:szCs w:val="18"/>
              </w:rPr>
              <w:t xml:space="preserve">62.8 </w:t>
            </w:r>
          </w:p>
        </w:tc>
        <w:tc>
          <w:tcPr>
            <w:tcW w:w="881" w:type="dxa"/>
            <w:vAlign w:val="center"/>
          </w:tcPr>
          <w:p w14:paraId="08650FB9">
            <w:pPr>
              <w:widowControl/>
              <w:adjustRightInd/>
              <w:snapToGrid/>
              <w:spacing w:line="240" w:lineRule="auto"/>
              <w:jc w:val="center"/>
              <w:rPr>
                <w:color w:val="000000"/>
                <w:sz w:val="18"/>
                <w:szCs w:val="18"/>
              </w:rPr>
            </w:pPr>
            <w:r>
              <w:rPr>
                <w:rFonts w:hint="eastAsia"/>
                <w:color w:val="000000"/>
                <w:sz w:val="18"/>
                <w:szCs w:val="18"/>
              </w:rPr>
              <w:t xml:space="preserve">10.8 </w:t>
            </w:r>
          </w:p>
        </w:tc>
        <w:tc>
          <w:tcPr>
            <w:tcW w:w="880" w:type="dxa"/>
            <w:vAlign w:val="center"/>
          </w:tcPr>
          <w:p w14:paraId="02E19428">
            <w:pPr>
              <w:widowControl/>
              <w:adjustRightInd/>
              <w:snapToGrid/>
              <w:spacing w:line="240" w:lineRule="auto"/>
              <w:jc w:val="center"/>
              <w:rPr>
                <w:color w:val="000000"/>
                <w:sz w:val="18"/>
                <w:szCs w:val="18"/>
              </w:rPr>
            </w:pPr>
            <w:r>
              <w:rPr>
                <w:rFonts w:hint="eastAsia"/>
                <w:color w:val="000000"/>
                <w:sz w:val="18"/>
                <w:szCs w:val="18"/>
              </w:rPr>
              <w:t xml:space="preserve">2.8 </w:t>
            </w:r>
          </w:p>
        </w:tc>
        <w:tc>
          <w:tcPr>
            <w:tcW w:w="880" w:type="dxa"/>
            <w:noWrap/>
            <w:vAlign w:val="center"/>
          </w:tcPr>
          <w:p w14:paraId="38DBE35A">
            <w:pPr>
              <w:widowControl/>
              <w:adjustRightInd/>
              <w:snapToGrid/>
              <w:spacing w:line="240" w:lineRule="auto"/>
              <w:jc w:val="center"/>
              <w:rPr>
                <w:kern w:val="0"/>
                <w:sz w:val="18"/>
                <w:szCs w:val="18"/>
              </w:rPr>
            </w:pPr>
            <w:r>
              <w:rPr>
                <w:rFonts w:hint="eastAsia"/>
                <w:color w:val="000000"/>
                <w:sz w:val="18"/>
                <w:szCs w:val="18"/>
              </w:rPr>
              <w:t>63.2</w:t>
            </w:r>
          </w:p>
        </w:tc>
        <w:tc>
          <w:tcPr>
            <w:tcW w:w="881" w:type="dxa"/>
            <w:noWrap/>
            <w:vAlign w:val="center"/>
          </w:tcPr>
          <w:p w14:paraId="66ADBFF8">
            <w:pPr>
              <w:widowControl/>
              <w:adjustRightInd/>
              <w:snapToGrid/>
              <w:spacing w:line="240" w:lineRule="auto"/>
              <w:jc w:val="center"/>
              <w:rPr>
                <w:kern w:val="0"/>
                <w:sz w:val="18"/>
                <w:szCs w:val="18"/>
              </w:rPr>
            </w:pPr>
            <w:r>
              <w:rPr>
                <w:color w:val="000000"/>
                <w:sz w:val="18"/>
                <w:szCs w:val="18"/>
              </w:rPr>
              <w:t xml:space="preserve">63.5 </w:t>
            </w:r>
          </w:p>
        </w:tc>
        <w:tc>
          <w:tcPr>
            <w:tcW w:w="880" w:type="dxa"/>
            <w:noWrap/>
            <w:vAlign w:val="center"/>
          </w:tcPr>
          <w:p w14:paraId="32AA89DA">
            <w:pPr>
              <w:widowControl/>
              <w:adjustRightInd/>
              <w:snapToGrid/>
              <w:spacing w:line="240" w:lineRule="auto"/>
              <w:jc w:val="center"/>
              <w:rPr>
                <w:kern w:val="0"/>
                <w:sz w:val="18"/>
                <w:szCs w:val="18"/>
              </w:rPr>
            </w:pPr>
            <w:r>
              <w:rPr>
                <w:color w:val="000000"/>
                <w:sz w:val="18"/>
                <w:szCs w:val="18"/>
              </w:rPr>
              <w:t xml:space="preserve">11.5 </w:t>
            </w:r>
          </w:p>
        </w:tc>
        <w:tc>
          <w:tcPr>
            <w:tcW w:w="880" w:type="dxa"/>
            <w:noWrap/>
            <w:vAlign w:val="center"/>
          </w:tcPr>
          <w:p w14:paraId="5377343B">
            <w:pPr>
              <w:widowControl/>
              <w:adjustRightInd/>
              <w:snapToGrid/>
              <w:spacing w:line="240" w:lineRule="auto"/>
              <w:jc w:val="center"/>
              <w:rPr>
                <w:kern w:val="0"/>
                <w:sz w:val="18"/>
                <w:szCs w:val="18"/>
              </w:rPr>
            </w:pPr>
            <w:r>
              <w:rPr>
                <w:color w:val="000000"/>
                <w:sz w:val="18"/>
                <w:szCs w:val="18"/>
              </w:rPr>
              <w:t xml:space="preserve">3.5 </w:t>
            </w:r>
          </w:p>
        </w:tc>
        <w:tc>
          <w:tcPr>
            <w:tcW w:w="881" w:type="dxa"/>
            <w:noWrap/>
            <w:vAlign w:val="center"/>
          </w:tcPr>
          <w:p w14:paraId="1F1B9294">
            <w:pPr>
              <w:widowControl/>
              <w:adjustRightInd/>
              <w:snapToGrid/>
              <w:spacing w:line="240" w:lineRule="auto"/>
              <w:jc w:val="center"/>
              <w:rPr>
                <w:kern w:val="0"/>
                <w:sz w:val="18"/>
                <w:szCs w:val="18"/>
              </w:rPr>
            </w:pPr>
            <w:r>
              <w:rPr>
                <w:kern w:val="0"/>
                <w:sz w:val="18"/>
                <w:szCs w:val="18"/>
              </w:rPr>
              <w:t>64.1</w:t>
            </w:r>
          </w:p>
        </w:tc>
        <w:tc>
          <w:tcPr>
            <w:tcW w:w="880" w:type="dxa"/>
            <w:noWrap/>
            <w:vAlign w:val="center"/>
          </w:tcPr>
          <w:p w14:paraId="7FD2F4C1">
            <w:pPr>
              <w:widowControl/>
              <w:adjustRightInd/>
              <w:snapToGrid/>
              <w:spacing w:line="240" w:lineRule="auto"/>
              <w:jc w:val="center"/>
              <w:rPr>
                <w:kern w:val="0"/>
                <w:sz w:val="18"/>
                <w:szCs w:val="18"/>
              </w:rPr>
            </w:pPr>
            <w:r>
              <w:rPr>
                <w:color w:val="000000"/>
                <w:sz w:val="18"/>
                <w:szCs w:val="18"/>
              </w:rPr>
              <w:t xml:space="preserve">64.4 </w:t>
            </w:r>
          </w:p>
        </w:tc>
        <w:tc>
          <w:tcPr>
            <w:tcW w:w="880" w:type="dxa"/>
            <w:noWrap/>
            <w:vAlign w:val="center"/>
          </w:tcPr>
          <w:p w14:paraId="5B048AC5">
            <w:pPr>
              <w:widowControl/>
              <w:adjustRightInd/>
              <w:snapToGrid/>
              <w:spacing w:line="240" w:lineRule="auto"/>
              <w:jc w:val="center"/>
              <w:rPr>
                <w:kern w:val="0"/>
                <w:sz w:val="18"/>
                <w:szCs w:val="18"/>
              </w:rPr>
            </w:pPr>
            <w:r>
              <w:rPr>
                <w:color w:val="000000"/>
                <w:sz w:val="18"/>
                <w:szCs w:val="18"/>
              </w:rPr>
              <w:t xml:space="preserve">12.4 </w:t>
            </w:r>
          </w:p>
        </w:tc>
        <w:tc>
          <w:tcPr>
            <w:tcW w:w="881" w:type="dxa"/>
            <w:noWrap/>
            <w:vAlign w:val="center"/>
          </w:tcPr>
          <w:p w14:paraId="584C8EBE">
            <w:pPr>
              <w:widowControl/>
              <w:adjustRightInd/>
              <w:snapToGrid/>
              <w:spacing w:line="240" w:lineRule="auto"/>
              <w:jc w:val="center"/>
              <w:rPr>
                <w:kern w:val="0"/>
                <w:sz w:val="18"/>
                <w:szCs w:val="18"/>
              </w:rPr>
            </w:pPr>
            <w:r>
              <w:rPr>
                <w:color w:val="000000"/>
                <w:sz w:val="18"/>
                <w:szCs w:val="18"/>
              </w:rPr>
              <w:t xml:space="preserve">4.4 </w:t>
            </w:r>
          </w:p>
        </w:tc>
      </w:tr>
      <w:tr w14:paraId="446385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66FD9011">
            <w:pPr>
              <w:widowControl/>
              <w:adjustRightInd/>
              <w:snapToGrid/>
              <w:spacing w:line="240" w:lineRule="auto"/>
              <w:jc w:val="center"/>
              <w:rPr>
                <w:kern w:val="0"/>
                <w:sz w:val="18"/>
                <w:szCs w:val="18"/>
              </w:rPr>
            </w:pPr>
            <w:r>
              <w:rPr>
                <w:sz w:val="18"/>
                <w:szCs w:val="18"/>
              </w:rPr>
              <w:t>30</w:t>
            </w:r>
          </w:p>
        </w:tc>
        <w:tc>
          <w:tcPr>
            <w:tcW w:w="673" w:type="dxa"/>
            <w:vMerge w:val="continue"/>
            <w:vAlign w:val="center"/>
          </w:tcPr>
          <w:p w14:paraId="288CC6BA">
            <w:pPr>
              <w:widowControl/>
              <w:adjustRightInd/>
              <w:snapToGrid/>
              <w:spacing w:line="240" w:lineRule="auto"/>
              <w:jc w:val="left"/>
              <w:rPr>
                <w:kern w:val="0"/>
                <w:sz w:val="18"/>
                <w:szCs w:val="18"/>
              </w:rPr>
            </w:pPr>
          </w:p>
        </w:tc>
        <w:tc>
          <w:tcPr>
            <w:tcW w:w="595" w:type="dxa"/>
            <w:vMerge w:val="continue"/>
            <w:vAlign w:val="center"/>
          </w:tcPr>
          <w:p w14:paraId="3BB08C49">
            <w:pPr>
              <w:widowControl/>
              <w:adjustRightInd/>
              <w:snapToGrid/>
              <w:spacing w:line="240" w:lineRule="auto"/>
              <w:jc w:val="left"/>
              <w:rPr>
                <w:kern w:val="0"/>
                <w:sz w:val="18"/>
                <w:szCs w:val="18"/>
              </w:rPr>
            </w:pPr>
          </w:p>
        </w:tc>
        <w:tc>
          <w:tcPr>
            <w:tcW w:w="567" w:type="dxa"/>
            <w:vMerge w:val="continue"/>
            <w:vAlign w:val="center"/>
          </w:tcPr>
          <w:p w14:paraId="7F02A7A1">
            <w:pPr>
              <w:widowControl/>
              <w:adjustRightInd/>
              <w:snapToGrid/>
              <w:spacing w:line="240" w:lineRule="auto"/>
              <w:jc w:val="left"/>
              <w:rPr>
                <w:kern w:val="0"/>
                <w:sz w:val="18"/>
                <w:szCs w:val="18"/>
              </w:rPr>
            </w:pPr>
          </w:p>
        </w:tc>
        <w:tc>
          <w:tcPr>
            <w:tcW w:w="426" w:type="dxa"/>
            <w:noWrap/>
            <w:vAlign w:val="center"/>
          </w:tcPr>
          <w:p w14:paraId="23E5C6E6">
            <w:pPr>
              <w:widowControl/>
              <w:adjustRightInd/>
              <w:snapToGrid/>
              <w:spacing w:line="240" w:lineRule="auto"/>
              <w:jc w:val="center"/>
              <w:rPr>
                <w:kern w:val="0"/>
                <w:sz w:val="18"/>
                <w:szCs w:val="18"/>
              </w:rPr>
            </w:pPr>
            <w:r>
              <w:rPr>
                <w:sz w:val="18"/>
                <w:szCs w:val="18"/>
              </w:rPr>
              <w:t>夜间</w:t>
            </w:r>
          </w:p>
        </w:tc>
        <w:tc>
          <w:tcPr>
            <w:tcW w:w="708" w:type="dxa"/>
            <w:noWrap/>
            <w:vAlign w:val="center"/>
          </w:tcPr>
          <w:p w14:paraId="410C1F53">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091A8EB8">
            <w:pPr>
              <w:widowControl/>
              <w:adjustRightInd/>
              <w:snapToGrid/>
              <w:spacing w:line="240" w:lineRule="auto"/>
              <w:jc w:val="center"/>
              <w:rPr>
                <w:kern w:val="0"/>
                <w:sz w:val="18"/>
                <w:szCs w:val="18"/>
              </w:rPr>
            </w:pPr>
          </w:p>
        </w:tc>
        <w:tc>
          <w:tcPr>
            <w:tcW w:w="709" w:type="dxa"/>
            <w:vMerge w:val="continue"/>
            <w:noWrap/>
            <w:vAlign w:val="center"/>
          </w:tcPr>
          <w:p w14:paraId="5AE1DAF8">
            <w:pPr>
              <w:widowControl/>
              <w:adjustRightInd/>
              <w:snapToGrid/>
              <w:spacing w:line="240" w:lineRule="auto"/>
              <w:jc w:val="center"/>
              <w:rPr>
                <w:kern w:val="0"/>
                <w:sz w:val="18"/>
                <w:szCs w:val="18"/>
              </w:rPr>
            </w:pPr>
          </w:p>
        </w:tc>
        <w:tc>
          <w:tcPr>
            <w:tcW w:w="880" w:type="dxa"/>
          </w:tcPr>
          <w:p w14:paraId="4226F1AE">
            <w:pPr>
              <w:widowControl/>
              <w:adjustRightInd/>
              <w:snapToGrid/>
              <w:spacing w:line="240" w:lineRule="auto"/>
              <w:jc w:val="center"/>
              <w:rPr>
                <w:kern w:val="0"/>
                <w:sz w:val="18"/>
                <w:szCs w:val="18"/>
              </w:rPr>
            </w:pPr>
            <w:r>
              <w:rPr>
                <w:rFonts w:hint="eastAsia"/>
                <w:color w:val="000000"/>
                <w:sz w:val="18"/>
                <w:szCs w:val="18"/>
              </w:rPr>
              <w:t>48.5</w:t>
            </w:r>
          </w:p>
        </w:tc>
        <w:tc>
          <w:tcPr>
            <w:tcW w:w="880" w:type="dxa"/>
            <w:vAlign w:val="center"/>
          </w:tcPr>
          <w:p w14:paraId="2EA9C79D">
            <w:pPr>
              <w:widowControl/>
              <w:adjustRightInd/>
              <w:snapToGrid/>
              <w:spacing w:line="240" w:lineRule="auto"/>
              <w:jc w:val="center"/>
              <w:rPr>
                <w:kern w:val="0"/>
                <w:sz w:val="18"/>
                <w:szCs w:val="18"/>
              </w:rPr>
            </w:pPr>
            <w:r>
              <w:rPr>
                <w:color w:val="000000"/>
                <w:sz w:val="18"/>
                <w:szCs w:val="18"/>
              </w:rPr>
              <w:t xml:space="preserve">49.6 </w:t>
            </w:r>
          </w:p>
        </w:tc>
        <w:tc>
          <w:tcPr>
            <w:tcW w:w="881" w:type="dxa"/>
            <w:vAlign w:val="center"/>
          </w:tcPr>
          <w:p w14:paraId="5EA2FEBA">
            <w:pPr>
              <w:widowControl/>
              <w:adjustRightInd/>
              <w:snapToGrid/>
              <w:spacing w:line="240" w:lineRule="auto"/>
              <w:jc w:val="center"/>
              <w:rPr>
                <w:kern w:val="0"/>
                <w:sz w:val="18"/>
                <w:szCs w:val="18"/>
              </w:rPr>
            </w:pPr>
            <w:r>
              <w:rPr>
                <w:rFonts w:hint="eastAsia"/>
                <w:color w:val="000000"/>
                <w:sz w:val="18"/>
                <w:szCs w:val="18"/>
              </w:rPr>
              <w:t xml:space="preserve">6.6 </w:t>
            </w:r>
          </w:p>
        </w:tc>
        <w:tc>
          <w:tcPr>
            <w:tcW w:w="880" w:type="dxa"/>
            <w:vAlign w:val="center"/>
          </w:tcPr>
          <w:p w14:paraId="6F014F48">
            <w:pPr>
              <w:widowControl/>
              <w:adjustRightInd/>
              <w:snapToGrid/>
              <w:spacing w:line="240" w:lineRule="auto"/>
              <w:jc w:val="center"/>
              <w:rPr>
                <w:kern w:val="0"/>
                <w:sz w:val="18"/>
                <w:szCs w:val="18"/>
              </w:rPr>
            </w:pPr>
            <w:r>
              <w:rPr>
                <w:rFonts w:hint="eastAsia"/>
                <w:color w:val="000000"/>
                <w:sz w:val="18"/>
                <w:szCs w:val="18"/>
              </w:rPr>
              <w:t xml:space="preserve">-0.4 </w:t>
            </w:r>
          </w:p>
        </w:tc>
        <w:tc>
          <w:tcPr>
            <w:tcW w:w="880" w:type="dxa"/>
            <w:noWrap/>
            <w:vAlign w:val="center"/>
          </w:tcPr>
          <w:p w14:paraId="58CC709A">
            <w:pPr>
              <w:widowControl/>
              <w:adjustRightInd/>
              <w:snapToGrid/>
              <w:spacing w:line="240" w:lineRule="auto"/>
              <w:jc w:val="center"/>
              <w:rPr>
                <w:kern w:val="0"/>
                <w:sz w:val="18"/>
                <w:szCs w:val="18"/>
              </w:rPr>
            </w:pPr>
            <w:r>
              <w:rPr>
                <w:kern w:val="0"/>
                <w:sz w:val="18"/>
                <w:szCs w:val="18"/>
              </w:rPr>
              <w:t>49.4</w:t>
            </w:r>
          </w:p>
        </w:tc>
        <w:tc>
          <w:tcPr>
            <w:tcW w:w="881" w:type="dxa"/>
            <w:noWrap/>
            <w:vAlign w:val="center"/>
          </w:tcPr>
          <w:p w14:paraId="3608A979">
            <w:pPr>
              <w:widowControl/>
              <w:adjustRightInd/>
              <w:snapToGrid/>
              <w:spacing w:line="240" w:lineRule="auto"/>
              <w:jc w:val="center"/>
              <w:rPr>
                <w:kern w:val="0"/>
                <w:sz w:val="18"/>
                <w:szCs w:val="18"/>
              </w:rPr>
            </w:pPr>
            <w:r>
              <w:rPr>
                <w:color w:val="000000"/>
                <w:sz w:val="18"/>
                <w:szCs w:val="18"/>
              </w:rPr>
              <w:t xml:space="preserve">50.3 </w:t>
            </w:r>
          </w:p>
        </w:tc>
        <w:tc>
          <w:tcPr>
            <w:tcW w:w="880" w:type="dxa"/>
            <w:noWrap/>
            <w:vAlign w:val="center"/>
          </w:tcPr>
          <w:p w14:paraId="055A6585">
            <w:pPr>
              <w:widowControl/>
              <w:adjustRightInd/>
              <w:snapToGrid/>
              <w:spacing w:line="240" w:lineRule="auto"/>
              <w:jc w:val="center"/>
              <w:rPr>
                <w:kern w:val="0"/>
                <w:sz w:val="18"/>
                <w:szCs w:val="18"/>
              </w:rPr>
            </w:pPr>
            <w:r>
              <w:rPr>
                <w:color w:val="000000"/>
                <w:sz w:val="18"/>
                <w:szCs w:val="18"/>
              </w:rPr>
              <w:t xml:space="preserve">7.3 </w:t>
            </w:r>
          </w:p>
        </w:tc>
        <w:tc>
          <w:tcPr>
            <w:tcW w:w="880" w:type="dxa"/>
            <w:noWrap/>
            <w:vAlign w:val="center"/>
          </w:tcPr>
          <w:p w14:paraId="77F55BA1">
            <w:pPr>
              <w:widowControl/>
              <w:adjustRightInd/>
              <w:snapToGrid/>
              <w:spacing w:line="240" w:lineRule="auto"/>
              <w:jc w:val="center"/>
              <w:rPr>
                <w:kern w:val="0"/>
                <w:sz w:val="18"/>
                <w:szCs w:val="18"/>
              </w:rPr>
            </w:pPr>
            <w:r>
              <w:rPr>
                <w:color w:val="000000"/>
                <w:sz w:val="18"/>
                <w:szCs w:val="18"/>
              </w:rPr>
              <w:t xml:space="preserve">0.3 </w:t>
            </w:r>
          </w:p>
        </w:tc>
        <w:tc>
          <w:tcPr>
            <w:tcW w:w="881" w:type="dxa"/>
            <w:noWrap/>
            <w:vAlign w:val="center"/>
          </w:tcPr>
          <w:p w14:paraId="1AC93829">
            <w:pPr>
              <w:widowControl/>
              <w:adjustRightInd/>
              <w:snapToGrid/>
              <w:spacing w:line="240" w:lineRule="auto"/>
              <w:jc w:val="center"/>
              <w:rPr>
                <w:kern w:val="0"/>
                <w:sz w:val="18"/>
                <w:szCs w:val="18"/>
              </w:rPr>
            </w:pPr>
            <w:r>
              <w:rPr>
                <w:kern w:val="0"/>
                <w:sz w:val="18"/>
                <w:szCs w:val="18"/>
              </w:rPr>
              <w:t>50.3</w:t>
            </w:r>
          </w:p>
        </w:tc>
        <w:tc>
          <w:tcPr>
            <w:tcW w:w="880" w:type="dxa"/>
            <w:noWrap/>
            <w:vAlign w:val="center"/>
          </w:tcPr>
          <w:p w14:paraId="347C3C5C">
            <w:pPr>
              <w:widowControl/>
              <w:adjustRightInd/>
              <w:snapToGrid/>
              <w:spacing w:line="240" w:lineRule="auto"/>
              <w:jc w:val="center"/>
              <w:rPr>
                <w:kern w:val="0"/>
                <w:sz w:val="18"/>
                <w:szCs w:val="18"/>
              </w:rPr>
            </w:pPr>
            <w:r>
              <w:rPr>
                <w:color w:val="000000"/>
                <w:sz w:val="18"/>
                <w:szCs w:val="18"/>
              </w:rPr>
              <w:t xml:space="preserve">51.0 </w:t>
            </w:r>
          </w:p>
        </w:tc>
        <w:tc>
          <w:tcPr>
            <w:tcW w:w="880" w:type="dxa"/>
            <w:noWrap/>
            <w:vAlign w:val="center"/>
          </w:tcPr>
          <w:p w14:paraId="1D24697E">
            <w:pPr>
              <w:widowControl/>
              <w:adjustRightInd/>
              <w:snapToGrid/>
              <w:spacing w:line="240" w:lineRule="auto"/>
              <w:jc w:val="center"/>
              <w:rPr>
                <w:kern w:val="0"/>
                <w:sz w:val="18"/>
                <w:szCs w:val="18"/>
              </w:rPr>
            </w:pPr>
            <w:r>
              <w:rPr>
                <w:color w:val="000000"/>
                <w:sz w:val="18"/>
                <w:szCs w:val="18"/>
              </w:rPr>
              <w:t xml:space="preserve">8.0 </w:t>
            </w:r>
          </w:p>
        </w:tc>
        <w:tc>
          <w:tcPr>
            <w:tcW w:w="881" w:type="dxa"/>
            <w:noWrap/>
            <w:vAlign w:val="center"/>
          </w:tcPr>
          <w:p w14:paraId="18EFD8F9">
            <w:pPr>
              <w:widowControl/>
              <w:adjustRightInd/>
              <w:snapToGrid/>
              <w:spacing w:line="240" w:lineRule="auto"/>
              <w:jc w:val="center"/>
              <w:rPr>
                <w:kern w:val="0"/>
                <w:sz w:val="18"/>
                <w:szCs w:val="18"/>
              </w:rPr>
            </w:pPr>
            <w:r>
              <w:rPr>
                <w:color w:val="000000"/>
                <w:sz w:val="18"/>
                <w:szCs w:val="18"/>
              </w:rPr>
              <w:t xml:space="preserve">1.0 </w:t>
            </w:r>
          </w:p>
        </w:tc>
      </w:tr>
      <w:tr w14:paraId="281643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914A04C">
            <w:pPr>
              <w:widowControl/>
              <w:adjustRightInd/>
              <w:snapToGrid/>
              <w:spacing w:line="240" w:lineRule="auto"/>
              <w:jc w:val="center"/>
              <w:rPr>
                <w:kern w:val="0"/>
                <w:sz w:val="18"/>
                <w:szCs w:val="18"/>
              </w:rPr>
            </w:pPr>
            <w:r>
              <w:rPr>
                <w:sz w:val="18"/>
                <w:szCs w:val="18"/>
              </w:rPr>
              <w:t>31</w:t>
            </w:r>
          </w:p>
        </w:tc>
        <w:tc>
          <w:tcPr>
            <w:tcW w:w="673" w:type="dxa"/>
            <w:vMerge w:val="restart"/>
            <w:noWrap/>
            <w:vAlign w:val="center"/>
          </w:tcPr>
          <w:p w14:paraId="675651FB">
            <w:pPr>
              <w:widowControl/>
              <w:adjustRightInd/>
              <w:snapToGrid/>
              <w:spacing w:line="240" w:lineRule="auto"/>
              <w:jc w:val="center"/>
              <w:rPr>
                <w:kern w:val="0"/>
                <w:sz w:val="18"/>
                <w:szCs w:val="18"/>
              </w:rPr>
            </w:pPr>
            <w:r>
              <w:rPr>
                <w:kern w:val="0"/>
                <w:sz w:val="18"/>
                <w:szCs w:val="18"/>
              </w:rPr>
              <w:t>规划住宅4</w:t>
            </w:r>
          </w:p>
        </w:tc>
        <w:tc>
          <w:tcPr>
            <w:tcW w:w="595" w:type="dxa"/>
            <w:vMerge w:val="restart"/>
            <w:vAlign w:val="center"/>
          </w:tcPr>
          <w:p w14:paraId="75940A3C">
            <w:pPr>
              <w:widowControl/>
              <w:adjustRightInd/>
              <w:snapToGrid/>
              <w:spacing w:line="240" w:lineRule="auto"/>
              <w:jc w:val="center"/>
              <w:rPr>
                <w:kern w:val="0"/>
                <w:sz w:val="18"/>
                <w:szCs w:val="18"/>
              </w:rPr>
            </w:pPr>
            <w:r>
              <w:rPr>
                <w:kern w:val="0"/>
                <w:sz w:val="18"/>
                <w:szCs w:val="18"/>
              </w:rPr>
              <w:t>1.2</w:t>
            </w:r>
          </w:p>
        </w:tc>
        <w:tc>
          <w:tcPr>
            <w:tcW w:w="567" w:type="dxa"/>
            <w:vMerge w:val="restart"/>
            <w:vAlign w:val="center"/>
          </w:tcPr>
          <w:p w14:paraId="4B5989E5">
            <w:pPr>
              <w:widowControl/>
              <w:adjustRightInd/>
              <w:snapToGrid/>
              <w:spacing w:line="240" w:lineRule="auto"/>
              <w:jc w:val="center"/>
              <w:rPr>
                <w:kern w:val="0"/>
                <w:sz w:val="18"/>
                <w:szCs w:val="18"/>
              </w:rPr>
            </w:pPr>
            <w:r>
              <w:rPr>
                <w:rFonts w:hint="eastAsia"/>
                <w:kern w:val="0"/>
                <w:sz w:val="18"/>
                <w:szCs w:val="18"/>
              </w:rPr>
              <w:t>2</w:t>
            </w:r>
            <w:r>
              <w:rPr>
                <w:kern w:val="0"/>
                <w:sz w:val="18"/>
                <w:szCs w:val="18"/>
              </w:rPr>
              <w:t>类</w:t>
            </w:r>
          </w:p>
        </w:tc>
        <w:tc>
          <w:tcPr>
            <w:tcW w:w="426" w:type="dxa"/>
            <w:noWrap/>
            <w:vAlign w:val="center"/>
          </w:tcPr>
          <w:p w14:paraId="450BF7D3">
            <w:pPr>
              <w:widowControl/>
              <w:adjustRightInd/>
              <w:snapToGrid/>
              <w:spacing w:line="240" w:lineRule="auto"/>
              <w:jc w:val="center"/>
              <w:rPr>
                <w:kern w:val="0"/>
                <w:sz w:val="18"/>
                <w:szCs w:val="18"/>
              </w:rPr>
            </w:pPr>
            <w:r>
              <w:rPr>
                <w:sz w:val="18"/>
                <w:szCs w:val="18"/>
              </w:rPr>
              <w:t>昼间</w:t>
            </w:r>
          </w:p>
        </w:tc>
        <w:tc>
          <w:tcPr>
            <w:tcW w:w="708" w:type="dxa"/>
            <w:noWrap/>
            <w:vAlign w:val="center"/>
          </w:tcPr>
          <w:p w14:paraId="772F2720">
            <w:pPr>
              <w:widowControl/>
              <w:adjustRightInd/>
              <w:snapToGrid/>
              <w:spacing w:line="240" w:lineRule="auto"/>
              <w:jc w:val="center"/>
              <w:rPr>
                <w:kern w:val="0"/>
                <w:sz w:val="18"/>
                <w:szCs w:val="18"/>
              </w:rPr>
            </w:pPr>
            <w:r>
              <w:rPr>
                <w:sz w:val="18"/>
                <w:szCs w:val="18"/>
              </w:rPr>
              <w:t>60</w:t>
            </w:r>
          </w:p>
        </w:tc>
        <w:tc>
          <w:tcPr>
            <w:tcW w:w="709" w:type="dxa"/>
            <w:vMerge w:val="restart"/>
            <w:noWrap/>
            <w:vAlign w:val="center"/>
          </w:tcPr>
          <w:p w14:paraId="46B23C24">
            <w:pPr>
              <w:widowControl/>
              <w:adjustRightInd/>
              <w:snapToGrid/>
              <w:spacing w:line="240" w:lineRule="auto"/>
              <w:jc w:val="center"/>
              <w:rPr>
                <w:kern w:val="0"/>
                <w:sz w:val="18"/>
                <w:szCs w:val="18"/>
              </w:rPr>
            </w:pPr>
            <w:r>
              <w:rPr>
                <w:rFonts w:hint="eastAsia"/>
                <w:kern w:val="0"/>
                <w:sz w:val="18"/>
                <w:szCs w:val="18"/>
              </w:rPr>
              <w:t>52（昼）</w:t>
            </w:r>
          </w:p>
          <w:p w14:paraId="66FCEFC8">
            <w:pPr>
              <w:widowControl/>
              <w:adjustRightInd/>
              <w:snapToGrid/>
              <w:spacing w:line="240" w:lineRule="auto"/>
              <w:jc w:val="center"/>
              <w:rPr>
                <w:kern w:val="0"/>
                <w:sz w:val="18"/>
                <w:szCs w:val="18"/>
              </w:rPr>
            </w:pPr>
            <w:r>
              <w:rPr>
                <w:rFonts w:hint="eastAsia"/>
                <w:kern w:val="0"/>
                <w:sz w:val="18"/>
                <w:szCs w:val="18"/>
              </w:rPr>
              <w:t>43（夜）</w:t>
            </w:r>
          </w:p>
        </w:tc>
        <w:tc>
          <w:tcPr>
            <w:tcW w:w="709" w:type="dxa"/>
            <w:vMerge w:val="restart"/>
            <w:noWrap/>
            <w:vAlign w:val="center"/>
          </w:tcPr>
          <w:p w14:paraId="034FDEE4">
            <w:pPr>
              <w:widowControl/>
              <w:adjustRightInd/>
              <w:snapToGrid/>
              <w:spacing w:line="240" w:lineRule="auto"/>
              <w:jc w:val="center"/>
              <w:rPr>
                <w:kern w:val="0"/>
                <w:sz w:val="18"/>
                <w:szCs w:val="18"/>
              </w:rPr>
            </w:pPr>
            <w:r>
              <w:rPr>
                <w:rFonts w:hint="eastAsia"/>
                <w:kern w:val="0"/>
                <w:sz w:val="18"/>
                <w:szCs w:val="18"/>
              </w:rPr>
              <w:t>52（昼）</w:t>
            </w:r>
          </w:p>
          <w:p w14:paraId="1087C0EC">
            <w:pPr>
              <w:widowControl/>
              <w:adjustRightInd/>
              <w:snapToGrid/>
              <w:spacing w:line="240" w:lineRule="auto"/>
              <w:jc w:val="center"/>
              <w:rPr>
                <w:kern w:val="0"/>
                <w:sz w:val="18"/>
                <w:szCs w:val="18"/>
              </w:rPr>
            </w:pPr>
            <w:r>
              <w:rPr>
                <w:rFonts w:hint="eastAsia"/>
                <w:kern w:val="0"/>
                <w:sz w:val="18"/>
                <w:szCs w:val="18"/>
              </w:rPr>
              <w:t>43（夜）</w:t>
            </w:r>
          </w:p>
        </w:tc>
        <w:tc>
          <w:tcPr>
            <w:tcW w:w="880" w:type="dxa"/>
            <w:vAlign w:val="center"/>
          </w:tcPr>
          <w:p w14:paraId="3E45DD61">
            <w:pPr>
              <w:widowControl/>
              <w:adjustRightInd/>
              <w:snapToGrid/>
              <w:spacing w:line="240" w:lineRule="auto"/>
              <w:jc w:val="center"/>
              <w:rPr>
                <w:kern w:val="0"/>
                <w:sz w:val="18"/>
                <w:szCs w:val="18"/>
              </w:rPr>
            </w:pPr>
            <w:r>
              <w:rPr>
                <w:rFonts w:hint="eastAsia"/>
                <w:color w:val="000000"/>
                <w:sz w:val="18"/>
                <w:szCs w:val="18"/>
              </w:rPr>
              <w:t>63.1</w:t>
            </w:r>
          </w:p>
        </w:tc>
        <w:tc>
          <w:tcPr>
            <w:tcW w:w="880" w:type="dxa"/>
            <w:vAlign w:val="center"/>
          </w:tcPr>
          <w:p w14:paraId="52701B73">
            <w:pPr>
              <w:widowControl/>
              <w:adjustRightInd/>
              <w:snapToGrid/>
              <w:spacing w:line="240" w:lineRule="auto"/>
              <w:jc w:val="center"/>
              <w:rPr>
                <w:kern w:val="0"/>
                <w:sz w:val="18"/>
                <w:szCs w:val="18"/>
              </w:rPr>
            </w:pPr>
            <w:r>
              <w:rPr>
                <w:color w:val="000000"/>
                <w:sz w:val="18"/>
                <w:szCs w:val="18"/>
              </w:rPr>
              <w:t xml:space="preserve">63.4 </w:t>
            </w:r>
          </w:p>
        </w:tc>
        <w:tc>
          <w:tcPr>
            <w:tcW w:w="881" w:type="dxa"/>
            <w:vAlign w:val="center"/>
          </w:tcPr>
          <w:p w14:paraId="2A6CEA5A">
            <w:pPr>
              <w:widowControl/>
              <w:adjustRightInd/>
              <w:snapToGrid/>
              <w:spacing w:line="240" w:lineRule="auto"/>
              <w:jc w:val="center"/>
              <w:rPr>
                <w:kern w:val="0"/>
                <w:sz w:val="18"/>
                <w:szCs w:val="18"/>
              </w:rPr>
            </w:pPr>
            <w:r>
              <w:rPr>
                <w:rFonts w:hint="eastAsia"/>
                <w:color w:val="000000"/>
                <w:sz w:val="18"/>
                <w:szCs w:val="18"/>
              </w:rPr>
              <w:t xml:space="preserve">11.4 </w:t>
            </w:r>
          </w:p>
        </w:tc>
        <w:tc>
          <w:tcPr>
            <w:tcW w:w="880" w:type="dxa"/>
            <w:vAlign w:val="center"/>
          </w:tcPr>
          <w:p w14:paraId="06E4D47C">
            <w:pPr>
              <w:widowControl/>
              <w:adjustRightInd/>
              <w:snapToGrid/>
              <w:spacing w:line="240" w:lineRule="auto"/>
              <w:jc w:val="center"/>
              <w:rPr>
                <w:kern w:val="0"/>
                <w:sz w:val="18"/>
                <w:szCs w:val="18"/>
              </w:rPr>
            </w:pPr>
            <w:r>
              <w:rPr>
                <w:rFonts w:hint="eastAsia"/>
                <w:color w:val="000000"/>
                <w:sz w:val="18"/>
                <w:szCs w:val="18"/>
              </w:rPr>
              <w:t xml:space="preserve">3.4 </w:t>
            </w:r>
          </w:p>
        </w:tc>
        <w:tc>
          <w:tcPr>
            <w:tcW w:w="880" w:type="dxa"/>
            <w:noWrap/>
            <w:vAlign w:val="center"/>
          </w:tcPr>
          <w:p w14:paraId="05FF1757">
            <w:pPr>
              <w:widowControl/>
              <w:adjustRightInd/>
              <w:snapToGrid/>
              <w:spacing w:line="240" w:lineRule="auto"/>
              <w:jc w:val="center"/>
              <w:rPr>
                <w:kern w:val="0"/>
                <w:sz w:val="18"/>
                <w:szCs w:val="18"/>
              </w:rPr>
            </w:pPr>
            <w:r>
              <w:rPr>
                <w:kern w:val="0"/>
                <w:sz w:val="18"/>
                <w:szCs w:val="18"/>
              </w:rPr>
              <w:t>63.9</w:t>
            </w:r>
          </w:p>
        </w:tc>
        <w:tc>
          <w:tcPr>
            <w:tcW w:w="881" w:type="dxa"/>
            <w:noWrap/>
            <w:vAlign w:val="center"/>
          </w:tcPr>
          <w:p w14:paraId="262F1A2E">
            <w:pPr>
              <w:widowControl/>
              <w:adjustRightInd/>
              <w:snapToGrid/>
              <w:spacing w:line="240" w:lineRule="auto"/>
              <w:jc w:val="center"/>
              <w:rPr>
                <w:kern w:val="0"/>
                <w:sz w:val="18"/>
                <w:szCs w:val="18"/>
              </w:rPr>
            </w:pPr>
            <w:r>
              <w:rPr>
                <w:color w:val="000000"/>
                <w:sz w:val="18"/>
                <w:szCs w:val="18"/>
              </w:rPr>
              <w:t xml:space="preserve">64.2 </w:t>
            </w:r>
          </w:p>
        </w:tc>
        <w:tc>
          <w:tcPr>
            <w:tcW w:w="880" w:type="dxa"/>
            <w:noWrap/>
            <w:vAlign w:val="center"/>
          </w:tcPr>
          <w:p w14:paraId="780C2BAD">
            <w:pPr>
              <w:widowControl/>
              <w:adjustRightInd/>
              <w:snapToGrid/>
              <w:spacing w:line="240" w:lineRule="auto"/>
              <w:jc w:val="center"/>
              <w:rPr>
                <w:kern w:val="0"/>
                <w:sz w:val="18"/>
                <w:szCs w:val="18"/>
              </w:rPr>
            </w:pPr>
            <w:r>
              <w:rPr>
                <w:color w:val="000000"/>
                <w:sz w:val="18"/>
                <w:szCs w:val="18"/>
              </w:rPr>
              <w:t xml:space="preserve">12.2 </w:t>
            </w:r>
          </w:p>
        </w:tc>
        <w:tc>
          <w:tcPr>
            <w:tcW w:w="880" w:type="dxa"/>
            <w:noWrap/>
            <w:vAlign w:val="center"/>
          </w:tcPr>
          <w:p w14:paraId="05F48B4E">
            <w:pPr>
              <w:widowControl/>
              <w:adjustRightInd/>
              <w:snapToGrid/>
              <w:spacing w:line="240" w:lineRule="auto"/>
              <w:jc w:val="center"/>
              <w:rPr>
                <w:kern w:val="0"/>
                <w:sz w:val="18"/>
                <w:szCs w:val="18"/>
              </w:rPr>
            </w:pPr>
            <w:r>
              <w:rPr>
                <w:color w:val="000000"/>
                <w:sz w:val="18"/>
                <w:szCs w:val="18"/>
              </w:rPr>
              <w:t xml:space="preserve">4.2 </w:t>
            </w:r>
          </w:p>
        </w:tc>
        <w:tc>
          <w:tcPr>
            <w:tcW w:w="881" w:type="dxa"/>
            <w:noWrap/>
            <w:vAlign w:val="center"/>
          </w:tcPr>
          <w:p w14:paraId="1190E1C4">
            <w:pPr>
              <w:widowControl/>
              <w:adjustRightInd/>
              <w:snapToGrid/>
              <w:spacing w:line="240" w:lineRule="auto"/>
              <w:jc w:val="center"/>
              <w:rPr>
                <w:kern w:val="0"/>
                <w:sz w:val="18"/>
                <w:szCs w:val="18"/>
              </w:rPr>
            </w:pPr>
            <w:r>
              <w:rPr>
                <w:rFonts w:hint="eastAsia"/>
                <w:color w:val="000000"/>
                <w:sz w:val="18"/>
                <w:szCs w:val="18"/>
              </w:rPr>
              <w:t>64.8</w:t>
            </w:r>
          </w:p>
        </w:tc>
        <w:tc>
          <w:tcPr>
            <w:tcW w:w="880" w:type="dxa"/>
            <w:noWrap/>
            <w:vAlign w:val="center"/>
          </w:tcPr>
          <w:p w14:paraId="7E31D90B">
            <w:pPr>
              <w:widowControl/>
              <w:adjustRightInd/>
              <w:snapToGrid/>
              <w:spacing w:line="240" w:lineRule="auto"/>
              <w:jc w:val="center"/>
              <w:rPr>
                <w:kern w:val="0"/>
                <w:sz w:val="18"/>
                <w:szCs w:val="18"/>
              </w:rPr>
            </w:pPr>
            <w:r>
              <w:rPr>
                <w:color w:val="000000"/>
                <w:sz w:val="18"/>
                <w:szCs w:val="18"/>
              </w:rPr>
              <w:t xml:space="preserve">65.0 </w:t>
            </w:r>
          </w:p>
        </w:tc>
        <w:tc>
          <w:tcPr>
            <w:tcW w:w="880" w:type="dxa"/>
            <w:noWrap/>
            <w:vAlign w:val="center"/>
          </w:tcPr>
          <w:p w14:paraId="596067B7">
            <w:pPr>
              <w:widowControl/>
              <w:adjustRightInd/>
              <w:snapToGrid/>
              <w:spacing w:line="240" w:lineRule="auto"/>
              <w:jc w:val="center"/>
              <w:rPr>
                <w:kern w:val="0"/>
                <w:sz w:val="18"/>
                <w:szCs w:val="18"/>
              </w:rPr>
            </w:pPr>
            <w:r>
              <w:rPr>
                <w:color w:val="000000"/>
                <w:sz w:val="18"/>
                <w:szCs w:val="18"/>
              </w:rPr>
              <w:t xml:space="preserve">13.0 </w:t>
            </w:r>
          </w:p>
        </w:tc>
        <w:tc>
          <w:tcPr>
            <w:tcW w:w="881" w:type="dxa"/>
            <w:noWrap/>
            <w:vAlign w:val="center"/>
          </w:tcPr>
          <w:p w14:paraId="6277C6E6">
            <w:pPr>
              <w:widowControl/>
              <w:adjustRightInd/>
              <w:snapToGrid/>
              <w:spacing w:line="240" w:lineRule="auto"/>
              <w:jc w:val="center"/>
              <w:rPr>
                <w:kern w:val="0"/>
                <w:sz w:val="18"/>
                <w:szCs w:val="18"/>
              </w:rPr>
            </w:pPr>
            <w:r>
              <w:rPr>
                <w:color w:val="000000"/>
                <w:sz w:val="18"/>
                <w:szCs w:val="18"/>
              </w:rPr>
              <w:t xml:space="preserve">5.0 </w:t>
            </w:r>
          </w:p>
        </w:tc>
      </w:tr>
      <w:tr w14:paraId="04B623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91D70C4">
            <w:pPr>
              <w:widowControl/>
              <w:adjustRightInd/>
              <w:snapToGrid/>
              <w:spacing w:line="240" w:lineRule="auto"/>
              <w:jc w:val="center"/>
              <w:rPr>
                <w:kern w:val="0"/>
                <w:sz w:val="18"/>
                <w:szCs w:val="18"/>
              </w:rPr>
            </w:pPr>
            <w:r>
              <w:rPr>
                <w:sz w:val="18"/>
                <w:szCs w:val="18"/>
              </w:rPr>
              <w:t>32</w:t>
            </w:r>
          </w:p>
        </w:tc>
        <w:tc>
          <w:tcPr>
            <w:tcW w:w="673" w:type="dxa"/>
            <w:vMerge w:val="continue"/>
            <w:vAlign w:val="center"/>
          </w:tcPr>
          <w:p w14:paraId="797BFC98">
            <w:pPr>
              <w:widowControl/>
              <w:adjustRightInd/>
              <w:snapToGrid/>
              <w:spacing w:line="240" w:lineRule="auto"/>
              <w:jc w:val="left"/>
              <w:rPr>
                <w:kern w:val="0"/>
                <w:sz w:val="18"/>
                <w:szCs w:val="18"/>
              </w:rPr>
            </w:pPr>
          </w:p>
        </w:tc>
        <w:tc>
          <w:tcPr>
            <w:tcW w:w="595" w:type="dxa"/>
            <w:vMerge w:val="continue"/>
            <w:vAlign w:val="center"/>
          </w:tcPr>
          <w:p w14:paraId="24965AEA">
            <w:pPr>
              <w:widowControl/>
              <w:adjustRightInd/>
              <w:snapToGrid/>
              <w:spacing w:line="240" w:lineRule="auto"/>
              <w:jc w:val="left"/>
              <w:rPr>
                <w:kern w:val="0"/>
                <w:sz w:val="18"/>
                <w:szCs w:val="18"/>
              </w:rPr>
            </w:pPr>
          </w:p>
        </w:tc>
        <w:tc>
          <w:tcPr>
            <w:tcW w:w="567" w:type="dxa"/>
            <w:vMerge w:val="continue"/>
            <w:vAlign w:val="center"/>
          </w:tcPr>
          <w:p w14:paraId="372A9B0D">
            <w:pPr>
              <w:widowControl/>
              <w:adjustRightInd/>
              <w:snapToGrid/>
              <w:spacing w:line="240" w:lineRule="auto"/>
              <w:jc w:val="left"/>
              <w:rPr>
                <w:kern w:val="0"/>
                <w:sz w:val="18"/>
                <w:szCs w:val="18"/>
              </w:rPr>
            </w:pPr>
          </w:p>
        </w:tc>
        <w:tc>
          <w:tcPr>
            <w:tcW w:w="426" w:type="dxa"/>
            <w:noWrap/>
            <w:vAlign w:val="center"/>
          </w:tcPr>
          <w:p w14:paraId="788B059B">
            <w:pPr>
              <w:widowControl/>
              <w:adjustRightInd/>
              <w:snapToGrid/>
              <w:spacing w:line="240" w:lineRule="auto"/>
              <w:jc w:val="center"/>
              <w:rPr>
                <w:kern w:val="0"/>
                <w:sz w:val="18"/>
                <w:szCs w:val="18"/>
              </w:rPr>
            </w:pPr>
            <w:r>
              <w:rPr>
                <w:sz w:val="18"/>
                <w:szCs w:val="18"/>
              </w:rPr>
              <w:t>夜间</w:t>
            </w:r>
          </w:p>
        </w:tc>
        <w:tc>
          <w:tcPr>
            <w:tcW w:w="708" w:type="dxa"/>
            <w:noWrap/>
            <w:vAlign w:val="center"/>
          </w:tcPr>
          <w:p w14:paraId="0862FAE1">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583F4F0C">
            <w:pPr>
              <w:widowControl/>
              <w:adjustRightInd/>
              <w:snapToGrid/>
              <w:spacing w:line="240" w:lineRule="auto"/>
              <w:jc w:val="center"/>
              <w:rPr>
                <w:kern w:val="0"/>
                <w:sz w:val="18"/>
                <w:szCs w:val="18"/>
              </w:rPr>
            </w:pPr>
          </w:p>
        </w:tc>
        <w:tc>
          <w:tcPr>
            <w:tcW w:w="709" w:type="dxa"/>
            <w:vMerge w:val="continue"/>
            <w:noWrap/>
            <w:vAlign w:val="center"/>
          </w:tcPr>
          <w:p w14:paraId="0FC859E0">
            <w:pPr>
              <w:widowControl/>
              <w:adjustRightInd/>
              <w:snapToGrid/>
              <w:spacing w:line="240" w:lineRule="auto"/>
              <w:jc w:val="center"/>
              <w:rPr>
                <w:kern w:val="0"/>
                <w:sz w:val="18"/>
                <w:szCs w:val="18"/>
              </w:rPr>
            </w:pPr>
          </w:p>
        </w:tc>
        <w:tc>
          <w:tcPr>
            <w:tcW w:w="880" w:type="dxa"/>
            <w:vAlign w:val="center"/>
          </w:tcPr>
          <w:p w14:paraId="5F81DAE7">
            <w:pPr>
              <w:widowControl/>
              <w:adjustRightInd/>
              <w:snapToGrid/>
              <w:spacing w:line="240" w:lineRule="auto"/>
              <w:jc w:val="center"/>
              <w:rPr>
                <w:kern w:val="0"/>
                <w:sz w:val="18"/>
                <w:szCs w:val="18"/>
              </w:rPr>
            </w:pPr>
            <w:r>
              <w:rPr>
                <w:rFonts w:hint="eastAsia"/>
                <w:color w:val="000000"/>
                <w:sz w:val="18"/>
                <w:szCs w:val="18"/>
              </w:rPr>
              <w:t>51.4</w:t>
            </w:r>
          </w:p>
        </w:tc>
        <w:tc>
          <w:tcPr>
            <w:tcW w:w="880" w:type="dxa"/>
            <w:vAlign w:val="center"/>
          </w:tcPr>
          <w:p w14:paraId="12129152">
            <w:pPr>
              <w:widowControl/>
              <w:adjustRightInd/>
              <w:snapToGrid/>
              <w:spacing w:line="240" w:lineRule="auto"/>
              <w:jc w:val="center"/>
              <w:rPr>
                <w:kern w:val="0"/>
                <w:sz w:val="18"/>
                <w:szCs w:val="18"/>
              </w:rPr>
            </w:pPr>
            <w:r>
              <w:rPr>
                <w:color w:val="000000"/>
                <w:sz w:val="18"/>
                <w:szCs w:val="18"/>
              </w:rPr>
              <w:t xml:space="preserve">52.0 </w:t>
            </w:r>
          </w:p>
        </w:tc>
        <w:tc>
          <w:tcPr>
            <w:tcW w:w="881" w:type="dxa"/>
            <w:vAlign w:val="center"/>
          </w:tcPr>
          <w:p w14:paraId="2888EACA">
            <w:pPr>
              <w:widowControl/>
              <w:adjustRightInd/>
              <w:snapToGrid/>
              <w:spacing w:line="240" w:lineRule="auto"/>
              <w:jc w:val="center"/>
              <w:rPr>
                <w:kern w:val="0"/>
                <w:sz w:val="18"/>
                <w:szCs w:val="18"/>
              </w:rPr>
            </w:pPr>
            <w:r>
              <w:rPr>
                <w:rFonts w:hint="eastAsia"/>
                <w:color w:val="000000"/>
                <w:sz w:val="18"/>
                <w:szCs w:val="18"/>
              </w:rPr>
              <w:t xml:space="preserve">9.0 </w:t>
            </w:r>
          </w:p>
        </w:tc>
        <w:tc>
          <w:tcPr>
            <w:tcW w:w="880" w:type="dxa"/>
            <w:vAlign w:val="center"/>
          </w:tcPr>
          <w:p w14:paraId="22C6868C">
            <w:pPr>
              <w:widowControl/>
              <w:adjustRightInd/>
              <w:snapToGrid/>
              <w:spacing w:line="240" w:lineRule="auto"/>
              <w:jc w:val="center"/>
              <w:rPr>
                <w:kern w:val="0"/>
                <w:sz w:val="18"/>
                <w:szCs w:val="18"/>
              </w:rPr>
            </w:pPr>
            <w:r>
              <w:rPr>
                <w:rFonts w:hint="eastAsia"/>
                <w:color w:val="000000"/>
                <w:sz w:val="18"/>
                <w:szCs w:val="18"/>
              </w:rPr>
              <w:t xml:space="preserve">2.0 </w:t>
            </w:r>
          </w:p>
        </w:tc>
        <w:tc>
          <w:tcPr>
            <w:tcW w:w="880" w:type="dxa"/>
            <w:noWrap/>
            <w:vAlign w:val="center"/>
          </w:tcPr>
          <w:p w14:paraId="3A9A5761">
            <w:pPr>
              <w:widowControl/>
              <w:adjustRightInd/>
              <w:snapToGrid/>
              <w:spacing w:line="240" w:lineRule="auto"/>
              <w:jc w:val="center"/>
              <w:rPr>
                <w:kern w:val="0"/>
                <w:sz w:val="18"/>
                <w:szCs w:val="18"/>
              </w:rPr>
            </w:pPr>
            <w:r>
              <w:rPr>
                <w:kern w:val="0"/>
                <w:sz w:val="18"/>
                <w:szCs w:val="18"/>
              </w:rPr>
              <w:t>52.2</w:t>
            </w:r>
          </w:p>
        </w:tc>
        <w:tc>
          <w:tcPr>
            <w:tcW w:w="881" w:type="dxa"/>
            <w:noWrap/>
            <w:vAlign w:val="center"/>
          </w:tcPr>
          <w:p w14:paraId="4E16EF9E">
            <w:pPr>
              <w:widowControl/>
              <w:adjustRightInd/>
              <w:snapToGrid/>
              <w:spacing w:line="240" w:lineRule="auto"/>
              <w:jc w:val="center"/>
              <w:rPr>
                <w:kern w:val="0"/>
                <w:sz w:val="18"/>
                <w:szCs w:val="18"/>
              </w:rPr>
            </w:pPr>
            <w:r>
              <w:rPr>
                <w:color w:val="000000"/>
                <w:sz w:val="18"/>
                <w:szCs w:val="18"/>
              </w:rPr>
              <w:t xml:space="preserve">52.7 </w:t>
            </w:r>
          </w:p>
        </w:tc>
        <w:tc>
          <w:tcPr>
            <w:tcW w:w="880" w:type="dxa"/>
            <w:noWrap/>
            <w:vAlign w:val="center"/>
          </w:tcPr>
          <w:p w14:paraId="60F34FE5">
            <w:pPr>
              <w:widowControl/>
              <w:adjustRightInd/>
              <w:snapToGrid/>
              <w:spacing w:line="240" w:lineRule="auto"/>
              <w:jc w:val="center"/>
              <w:rPr>
                <w:kern w:val="0"/>
                <w:sz w:val="18"/>
                <w:szCs w:val="18"/>
              </w:rPr>
            </w:pPr>
            <w:r>
              <w:rPr>
                <w:color w:val="000000"/>
                <w:sz w:val="18"/>
                <w:szCs w:val="18"/>
              </w:rPr>
              <w:t xml:space="preserve">9.7 </w:t>
            </w:r>
          </w:p>
        </w:tc>
        <w:tc>
          <w:tcPr>
            <w:tcW w:w="880" w:type="dxa"/>
            <w:noWrap/>
            <w:vAlign w:val="center"/>
          </w:tcPr>
          <w:p w14:paraId="714CF9AD">
            <w:pPr>
              <w:widowControl/>
              <w:adjustRightInd/>
              <w:snapToGrid/>
              <w:spacing w:line="240" w:lineRule="auto"/>
              <w:jc w:val="center"/>
              <w:rPr>
                <w:kern w:val="0"/>
                <w:sz w:val="18"/>
                <w:szCs w:val="18"/>
              </w:rPr>
            </w:pPr>
            <w:r>
              <w:rPr>
                <w:color w:val="000000"/>
                <w:sz w:val="18"/>
                <w:szCs w:val="18"/>
              </w:rPr>
              <w:t xml:space="preserve">2.7 </w:t>
            </w:r>
          </w:p>
        </w:tc>
        <w:tc>
          <w:tcPr>
            <w:tcW w:w="881" w:type="dxa"/>
            <w:noWrap/>
            <w:vAlign w:val="center"/>
          </w:tcPr>
          <w:p w14:paraId="31135ADC">
            <w:pPr>
              <w:widowControl/>
              <w:adjustRightInd/>
              <w:snapToGrid/>
              <w:spacing w:line="240" w:lineRule="auto"/>
              <w:jc w:val="center"/>
              <w:rPr>
                <w:kern w:val="0"/>
                <w:sz w:val="18"/>
                <w:szCs w:val="18"/>
              </w:rPr>
            </w:pPr>
            <w:r>
              <w:rPr>
                <w:rFonts w:hint="eastAsia"/>
                <w:color w:val="000000"/>
                <w:sz w:val="18"/>
                <w:szCs w:val="18"/>
              </w:rPr>
              <w:t>53.2</w:t>
            </w:r>
          </w:p>
        </w:tc>
        <w:tc>
          <w:tcPr>
            <w:tcW w:w="880" w:type="dxa"/>
            <w:noWrap/>
            <w:vAlign w:val="center"/>
          </w:tcPr>
          <w:p w14:paraId="4E916AE2">
            <w:pPr>
              <w:widowControl/>
              <w:adjustRightInd/>
              <w:snapToGrid/>
              <w:spacing w:line="240" w:lineRule="auto"/>
              <w:jc w:val="center"/>
              <w:rPr>
                <w:kern w:val="0"/>
                <w:sz w:val="18"/>
                <w:szCs w:val="18"/>
              </w:rPr>
            </w:pPr>
            <w:r>
              <w:rPr>
                <w:color w:val="000000"/>
                <w:sz w:val="18"/>
                <w:szCs w:val="18"/>
              </w:rPr>
              <w:t xml:space="preserve">53.6 </w:t>
            </w:r>
          </w:p>
        </w:tc>
        <w:tc>
          <w:tcPr>
            <w:tcW w:w="880" w:type="dxa"/>
            <w:noWrap/>
            <w:vAlign w:val="center"/>
          </w:tcPr>
          <w:p w14:paraId="3BBE4C73">
            <w:pPr>
              <w:widowControl/>
              <w:adjustRightInd/>
              <w:snapToGrid/>
              <w:spacing w:line="240" w:lineRule="auto"/>
              <w:jc w:val="center"/>
              <w:rPr>
                <w:kern w:val="0"/>
                <w:sz w:val="18"/>
                <w:szCs w:val="18"/>
              </w:rPr>
            </w:pPr>
            <w:r>
              <w:rPr>
                <w:color w:val="000000"/>
                <w:sz w:val="18"/>
                <w:szCs w:val="18"/>
              </w:rPr>
              <w:t xml:space="preserve">10.6 </w:t>
            </w:r>
          </w:p>
        </w:tc>
        <w:tc>
          <w:tcPr>
            <w:tcW w:w="881" w:type="dxa"/>
            <w:noWrap/>
            <w:vAlign w:val="center"/>
          </w:tcPr>
          <w:p w14:paraId="0E87A448">
            <w:pPr>
              <w:widowControl/>
              <w:adjustRightInd/>
              <w:snapToGrid/>
              <w:spacing w:line="240" w:lineRule="auto"/>
              <w:jc w:val="center"/>
              <w:rPr>
                <w:kern w:val="0"/>
                <w:sz w:val="18"/>
                <w:szCs w:val="18"/>
              </w:rPr>
            </w:pPr>
            <w:r>
              <w:rPr>
                <w:color w:val="000000"/>
                <w:sz w:val="18"/>
                <w:szCs w:val="18"/>
              </w:rPr>
              <w:t xml:space="preserve">3.6 </w:t>
            </w:r>
          </w:p>
        </w:tc>
      </w:tr>
      <w:tr w14:paraId="1E3310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A6D0764">
            <w:pPr>
              <w:widowControl/>
              <w:adjustRightInd/>
              <w:snapToGrid/>
              <w:spacing w:line="240" w:lineRule="auto"/>
              <w:jc w:val="center"/>
              <w:rPr>
                <w:kern w:val="0"/>
                <w:sz w:val="18"/>
                <w:szCs w:val="18"/>
              </w:rPr>
            </w:pPr>
            <w:r>
              <w:rPr>
                <w:sz w:val="18"/>
                <w:szCs w:val="18"/>
              </w:rPr>
              <w:t>33</w:t>
            </w:r>
          </w:p>
        </w:tc>
        <w:tc>
          <w:tcPr>
            <w:tcW w:w="673" w:type="dxa"/>
            <w:vMerge w:val="continue"/>
            <w:vAlign w:val="center"/>
          </w:tcPr>
          <w:p w14:paraId="23C15F98">
            <w:pPr>
              <w:widowControl/>
              <w:adjustRightInd/>
              <w:snapToGrid/>
              <w:spacing w:line="240" w:lineRule="auto"/>
              <w:jc w:val="left"/>
              <w:rPr>
                <w:kern w:val="0"/>
                <w:sz w:val="18"/>
                <w:szCs w:val="18"/>
              </w:rPr>
            </w:pPr>
          </w:p>
        </w:tc>
        <w:tc>
          <w:tcPr>
            <w:tcW w:w="595" w:type="dxa"/>
            <w:vMerge w:val="restart"/>
            <w:vAlign w:val="center"/>
          </w:tcPr>
          <w:p w14:paraId="4C7D2302">
            <w:pPr>
              <w:widowControl/>
              <w:adjustRightInd/>
              <w:snapToGrid/>
              <w:spacing w:line="240" w:lineRule="auto"/>
              <w:jc w:val="center"/>
              <w:rPr>
                <w:kern w:val="0"/>
                <w:sz w:val="18"/>
                <w:szCs w:val="18"/>
              </w:rPr>
            </w:pPr>
            <w:r>
              <w:rPr>
                <w:kern w:val="0"/>
                <w:sz w:val="18"/>
                <w:szCs w:val="18"/>
              </w:rPr>
              <w:t>16.2</w:t>
            </w:r>
          </w:p>
        </w:tc>
        <w:tc>
          <w:tcPr>
            <w:tcW w:w="567" w:type="dxa"/>
            <w:vMerge w:val="continue"/>
            <w:vAlign w:val="center"/>
          </w:tcPr>
          <w:p w14:paraId="77B4E6EE">
            <w:pPr>
              <w:widowControl/>
              <w:adjustRightInd/>
              <w:snapToGrid/>
              <w:spacing w:line="240" w:lineRule="auto"/>
              <w:jc w:val="left"/>
              <w:rPr>
                <w:kern w:val="0"/>
                <w:sz w:val="18"/>
                <w:szCs w:val="18"/>
              </w:rPr>
            </w:pPr>
          </w:p>
        </w:tc>
        <w:tc>
          <w:tcPr>
            <w:tcW w:w="426" w:type="dxa"/>
            <w:noWrap/>
            <w:vAlign w:val="center"/>
          </w:tcPr>
          <w:p w14:paraId="720C252E">
            <w:pPr>
              <w:widowControl/>
              <w:adjustRightInd/>
              <w:snapToGrid/>
              <w:spacing w:line="240" w:lineRule="auto"/>
              <w:jc w:val="center"/>
              <w:rPr>
                <w:kern w:val="0"/>
                <w:sz w:val="18"/>
                <w:szCs w:val="18"/>
              </w:rPr>
            </w:pPr>
            <w:r>
              <w:rPr>
                <w:sz w:val="18"/>
                <w:szCs w:val="18"/>
              </w:rPr>
              <w:t>昼间</w:t>
            </w:r>
          </w:p>
        </w:tc>
        <w:tc>
          <w:tcPr>
            <w:tcW w:w="708" w:type="dxa"/>
            <w:noWrap/>
            <w:vAlign w:val="center"/>
          </w:tcPr>
          <w:p w14:paraId="56FB4521">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0097E0BA">
            <w:pPr>
              <w:widowControl/>
              <w:adjustRightInd/>
              <w:snapToGrid/>
              <w:spacing w:line="240" w:lineRule="auto"/>
              <w:jc w:val="center"/>
              <w:rPr>
                <w:kern w:val="0"/>
                <w:sz w:val="18"/>
                <w:szCs w:val="18"/>
              </w:rPr>
            </w:pPr>
          </w:p>
        </w:tc>
        <w:tc>
          <w:tcPr>
            <w:tcW w:w="709" w:type="dxa"/>
            <w:vMerge w:val="continue"/>
            <w:noWrap/>
            <w:vAlign w:val="center"/>
          </w:tcPr>
          <w:p w14:paraId="5D94FBF6">
            <w:pPr>
              <w:widowControl/>
              <w:adjustRightInd/>
              <w:snapToGrid/>
              <w:spacing w:line="240" w:lineRule="auto"/>
              <w:jc w:val="center"/>
              <w:rPr>
                <w:kern w:val="0"/>
                <w:sz w:val="18"/>
                <w:szCs w:val="18"/>
              </w:rPr>
            </w:pPr>
          </w:p>
        </w:tc>
        <w:tc>
          <w:tcPr>
            <w:tcW w:w="880" w:type="dxa"/>
            <w:vAlign w:val="center"/>
          </w:tcPr>
          <w:p w14:paraId="0B5C6218">
            <w:pPr>
              <w:widowControl/>
              <w:adjustRightInd/>
              <w:snapToGrid/>
              <w:spacing w:line="240" w:lineRule="auto"/>
              <w:jc w:val="center"/>
              <w:rPr>
                <w:kern w:val="0"/>
                <w:sz w:val="18"/>
                <w:szCs w:val="18"/>
              </w:rPr>
            </w:pPr>
            <w:r>
              <w:rPr>
                <w:rFonts w:hint="eastAsia"/>
                <w:color w:val="000000"/>
                <w:sz w:val="18"/>
                <w:szCs w:val="18"/>
              </w:rPr>
              <w:t>65.7</w:t>
            </w:r>
          </w:p>
        </w:tc>
        <w:tc>
          <w:tcPr>
            <w:tcW w:w="880" w:type="dxa"/>
            <w:vAlign w:val="center"/>
          </w:tcPr>
          <w:p w14:paraId="3D11E79C">
            <w:pPr>
              <w:widowControl/>
              <w:adjustRightInd/>
              <w:snapToGrid/>
              <w:spacing w:line="240" w:lineRule="auto"/>
              <w:jc w:val="center"/>
              <w:rPr>
                <w:kern w:val="0"/>
                <w:sz w:val="18"/>
                <w:szCs w:val="18"/>
              </w:rPr>
            </w:pPr>
            <w:r>
              <w:rPr>
                <w:color w:val="000000"/>
                <w:sz w:val="18"/>
                <w:szCs w:val="18"/>
              </w:rPr>
              <w:t xml:space="preserve">65.9 </w:t>
            </w:r>
          </w:p>
        </w:tc>
        <w:tc>
          <w:tcPr>
            <w:tcW w:w="881" w:type="dxa"/>
            <w:vAlign w:val="center"/>
          </w:tcPr>
          <w:p w14:paraId="5EDA9688">
            <w:pPr>
              <w:widowControl/>
              <w:adjustRightInd/>
              <w:snapToGrid/>
              <w:spacing w:line="240" w:lineRule="auto"/>
              <w:jc w:val="center"/>
              <w:rPr>
                <w:kern w:val="0"/>
                <w:sz w:val="18"/>
                <w:szCs w:val="18"/>
              </w:rPr>
            </w:pPr>
            <w:r>
              <w:rPr>
                <w:rFonts w:hint="eastAsia"/>
                <w:color w:val="000000"/>
                <w:sz w:val="18"/>
                <w:szCs w:val="18"/>
              </w:rPr>
              <w:t xml:space="preserve">13.9 </w:t>
            </w:r>
          </w:p>
        </w:tc>
        <w:tc>
          <w:tcPr>
            <w:tcW w:w="880" w:type="dxa"/>
            <w:vAlign w:val="center"/>
          </w:tcPr>
          <w:p w14:paraId="5418C5D0">
            <w:pPr>
              <w:widowControl/>
              <w:adjustRightInd/>
              <w:snapToGrid/>
              <w:spacing w:line="240" w:lineRule="auto"/>
              <w:jc w:val="center"/>
              <w:rPr>
                <w:kern w:val="0"/>
                <w:sz w:val="18"/>
                <w:szCs w:val="18"/>
              </w:rPr>
            </w:pPr>
            <w:r>
              <w:rPr>
                <w:rFonts w:hint="eastAsia"/>
                <w:color w:val="000000"/>
                <w:sz w:val="18"/>
                <w:szCs w:val="18"/>
              </w:rPr>
              <w:t xml:space="preserve">5.9 </w:t>
            </w:r>
          </w:p>
        </w:tc>
        <w:tc>
          <w:tcPr>
            <w:tcW w:w="880" w:type="dxa"/>
            <w:noWrap/>
            <w:vAlign w:val="center"/>
          </w:tcPr>
          <w:p w14:paraId="410AD014">
            <w:pPr>
              <w:widowControl/>
              <w:adjustRightInd/>
              <w:snapToGrid/>
              <w:spacing w:line="240" w:lineRule="auto"/>
              <w:jc w:val="center"/>
              <w:rPr>
                <w:kern w:val="0"/>
                <w:sz w:val="18"/>
                <w:szCs w:val="18"/>
              </w:rPr>
            </w:pPr>
            <w:r>
              <w:rPr>
                <w:kern w:val="0"/>
                <w:sz w:val="18"/>
                <w:szCs w:val="18"/>
              </w:rPr>
              <w:t>66.5</w:t>
            </w:r>
          </w:p>
        </w:tc>
        <w:tc>
          <w:tcPr>
            <w:tcW w:w="881" w:type="dxa"/>
            <w:noWrap/>
            <w:vAlign w:val="center"/>
          </w:tcPr>
          <w:p w14:paraId="56DD6E33">
            <w:pPr>
              <w:widowControl/>
              <w:adjustRightInd/>
              <w:snapToGrid/>
              <w:spacing w:line="240" w:lineRule="auto"/>
              <w:jc w:val="center"/>
              <w:rPr>
                <w:kern w:val="0"/>
                <w:sz w:val="18"/>
                <w:szCs w:val="18"/>
              </w:rPr>
            </w:pPr>
            <w:r>
              <w:rPr>
                <w:color w:val="000000"/>
                <w:sz w:val="18"/>
                <w:szCs w:val="18"/>
              </w:rPr>
              <w:t xml:space="preserve">66.7 </w:t>
            </w:r>
          </w:p>
        </w:tc>
        <w:tc>
          <w:tcPr>
            <w:tcW w:w="880" w:type="dxa"/>
            <w:noWrap/>
            <w:vAlign w:val="center"/>
          </w:tcPr>
          <w:p w14:paraId="07D979B1">
            <w:pPr>
              <w:widowControl/>
              <w:adjustRightInd/>
              <w:snapToGrid/>
              <w:spacing w:line="240" w:lineRule="auto"/>
              <w:jc w:val="center"/>
              <w:rPr>
                <w:kern w:val="0"/>
                <w:sz w:val="18"/>
                <w:szCs w:val="18"/>
              </w:rPr>
            </w:pPr>
            <w:r>
              <w:rPr>
                <w:color w:val="000000"/>
                <w:sz w:val="18"/>
                <w:szCs w:val="18"/>
              </w:rPr>
              <w:t xml:space="preserve">14.7 </w:t>
            </w:r>
          </w:p>
        </w:tc>
        <w:tc>
          <w:tcPr>
            <w:tcW w:w="880" w:type="dxa"/>
            <w:noWrap/>
            <w:vAlign w:val="center"/>
          </w:tcPr>
          <w:p w14:paraId="3D1E22A3">
            <w:pPr>
              <w:widowControl/>
              <w:adjustRightInd/>
              <w:snapToGrid/>
              <w:spacing w:line="240" w:lineRule="auto"/>
              <w:jc w:val="center"/>
              <w:rPr>
                <w:kern w:val="0"/>
                <w:sz w:val="18"/>
                <w:szCs w:val="18"/>
              </w:rPr>
            </w:pPr>
            <w:r>
              <w:rPr>
                <w:color w:val="000000"/>
                <w:sz w:val="18"/>
                <w:szCs w:val="18"/>
              </w:rPr>
              <w:t xml:space="preserve">6.7 </w:t>
            </w:r>
          </w:p>
        </w:tc>
        <w:tc>
          <w:tcPr>
            <w:tcW w:w="881" w:type="dxa"/>
            <w:noWrap/>
            <w:vAlign w:val="center"/>
          </w:tcPr>
          <w:p w14:paraId="4823AEEA">
            <w:pPr>
              <w:widowControl/>
              <w:adjustRightInd/>
              <w:snapToGrid/>
              <w:spacing w:line="240" w:lineRule="auto"/>
              <w:jc w:val="center"/>
              <w:rPr>
                <w:kern w:val="0"/>
                <w:sz w:val="18"/>
                <w:szCs w:val="18"/>
              </w:rPr>
            </w:pPr>
            <w:r>
              <w:rPr>
                <w:rFonts w:hint="eastAsia"/>
                <w:color w:val="000000"/>
                <w:sz w:val="18"/>
                <w:szCs w:val="18"/>
              </w:rPr>
              <w:t>67.5</w:t>
            </w:r>
          </w:p>
        </w:tc>
        <w:tc>
          <w:tcPr>
            <w:tcW w:w="880" w:type="dxa"/>
            <w:noWrap/>
            <w:vAlign w:val="center"/>
          </w:tcPr>
          <w:p w14:paraId="1BFA2FD6">
            <w:pPr>
              <w:widowControl/>
              <w:adjustRightInd/>
              <w:snapToGrid/>
              <w:spacing w:line="240" w:lineRule="auto"/>
              <w:jc w:val="center"/>
              <w:rPr>
                <w:kern w:val="0"/>
                <w:sz w:val="18"/>
                <w:szCs w:val="18"/>
              </w:rPr>
            </w:pPr>
            <w:r>
              <w:rPr>
                <w:color w:val="000000"/>
                <w:sz w:val="18"/>
                <w:szCs w:val="18"/>
              </w:rPr>
              <w:t xml:space="preserve">67.6 </w:t>
            </w:r>
          </w:p>
        </w:tc>
        <w:tc>
          <w:tcPr>
            <w:tcW w:w="880" w:type="dxa"/>
            <w:noWrap/>
            <w:vAlign w:val="center"/>
          </w:tcPr>
          <w:p w14:paraId="6809DCA3">
            <w:pPr>
              <w:widowControl/>
              <w:adjustRightInd/>
              <w:snapToGrid/>
              <w:spacing w:line="240" w:lineRule="auto"/>
              <w:jc w:val="center"/>
              <w:rPr>
                <w:kern w:val="0"/>
                <w:sz w:val="18"/>
                <w:szCs w:val="18"/>
              </w:rPr>
            </w:pPr>
            <w:r>
              <w:rPr>
                <w:color w:val="000000"/>
                <w:sz w:val="18"/>
                <w:szCs w:val="18"/>
              </w:rPr>
              <w:t xml:space="preserve">15.6 </w:t>
            </w:r>
          </w:p>
        </w:tc>
        <w:tc>
          <w:tcPr>
            <w:tcW w:w="881" w:type="dxa"/>
            <w:noWrap/>
            <w:vAlign w:val="center"/>
          </w:tcPr>
          <w:p w14:paraId="5D624662">
            <w:pPr>
              <w:widowControl/>
              <w:adjustRightInd/>
              <w:snapToGrid/>
              <w:spacing w:line="240" w:lineRule="auto"/>
              <w:jc w:val="center"/>
              <w:rPr>
                <w:kern w:val="0"/>
                <w:sz w:val="18"/>
                <w:szCs w:val="18"/>
              </w:rPr>
            </w:pPr>
            <w:r>
              <w:rPr>
                <w:color w:val="000000"/>
                <w:sz w:val="18"/>
                <w:szCs w:val="18"/>
              </w:rPr>
              <w:t xml:space="preserve">7.6 </w:t>
            </w:r>
          </w:p>
        </w:tc>
      </w:tr>
      <w:tr w14:paraId="12FB98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2808B0A9">
            <w:pPr>
              <w:widowControl/>
              <w:adjustRightInd/>
              <w:snapToGrid/>
              <w:spacing w:line="240" w:lineRule="auto"/>
              <w:jc w:val="center"/>
              <w:rPr>
                <w:kern w:val="0"/>
                <w:sz w:val="18"/>
                <w:szCs w:val="18"/>
              </w:rPr>
            </w:pPr>
            <w:r>
              <w:rPr>
                <w:sz w:val="18"/>
                <w:szCs w:val="18"/>
              </w:rPr>
              <w:t>34</w:t>
            </w:r>
          </w:p>
        </w:tc>
        <w:tc>
          <w:tcPr>
            <w:tcW w:w="673" w:type="dxa"/>
            <w:vMerge w:val="continue"/>
            <w:vAlign w:val="center"/>
          </w:tcPr>
          <w:p w14:paraId="706DFF2F">
            <w:pPr>
              <w:widowControl/>
              <w:adjustRightInd/>
              <w:snapToGrid/>
              <w:spacing w:line="240" w:lineRule="auto"/>
              <w:jc w:val="left"/>
              <w:rPr>
                <w:kern w:val="0"/>
                <w:sz w:val="18"/>
                <w:szCs w:val="18"/>
              </w:rPr>
            </w:pPr>
          </w:p>
        </w:tc>
        <w:tc>
          <w:tcPr>
            <w:tcW w:w="595" w:type="dxa"/>
            <w:vMerge w:val="continue"/>
            <w:vAlign w:val="center"/>
          </w:tcPr>
          <w:p w14:paraId="46E3AC54">
            <w:pPr>
              <w:widowControl/>
              <w:adjustRightInd/>
              <w:snapToGrid/>
              <w:spacing w:line="240" w:lineRule="auto"/>
              <w:jc w:val="left"/>
              <w:rPr>
                <w:kern w:val="0"/>
                <w:sz w:val="18"/>
                <w:szCs w:val="18"/>
              </w:rPr>
            </w:pPr>
          </w:p>
        </w:tc>
        <w:tc>
          <w:tcPr>
            <w:tcW w:w="567" w:type="dxa"/>
            <w:vMerge w:val="continue"/>
            <w:vAlign w:val="center"/>
          </w:tcPr>
          <w:p w14:paraId="2756EEE7">
            <w:pPr>
              <w:widowControl/>
              <w:adjustRightInd/>
              <w:snapToGrid/>
              <w:spacing w:line="240" w:lineRule="auto"/>
              <w:jc w:val="left"/>
              <w:rPr>
                <w:kern w:val="0"/>
                <w:sz w:val="18"/>
                <w:szCs w:val="18"/>
              </w:rPr>
            </w:pPr>
          </w:p>
        </w:tc>
        <w:tc>
          <w:tcPr>
            <w:tcW w:w="426" w:type="dxa"/>
            <w:noWrap/>
            <w:vAlign w:val="center"/>
          </w:tcPr>
          <w:p w14:paraId="4D17EC55">
            <w:pPr>
              <w:widowControl/>
              <w:adjustRightInd/>
              <w:snapToGrid/>
              <w:spacing w:line="240" w:lineRule="auto"/>
              <w:jc w:val="center"/>
              <w:rPr>
                <w:kern w:val="0"/>
                <w:sz w:val="18"/>
                <w:szCs w:val="18"/>
              </w:rPr>
            </w:pPr>
            <w:r>
              <w:rPr>
                <w:sz w:val="18"/>
                <w:szCs w:val="18"/>
              </w:rPr>
              <w:t>夜间</w:t>
            </w:r>
          </w:p>
        </w:tc>
        <w:tc>
          <w:tcPr>
            <w:tcW w:w="708" w:type="dxa"/>
            <w:noWrap/>
            <w:vAlign w:val="center"/>
          </w:tcPr>
          <w:p w14:paraId="29D25F9B">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06AA9846">
            <w:pPr>
              <w:widowControl/>
              <w:adjustRightInd/>
              <w:snapToGrid/>
              <w:spacing w:line="240" w:lineRule="auto"/>
              <w:jc w:val="center"/>
              <w:rPr>
                <w:kern w:val="0"/>
                <w:sz w:val="18"/>
                <w:szCs w:val="18"/>
              </w:rPr>
            </w:pPr>
          </w:p>
        </w:tc>
        <w:tc>
          <w:tcPr>
            <w:tcW w:w="709" w:type="dxa"/>
            <w:vMerge w:val="continue"/>
            <w:noWrap/>
            <w:vAlign w:val="center"/>
          </w:tcPr>
          <w:p w14:paraId="59A07C89">
            <w:pPr>
              <w:widowControl/>
              <w:adjustRightInd/>
              <w:snapToGrid/>
              <w:spacing w:line="240" w:lineRule="auto"/>
              <w:jc w:val="center"/>
              <w:rPr>
                <w:kern w:val="0"/>
                <w:sz w:val="18"/>
                <w:szCs w:val="18"/>
              </w:rPr>
            </w:pPr>
          </w:p>
        </w:tc>
        <w:tc>
          <w:tcPr>
            <w:tcW w:w="880" w:type="dxa"/>
            <w:vAlign w:val="center"/>
          </w:tcPr>
          <w:p w14:paraId="1C4FB9A1">
            <w:pPr>
              <w:widowControl/>
              <w:adjustRightInd/>
              <w:snapToGrid/>
              <w:spacing w:line="240" w:lineRule="auto"/>
              <w:jc w:val="center"/>
              <w:rPr>
                <w:kern w:val="0"/>
                <w:sz w:val="18"/>
                <w:szCs w:val="18"/>
              </w:rPr>
            </w:pPr>
            <w:r>
              <w:rPr>
                <w:rFonts w:hint="eastAsia"/>
                <w:color w:val="000000"/>
                <w:sz w:val="18"/>
                <w:szCs w:val="18"/>
              </w:rPr>
              <w:t>53.5</w:t>
            </w:r>
          </w:p>
        </w:tc>
        <w:tc>
          <w:tcPr>
            <w:tcW w:w="880" w:type="dxa"/>
            <w:vAlign w:val="center"/>
          </w:tcPr>
          <w:p w14:paraId="59A1B9BB">
            <w:pPr>
              <w:widowControl/>
              <w:adjustRightInd/>
              <w:snapToGrid/>
              <w:spacing w:line="240" w:lineRule="auto"/>
              <w:jc w:val="center"/>
              <w:rPr>
                <w:kern w:val="0"/>
                <w:sz w:val="18"/>
                <w:szCs w:val="18"/>
              </w:rPr>
            </w:pPr>
            <w:r>
              <w:rPr>
                <w:color w:val="000000"/>
                <w:sz w:val="18"/>
                <w:szCs w:val="18"/>
              </w:rPr>
              <w:t xml:space="preserve">53.9 </w:t>
            </w:r>
          </w:p>
        </w:tc>
        <w:tc>
          <w:tcPr>
            <w:tcW w:w="881" w:type="dxa"/>
            <w:vAlign w:val="center"/>
          </w:tcPr>
          <w:p w14:paraId="2CE04E2D">
            <w:pPr>
              <w:widowControl/>
              <w:adjustRightInd/>
              <w:snapToGrid/>
              <w:spacing w:line="240" w:lineRule="auto"/>
              <w:jc w:val="center"/>
              <w:rPr>
                <w:kern w:val="0"/>
                <w:sz w:val="18"/>
                <w:szCs w:val="18"/>
              </w:rPr>
            </w:pPr>
            <w:r>
              <w:rPr>
                <w:rFonts w:hint="eastAsia"/>
                <w:color w:val="000000"/>
                <w:sz w:val="18"/>
                <w:szCs w:val="18"/>
              </w:rPr>
              <w:t xml:space="preserve">10.9 </w:t>
            </w:r>
          </w:p>
        </w:tc>
        <w:tc>
          <w:tcPr>
            <w:tcW w:w="880" w:type="dxa"/>
            <w:vAlign w:val="center"/>
          </w:tcPr>
          <w:p w14:paraId="4E2365F2">
            <w:pPr>
              <w:widowControl/>
              <w:adjustRightInd/>
              <w:snapToGrid/>
              <w:spacing w:line="240" w:lineRule="auto"/>
              <w:jc w:val="center"/>
              <w:rPr>
                <w:kern w:val="0"/>
                <w:sz w:val="18"/>
                <w:szCs w:val="18"/>
              </w:rPr>
            </w:pPr>
            <w:r>
              <w:rPr>
                <w:rFonts w:hint="eastAsia"/>
                <w:color w:val="000000"/>
                <w:sz w:val="18"/>
                <w:szCs w:val="18"/>
              </w:rPr>
              <w:t xml:space="preserve">3.9 </w:t>
            </w:r>
          </w:p>
        </w:tc>
        <w:tc>
          <w:tcPr>
            <w:tcW w:w="880" w:type="dxa"/>
            <w:noWrap/>
            <w:vAlign w:val="center"/>
          </w:tcPr>
          <w:p w14:paraId="6086572A">
            <w:pPr>
              <w:widowControl/>
              <w:adjustRightInd/>
              <w:snapToGrid/>
              <w:spacing w:line="240" w:lineRule="auto"/>
              <w:jc w:val="center"/>
              <w:rPr>
                <w:kern w:val="0"/>
                <w:sz w:val="18"/>
                <w:szCs w:val="18"/>
              </w:rPr>
            </w:pPr>
            <w:r>
              <w:rPr>
                <w:kern w:val="0"/>
                <w:sz w:val="18"/>
                <w:szCs w:val="18"/>
              </w:rPr>
              <w:t>54.4</w:t>
            </w:r>
          </w:p>
        </w:tc>
        <w:tc>
          <w:tcPr>
            <w:tcW w:w="881" w:type="dxa"/>
            <w:noWrap/>
            <w:vAlign w:val="center"/>
          </w:tcPr>
          <w:p w14:paraId="1CCABFA6">
            <w:pPr>
              <w:widowControl/>
              <w:adjustRightInd/>
              <w:snapToGrid/>
              <w:spacing w:line="240" w:lineRule="auto"/>
              <w:jc w:val="center"/>
              <w:rPr>
                <w:kern w:val="0"/>
                <w:sz w:val="18"/>
                <w:szCs w:val="18"/>
              </w:rPr>
            </w:pPr>
            <w:r>
              <w:rPr>
                <w:color w:val="000000"/>
                <w:sz w:val="18"/>
                <w:szCs w:val="18"/>
              </w:rPr>
              <w:t xml:space="preserve">54.7 </w:t>
            </w:r>
          </w:p>
        </w:tc>
        <w:tc>
          <w:tcPr>
            <w:tcW w:w="880" w:type="dxa"/>
            <w:noWrap/>
            <w:vAlign w:val="center"/>
          </w:tcPr>
          <w:p w14:paraId="29271188">
            <w:pPr>
              <w:widowControl/>
              <w:adjustRightInd/>
              <w:snapToGrid/>
              <w:spacing w:line="240" w:lineRule="auto"/>
              <w:jc w:val="center"/>
              <w:rPr>
                <w:kern w:val="0"/>
                <w:sz w:val="18"/>
                <w:szCs w:val="18"/>
              </w:rPr>
            </w:pPr>
            <w:r>
              <w:rPr>
                <w:color w:val="000000"/>
                <w:sz w:val="18"/>
                <w:szCs w:val="18"/>
              </w:rPr>
              <w:t xml:space="preserve">11.7 </w:t>
            </w:r>
          </w:p>
        </w:tc>
        <w:tc>
          <w:tcPr>
            <w:tcW w:w="880" w:type="dxa"/>
            <w:noWrap/>
            <w:vAlign w:val="center"/>
          </w:tcPr>
          <w:p w14:paraId="5AD85A28">
            <w:pPr>
              <w:widowControl/>
              <w:adjustRightInd/>
              <w:snapToGrid/>
              <w:spacing w:line="240" w:lineRule="auto"/>
              <w:jc w:val="center"/>
              <w:rPr>
                <w:kern w:val="0"/>
                <w:sz w:val="18"/>
                <w:szCs w:val="18"/>
              </w:rPr>
            </w:pPr>
            <w:r>
              <w:rPr>
                <w:color w:val="000000"/>
                <w:sz w:val="18"/>
                <w:szCs w:val="18"/>
              </w:rPr>
              <w:t xml:space="preserve">4.7 </w:t>
            </w:r>
          </w:p>
        </w:tc>
        <w:tc>
          <w:tcPr>
            <w:tcW w:w="881" w:type="dxa"/>
            <w:noWrap/>
            <w:vAlign w:val="center"/>
          </w:tcPr>
          <w:p w14:paraId="3907A2DF">
            <w:pPr>
              <w:widowControl/>
              <w:adjustRightInd/>
              <w:snapToGrid/>
              <w:spacing w:line="240" w:lineRule="auto"/>
              <w:jc w:val="center"/>
              <w:rPr>
                <w:kern w:val="0"/>
                <w:sz w:val="18"/>
                <w:szCs w:val="18"/>
              </w:rPr>
            </w:pPr>
            <w:r>
              <w:rPr>
                <w:rFonts w:hint="eastAsia"/>
                <w:color w:val="000000"/>
                <w:sz w:val="18"/>
                <w:szCs w:val="18"/>
              </w:rPr>
              <w:t>55.3</w:t>
            </w:r>
          </w:p>
        </w:tc>
        <w:tc>
          <w:tcPr>
            <w:tcW w:w="880" w:type="dxa"/>
            <w:noWrap/>
            <w:vAlign w:val="center"/>
          </w:tcPr>
          <w:p w14:paraId="750025E4">
            <w:pPr>
              <w:widowControl/>
              <w:adjustRightInd/>
              <w:snapToGrid/>
              <w:spacing w:line="240" w:lineRule="auto"/>
              <w:jc w:val="center"/>
              <w:rPr>
                <w:kern w:val="0"/>
                <w:sz w:val="18"/>
                <w:szCs w:val="18"/>
              </w:rPr>
            </w:pPr>
            <w:r>
              <w:rPr>
                <w:color w:val="000000"/>
                <w:sz w:val="18"/>
                <w:szCs w:val="18"/>
              </w:rPr>
              <w:t xml:space="preserve">55.5 </w:t>
            </w:r>
          </w:p>
        </w:tc>
        <w:tc>
          <w:tcPr>
            <w:tcW w:w="880" w:type="dxa"/>
            <w:noWrap/>
            <w:vAlign w:val="center"/>
          </w:tcPr>
          <w:p w14:paraId="21BA96B6">
            <w:pPr>
              <w:widowControl/>
              <w:adjustRightInd/>
              <w:snapToGrid/>
              <w:spacing w:line="240" w:lineRule="auto"/>
              <w:jc w:val="center"/>
              <w:rPr>
                <w:kern w:val="0"/>
                <w:sz w:val="18"/>
                <w:szCs w:val="18"/>
              </w:rPr>
            </w:pPr>
            <w:r>
              <w:rPr>
                <w:color w:val="000000"/>
                <w:sz w:val="18"/>
                <w:szCs w:val="18"/>
              </w:rPr>
              <w:t xml:space="preserve">12.5 </w:t>
            </w:r>
          </w:p>
        </w:tc>
        <w:tc>
          <w:tcPr>
            <w:tcW w:w="881" w:type="dxa"/>
            <w:noWrap/>
            <w:vAlign w:val="center"/>
          </w:tcPr>
          <w:p w14:paraId="0E3499C3">
            <w:pPr>
              <w:widowControl/>
              <w:adjustRightInd/>
              <w:snapToGrid/>
              <w:spacing w:line="240" w:lineRule="auto"/>
              <w:jc w:val="center"/>
              <w:rPr>
                <w:kern w:val="0"/>
                <w:sz w:val="18"/>
                <w:szCs w:val="18"/>
              </w:rPr>
            </w:pPr>
            <w:r>
              <w:rPr>
                <w:color w:val="000000"/>
                <w:sz w:val="18"/>
                <w:szCs w:val="18"/>
              </w:rPr>
              <w:t xml:space="preserve">5.5 </w:t>
            </w:r>
          </w:p>
        </w:tc>
      </w:tr>
      <w:tr w14:paraId="57E956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926495C">
            <w:pPr>
              <w:widowControl/>
              <w:adjustRightInd/>
              <w:snapToGrid/>
              <w:spacing w:line="240" w:lineRule="auto"/>
              <w:jc w:val="center"/>
              <w:rPr>
                <w:kern w:val="0"/>
                <w:sz w:val="18"/>
                <w:szCs w:val="18"/>
              </w:rPr>
            </w:pPr>
            <w:r>
              <w:rPr>
                <w:sz w:val="18"/>
                <w:szCs w:val="18"/>
              </w:rPr>
              <w:t>35</w:t>
            </w:r>
          </w:p>
        </w:tc>
        <w:tc>
          <w:tcPr>
            <w:tcW w:w="673" w:type="dxa"/>
            <w:vMerge w:val="continue"/>
            <w:vAlign w:val="center"/>
          </w:tcPr>
          <w:p w14:paraId="2CD92E08">
            <w:pPr>
              <w:widowControl/>
              <w:adjustRightInd/>
              <w:snapToGrid/>
              <w:spacing w:line="240" w:lineRule="auto"/>
              <w:jc w:val="left"/>
              <w:rPr>
                <w:kern w:val="0"/>
                <w:sz w:val="18"/>
                <w:szCs w:val="18"/>
              </w:rPr>
            </w:pPr>
          </w:p>
        </w:tc>
        <w:tc>
          <w:tcPr>
            <w:tcW w:w="595" w:type="dxa"/>
            <w:vMerge w:val="restart"/>
            <w:vAlign w:val="center"/>
          </w:tcPr>
          <w:p w14:paraId="22C7BA0E">
            <w:pPr>
              <w:widowControl/>
              <w:adjustRightInd/>
              <w:snapToGrid/>
              <w:spacing w:line="240" w:lineRule="auto"/>
              <w:jc w:val="center"/>
              <w:rPr>
                <w:kern w:val="0"/>
                <w:sz w:val="18"/>
                <w:szCs w:val="18"/>
              </w:rPr>
            </w:pPr>
            <w:r>
              <w:rPr>
                <w:kern w:val="0"/>
                <w:sz w:val="18"/>
                <w:szCs w:val="18"/>
              </w:rPr>
              <w:t>31.2</w:t>
            </w:r>
          </w:p>
        </w:tc>
        <w:tc>
          <w:tcPr>
            <w:tcW w:w="567" w:type="dxa"/>
            <w:vMerge w:val="continue"/>
            <w:vAlign w:val="center"/>
          </w:tcPr>
          <w:p w14:paraId="63397A0F">
            <w:pPr>
              <w:widowControl/>
              <w:adjustRightInd/>
              <w:snapToGrid/>
              <w:spacing w:line="240" w:lineRule="auto"/>
              <w:jc w:val="left"/>
              <w:rPr>
                <w:kern w:val="0"/>
                <w:sz w:val="18"/>
                <w:szCs w:val="18"/>
              </w:rPr>
            </w:pPr>
          </w:p>
        </w:tc>
        <w:tc>
          <w:tcPr>
            <w:tcW w:w="426" w:type="dxa"/>
            <w:noWrap/>
            <w:vAlign w:val="center"/>
          </w:tcPr>
          <w:p w14:paraId="2F0C7C86">
            <w:pPr>
              <w:widowControl/>
              <w:adjustRightInd/>
              <w:snapToGrid/>
              <w:spacing w:line="240" w:lineRule="auto"/>
              <w:jc w:val="center"/>
              <w:rPr>
                <w:kern w:val="0"/>
                <w:sz w:val="18"/>
                <w:szCs w:val="18"/>
              </w:rPr>
            </w:pPr>
            <w:r>
              <w:rPr>
                <w:sz w:val="18"/>
                <w:szCs w:val="18"/>
              </w:rPr>
              <w:t>昼间</w:t>
            </w:r>
          </w:p>
        </w:tc>
        <w:tc>
          <w:tcPr>
            <w:tcW w:w="708" w:type="dxa"/>
            <w:noWrap/>
            <w:vAlign w:val="center"/>
          </w:tcPr>
          <w:p w14:paraId="0D11E9D0">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03438ED5">
            <w:pPr>
              <w:widowControl/>
              <w:adjustRightInd/>
              <w:snapToGrid/>
              <w:spacing w:line="240" w:lineRule="auto"/>
              <w:jc w:val="center"/>
              <w:rPr>
                <w:kern w:val="0"/>
                <w:sz w:val="18"/>
                <w:szCs w:val="18"/>
              </w:rPr>
            </w:pPr>
          </w:p>
        </w:tc>
        <w:tc>
          <w:tcPr>
            <w:tcW w:w="709" w:type="dxa"/>
            <w:vMerge w:val="continue"/>
            <w:noWrap/>
            <w:vAlign w:val="center"/>
          </w:tcPr>
          <w:p w14:paraId="51CB32AE">
            <w:pPr>
              <w:widowControl/>
              <w:adjustRightInd/>
              <w:snapToGrid/>
              <w:spacing w:line="240" w:lineRule="auto"/>
              <w:jc w:val="center"/>
              <w:rPr>
                <w:kern w:val="0"/>
                <w:sz w:val="18"/>
                <w:szCs w:val="18"/>
              </w:rPr>
            </w:pPr>
          </w:p>
        </w:tc>
        <w:tc>
          <w:tcPr>
            <w:tcW w:w="880" w:type="dxa"/>
            <w:vAlign w:val="center"/>
          </w:tcPr>
          <w:p w14:paraId="0B934319">
            <w:pPr>
              <w:widowControl/>
              <w:adjustRightInd/>
              <w:snapToGrid/>
              <w:spacing w:line="240" w:lineRule="auto"/>
              <w:jc w:val="center"/>
              <w:rPr>
                <w:kern w:val="0"/>
                <w:sz w:val="18"/>
                <w:szCs w:val="18"/>
              </w:rPr>
            </w:pPr>
            <w:r>
              <w:rPr>
                <w:rFonts w:hint="eastAsia"/>
                <w:color w:val="000000"/>
                <w:sz w:val="18"/>
                <w:szCs w:val="18"/>
              </w:rPr>
              <w:t>64.5</w:t>
            </w:r>
          </w:p>
        </w:tc>
        <w:tc>
          <w:tcPr>
            <w:tcW w:w="880" w:type="dxa"/>
            <w:vAlign w:val="center"/>
          </w:tcPr>
          <w:p w14:paraId="55A44D80">
            <w:pPr>
              <w:widowControl/>
              <w:adjustRightInd/>
              <w:snapToGrid/>
              <w:spacing w:line="240" w:lineRule="auto"/>
              <w:jc w:val="center"/>
              <w:rPr>
                <w:kern w:val="0"/>
                <w:sz w:val="18"/>
                <w:szCs w:val="18"/>
              </w:rPr>
            </w:pPr>
            <w:r>
              <w:rPr>
                <w:color w:val="000000"/>
                <w:sz w:val="18"/>
                <w:szCs w:val="18"/>
              </w:rPr>
              <w:t xml:space="preserve">64.7 </w:t>
            </w:r>
          </w:p>
        </w:tc>
        <w:tc>
          <w:tcPr>
            <w:tcW w:w="881" w:type="dxa"/>
            <w:vAlign w:val="center"/>
          </w:tcPr>
          <w:p w14:paraId="5F3C69B8">
            <w:pPr>
              <w:widowControl/>
              <w:adjustRightInd/>
              <w:snapToGrid/>
              <w:spacing w:line="240" w:lineRule="auto"/>
              <w:jc w:val="center"/>
              <w:rPr>
                <w:kern w:val="0"/>
                <w:sz w:val="18"/>
                <w:szCs w:val="18"/>
              </w:rPr>
            </w:pPr>
            <w:r>
              <w:rPr>
                <w:rFonts w:hint="eastAsia"/>
                <w:color w:val="000000"/>
                <w:sz w:val="18"/>
                <w:szCs w:val="18"/>
              </w:rPr>
              <w:t xml:space="preserve">12.7 </w:t>
            </w:r>
          </w:p>
        </w:tc>
        <w:tc>
          <w:tcPr>
            <w:tcW w:w="880" w:type="dxa"/>
            <w:vAlign w:val="center"/>
          </w:tcPr>
          <w:p w14:paraId="1AD608DE">
            <w:pPr>
              <w:widowControl/>
              <w:adjustRightInd/>
              <w:snapToGrid/>
              <w:spacing w:line="240" w:lineRule="auto"/>
              <w:jc w:val="center"/>
              <w:rPr>
                <w:kern w:val="0"/>
                <w:sz w:val="18"/>
                <w:szCs w:val="18"/>
              </w:rPr>
            </w:pPr>
            <w:r>
              <w:rPr>
                <w:rFonts w:hint="eastAsia"/>
                <w:color w:val="000000"/>
                <w:sz w:val="18"/>
                <w:szCs w:val="18"/>
              </w:rPr>
              <w:t xml:space="preserve">4.7 </w:t>
            </w:r>
          </w:p>
        </w:tc>
        <w:tc>
          <w:tcPr>
            <w:tcW w:w="880" w:type="dxa"/>
            <w:noWrap/>
            <w:vAlign w:val="center"/>
          </w:tcPr>
          <w:p w14:paraId="085BBB9C">
            <w:pPr>
              <w:widowControl/>
              <w:adjustRightInd/>
              <w:snapToGrid/>
              <w:spacing w:line="240" w:lineRule="auto"/>
              <w:jc w:val="center"/>
              <w:rPr>
                <w:kern w:val="0"/>
                <w:sz w:val="18"/>
                <w:szCs w:val="18"/>
              </w:rPr>
            </w:pPr>
            <w:r>
              <w:rPr>
                <w:kern w:val="0"/>
                <w:sz w:val="18"/>
                <w:szCs w:val="18"/>
              </w:rPr>
              <w:t>65.4</w:t>
            </w:r>
          </w:p>
        </w:tc>
        <w:tc>
          <w:tcPr>
            <w:tcW w:w="881" w:type="dxa"/>
            <w:noWrap/>
            <w:vAlign w:val="center"/>
          </w:tcPr>
          <w:p w14:paraId="4238F3A3">
            <w:pPr>
              <w:widowControl/>
              <w:adjustRightInd/>
              <w:snapToGrid/>
              <w:spacing w:line="240" w:lineRule="auto"/>
              <w:jc w:val="center"/>
              <w:rPr>
                <w:kern w:val="0"/>
                <w:sz w:val="18"/>
                <w:szCs w:val="18"/>
              </w:rPr>
            </w:pPr>
            <w:r>
              <w:rPr>
                <w:color w:val="000000"/>
                <w:sz w:val="18"/>
                <w:szCs w:val="18"/>
              </w:rPr>
              <w:t xml:space="preserve">65.6 </w:t>
            </w:r>
          </w:p>
        </w:tc>
        <w:tc>
          <w:tcPr>
            <w:tcW w:w="880" w:type="dxa"/>
            <w:noWrap/>
            <w:vAlign w:val="center"/>
          </w:tcPr>
          <w:p w14:paraId="1DE79540">
            <w:pPr>
              <w:widowControl/>
              <w:adjustRightInd/>
              <w:snapToGrid/>
              <w:spacing w:line="240" w:lineRule="auto"/>
              <w:jc w:val="center"/>
              <w:rPr>
                <w:kern w:val="0"/>
                <w:sz w:val="18"/>
                <w:szCs w:val="18"/>
              </w:rPr>
            </w:pPr>
            <w:r>
              <w:rPr>
                <w:color w:val="000000"/>
                <w:sz w:val="18"/>
                <w:szCs w:val="18"/>
              </w:rPr>
              <w:t xml:space="preserve">13.6 </w:t>
            </w:r>
          </w:p>
        </w:tc>
        <w:tc>
          <w:tcPr>
            <w:tcW w:w="880" w:type="dxa"/>
            <w:noWrap/>
            <w:vAlign w:val="center"/>
          </w:tcPr>
          <w:p w14:paraId="58557457">
            <w:pPr>
              <w:widowControl/>
              <w:adjustRightInd/>
              <w:snapToGrid/>
              <w:spacing w:line="240" w:lineRule="auto"/>
              <w:jc w:val="center"/>
              <w:rPr>
                <w:kern w:val="0"/>
                <w:sz w:val="18"/>
                <w:szCs w:val="18"/>
              </w:rPr>
            </w:pPr>
            <w:r>
              <w:rPr>
                <w:color w:val="000000"/>
                <w:sz w:val="18"/>
                <w:szCs w:val="18"/>
              </w:rPr>
              <w:t xml:space="preserve">5.6 </w:t>
            </w:r>
          </w:p>
        </w:tc>
        <w:tc>
          <w:tcPr>
            <w:tcW w:w="881" w:type="dxa"/>
            <w:noWrap/>
            <w:vAlign w:val="center"/>
          </w:tcPr>
          <w:p w14:paraId="615D215E">
            <w:pPr>
              <w:widowControl/>
              <w:adjustRightInd/>
              <w:snapToGrid/>
              <w:spacing w:line="240" w:lineRule="auto"/>
              <w:jc w:val="center"/>
              <w:rPr>
                <w:kern w:val="0"/>
                <w:sz w:val="18"/>
                <w:szCs w:val="18"/>
              </w:rPr>
            </w:pPr>
            <w:r>
              <w:rPr>
                <w:rFonts w:hint="eastAsia"/>
                <w:color w:val="000000"/>
                <w:sz w:val="18"/>
                <w:szCs w:val="18"/>
              </w:rPr>
              <w:t>66.3</w:t>
            </w:r>
          </w:p>
        </w:tc>
        <w:tc>
          <w:tcPr>
            <w:tcW w:w="880" w:type="dxa"/>
            <w:noWrap/>
            <w:vAlign w:val="center"/>
          </w:tcPr>
          <w:p w14:paraId="4CD60557">
            <w:pPr>
              <w:widowControl/>
              <w:adjustRightInd/>
              <w:snapToGrid/>
              <w:spacing w:line="240" w:lineRule="auto"/>
              <w:jc w:val="center"/>
              <w:rPr>
                <w:kern w:val="0"/>
                <w:sz w:val="18"/>
                <w:szCs w:val="18"/>
              </w:rPr>
            </w:pPr>
            <w:r>
              <w:rPr>
                <w:color w:val="000000"/>
                <w:sz w:val="18"/>
                <w:szCs w:val="18"/>
              </w:rPr>
              <w:t xml:space="preserve">66.5 </w:t>
            </w:r>
          </w:p>
        </w:tc>
        <w:tc>
          <w:tcPr>
            <w:tcW w:w="880" w:type="dxa"/>
            <w:noWrap/>
            <w:vAlign w:val="center"/>
          </w:tcPr>
          <w:p w14:paraId="4997AD8D">
            <w:pPr>
              <w:widowControl/>
              <w:adjustRightInd/>
              <w:snapToGrid/>
              <w:spacing w:line="240" w:lineRule="auto"/>
              <w:jc w:val="center"/>
              <w:rPr>
                <w:kern w:val="0"/>
                <w:sz w:val="18"/>
                <w:szCs w:val="18"/>
              </w:rPr>
            </w:pPr>
            <w:r>
              <w:rPr>
                <w:color w:val="000000"/>
                <w:sz w:val="18"/>
                <w:szCs w:val="18"/>
              </w:rPr>
              <w:t xml:space="preserve">14.5 </w:t>
            </w:r>
          </w:p>
        </w:tc>
        <w:tc>
          <w:tcPr>
            <w:tcW w:w="881" w:type="dxa"/>
            <w:noWrap/>
            <w:vAlign w:val="center"/>
          </w:tcPr>
          <w:p w14:paraId="5AE9D6FC">
            <w:pPr>
              <w:widowControl/>
              <w:adjustRightInd/>
              <w:snapToGrid/>
              <w:spacing w:line="240" w:lineRule="auto"/>
              <w:jc w:val="center"/>
              <w:rPr>
                <w:kern w:val="0"/>
                <w:sz w:val="18"/>
                <w:szCs w:val="18"/>
              </w:rPr>
            </w:pPr>
            <w:r>
              <w:rPr>
                <w:color w:val="000000"/>
                <w:sz w:val="18"/>
                <w:szCs w:val="18"/>
              </w:rPr>
              <w:t xml:space="preserve">6.5 </w:t>
            </w:r>
          </w:p>
        </w:tc>
      </w:tr>
      <w:tr w14:paraId="05DE6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2DA5FF2C">
            <w:pPr>
              <w:widowControl/>
              <w:adjustRightInd/>
              <w:snapToGrid/>
              <w:spacing w:line="240" w:lineRule="auto"/>
              <w:jc w:val="center"/>
              <w:rPr>
                <w:kern w:val="0"/>
                <w:sz w:val="18"/>
                <w:szCs w:val="18"/>
              </w:rPr>
            </w:pPr>
            <w:r>
              <w:rPr>
                <w:sz w:val="18"/>
                <w:szCs w:val="18"/>
              </w:rPr>
              <w:t>36</w:t>
            </w:r>
          </w:p>
        </w:tc>
        <w:tc>
          <w:tcPr>
            <w:tcW w:w="673" w:type="dxa"/>
            <w:vMerge w:val="continue"/>
            <w:vAlign w:val="center"/>
          </w:tcPr>
          <w:p w14:paraId="543B17D2">
            <w:pPr>
              <w:widowControl/>
              <w:adjustRightInd/>
              <w:snapToGrid/>
              <w:spacing w:line="240" w:lineRule="auto"/>
              <w:jc w:val="left"/>
              <w:rPr>
                <w:kern w:val="0"/>
                <w:sz w:val="18"/>
                <w:szCs w:val="18"/>
              </w:rPr>
            </w:pPr>
          </w:p>
        </w:tc>
        <w:tc>
          <w:tcPr>
            <w:tcW w:w="595" w:type="dxa"/>
            <w:vMerge w:val="continue"/>
            <w:vAlign w:val="center"/>
          </w:tcPr>
          <w:p w14:paraId="7A0DAF26">
            <w:pPr>
              <w:widowControl/>
              <w:adjustRightInd/>
              <w:snapToGrid/>
              <w:spacing w:line="240" w:lineRule="auto"/>
              <w:jc w:val="left"/>
              <w:rPr>
                <w:kern w:val="0"/>
                <w:sz w:val="18"/>
                <w:szCs w:val="18"/>
              </w:rPr>
            </w:pPr>
          </w:p>
        </w:tc>
        <w:tc>
          <w:tcPr>
            <w:tcW w:w="567" w:type="dxa"/>
            <w:vMerge w:val="continue"/>
            <w:vAlign w:val="center"/>
          </w:tcPr>
          <w:p w14:paraId="7A05392A">
            <w:pPr>
              <w:widowControl/>
              <w:adjustRightInd/>
              <w:snapToGrid/>
              <w:spacing w:line="240" w:lineRule="auto"/>
              <w:jc w:val="left"/>
              <w:rPr>
                <w:kern w:val="0"/>
                <w:sz w:val="18"/>
                <w:szCs w:val="18"/>
              </w:rPr>
            </w:pPr>
          </w:p>
        </w:tc>
        <w:tc>
          <w:tcPr>
            <w:tcW w:w="426" w:type="dxa"/>
            <w:noWrap/>
            <w:vAlign w:val="center"/>
          </w:tcPr>
          <w:p w14:paraId="356F03E8">
            <w:pPr>
              <w:widowControl/>
              <w:adjustRightInd/>
              <w:snapToGrid/>
              <w:spacing w:line="240" w:lineRule="auto"/>
              <w:jc w:val="center"/>
              <w:rPr>
                <w:kern w:val="0"/>
                <w:sz w:val="18"/>
                <w:szCs w:val="18"/>
              </w:rPr>
            </w:pPr>
            <w:r>
              <w:rPr>
                <w:sz w:val="18"/>
                <w:szCs w:val="18"/>
              </w:rPr>
              <w:t>夜间</w:t>
            </w:r>
          </w:p>
        </w:tc>
        <w:tc>
          <w:tcPr>
            <w:tcW w:w="708" w:type="dxa"/>
            <w:noWrap/>
            <w:vAlign w:val="center"/>
          </w:tcPr>
          <w:p w14:paraId="7EF5BAA9">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3406EE5D">
            <w:pPr>
              <w:widowControl/>
              <w:adjustRightInd/>
              <w:snapToGrid/>
              <w:spacing w:line="240" w:lineRule="auto"/>
              <w:jc w:val="center"/>
              <w:rPr>
                <w:kern w:val="0"/>
                <w:sz w:val="18"/>
                <w:szCs w:val="18"/>
              </w:rPr>
            </w:pPr>
          </w:p>
        </w:tc>
        <w:tc>
          <w:tcPr>
            <w:tcW w:w="709" w:type="dxa"/>
            <w:vMerge w:val="continue"/>
            <w:noWrap/>
            <w:vAlign w:val="center"/>
          </w:tcPr>
          <w:p w14:paraId="08F34120">
            <w:pPr>
              <w:widowControl/>
              <w:adjustRightInd/>
              <w:snapToGrid/>
              <w:spacing w:line="240" w:lineRule="auto"/>
              <w:jc w:val="center"/>
              <w:rPr>
                <w:kern w:val="0"/>
                <w:sz w:val="18"/>
                <w:szCs w:val="18"/>
              </w:rPr>
            </w:pPr>
          </w:p>
        </w:tc>
        <w:tc>
          <w:tcPr>
            <w:tcW w:w="880" w:type="dxa"/>
            <w:vAlign w:val="center"/>
          </w:tcPr>
          <w:p w14:paraId="2B7A9781">
            <w:pPr>
              <w:widowControl/>
              <w:adjustRightInd/>
              <w:snapToGrid/>
              <w:spacing w:line="240" w:lineRule="auto"/>
              <w:jc w:val="center"/>
              <w:rPr>
                <w:kern w:val="0"/>
                <w:sz w:val="18"/>
                <w:szCs w:val="18"/>
              </w:rPr>
            </w:pPr>
            <w:r>
              <w:rPr>
                <w:rFonts w:hint="eastAsia"/>
                <w:color w:val="000000"/>
                <w:sz w:val="18"/>
                <w:szCs w:val="18"/>
              </w:rPr>
              <w:t>51.7</w:t>
            </w:r>
          </w:p>
        </w:tc>
        <w:tc>
          <w:tcPr>
            <w:tcW w:w="880" w:type="dxa"/>
            <w:vAlign w:val="center"/>
          </w:tcPr>
          <w:p w14:paraId="340880D0">
            <w:pPr>
              <w:widowControl/>
              <w:adjustRightInd/>
              <w:snapToGrid/>
              <w:spacing w:line="240" w:lineRule="auto"/>
              <w:jc w:val="center"/>
              <w:rPr>
                <w:kern w:val="0"/>
                <w:sz w:val="18"/>
                <w:szCs w:val="18"/>
              </w:rPr>
            </w:pPr>
            <w:r>
              <w:rPr>
                <w:color w:val="000000"/>
                <w:sz w:val="18"/>
                <w:szCs w:val="18"/>
              </w:rPr>
              <w:t xml:space="preserve">52.2 </w:t>
            </w:r>
          </w:p>
        </w:tc>
        <w:tc>
          <w:tcPr>
            <w:tcW w:w="881" w:type="dxa"/>
            <w:vAlign w:val="center"/>
          </w:tcPr>
          <w:p w14:paraId="2FF156D3">
            <w:pPr>
              <w:widowControl/>
              <w:adjustRightInd/>
              <w:snapToGrid/>
              <w:spacing w:line="240" w:lineRule="auto"/>
              <w:jc w:val="center"/>
              <w:rPr>
                <w:kern w:val="0"/>
                <w:sz w:val="18"/>
                <w:szCs w:val="18"/>
              </w:rPr>
            </w:pPr>
            <w:r>
              <w:rPr>
                <w:rFonts w:hint="eastAsia"/>
                <w:color w:val="000000"/>
                <w:sz w:val="18"/>
                <w:szCs w:val="18"/>
              </w:rPr>
              <w:t xml:space="preserve">9.2 </w:t>
            </w:r>
          </w:p>
        </w:tc>
        <w:tc>
          <w:tcPr>
            <w:tcW w:w="880" w:type="dxa"/>
            <w:vAlign w:val="center"/>
          </w:tcPr>
          <w:p w14:paraId="5E65FC51">
            <w:pPr>
              <w:widowControl/>
              <w:adjustRightInd/>
              <w:snapToGrid/>
              <w:spacing w:line="240" w:lineRule="auto"/>
              <w:jc w:val="center"/>
              <w:rPr>
                <w:kern w:val="0"/>
                <w:sz w:val="18"/>
                <w:szCs w:val="18"/>
              </w:rPr>
            </w:pPr>
            <w:r>
              <w:rPr>
                <w:rFonts w:hint="eastAsia"/>
                <w:color w:val="000000"/>
                <w:sz w:val="18"/>
                <w:szCs w:val="18"/>
              </w:rPr>
              <w:t xml:space="preserve">2.2 </w:t>
            </w:r>
          </w:p>
        </w:tc>
        <w:tc>
          <w:tcPr>
            <w:tcW w:w="880" w:type="dxa"/>
            <w:noWrap/>
            <w:vAlign w:val="center"/>
          </w:tcPr>
          <w:p w14:paraId="3E4B0026">
            <w:pPr>
              <w:widowControl/>
              <w:adjustRightInd/>
              <w:snapToGrid/>
              <w:spacing w:line="240" w:lineRule="auto"/>
              <w:jc w:val="center"/>
              <w:rPr>
                <w:kern w:val="0"/>
                <w:sz w:val="18"/>
                <w:szCs w:val="18"/>
              </w:rPr>
            </w:pPr>
            <w:r>
              <w:rPr>
                <w:kern w:val="0"/>
                <w:sz w:val="18"/>
                <w:szCs w:val="18"/>
              </w:rPr>
              <w:t>52.6</w:t>
            </w:r>
          </w:p>
        </w:tc>
        <w:tc>
          <w:tcPr>
            <w:tcW w:w="881" w:type="dxa"/>
            <w:noWrap/>
            <w:vAlign w:val="center"/>
          </w:tcPr>
          <w:p w14:paraId="5E519229">
            <w:pPr>
              <w:widowControl/>
              <w:adjustRightInd/>
              <w:snapToGrid/>
              <w:spacing w:line="240" w:lineRule="auto"/>
              <w:jc w:val="center"/>
              <w:rPr>
                <w:kern w:val="0"/>
                <w:sz w:val="18"/>
                <w:szCs w:val="18"/>
              </w:rPr>
            </w:pPr>
            <w:r>
              <w:rPr>
                <w:color w:val="000000"/>
                <w:sz w:val="18"/>
                <w:szCs w:val="18"/>
              </w:rPr>
              <w:t xml:space="preserve">53.1 </w:t>
            </w:r>
          </w:p>
        </w:tc>
        <w:tc>
          <w:tcPr>
            <w:tcW w:w="880" w:type="dxa"/>
            <w:noWrap/>
            <w:vAlign w:val="center"/>
          </w:tcPr>
          <w:p w14:paraId="7A611F5C">
            <w:pPr>
              <w:widowControl/>
              <w:adjustRightInd/>
              <w:snapToGrid/>
              <w:spacing w:line="240" w:lineRule="auto"/>
              <w:jc w:val="center"/>
              <w:rPr>
                <w:kern w:val="0"/>
                <w:sz w:val="18"/>
                <w:szCs w:val="18"/>
              </w:rPr>
            </w:pPr>
            <w:r>
              <w:rPr>
                <w:color w:val="000000"/>
                <w:sz w:val="18"/>
                <w:szCs w:val="18"/>
              </w:rPr>
              <w:t xml:space="preserve">10.1 </w:t>
            </w:r>
          </w:p>
        </w:tc>
        <w:tc>
          <w:tcPr>
            <w:tcW w:w="880" w:type="dxa"/>
            <w:noWrap/>
            <w:vAlign w:val="center"/>
          </w:tcPr>
          <w:p w14:paraId="7AFCFEE9">
            <w:pPr>
              <w:widowControl/>
              <w:adjustRightInd/>
              <w:snapToGrid/>
              <w:spacing w:line="240" w:lineRule="auto"/>
              <w:jc w:val="center"/>
              <w:rPr>
                <w:kern w:val="0"/>
                <w:sz w:val="18"/>
                <w:szCs w:val="18"/>
              </w:rPr>
            </w:pPr>
            <w:r>
              <w:rPr>
                <w:color w:val="000000"/>
                <w:sz w:val="18"/>
                <w:szCs w:val="18"/>
              </w:rPr>
              <w:t xml:space="preserve">3.1 </w:t>
            </w:r>
          </w:p>
        </w:tc>
        <w:tc>
          <w:tcPr>
            <w:tcW w:w="881" w:type="dxa"/>
            <w:noWrap/>
            <w:vAlign w:val="center"/>
          </w:tcPr>
          <w:p w14:paraId="56CC1F76">
            <w:pPr>
              <w:widowControl/>
              <w:adjustRightInd/>
              <w:snapToGrid/>
              <w:spacing w:line="240" w:lineRule="auto"/>
              <w:jc w:val="center"/>
              <w:rPr>
                <w:kern w:val="0"/>
                <w:sz w:val="18"/>
                <w:szCs w:val="18"/>
              </w:rPr>
            </w:pPr>
            <w:r>
              <w:rPr>
                <w:rFonts w:hint="eastAsia"/>
                <w:color w:val="000000"/>
                <w:sz w:val="18"/>
                <w:szCs w:val="18"/>
              </w:rPr>
              <w:t>53.5</w:t>
            </w:r>
          </w:p>
        </w:tc>
        <w:tc>
          <w:tcPr>
            <w:tcW w:w="880" w:type="dxa"/>
            <w:noWrap/>
            <w:vAlign w:val="center"/>
          </w:tcPr>
          <w:p w14:paraId="6FDFE494">
            <w:pPr>
              <w:widowControl/>
              <w:adjustRightInd/>
              <w:snapToGrid/>
              <w:spacing w:line="240" w:lineRule="auto"/>
              <w:jc w:val="center"/>
              <w:rPr>
                <w:kern w:val="0"/>
                <w:sz w:val="18"/>
                <w:szCs w:val="18"/>
              </w:rPr>
            </w:pPr>
            <w:r>
              <w:rPr>
                <w:color w:val="000000"/>
                <w:sz w:val="18"/>
                <w:szCs w:val="18"/>
              </w:rPr>
              <w:t xml:space="preserve">53.9 </w:t>
            </w:r>
          </w:p>
        </w:tc>
        <w:tc>
          <w:tcPr>
            <w:tcW w:w="880" w:type="dxa"/>
            <w:noWrap/>
            <w:vAlign w:val="center"/>
          </w:tcPr>
          <w:p w14:paraId="7B51057C">
            <w:pPr>
              <w:widowControl/>
              <w:adjustRightInd/>
              <w:snapToGrid/>
              <w:spacing w:line="240" w:lineRule="auto"/>
              <w:jc w:val="center"/>
              <w:rPr>
                <w:kern w:val="0"/>
                <w:sz w:val="18"/>
                <w:szCs w:val="18"/>
              </w:rPr>
            </w:pPr>
            <w:r>
              <w:rPr>
                <w:color w:val="000000"/>
                <w:sz w:val="18"/>
                <w:szCs w:val="18"/>
              </w:rPr>
              <w:t xml:space="preserve">10.9 </w:t>
            </w:r>
          </w:p>
        </w:tc>
        <w:tc>
          <w:tcPr>
            <w:tcW w:w="881" w:type="dxa"/>
            <w:noWrap/>
            <w:vAlign w:val="center"/>
          </w:tcPr>
          <w:p w14:paraId="6E4C72D6">
            <w:pPr>
              <w:widowControl/>
              <w:adjustRightInd/>
              <w:snapToGrid/>
              <w:spacing w:line="240" w:lineRule="auto"/>
              <w:jc w:val="center"/>
              <w:rPr>
                <w:kern w:val="0"/>
                <w:sz w:val="18"/>
                <w:szCs w:val="18"/>
              </w:rPr>
            </w:pPr>
            <w:r>
              <w:rPr>
                <w:color w:val="000000"/>
                <w:sz w:val="18"/>
                <w:szCs w:val="18"/>
              </w:rPr>
              <w:t xml:space="preserve">3.9 </w:t>
            </w:r>
          </w:p>
        </w:tc>
      </w:tr>
      <w:tr w14:paraId="7D99B0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F4672B4">
            <w:pPr>
              <w:widowControl/>
              <w:adjustRightInd/>
              <w:snapToGrid/>
              <w:spacing w:line="240" w:lineRule="auto"/>
              <w:jc w:val="center"/>
              <w:rPr>
                <w:kern w:val="0"/>
                <w:sz w:val="18"/>
                <w:szCs w:val="18"/>
              </w:rPr>
            </w:pPr>
            <w:r>
              <w:rPr>
                <w:sz w:val="18"/>
                <w:szCs w:val="18"/>
              </w:rPr>
              <w:t>37</w:t>
            </w:r>
          </w:p>
        </w:tc>
        <w:tc>
          <w:tcPr>
            <w:tcW w:w="673" w:type="dxa"/>
            <w:vMerge w:val="continue"/>
            <w:vAlign w:val="center"/>
          </w:tcPr>
          <w:p w14:paraId="0CAB26AE">
            <w:pPr>
              <w:widowControl/>
              <w:adjustRightInd/>
              <w:snapToGrid/>
              <w:spacing w:line="240" w:lineRule="auto"/>
              <w:jc w:val="left"/>
              <w:rPr>
                <w:kern w:val="0"/>
                <w:sz w:val="18"/>
                <w:szCs w:val="18"/>
              </w:rPr>
            </w:pPr>
          </w:p>
        </w:tc>
        <w:tc>
          <w:tcPr>
            <w:tcW w:w="595" w:type="dxa"/>
            <w:vMerge w:val="restart"/>
            <w:vAlign w:val="center"/>
          </w:tcPr>
          <w:p w14:paraId="1CF79909">
            <w:pPr>
              <w:widowControl/>
              <w:adjustRightInd/>
              <w:snapToGrid/>
              <w:spacing w:line="240" w:lineRule="auto"/>
              <w:jc w:val="center"/>
              <w:rPr>
                <w:kern w:val="0"/>
                <w:sz w:val="18"/>
                <w:szCs w:val="18"/>
              </w:rPr>
            </w:pPr>
            <w:r>
              <w:rPr>
                <w:kern w:val="0"/>
                <w:sz w:val="18"/>
                <w:szCs w:val="18"/>
              </w:rPr>
              <w:t>46.2</w:t>
            </w:r>
          </w:p>
        </w:tc>
        <w:tc>
          <w:tcPr>
            <w:tcW w:w="567" w:type="dxa"/>
            <w:vMerge w:val="continue"/>
            <w:vAlign w:val="center"/>
          </w:tcPr>
          <w:p w14:paraId="61B6AE1B">
            <w:pPr>
              <w:widowControl/>
              <w:adjustRightInd/>
              <w:snapToGrid/>
              <w:spacing w:line="240" w:lineRule="auto"/>
              <w:jc w:val="left"/>
              <w:rPr>
                <w:kern w:val="0"/>
                <w:sz w:val="18"/>
                <w:szCs w:val="18"/>
              </w:rPr>
            </w:pPr>
          </w:p>
        </w:tc>
        <w:tc>
          <w:tcPr>
            <w:tcW w:w="426" w:type="dxa"/>
            <w:noWrap/>
            <w:vAlign w:val="center"/>
          </w:tcPr>
          <w:p w14:paraId="384238B8">
            <w:pPr>
              <w:widowControl/>
              <w:adjustRightInd/>
              <w:snapToGrid/>
              <w:spacing w:line="240" w:lineRule="auto"/>
              <w:jc w:val="center"/>
              <w:rPr>
                <w:kern w:val="0"/>
                <w:sz w:val="18"/>
                <w:szCs w:val="18"/>
              </w:rPr>
            </w:pPr>
            <w:r>
              <w:rPr>
                <w:sz w:val="18"/>
                <w:szCs w:val="18"/>
              </w:rPr>
              <w:t>昼间</w:t>
            </w:r>
          </w:p>
        </w:tc>
        <w:tc>
          <w:tcPr>
            <w:tcW w:w="708" w:type="dxa"/>
            <w:noWrap/>
            <w:vAlign w:val="center"/>
          </w:tcPr>
          <w:p w14:paraId="5F86CECC">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51B84DC9">
            <w:pPr>
              <w:widowControl/>
              <w:adjustRightInd/>
              <w:snapToGrid/>
              <w:spacing w:line="240" w:lineRule="auto"/>
              <w:jc w:val="center"/>
              <w:rPr>
                <w:kern w:val="0"/>
                <w:sz w:val="18"/>
                <w:szCs w:val="18"/>
              </w:rPr>
            </w:pPr>
          </w:p>
        </w:tc>
        <w:tc>
          <w:tcPr>
            <w:tcW w:w="709" w:type="dxa"/>
            <w:vMerge w:val="continue"/>
            <w:noWrap/>
            <w:vAlign w:val="center"/>
          </w:tcPr>
          <w:p w14:paraId="268D0484">
            <w:pPr>
              <w:widowControl/>
              <w:adjustRightInd/>
              <w:snapToGrid/>
              <w:spacing w:line="240" w:lineRule="auto"/>
              <w:jc w:val="center"/>
              <w:rPr>
                <w:kern w:val="0"/>
                <w:sz w:val="18"/>
                <w:szCs w:val="18"/>
              </w:rPr>
            </w:pPr>
          </w:p>
        </w:tc>
        <w:tc>
          <w:tcPr>
            <w:tcW w:w="880" w:type="dxa"/>
            <w:vAlign w:val="center"/>
          </w:tcPr>
          <w:p w14:paraId="088525CB">
            <w:pPr>
              <w:widowControl/>
              <w:adjustRightInd/>
              <w:snapToGrid/>
              <w:spacing w:line="240" w:lineRule="auto"/>
              <w:jc w:val="center"/>
              <w:rPr>
                <w:kern w:val="0"/>
                <w:sz w:val="18"/>
                <w:szCs w:val="18"/>
              </w:rPr>
            </w:pPr>
            <w:r>
              <w:rPr>
                <w:rFonts w:hint="eastAsia"/>
                <w:color w:val="000000"/>
                <w:sz w:val="18"/>
                <w:szCs w:val="18"/>
              </w:rPr>
              <w:t>63.4</w:t>
            </w:r>
          </w:p>
        </w:tc>
        <w:tc>
          <w:tcPr>
            <w:tcW w:w="880" w:type="dxa"/>
            <w:vAlign w:val="center"/>
          </w:tcPr>
          <w:p w14:paraId="24778CEB">
            <w:pPr>
              <w:widowControl/>
              <w:adjustRightInd/>
              <w:snapToGrid/>
              <w:spacing w:line="240" w:lineRule="auto"/>
              <w:jc w:val="center"/>
              <w:rPr>
                <w:kern w:val="0"/>
                <w:sz w:val="18"/>
                <w:szCs w:val="18"/>
              </w:rPr>
            </w:pPr>
            <w:r>
              <w:rPr>
                <w:color w:val="000000"/>
                <w:sz w:val="18"/>
                <w:szCs w:val="18"/>
              </w:rPr>
              <w:t xml:space="preserve">63.7 </w:t>
            </w:r>
          </w:p>
        </w:tc>
        <w:tc>
          <w:tcPr>
            <w:tcW w:w="881" w:type="dxa"/>
            <w:vAlign w:val="center"/>
          </w:tcPr>
          <w:p w14:paraId="0DF53E40">
            <w:pPr>
              <w:widowControl/>
              <w:adjustRightInd/>
              <w:snapToGrid/>
              <w:spacing w:line="240" w:lineRule="auto"/>
              <w:jc w:val="center"/>
              <w:rPr>
                <w:kern w:val="0"/>
                <w:sz w:val="18"/>
                <w:szCs w:val="18"/>
              </w:rPr>
            </w:pPr>
            <w:r>
              <w:rPr>
                <w:rFonts w:hint="eastAsia"/>
                <w:color w:val="000000"/>
                <w:sz w:val="18"/>
                <w:szCs w:val="18"/>
              </w:rPr>
              <w:t xml:space="preserve">11.7 </w:t>
            </w:r>
          </w:p>
        </w:tc>
        <w:tc>
          <w:tcPr>
            <w:tcW w:w="880" w:type="dxa"/>
            <w:vAlign w:val="center"/>
          </w:tcPr>
          <w:p w14:paraId="19447FEF">
            <w:pPr>
              <w:widowControl/>
              <w:adjustRightInd/>
              <w:snapToGrid/>
              <w:spacing w:line="240" w:lineRule="auto"/>
              <w:jc w:val="center"/>
              <w:rPr>
                <w:kern w:val="0"/>
                <w:sz w:val="18"/>
                <w:szCs w:val="18"/>
              </w:rPr>
            </w:pPr>
            <w:r>
              <w:rPr>
                <w:rFonts w:hint="eastAsia"/>
                <w:color w:val="000000"/>
                <w:sz w:val="18"/>
                <w:szCs w:val="18"/>
              </w:rPr>
              <w:t xml:space="preserve">3.7 </w:t>
            </w:r>
          </w:p>
        </w:tc>
        <w:tc>
          <w:tcPr>
            <w:tcW w:w="880" w:type="dxa"/>
            <w:noWrap/>
            <w:vAlign w:val="center"/>
          </w:tcPr>
          <w:p w14:paraId="3A748162">
            <w:pPr>
              <w:widowControl/>
              <w:adjustRightInd/>
              <w:snapToGrid/>
              <w:spacing w:line="240" w:lineRule="auto"/>
              <w:jc w:val="center"/>
              <w:rPr>
                <w:kern w:val="0"/>
                <w:sz w:val="18"/>
                <w:szCs w:val="18"/>
              </w:rPr>
            </w:pPr>
            <w:r>
              <w:rPr>
                <w:kern w:val="0"/>
                <w:sz w:val="18"/>
                <w:szCs w:val="18"/>
              </w:rPr>
              <w:t>64.2</w:t>
            </w:r>
          </w:p>
        </w:tc>
        <w:tc>
          <w:tcPr>
            <w:tcW w:w="881" w:type="dxa"/>
            <w:noWrap/>
            <w:vAlign w:val="center"/>
          </w:tcPr>
          <w:p w14:paraId="22944D31">
            <w:pPr>
              <w:widowControl/>
              <w:adjustRightInd/>
              <w:snapToGrid/>
              <w:spacing w:line="240" w:lineRule="auto"/>
              <w:jc w:val="center"/>
              <w:rPr>
                <w:kern w:val="0"/>
                <w:sz w:val="18"/>
                <w:szCs w:val="18"/>
              </w:rPr>
            </w:pPr>
            <w:r>
              <w:rPr>
                <w:color w:val="000000"/>
                <w:sz w:val="18"/>
                <w:szCs w:val="18"/>
              </w:rPr>
              <w:t xml:space="preserve">64.5 </w:t>
            </w:r>
          </w:p>
        </w:tc>
        <w:tc>
          <w:tcPr>
            <w:tcW w:w="880" w:type="dxa"/>
            <w:noWrap/>
            <w:vAlign w:val="center"/>
          </w:tcPr>
          <w:p w14:paraId="2E621A4F">
            <w:pPr>
              <w:widowControl/>
              <w:adjustRightInd/>
              <w:snapToGrid/>
              <w:spacing w:line="240" w:lineRule="auto"/>
              <w:jc w:val="center"/>
              <w:rPr>
                <w:kern w:val="0"/>
                <w:sz w:val="18"/>
                <w:szCs w:val="18"/>
              </w:rPr>
            </w:pPr>
            <w:r>
              <w:rPr>
                <w:color w:val="000000"/>
                <w:sz w:val="18"/>
                <w:szCs w:val="18"/>
              </w:rPr>
              <w:t xml:space="preserve">12.5 </w:t>
            </w:r>
          </w:p>
        </w:tc>
        <w:tc>
          <w:tcPr>
            <w:tcW w:w="880" w:type="dxa"/>
            <w:noWrap/>
            <w:vAlign w:val="center"/>
          </w:tcPr>
          <w:p w14:paraId="04980372">
            <w:pPr>
              <w:widowControl/>
              <w:adjustRightInd/>
              <w:snapToGrid/>
              <w:spacing w:line="240" w:lineRule="auto"/>
              <w:jc w:val="center"/>
              <w:rPr>
                <w:kern w:val="0"/>
                <w:sz w:val="18"/>
                <w:szCs w:val="18"/>
              </w:rPr>
            </w:pPr>
            <w:r>
              <w:rPr>
                <w:color w:val="000000"/>
                <w:sz w:val="18"/>
                <w:szCs w:val="18"/>
              </w:rPr>
              <w:t xml:space="preserve">4.5 </w:t>
            </w:r>
          </w:p>
        </w:tc>
        <w:tc>
          <w:tcPr>
            <w:tcW w:w="881" w:type="dxa"/>
            <w:noWrap/>
            <w:vAlign w:val="center"/>
          </w:tcPr>
          <w:p w14:paraId="56C8EF79">
            <w:pPr>
              <w:widowControl/>
              <w:adjustRightInd/>
              <w:snapToGrid/>
              <w:spacing w:line="240" w:lineRule="auto"/>
              <w:jc w:val="center"/>
              <w:rPr>
                <w:kern w:val="0"/>
                <w:sz w:val="18"/>
                <w:szCs w:val="18"/>
              </w:rPr>
            </w:pPr>
            <w:r>
              <w:rPr>
                <w:rFonts w:hint="eastAsia"/>
                <w:color w:val="000000"/>
                <w:sz w:val="18"/>
                <w:szCs w:val="18"/>
              </w:rPr>
              <w:t>65.2</w:t>
            </w:r>
          </w:p>
        </w:tc>
        <w:tc>
          <w:tcPr>
            <w:tcW w:w="880" w:type="dxa"/>
            <w:noWrap/>
            <w:vAlign w:val="center"/>
          </w:tcPr>
          <w:p w14:paraId="7597E499">
            <w:pPr>
              <w:widowControl/>
              <w:adjustRightInd/>
              <w:snapToGrid/>
              <w:spacing w:line="240" w:lineRule="auto"/>
              <w:jc w:val="center"/>
              <w:rPr>
                <w:kern w:val="0"/>
                <w:sz w:val="18"/>
                <w:szCs w:val="18"/>
              </w:rPr>
            </w:pPr>
            <w:r>
              <w:rPr>
                <w:color w:val="000000"/>
                <w:sz w:val="18"/>
                <w:szCs w:val="18"/>
              </w:rPr>
              <w:t xml:space="preserve">65.4 </w:t>
            </w:r>
          </w:p>
        </w:tc>
        <w:tc>
          <w:tcPr>
            <w:tcW w:w="880" w:type="dxa"/>
            <w:noWrap/>
            <w:vAlign w:val="center"/>
          </w:tcPr>
          <w:p w14:paraId="5F29B425">
            <w:pPr>
              <w:widowControl/>
              <w:adjustRightInd/>
              <w:snapToGrid/>
              <w:spacing w:line="240" w:lineRule="auto"/>
              <w:jc w:val="center"/>
              <w:rPr>
                <w:kern w:val="0"/>
                <w:sz w:val="18"/>
                <w:szCs w:val="18"/>
              </w:rPr>
            </w:pPr>
            <w:r>
              <w:rPr>
                <w:color w:val="000000"/>
                <w:sz w:val="18"/>
                <w:szCs w:val="18"/>
              </w:rPr>
              <w:t xml:space="preserve">13.4 </w:t>
            </w:r>
          </w:p>
        </w:tc>
        <w:tc>
          <w:tcPr>
            <w:tcW w:w="881" w:type="dxa"/>
            <w:noWrap/>
            <w:vAlign w:val="center"/>
          </w:tcPr>
          <w:p w14:paraId="5DF0E54D">
            <w:pPr>
              <w:widowControl/>
              <w:adjustRightInd/>
              <w:snapToGrid/>
              <w:spacing w:line="240" w:lineRule="auto"/>
              <w:jc w:val="center"/>
              <w:rPr>
                <w:kern w:val="0"/>
                <w:sz w:val="18"/>
                <w:szCs w:val="18"/>
              </w:rPr>
            </w:pPr>
            <w:r>
              <w:rPr>
                <w:color w:val="000000"/>
                <w:sz w:val="18"/>
                <w:szCs w:val="18"/>
              </w:rPr>
              <w:t xml:space="preserve">5.4 </w:t>
            </w:r>
          </w:p>
        </w:tc>
      </w:tr>
      <w:tr w14:paraId="2ECB6D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C137184">
            <w:pPr>
              <w:widowControl/>
              <w:adjustRightInd/>
              <w:snapToGrid/>
              <w:spacing w:line="240" w:lineRule="auto"/>
              <w:jc w:val="center"/>
              <w:rPr>
                <w:kern w:val="0"/>
                <w:sz w:val="18"/>
                <w:szCs w:val="18"/>
              </w:rPr>
            </w:pPr>
            <w:r>
              <w:rPr>
                <w:sz w:val="18"/>
                <w:szCs w:val="18"/>
              </w:rPr>
              <w:t>38</w:t>
            </w:r>
          </w:p>
        </w:tc>
        <w:tc>
          <w:tcPr>
            <w:tcW w:w="673" w:type="dxa"/>
            <w:vMerge w:val="continue"/>
            <w:vAlign w:val="center"/>
          </w:tcPr>
          <w:p w14:paraId="60F695EA">
            <w:pPr>
              <w:widowControl/>
              <w:adjustRightInd/>
              <w:snapToGrid/>
              <w:spacing w:line="240" w:lineRule="auto"/>
              <w:jc w:val="left"/>
              <w:rPr>
                <w:kern w:val="0"/>
                <w:sz w:val="18"/>
                <w:szCs w:val="18"/>
              </w:rPr>
            </w:pPr>
          </w:p>
        </w:tc>
        <w:tc>
          <w:tcPr>
            <w:tcW w:w="595" w:type="dxa"/>
            <w:vMerge w:val="continue"/>
            <w:vAlign w:val="center"/>
          </w:tcPr>
          <w:p w14:paraId="6EE21E5A">
            <w:pPr>
              <w:widowControl/>
              <w:adjustRightInd/>
              <w:snapToGrid/>
              <w:spacing w:line="240" w:lineRule="auto"/>
              <w:jc w:val="left"/>
              <w:rPr>
                <w:kern w:val="0"/>
                <w:sz w:val="18"/>
                <w:szCs w:val="18"/>
              </w:rPr>
            </w:pPr>
          </w:p>
        </w:tc>
        <w:tc>
          <w:tcPr>
            <w:tcW w:w="567" w:type="dxa"/>
            <w:vMerge w:val="continue"/>
            <w:vAlign w:val="center"/>
          </w:tcPr>
          <w:p w14:paraId="73B3558F">
            <w:pPr>
              <w:widowControl/>
              <w:adjustRightInd/>
              <w:snapToGrid/>
              <w:spacing w:line="240" w:lineRule="auto"/>
              <w:jc w:val="left"/>
              <w:rPr>
                <w:kern w:val="0"/>
                <w:sz w:val="18"/>
                <w:szCs w:val="18"/>
              </w:rPr>
            </w:pPr>
          </w:p>
        </w:tc>
        <w:tc>
          <w:tcPr>
            <w:tcW w:w="426" w:type="dxa"/>
            <w:noWrap/>
            <w:vAlign w:val="center"/>
          </w:tcPr>
          <w:p w14:paraId="41E63A52">
            <w:pPr>
              <w:widowControl/>
              <w:adjustRightInd/>
              <w:snapToGrid/>
              <w:spacing w:line="240" w:lineRule="auto"/>
              <w:jc w:val="center"/>
              <w:rPr>
                <w:kern w:val="0"/>
                <w:sz w:val="18"/>
                <w:szCs w:val="18"/>
              </w:rPr>
            </w:pPr>
            <w:r>
              <w:rPr>
                <w:sz w:val="18"/>
                <w:szCs w:val="18"/>
              </w:rPr>
              <w:t>夜间</w:t>
            </w:r>
          </w:p>
        </w:tc>
        <w:tc>
          <w:tcPr>
            <w:tcW w:w="708" w:type="dxa"/>
            <w:noWrap/>
            <w:vAlign w:val="center"/>
          </w:tcPr>
          <w:p w14:paraId="385840DE">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2CBD5FC3">
            <w:pPr>
              <w:widowControl/>
              <w:adjustRightInd/>
              <w:snapToGrid/>
              <w:spacing w:line="240" w:lineRule="auto"/>
              <w:jc w:val="center"/>
              <w:rPr>
                <w:kern w:val="0"/>
                <w:sz w:val="18"/>
                <w:szCs w:val="18"/>
              </w:rPr>
            </w:pPr>
          </w:p>
        </w:tc>
        <w:tc>
          <w:tcPr>
            <w:tcW w:w="709" w:type="dxa"/>
            <w:vMerge w:val="continue"/>
            <w:noWrap/>
            <w:vAlign w:val="center"/>
          </w:tcPr>
          <w:p w14:paraId="780F90E1">
            <w:pPr>
              <w:widowControl/>
              <w:adjustRightInd/>
              <w:snapToGrid/>
              <w:spacing w:line="240" w:lineRule="auto"/>
              <w:jc w:val="center"/>
              <w:rPr>
                <w:kern w:val="0"/>
                <w:sz w:val="18"/>
                <w:szCs w:val="18"/>
              </w:rPr>
            </w:pPr>
          </w:p>
        </w:tc>
        <w:tc>
          <w:tcPr>
            <w:tcW w:w="880" w:type="dxa"/>
            <w:vAlign w:val="center"/>
          </w:tcPr>
          <w:p w14:paraId="78686A0C">
            <w:pPr>
              <w:widowControl/>
              <w:adjustRightInd/>
              <w:snapToGrid/>
              <w:spacing w:line="240" w:lineRule="auto"/>
              <w:jc w:val="center"/>
              <w:rPr>
                <w:kern w:val="0"/>
                <w:sz w:val="18"/>
                <w:szCs w:val="18"/>
              </w:rPr>
            </w:pPr>
            <w:r>
              <w:rPr>
                <w:rFonts w:hint="eastAsia"/>
                <w:color w:val="000000"/>
                <w:sz w:val="18"/>
                <w:szCs w:val="18"/>
              </w:rPr>
              <w:t>50</w:t>
            </w:r>
          </w:p>
        </w:tc>
        <w:tc>
          <w:tcPr>
            <w:tcW w:w="880" w:type="dxa"/>
            <w:vAlign w:val="center"/>
          </w:tcPr>
          <w:p w14:paraId="7483D6B8">
            <w:pPr>
              <w:widowControl/>
              <w:adjustRightInd/>
              <w:snapToGrid/>
              <w:spacing w:line="240" w:lineRule="auto"/>
              <w:jc w:val="center"/>
              <w:rPr>
                <w:kern w:val="0"/>
                <w:sz w:val="18"/>
                <w:szCs w:val="18"/>
              </w:rPr>
            </w:pPr>
            <w:r>
              <w:rPr>
                <w:color w:val="000000"/>
                <w:sz w:val="18"/>
                <w:szCs w:val="18"/>
              </w:rPr>
              <w:t xml:space="preserve">50.8 </w:t>
            </w:r>
          </w:p>
        </w:tc>
        <w:tc>
          <w:tcPr>
            <w:tcW w:w="881" w:type="dxa"/>
            <w:vAlign w:val="center"/>
          </w:tcPr>
          <w:p w14:paraId="0B2637FE">
            <w:pPr>
              <w:widowControl/>
              <w:adjustRightInd/>
              <w:snapToGrid/>
              <w:spacing w:line="240" w:lineRule="auto"/>
              <w:jc w:val="center"/>
              <w:rPr>
                <w:kern w:val="0"/>
                <w:sz w:val="18"/>
                <w:szCs w:val="18"/>
              </w:rPr>
            </w:pPr>
            <w:r>
              <w:rPr>
                <w:rFonts w:hint="eastAsia"/>
                <w:color w:val="000000"/>
                <w:sz w:val="18"/>
                <w:szCs w:val="18"/>
              </w:rPr>
              <w:t xml:space="preserve">7.8 </w:t>
            </w:r>
          </w:p>
        </w:tc>
        <w:tc>
          <w:tcPr>
            <w:tcW w:w="880" w:type="dxa"/>
            <w:vAlign w:val="center"/>
          </w:tcPr>
          <w:p w14:paraId="5A2597C5">
            <w:pPr>
              <w:widowControl/>
              <w:adjustRightInd/>
              <w:snapToGrid/>
              <w:spacing w:line="240" w:lineRule="auto"/>
              <w:jc w:val="center"/>
              <w:rPr>
                <w:kern w:val="0"/>
                <w:sz w:val="18"/>
                <w:szCs w:val="18"/>
              </w:rPr>
            </w:pPr>
            <w:r>
              <w:rPr>
                <w:rFonts w:hint="eastAsia"/>
                <w:color w:val="000000"/>
                <w:sz w:val="18"/>
                <w:szCs w:val="18"/>
              </w:rPr>
              <w:t xml:space="preserve">0.8 </w:t>
            </w:r>
          </w:p>
        </w:tc>
        <w:tc>
          <w:tcPr>
            <w:tcW w:w="880" w:type="dxa"/>
            <w:noWrap/>
            <w:vAlign w:val="center"/>
          </w:tcPr>
          <w:p w14:paraId="4D01357C">
            <w:pPr>
              <w:widowControl/>
              <w:adjustRightInd/>
              <w:snapToGrid/>
              <w:spacing w:line="240" w:lineRule="auto"/>
              <w:jc w:val="center"/>
              <w:rPr>
                <w:kern w:val="0"/>
                <w:sz w:val="18"/>
                <w:szCs w:val="18"/>
              </w:rPr>
            </w:pPr>
            <w:r>
              <w:rPr>
                <w:kern w:val="0"/>
                <w:sz w:val="18"/>
                <w:szCs w:val="18"/>
              </w:rPr>
              <w:t>50.9</w:t>
            </w:r>
          </w:p>
        </w:tc>
        <w:tc>
          <w:tcPr>
            <w:tcW w:w="881" w:type="dxa"/>
            <w:noWrap/>
            <w:vAlign w:val="center"/>
          </w:tcPr>
          <w:p w14:paraId="426DAB17">
            <w:pPr>
              <w:widowControl/>
              <w:adjustRightInd/>
              <w:snapToGrid/>
              <w:spacing w:line="240" w:lineRule="auto"/>
              <w:jc w:val="center"/>
              <w:rPr>
                <w:kern w:val="0"/>
                <w:sz w:val="18"/>
                <w:szCs w:val="18"/>
              </w:rPr>
            </w:pPr>
            <w:r>
              <w:rPr>
                <w:color w:val="000000"/>
                <w:sz w:val="18"/>
                <w:szCs w:val="18"/>
              </w:rPr>
              <w:t xml:space="preserve">51.6 </w:t>
            </w:r>
          </w:p>
        </w:tc>
        <w:tc>
          <w:tcPr>
            <w:tcW w:w="880" w:type="dxa"/>
            <w:noWrap/>
            <w:vAlign w:val="center"/>
          </w:tcPr>
          <w:p w14:paraId="0449716B">
            <w:pPr>
              <w:widowControl/>
              <w:adjustRightInd/>
              <w:snapToGrid/>
              <w:spacing w:line="240" w:lineRule="auto"/>
              <w:jc w:val="center"/>
              <w:rPr>
                <w:kern w:val="0"/>
                <w:sz w:val="18"/>
                <w:szCs w:val="18"/>
              </w:rPr>
            </w:pPr>
            <w:r>
              <w:rPr>
                <w:color w:val="000000"/>
                <w:sz w:val="18"/>
                <w:szCs w:val="18"/>
              </w:rPr>
              <w:t xml:space="preserve">8.6 </w:t>
            </w:r>
          </w:p>
        </w:tc>
        <w:tc>
          <w:tcPr>
            <w:tcW w:w="880" w:type="dxa"/>
            <w:noWrap/>
            <w:vAlign w:val="center"/>
          </w:tcPr>
          <w:p w14:paraId="1090C41B">
            <w:pPr>
              <w:widowControl/>
              <w:adjustRightInd/>
              <w:snapToGrid/>
              <w:spacing w:line="240" w:lineRule="auto"/>
              <w:jc w:val="center"/>
              <w:rPr>
                <w:kern w:val="0"/>
                <w:sz w:val="18"/>
                <w:szCs w:val="18"/>
              </w:rPr>
            </w:pPr>
            <w:r>
              <w:rPr>
                <w:color w:val="000000"/>
                <w:sz w:val="18"/>
                <w:szCs w:val="18"/>
              </w:rPr>
              <w:t xml:space="preserve">1.6 </w:t>
            </w:r>
          </w:p>
        </w:tc>
        <w:tc>
          <w:tcPr>
            <w:tcW w:w="881" w:type="dxa"/>
            <w:noWrap/>
            <w:vAlign w:val="center"/>
          </w:tcPr>
          <w:p w14:paraId="1CBFF60F">
            <w:pPr>
              <w:widowControl/>
              <w:adjustRightInd/>
              <w:snapToGrid/>
              <w:spacing w:line="240" w:lineRule="auto"/>
              <w:jc w:val="center"/>
              <w:rPr>
                <w:kern w:val="0"/>
                <w:sz w:val="18"/>
                <w:szCs w:val="18"/>
              </w:rPr>
            </w:pPr>
            <w:r>
              <w:rPr>
                <w:rFonts w:hint="eastAsia"/>
                <w:color w:val="000000"/>
                <w:sz w:val="18"/>
                <w:szCs w:val="18"/>
              </w:rPr>
              <w:t>51.8</w:t>
            </w:r>
          </w:p>
        </w:tc>
        <w:tc>
          <w:tcPr>
            <w:tcW w:w="880" w:type="dxa"/>
            <w:noWrap/>
            <w:vAlign w:val="center"/>
          </w:tcPr>
          <w:p w14:paraId="0B4F6469">
            <w:pPr>
              <w:widowControl/>
              <w:adjustRightInd/>
              <w:snapToGrid/>
              <w:spacing w:line="240" w:lineRule="auto"/>
              <w:jc w:val="center"/>
              <w:rPr>
                <w:kern w:val="0"/>
                <w:sz w:val="18"/>
                <w:szCs w:val="18"/>
              </w:rPr>
            </w:pPr>
            <w:r>
              <w:rPr>
                <w:color w:val="000000"/>
                <w:sz w:val="18"/>
                <w:szCs w:val="18"/>
              </w:rPr>
              <w:t xml:space="preserve">52.3 </w:t>
            </w:r>
          </w:p>
        </w:tc>
        <w:tc>
          <w:tcPr>
            <w:tcW w:w="880" w:type="dxa"/>
            <w:noWrap/>
            <w:vAlign w:val="center"/>
          </w:tcPr>
          <w:p w14:paraId="7FCBC424">
            <w:pPr>
              <w:widowControl/>
              <w:adjustRightInd/>
              <w:snapToGrid/>
              <w:spacing w:line="240" w:lineRule="auto"/>
              <w:jc w:val="center"/>
              <w:rPr>
                <w:kern w:val="0"/>
                <w:sz w:val="18"/>
                <w:szCs w:val="18"/>
              </w:rPr>
            </w:pPr>
            <w:r>
              <w:rPr>
                <w:color w:val="000000"/>
                <w:sz w:val="18"/>
                <w:szCs w:val="18"/>
              </w:rPr>
              <w:t xml:space="preserve">9.3 </w:t>
            </w:r>
          </w:p>
        </w:tc>
        <w:tc>
          <w:tcPr>
            <w:tcW w:w="881" w:type="dxa"/>
            <w:noWrap/>
            <w:vAlign w:val="center"/>
          </w:tcPr>
          <w:p w14:paraId="47309B87">
            <w:pPr>
              <w:widowControl/>
              <w:adjustRightInd/>
              <w:snapToGrid/>
              <w:spacing w:line="240" w:lineRule="auto"/>
              <w:jc w:val="center"/>
              <w:rPr>
                <w:kern w:val="0"/>
                <w:sz w:val="18"/>
                <w:szCs w:val="18"/>
              </w:rPr>
            </w:pPr>
            <w:r>
              <w:rPr>
                <w:color w:val="000000"/>
                <w:sz w:val="18"/>
                <w:szCs w:val="18"/>
              </w:rPr>
              <w:t xml:space="preserve">2.3 </w:t>
            </w:r>
          </w:p>
        </w:tc>
      </w:tr>
      <w:tr w14:paraId="5F2311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D2256FF">
            <w:pPr>
              <w:widowControl/>
              <w:adjustRightInd/>
              <w:snapToGrid/>
              <w:spacing w:line="240" w:lineRule="auto"/>
              <w:jc w:val="center"/>
              <w:rPr>
                <w:kern w:val="0"/>
                <w:sz w:val="18"/>
                <w:szCs w:val="18"/>
              </w:rPr>
            </w:pPr>
            <w:r>
              <w:rPr>
                <w:sz w:val="18"/>
                <w:szCs w:val="18"/>
              </w:rPr>
              <w:t>39</w:t>
            </w:r>
          </w:p>
        </w:tc>
        <w:tc>
          <w:tcPr>
            <w:tcW w:w="673" w:type="dxa"/>
            <w:vMerge w:val="continue"/>
            <w:vAlign w:val="center"/>
          </w:tcPr>
          <w:p w14:paraId="397049FB">
            <w:pPr>
              <w:widowControl/>
              <w:adjustRightInd/>
              <w:snapToGrid/>
              <w:spacing w:line="240" w:lineRule="auto"/>
              <w:jc w:val="left"/>
              <w:rPr>
                <w:kern w:val="0"/>
                <w:sz w:val="18"/>
                <w:szCs w:val="18"/>
              </w:rPr>
            </w:pPr>
          </w:p>
        </w:tc>
        <w:tc>
          <w:tcPr>
            <w:tcW w:w="595" w:type="dxa"/>
            <w:vMerge w:val="restart"/>
            <w:vAlign w:val="center"/>
          </w:tcPr>
          <w:p w14:paraId="23D2F7C1">
            <w:pPr>
              <w:widowControl/>
              <w:adjustRightInd/>
              <w:snapToGrid/>
              <w:spacing w:line="240" w:lineRule="auto"/>
              <w:jc w:val="center"/>
              <w:rPr>
                <w:kern w:val="0"/>
                <w:sz w:val="18"/>
                <w:szCs w:val="18"/>
              </w:rPr>
            </w:pPr>
            <w:r>
              <w:rPr>
                <w:kern w:val="0"/>
                <w:sz w:val="18"/>
                <w:szCs w:val="18"/>
              </w:rPr>
              <w:t>61.2</w:t>
            </w:r>
          </w:p>
        </w:tc>
        <w:tc>
          <w:tcPr>
            <w:tcW w:w="567" w:type="dxa"/>
            <w:vMerge w:val="continue"/>
            <w:vAlign w:val="center"/>
          </w:tcPr>
          <w:p w14:paraId="6F776B38">
            <w:pPr>
              <w:widowControl/>
              <w:adjustRightInd/>
              <w:snapToGrid/>
              <w:spacing w:line="240" w:lineRule="auto"/>
              <w:jc w:val="left"/>
              <w:rPr>
                <w:kern w:val="0"/>
                <w:sz w:val="18"/>
                <w:szCs w:val="18"/>
              </w:rPr>
            </w:pPr>
          </w:p>
        </w:tc>
        <w:tc>
          <w:tcPr>
            <w:tcW w:w="426" w:type="dxa"/>
            <w:noWrap/>
            <w:vAlign w:val="center"/>
          </w:tcPr>
          <w:p w14:paraId="535947D1">
            <w:pPr>
              <w:widowControl/>
              <w:adjustRightInd/>
              <w:snapToGrid/>
              <w:spacing w:line="240" w:lineRule="auto"/>
              <w:jc w:val="center"/>
              <w:rPr>
                <w:kern w:val="0"/>
                <w:sz w:val="18"/>
                <w:szCs w:val="18"/>
              </w:rPr>
            </w:pPr>
            <w:r>
              <w:rPr>
                <w:sz w:val="18"/>
                <w:szCs w:val="18"/>
              </w:rPr>
              <w:t>昼间</w:t>
            </w:r>
          </w:p>
        </w:tc>
        <w:tc>
          <w:tcPr>
            <w:tcW w:w="708" w:type="dxa"/>
            <w:noWrap/>
            <w:vAlign w:val="center"/>
          </w:tcPr>
          <w:p w14:paraId="2324FC29">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5CEA8590">
            <w:pPr>
              <w:widowControl/>
              <w:adjustRightInd/>
              <w:snapToGrid/>
              <w:spacing w:line="240" w:lineRule="auto"/>
              <w:jc w:val="center"/>
              <w:rPr>
                <w:kern w:val="0"/>
                <w:sz w:val="18"/>
                <w:szCs w:val="18"/>
              </w:rPr>
            </w:pPr>
          </w:p>
        </w:tc>
        <w:tc>
          <w:tcPr>
            <w:tcW w:w="709" w:type="dxa"/>
            <w:vMerge w:val="continue"/>
            <w:noWrap/>
            <w:vAlign w:val="center"/>
          </w:tcPr>
          <w:p w14:paraId="2C12C8E5">
            <w:pPr>
              <w:widowControl/>
              <w:adjustRightInd/>
              <w:snapToGrid/>
              <w:spacing w:line="240" w:lineRule="auto"/>
              <w:jc w:val="center"/>
              <w:rPr>
                <w:kern w:val="0"/>
                <w:sz w:val="18"/>
                <w:szCs w:val="18"/>
              </w:rPr>
            </w:pPr>
          </w:p>
        </w:tc>
        <w:tc>
          <w:tcPr>
            <w:tcW w:w="880" w:type="dxa"/>
            <w:vAlign w:val="center"/>
          </w:tcPr>
          <w:p w14:paraId="58583870">
            <w:pPr>
              <w:widowControl/>
              <w:adjustRightInd/>
              <w:snapToGrid/>
              <w:spacing w:line="240" w:lineRule="auto"/>
              <w:jc w:val="center"/>
              <w:rPr>
                <w:kern w:val="0"/>
                <w:sz w:val="18"/>
                <w:szCs w:val="18"/>
              </w:rPr>
            </w:pPr>
            <w:r>
              <w:rPr>
                <w:rFonts w:hint="eastAsia"/>
                <w:color w:val="000000"/>
                <w:sz w:val="18"/>
                <w:szCs w:val="18"/>
              </w:rPr>
              <w:t>62.4</w:t>
            </w:r>
          </w:p>
        </w:tc>
        <w:tc>
          <w:tcPr>
            <w:tcW w:w="880" w:type="dxa"/>
            <w:vAlign w:val="center"/>
          </w:tcPr>
          <w:p w14:paraId="78E58DB1">
            <w:pPr>
              <w:widowControl/>
              <w:adjustRightInd/>
              <w:snapToGrid/>
              <w:spacing w:line="240" w:lineRule="auto"/>
              <w:jc w:val="center"/>
              <w:rPr>
                <w:kern w:val="0"/>
                <w:sz w:val="18"/>
                <w:szCs w:val="18"/>
              </w:rPr>
            </w:pPr>
            <w:r>
              <w:rPr>
                <w:color w:val="000000"/>
                <w:sz w:val="18"/>
                <w:szCs w:val="18"/>
              </w:rPr>
              <w:t xml:space="preserve">62.8 </w:t>
            </w:r>
          </w:p>
        </w:tc>
        <w:tc>
          <w:tcPr>
            <w:tcW w:w="881" w:type="dxa"/>
            <w:vAlign w:val="center"/>
          </w:tcPr>
          <w:p w14:paraId="048D8FEB">
            <w:pPr>
              <w:widowControl/>
              <w:adjustRightInd/>
              <w:snapToGrid/>
              <w:spacing w:line="240" w:lineRule="auto"/>
              <w:jc w:val="center"/>
              <w:rPr>
                <w:kern w:val="0"/>
                <w:sz w:val="18"/>
                <w:szCs w:val="18"/>
              </w:rPr>
            </w:pPr>
            <w:r>
              <w:rPr>
                <w:rFonts w:hint="eastAsia"/>
                <w:color w:val="000000"/>
                <w:sz w:val="18"/>
                <w:szCs w:val="18"/>
              </w:rPr>
              <w:t xml:space="preserve">10.8 </w:t>
            </w:r>
          </w:p>
        </w:tc>
        <w:tc>
          <w:tcPr>
            <w:tcW w:w="880" w:type="dxa"/>
            <w:vAlign w:val="center"/>
          </w:tcPr>
          <w:p w14:paraId="78428F4A">
            <w:pPr>
              <w:widowControl/>
              <w:adjustRightInd/>
              <w:snapToGrid/>
              <w:spacing w:line="240" w:lineRule="auto"/>
              <w:jc w:val="center"/>
              <w:rPr>
                <w:kern w:val="0"/>
                <w:sz w:val="18"/>
                <w:szCs w:val="18"/>
              </w:rPr>
            </w:pPr>
            <w:r>
              <w:rPr>
                <w:rFonts w:hint="eastAsia"/>
                <w:color w:val="000000"/>
                <w:sz w:val="18"/>
                <w:szCs w:val="18"/>
              </w:rPr>
              <w:t xml:space="preserve">2.8 </w:t>
            </w:r>
          </w:p>
        </w:tc>
        <w:tc>
          <w:tcPr>
            <w:tcW w:w="880" w:type="dxa"/>
            <w:noWrap/>
            <w:vAlign w:val="center"/>
          </w:tcPr>
          <w:p w14:paraId="068789F4">
            <w:pPr>
              <w:widowControl/>
              <w:adjustRightInd/>
              <w:snapToGrid/>
              <w:spacing w:line="240" w:lineRule="auto"/>
              <w:jc w:val="center"/>
              <w:rPr>
                <w:kern w:val="0"/>
                <w:sz w:val="18"/>
                <w:szCs w:val="18"/>
              </w:rPr>
            </w:pPr>
            <w:r>
              <w:rPr>
                <w:kern w:val="0"/>
                <w:sz w:val="18"/>
                <w:szCs w:val="18"/>
              </w:rPr>
              <w:t>63.2</w:t>
            </w:r>
          </w:p>
        </w:tc>
        <w:tc>
          <w:tcPr>
            <w:tcW w:w="881" w:type="dxa"/>
            <w:noWrap/>
            <w:vAlign w:val="center"/>
          </w:tcPr>
          <w:p w14:paraId="18C3F723">
            <w:pPr>
              <w:widowControl/>
              <w:adjustRightInd/>
              <w:snapToGrid/>
              <w:spacing w:line="240" w:lineRule="auto"/>
              <w:jc w:val="center"/>
              <w:rPr>
                <w:kern w:val="0"/>
                <w:sz w:val="18"/>
                <w:szCs w:val="18"/>
              </w:rPr>
            </w:pPr>
            <w:r>
              <w:rPr>
                <w:color w:val="000000"/>
                <w:sz w:val="18"/>
                <w:szCs w:val="18"/>
              </w:rPr>
              <w:t xml:space="preserve">63.5 </w:t>
            </w:r>
          </w:p>
        </w:tc>
        <w:tc>
          <w:tcPr>
            <w:tcW w:w="880" w:type="dxa"/>
            <w:noWrap/>
            <w:vAlign w:val="center"/>
          </w:tcPr>
          <w:p w14:paraId="30ECB49C">
            <w:pPr>
              <w:widowControl/>
              <w:adjustRightInd/>
              <w:snapToGrid/>
              <w:spacing w:line="240" w:lineRule="auto"/>
              <w:jc w:val="center"/>
              <w:rPr>
                <w:kern w:val="0"/>
                <w:sz w:val="18"/>
                <w:szCs w:val="18"/>
              </w:rPr>
            </w:pPr>
            <w:r>
              <w:rPr>
                <w:color w:val="000000"/>
                <w:sz w:val="18"/>
                <w:szCs w:val="18"/>
              </w:rPr>
              <w:t xml:space="preserve">11.5 </w:t>
            </w:r>
          </w:p>
        </w:tc>
        <w:tc>
          <w:tcPr>
            <w:tcW w:w="880" w:type="dxa"/>
            <w:noWrap/>
            <w:vAlign w:val="center"/>
          </w:tcPr>
          <w:p w14:paraId="03D995AC">
            <w:pPr>
              <w:widowControl/>
              <w:adjustRightInd/>
              <w:snapToGrid/>
              <w:spacing w:line="240" w:lineRule="auto"/>
              <w:jc w:val="center"/>
              <w:rPr>
                <w:kern w:val="0"/>
                <w:sz w:val="18"/>
                <w:szCs w:val="18"/>
              </w:rPr>
            </w:pPr>
            <w:r>
              <w:rPr>
                <w:color w:val="000000"/>
                <w:sz w:val="18"/>
                <w:szCs w:val="18"/>
              </w:rPr>
              <w:t xml:space="preserve">3.5 </w:t>
            </w:r>
          </w:p>
        </w:tc>
        <w:tc>
          <w:tcPr>
            <w:tcW w:w="881" w:type="dxa"/>
            <w:noWrap/>
            <w:vAlign w:val="center"/>
          </w:tcPr>
          <w:p w14:paraId="4D4FA886">
            <w:pPr>
              <w:widowControl/>
              <w:adjustRightInd/>
              <w:snapToGrid/>
              <w:spacing w:line="240" w:lineRule="auto"/>
              <w:jc w:val="center"/>
              <w:rPr>
                <w:kern w:val="0"/>
                <w:sz w:val="18"/>
                <w:szCs w:val="18"/>
              </w:rPr>
            </w:pPr>
            <w:r>
              <w:rPr>
                <w:rFonts w:hint="eastAsia"/>
                <w:color w:val="000000"/>
                <w:sz w:val="18"/>
                <w:szCs w:val="18"/>
              </w:rPr>
              <w:t>64.2</w:t>
            </w:r>
          </w:p>
        </w:tc>
        <w:tc>
          <w:tcPr>
            <w:tcW w:w="880" w:type="dxa"/>
            <w:noWrap/>
            <w:vAlign w:val="center"/>
          </w:tcPr>
          <w:p w14:paraId="0400E9A3">
            <w:pPr>
              <w:widowControl/>
              <w:adjustRightInd/>
              <w:snapToGrid/>
              <w:spacing w:line="240" w:lineRule="auto"/>
              <w:jc w:val="center"/>
              <w:rPr>
                <w:kern w:val="0"/>
                <w:sz w:val="18"/>
                <w:szCs w:val="18"/>
              </w:rPr>
            </w:pPr>
            <w:r>
              <w:rPr>
                <w:color w:val="000000"/>
                <w:sz w:val="18"/>
                <w:szCs w:val="18"/>
              </w:rPr>
              <w:t xml:space="preserve">64.5 </w:t>
            </w:r>
          </w:p>
        </w:tc>
        <w:tc>
          <w:tcPr>
            <w:tcW w:w="880" w:type="dxa"/>
            <w:noWrap/>
            <w:vAlign w:val="center"/>
          </w:tcPr>
          <w:p w14:paraId="320FB43C">
            <w:pPr>
              <w:widowControl/>
              <w:adjustRightInd/>
              <w:snapToGrid/>
              <w:spacing w:line="240" w:lineRule="auto"/>
              <w:jc w:val="center"/>
              <w:rPr>
                <w:kern w:val="0"/>
                <w:sz w:val="18"/>
                <w:szCs w:val="18"/>
              </w:rPr>
            </w:pPr>
            <w:r>
              <w:rPr>
                <w:color w:val="000000"/>
                <w:sz w:val="18"/>
                <w:szCs w:val="18"/>
              </w:rPr>
              <w:t xml:space="preserve">12.5 </w:t>
            </w:r>
          </w:p>
        </w:tc>
        <w:tc>
          <w:tcPr>
            <w:tcW w:w="881" w:type="dxa"/>
            <w:noWrap/>
            <w:vAlign w:val="center"/>
          </w:tcPr>
          <w:p w14:paraId="1F82271C">
            <w:pPr>
              <w:widowControl/>
              <w:adjustRightInd/>
              <w:snapToGrid/>
              <w:spacing w:line="240" w:lineRule="auto"/>
              <w:jc w:val="center"/>
              <w:rPr>
                <w:kern w:val="0"/>
                <w:sz w:val="18"/>
                <w:szCs w:val="18"/>
              </w:rPr>
            </w:pPr>
            <w:r>
              <w:rPr>
                <w:color w:val="000000"/>
                <w:sz w:val="18"/>
                <w:szCs w:val="18"/>
              </w:rPr>
              <w:t xml:space="preserve">4.5 </w:t>
            </w:r>
          </w:p>
        </w:tc>
      </w:tr>
      <w:tr w14:paraId="22DDFA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F5C60D0">
            <w:pPr>
              <w:widowControl/>
              <w:adjustRightInd/>
              <w:snapToGrid/>
              <w:spacing w:line="240" w:lineRule="auto"/>
              <w:jc w:val="center"/>
              <w:rPr>
                <w:kern w:val="0"/>
                <w:sz w:val="18"/>
                <w:szCs w:val="18"/>
              </w:rPr>
            </w:pPr>
            <w:r>
              <w:rPr>
                <w:sz w:val="18"/>
                <w:szCs w:val="18"/>
              </w:rPr>
              <w:t>40</w:t>
            </w:r>
          </w:p>
        </w:tc>
        <w:tc>
          <w:tcPr>
            <w:tcW w:w="673" w:type="dxa"/>
            <w:vMerge w:val="continue"/>
            <w:vAlign w:val="center"/>
          </w:tcPr>
          <w:p w14:paraId="75FAE639">
            <w:pPr>
              <w:widowControl/>
              <w:adjustRightInd/>
              <w:snapToGrid/>
              <w:spacing w:line="240" w:lineRule="auto"/>
              <w:jc w:val="left"/>
              <w:rPr>
                <w:kern w:val="0"/>
                <w:sz w:val="18"/>
                <w:szCs w:val="18"/>
              </w:rPr>
            </w:pPr>
          </w:p>
        </w:tc>
        <w:tc>
          <w:tcPr>
            <w:tcW w:w="595" w:type="dxa"/>
            <w:vMerge w:val="continue"/>
            <w:vAlign w:val="center"/>
          </w:tcPr>
          <w:p w14:paraId="355F10AB">
            <w:pPr>
              <w:widowControl/>
              <w:adjustRightInd/>
              <w:snapToGrid/>
              <w:spacing w:line="240" w:lineRule="auto"/>
              <w:jc w:val="left"/>
              <w:rPr>
                <w:kern w:val="0"/>
                <w:sz w:val="18"/>
                <w:szCs w:val="18"/>
              </w:rPr>
            </w:pPr>
          </w:p>
        </w:tc>
        <w:tc>
          <w:tcPr>
            <w:tcW w:w="567" w:type="dxa"/>
            <w:vMerge w:val="continue"/>
            <w:vAlign w:val="center"/>
          </w:tcPr>
          <w:p w14:paraId="1B0F429F">
            <w:pPr>
              <w:widowControl/>
              <w:adjustRightInd/>
              <w:snapToGrid/>
              <w:spacing w:line="240" w:lineRule="auto"/>
              <w:jc w:val="left"/>
              <w:rPr>
                <w:kern w:val="0"/>
                <w:sz w:val="18"/>
                <w:szCs w:val="18"/>
              </w:rPr>
            </w:pPr>
          </w:p>
        </w:tc>
        <w:tc>
          <w:tcPr>
            <w:tcW w:w="426" w:type="dxa"/>
            <w:noWrap/>
            <w:vAlign w:val="center"/>
          </w:tcPr>
          <w:p w14:paraId="337B80B7">
            <w:pPr>
              <w:widowControl/>
              <w:adjustRightInd/>
              <w:snapToGrid/>
              <w:spacing w:line="240" w:lineRule="auto"/>
              <w:jc w:val="center"/>
              <w:rPr>
                <w:kern w:val="0"/>
                <w:sz w:val="18"/>
                <w:szCs w:val="18"/>
              </w:rPr>
            </w:pPr>
            <w:r>
              <w:rPr>
                <w:sz w:val="18"/>
                <w:szCs w:val="18"/>
              </w:rPr>
              <w:t>夜间</w:t>
            </w:r>
          </w:p>
        </w:tc>
        <w:tc>
          <w:tcPr>
            <w:tcW w:w="708" w:type="dxa"/>
            <w:noWrap/>
            <w:vAlign w:val="center"/>
          </w:tcPr>
          <w:p w14:paraId="2405B3BD">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09CD298A">
            <w:pPr>
              <w:widowControl/>
              <w:adjustRightInd/>
              <w:snapToGrid/>
              <w:spacing w:line="240" w:lineRule="auto"/>
              <w:jc w:val="center"/>
              <w:rPr>
                <w:kern w:val="0"/>
                <w:sz w:val="18"/>
                <w:szCs w:val="18"/>
              </w:rPr>
            </w:pPr>
          </w:p>
        </w:tc>
        <w:tc>
          <w:tcPr>
            <w:tcW w:w="709" w:type="dxa"/>
            <w:vMerge w:val="continue"/>
            <w:noWrap/>
            <w:vAlign w:val="center"/>
          </w:tcPr>
          <w:p w14:paraId="1EBF3860">
            <w:pPr>
              <w:widowControl/>
              <w:adjustRightInd/>
              <w:snapToGrid/>
              <w:spacing w:line="240" w:lineRule="auto"/>
              <w:jc w:val="center"/>
              <w:rPr>
                <w:kern w:val="0"/>
                <w:sz w:val="18"/>
                <w:szCs w:val="18"/>
              </w:rPr>
            </w:pPr>
          </w:p>
        </w:tc>
        <w:tc>
          <w:tcPr>
            <w:tcW w:w="880" w:type="dxa"/>
            <w:vAlign w:val="center"/>
          </w:tcPr>
          <w:p w14:paraId="227B73FC">
            <w:pPr>
              <w:widowControl/>
              <w:adjustRightInd/>
              <w:snapToGrid/>
              <w:spacing w:line="240" w:lineRule="auto"/>
              <w:jc w:val="center"/>
              <w:rPr>
                <w:kern w:val="0"/>
                <w:sz w:val="18"/>
                <w:szCs w:val="18"/>
              </w:rPr>
            </w:pPr>
            <w:r>
              <w:rPr>
                <w:rFonts w:hint="eastAsia"/>
                <w:color w:val="000000"/>
                <w:sz w:val="18"/>
                <w:szCs w:val="18"/>
              </w:rPr>
              <w:t>48.5</w:t>
            </w:r>
          </w:p>
        </w:tc>
        <w:tc>
          <w:tcPr>
            <w:tcW w:w="880" w:type="dxa"/>
            <w:vAlign w:val="center"/>
          </w:tcPr>
          <w:p w14:paraId="6AC96235">
            <w:pPr>
              <w:widowControl/>
              <w:adjustRightInd/>
              <w:snapToGrid/>
              <w:spacing w:line="240" w:lineRule="auto"/>
              <w:jc w:val="center"/>
              <w:rPr>
                <w:kern w:val="0"/>
                <w:sz w:val="18"/>
                <w:szCs w:val="18"/>
              </w:rPr>
            </w:pPr>
            <w:r>
              <w:rPr>
                <w:color w:val="000000"/>
                <w:sz w:val="18"/>
                <w:szCs w:val="18"/>
              </w:rPr>
              <w:t xml:space="preserve">49.6 </w:t>
            </w:r>
          </w:p>
        </w:tc>
        <w:tc>
          <w:tcPr>
            <w:tcW w:w="881" w:type="dxa"/>
            <w:vAlign w:val="center"/>
          </w:tcPr>
          <w:p w14:paraId="610C285A">
            <w:pPr>
              <w:widowControl/>
              <w:adjustRightInd/>
              <w:snapToGrid/>
              <w:spacing w:line="240" w:lineRule="auto"/>
              <w:jc w:val="center"/>
              <w:rPr>
                <w:kern w:val="0"/>
                <w:sz w:val="18"/>
                <w:szCs w:val="18"/>
              </w:rPr>
            </w:pPr>
            <w:r>
              <w:rPr>
                <w:rFonts w:hint="eastAsia"/>
                <w:color w:val="000000"/>
                <w:sz w:val="18"/>
                <w:szCs w:val="18"/>
              </w:rPr>
              <w:t xml:space="preserve">6.6 </w:t>
            </w:r>
          </w:p>
        </w:tc>
        <w:tc>
          <w:tcPr>
            <w:tcW w:w="880" w:type="dxa"/>
            <w:vAlign w:val="center"/>
          </w:tcPr>
          <w:p w14:paraId="46E1C1CF">
            <w:pPr>
              <w:widowControl/>
              <w:adjustRightInd/>
              <w:snapToGrid/>
              <w:spacing w:line="240" w:lineRule="auto"/>
              <w:jc w:val="center"/>
              <w:rPr>
                <w:kern w:val="0"/>
                <w:sz w:val="18"/>
                <w:szCs w:val="18"/>
              </w:rPr>
            </w:pPr>
            <w:r>
              <w:rPr>
                <w:rFonts w:hint="eastAsia"/>
                <w:color w:val="000000"/>
                <w:sz w:val="18"/>
                <w:szCs w:val="18"/>
              </w:rPr>
              <w:t xml:space="preserve">-0.4 </w:t>
            </w:r>
          </w:p>
        </w:tc>
        <w:tc>
          <w:tcPr>
            <w:tcW w:w="880" w:type="dxa"/>
            <w:noWrap/>
            <w:vAlign w:val="center"/>
          </w:tcPr>
          <w:p w14:paraId="2A6D3B48">
            <w:pPr>
              <w:widowControl/>
              <w:adjustRightInd/>
              <w:snapToGrid/>
              <w:spacing w:line="240" w:lineRule="auto"/>
              <w:jc w:val="center"/>
              <w:rPr>
                <w:kern w:val="0"/>
                <w:sz w:val="18"/>
                <w:szCs w:val="18"/>
              </w:rPr>
            </w:pPr>
            <w:r>
              <w:rPr>
                <w:kern w:val="0"/>
                <w:sz w:val="18"/>
                <w:szCs w:val="18"/>
              </w:rPr>
              <w:t>49.4</w:t>
            </w:r>
          </w:p>
        </w:tc>
        <w:tc>
          <w:tcPr>
            <w:tcW w:w="881" w:type="dxa"/>
            <w:noWrap/>
            <w:vAlign w:val="center"/>
          </w:tcPr>
          <w:p w14:paraId="3B87F001">
            <w:pPr>
              <w:widowControl/>
              <w:adjustRightInd/>
              <w:snapToGrid/>
              <w:spacing w:line="240" w:lineRule="auto"/>
              <w:jc w:val="center"/>
              <w:rPr>
                <w:kern w:val="0"/>
                <w:sz w:val="18"/>
                <w:szCs w:val="18"/>
              </w:rPr>
            </w:pPr>
            <w:r>
              <w:rPr>
                <w:color w:val="000000"/>
                <w:sz w:val="18"/>
                <w:szCs w:val="18"/>
              </w:rPr>
              <w:t xml:space="preserve">50.3 </w:t>
            </w:r>
          </w:p>
        </w:tc>
        <w:tc>
          <w:tcPr>
            <w:tcW w:w="880" w:type="dxa"/>
            <w:noWrap/>
            <w:vAlign w:val="center"/>
          </w:tcPr>
          <w:p w14:paraId="690F2EB4">
            <w:pPr>
              <w:widowControl/>
              <w:adjustRightInd/>
              <w:snapToGrid/>
              <w:spacing w:line="240" w:lineRule="auto"/>
              <w:jc w:val="center"/>
              <w:rPr>
                <w:kern w:val="0"/>
                <w:sz w:val="18"/>
                <w:szCs w:val="18"/>
              </w:rPr>
            </w:pPr>
            <w:r>
              <w:rPr>
                <w:color w:val="000000"/>
                <w:sz w:val="18"/>
                <w:szCs w:val="18"/>
              </w:rPr>
              <w:t xml:space="preserve">7.3 </w:t>
            </w:r>
          </w:p>
        </w:tc>
        <w:tc>
          <w:tcPr>
            <w:tcW w:w="880" w:type="dxa"/>
            <w:noWrap/>
            <w:vAlign w:val="center"/>
          </w:tcPr>
          <w:p w14:paraId="067F8F27">
            <w:pPr>
              <w:widowControl/>
              <w:adjustRightInd/>
              <w:snapToGrid/>
              <w:spacing w:line="240" w:lineRule="auto"/>
              <w:jc w:val="center"/>
              <w:rPr>
                <w:kern w:val="0"/>
                <w:sz w:val="18"/>
                <w:szCs w:val="18"/>
              </w:rPr>
            </w:pPr>
            <w:r>
              <w:rPr>
                <w:color w:val="000000"/>
                <w:sz w:val="18"/>
                <w:szCs w:val="18"/>
              </w:rPr>
              <w:t xml:space="preserve">0.3 </w:t>
            </w:r>
          </w:p>
        </w:tc>
        <w:tc>
          <w:tcPr>
            <w:tcW w:w="881" w:type="dxa"/>
            <w:noWrap/>
            <w:vAlign w:val="center"/>
          </w:tcPr>
          <w:p w14:paraId="66A383E3">
            <w:pPr>
              <w:widowControl/>
              <w:adjustRightInd/>
              <w:snapToGrid/>
              <w:spacing w:line="240" w:lineRule="auto"/>
              <w:jc w:val="center"/>
              <w:rPr>
                <w:kern w:val="0"/>
                <w:sz w:val="18"/>
                <w:szCs w:val="18"/>
              </w:rPr>
            </w:pPr>
            <w:r>
              <w:rPr>
                <w:rFonts w:hint="eastAsia"/>
                <w:color w:val="000000"/>
                <w:sz w:val="18"/>
                <w:szCs w:val="18"/>
              </w:rPr>
              <w:t>50.3</w:t>
            </w:r>
          </w:p>
        </w:tc>
        <w:tc>
          <w:tcPr>
            <w:tcW w:w="880" w:type="dxa"/>
            <w:noWrap/>
            <w:vAlign w:val="center"/>
          </w:tcPr>
          <w:p w14:paraId="2A078890">
            <w:pPr>
              <w:widowControl/>
              <w:adjustRightInd/>
              <w:snapToGrid/>
              <w:spacing w:line="240" w:lineRule="auto"/>
              <w:jc w:val="center"/>
              <w:rPr>
                <w:kern w:val="0"/>
                <w:sz w:val="18"/>
                <w:szCs w:val="18"/>
              </w:rPr>
            </w:pPr>
            <w:r>
              <w:rPr>
                <w:color w:val="000000"/>
                <w:sz w:val="18"/>
                <w:szCs w:val="18"/>
              </w:rPr>
              <w:t xml:space="preserve">51.0 </w:t>
            </w:r>
          </w:p>
        </w:tc>
        <w:tc>
          <w:tcPr>
            <w:tcW w:w="880" w:type="dxa"/>
            <w:noWrap/>
            <w:vAlign w:val="center"/>
          </w:tcPr>
          <w:p w14:paraId="7E0EC1C4">
            <w:pPr>
              <w:widowControl/>
              <w:adjustRightInd/>
              <w:snapToGrid/>
              <w:spacing w:line="240" w:lineRule="auto"/>
              <w:jc w:val="center"/>
              <w:rPr>
                <w:kern w:val="0"/>
                <w:sz w:val="18"/>
                <w:szCs w:val="18"/>
              </w:rPr>
            </w:pPr>
            <w:r>
              <w:rPr>
                <w:color w:val="000000"/>
                <w:sz w:val="18"/>
                <w:szCs w:val="18"/>
              </w:rPr>
              <w:t xml:space="preserve">8.0 </w:t>
            </w:r>
          </w:p>
        </w:tc>
        <w:tc>
          <w:tcPr>
            <w:tcW w:w="881" w:type="dxa"/>
            <w:noWrap/>
            <w:vAlign w:val="center"/>
          </w:tcPr>
          <w:p w14:paraId="172C8B05">
            <w:pPr>
              <w:widowControl/>
              <w:adjustRightInd/>
              <w:snapToGrid/>
              <w:spacing w:line="240" w:lineRule="auto"/>
              <w:jc w:val="center"/>
              <w:rPr>
                <w:kern w:val="0"/>
                <w:sz w:val="18"/>
                <w:szCs w:val="18"/>
              </w:rPr>
            </w:pPr>
            <w:r>
              <w:rPr>
                <w:color w:val="000000"/>
                <w:sz w:val="18"/>
                <w:szCs w:val="18"/>
              </w:rPr>
              <w:t xml:space="preserve">1.0 </w:t>
            </w:r>
          </w:p>
        </w:tc>
      </w:tr>
      <w:tr w14:paraId="0B667F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8DB6AF4">
            <w:pPr>
              <w:widowControl/>
              <w:adjustRightInd/>
              <w:snapToGrid/>
              <w:spacing w:line="240" w:lineRule="auto"/>
              <w:jc w:val="center"/>
              <w:rPr>
                <w:kern w:val="0"/>
                <w:sz w:val="18"/>
                <w:szCs w:val="18"/>
              </w:rPr>
            </w:pPr>
            <w:r>
              <w:rPr>
                <w:sz w:val="18"/>
                <w:szCs w:val="18"/>
              </w:rPr>
              <w:t>41</w:t>
            </w:r>
          </w:p>
        </w:tc>
        <w:tc>
          <w:tcPr>
            <w:tcW w:w="673" w:type="dxa"/>
            <w:vMerge w:val="restart"/>
            <w:vAlign w:val="center"/>
          </w:tcPr>
          <w:p w14:paraId="54A2D4F4">
            <w:pPr>
              <w:jc w:val="center"/>
              <w:rPr>
                <w:sz w:val="18"/>
                <w:szCs w:val="18"/>
              </w:rPr>
            </w:pPr>
            <w:r>
              <w:rPr>
                <w:sz w:val="18"/>
                <w:szCs w:val="18"/>
              </w:rPr>
              <w:t>规划</w:t>
            </w:r>
            <w:r>
              <w:rPr>
                <w:rFonts w:hint="eastAsia"/>
                <w:sz w:val="18"/>
                <w:szCs w:val="18"/>
              </w:rPr>
              <w:t>住宅5</w:t>
            </w:r>
          </w:p>
        </w:tc>
        <w:tc>
          <w:tcPr>
            <w:tcW w:w="595" w:type="dxa"/>
            <w:vMerge w:val="restart"/>
            <w:vAlign w:val="center"/>
          </w:tcPr>
          <w:p w14:paraId="05D064F8">
            <w:pPr>
              <w:widowControl/>
              <w:adjustRightInd/>
              <w:snapToGrid/>
              <w:spacing w:line="240" w:lineRule="auto"/>
              <w:jc w:val="center"/>
              <w:rPr>
                <w:kern w:val="0"/>
                <w:sz w:val="18"/>
                <w:szCs w:val="18"/>
              </w:rPr>
            </w:pPr>
            <w:r>
              <w:rPr>
                <w:kern w:val="0"/>
                <w:sz w:val="18"/>
                <w:szCs w:val="18"/>
              </w:rPr>
              <w:t>1.2</w:t>
            </w:r>
          </w:p>
        </w:tc>
        <w:tc>
          <w:tcPr>
            <w:tcW w:w="567" w:type="dxa"/>
            <w:vMerge w:val="restart"/>
            <w:vAlign w:val="center"/>
          </w:tcPr>
          <w:p w14:paraId="26BE26C8">
            <w:pPr>
              <w:widowControl/>
              <w:adjustRightInd/>
              <w:snapToGrid/>
              <w:spacing w:line="240" w:lineRule="auto"/>
              <w:jc w:val="center"/>
              <w:rPr>
                <w:kern w:val="0"/>
                <w:sz w:val="18"/>
                <w:szCs w:val="18"/>
              </w:rPr>
            </w:pPr>
            <w:r>
              <w:rPr>
                <w:kern w:val="0"/>
                <w:sz w:val="18"/>
                <w:szCs w:val="18"/>
              </w:rPr>
              <w:t>2类</w:t>
            </w:r>
          </w:p>
        </w:tc>
        <w:tc>
          <w:tcPr>
            <w:tcW w:w="426" w:type="dxa"/>
            <w:noWrap/>
            <w:vAlign w:val="center"/>
          </w:tcPr>
          <w:p w14:paraId="67E29255">
            <w:pPr>
              <w:widowControl/>
              <w:adjustRightInd/>
              <w:snapToGrid/>
              <w:spacing w:line="240" w:lineRule="auto"/>
              <w:jc w:val="center"/>
              <w:rPr>
                <w:kern w:val="0"/>
                <w:sz w:val="18"/>
                <w:szCs w:val="18"/>
              </w:rPr>
            </w:pPr>
            <w:r>
              <w:rPr>
                <w:sz w:val="18"/>
                <w:szCs w:val="18"/>
              </w:rPr>
              <w:t>昼间</w:t>
            </w:r>
          </w:p>
        </w:tc>
        <w:tc>
          <w:tcPr>
            <w:tcW w:w="708" w:type="dxa"/>
            <w:noWrap/>
            <w:vAlign w:val="center"/>
          </w:tcPr>
          <w:p w14:paraId="7A14B23F">
            <w:pPr>
              <w:widowControl/>
              <w:adjustRightInd/>
              <w:snapToGrid/>
              <w:spacing w:line="240" w:lineRule="auto"/>
              <w:jc w:val="center"/>
              <w:rPr>
                <w:kern w:val="0"/>
                <w:sz w:val="18"/>
                <w:szCs w:val="18"/>
              </w:rPr>
            </w:pPr>
            <w:r>
              <w:rPr>
                <w:sz w:val="18"/>
                <w:szCs w:val="18"/>
              </w:rPr>
              <w:t>60</w:t>
            </w:r>
          </w:p>
        </w:tc>
        <w:tc>
          <w:tcPr>
            <w:tcW w:w="709" w:type="dxa"/>
            <w:vMerge w:val="restart"/>
            <w:noWrap/>
            <w:vAlign w:val="center"/>
          </w:tcPr>
          <w:p w14:paraId="5E1FFE82">
            <w:pPr>
              <w:widowControl/>
              <w:adjustRightInd/>
              <w:snapToGrid/>
              <w:spacing w:line="240" w:lineRule="auto"/>
              <w:jc w:val="center"/>
              <w:rPr>
                <w:kern w:val="0"/>
                <w:sz w:val="18"/>
                <w:szCs w:val="18"/>
              </w:rPr>
            </w:pPr>
            <w:r>
              <w:rPr>
                <w:rFonts w:hint="eastAsia"/>
                <w:kern w:val="0"/>
                <w:sz w:val="18"/>
                <w:szCs w:val="18"/>
              </w:rPr>
              <w:t>52（昼）</w:t>
            </w:r>
          </w:p>
          <w:p w14:paraId="07072642">
            <w:pPr>
              <w:widowControl/>
              <w:adjustRightInd/>
              <w:snapToGrid/>
              <w:spacing w:line="240" w:lineRule="auto"/>
              <w:jc w:val="center"/>
              <w:rPr>
                <w:kern w:val="0"/>
                <w:sz w:val="18"/>
                <w:szCs w:val="18"/>
              </w:rPr>
            </w:pPr>
            <w:r>
              <w:rPr>
                <w:rFonts w:hint="eastAsia"/>
                <w:kern w:val="0"/>
                <w:sz w:val="18"/>
                <w:szCs w:val="18"/>
              </w:rPr>
              <w:t>43（夜）</w:t>
            </w:r>
          </w:p>
        </w:tc>
        <w:tc>
          <w:tcPr>
            <w:tcW w:w="709" w:type="dxa"/>
            <w:vMerge w:val="restart"/>
            <w:noWrap/>
            <w:vAlign w:val="center"/>
          </w:tcPr>
          <w:p w14:paraId="4B164114">
            <w:pPr>
              <w:widowControl/>
              <w:adjustRightInd/>
              <w:snapToGrid/>
              <w:spacing w:line="240" w:lineRule="auto"/>
              <w:jc w:val="center"/>
              <w:rPr>
                <w:kern w:val="0"/>
                <w:sz w:val="18"/>
                <w:szCs w:val="18"/>
              </w:rPr>
            </w:pPr>
            <w:r>
              <w:rPr>
                <w:rFonts w:hint="eastAsia"/>
                <w:kern w:val="0"/>
                <w:sz w:val="18"/>
                <w:szCs w:val="18"/>
              </w:rPr>
              <w:t>52（昼）</w:t>
            </w:r>
          </w:p>
          <w:p w14:paraId="38535FC2">
            <w:pPr>
              <w:widowControl/>
              <w:adjustRightInd/>
              <w:snapToGrid/>
              <w:spacing w:line="240" w:lineRule="auto"/>
              <w:jc w:val="center"/>
              <w:rPr>
                <w:kern w:val="0"/>
                <w:sz w:val="18"/>
                <w:szCs w:val="18"/>
              </w:rPr>
            </w:pPr>
            <w:r>
              <w:rPr>
                <w:rFonts w:hint="eastAsia"/>
                <w:kern w:val="0"/>
                <w:sz w:val="18"/>
                <w:szCs w:val="18"/>
              </w:rPr>
              <w:t>43（夜）</w:t>
            </w:r>
          </w:p>
        </w:tc>
        <w:tc>
          <w:tcPr>
            <w:tcW w:w="880" w:type="dxa"/>
            <w:vAlign w:val="center"/>
          </w:tcPr>
          <w:p w14:paraId="7E4B9910">
            <w:pPr>
              <w:widowControl/>
              <w:adjustRightInd/>
              <w:snapToGrid/>
              <w:spacing w:line="240" w:lineRule="auto"/>
              <w:jc w:val="center"/>
              <w:rPr>
                <w:kern w:val="0"/>
                <w:sz w:val="18"/>
                <w:szCs w:val="18"/>
              </w:rPr>
            </w:pPr>
            <w:r>
              <w:rPr>
                <w:rFonts w:hint="eastAsia"/>
                <w:color w:val="000000"/>
                <w:sz w:val="18"/>
                <w:szCs w:val="18"/>
              </w:rPr>
              <w:t>64.2</w:t>
            </w:r>
          </w:p>
        </w:tc>
        <w:tc>
          <w:tcPr>
            <w:tcW w:w="880" w:type="dxa"/>
            <w:vAlign w:val="center"/>
          </w:tcPr>
          <w:p w14:paraId="2DD01DAB">
            <w:pPr>
              <w:widowControl/>
              <w:adjustRightInd/>
              <w:snapToGrid/>
              <w:spacing w:line="240" w:lineRule="auto"/>
              <w:jc w:val="center"/>
              <w:rPr>
                <w:kern w:val="0"/>
                <w:sz w:val="18"/>
                <w:szCs w:val="18"/>
              </w:rPr>
            </w:pPr>
            <w:r>
              <w:rPr>
                <w:color w:val="000000"/>
                <w:sz w:val="18"/>
                <w:szCs w:val="18"/>
              </w:rPr>
              <w:t xml:space="preserve">64.5 </w:t>
            </w:r>
          </w:p>
        </w:tc>
        <w:tc>
          <w:tcPr>
            <w:tcW w:w="881" w:type="dxa"/>
            <w:vAlign w:val="center"/>
          </w:tcPr>
          <w:p w14:paraId="64E82D22">
            <w:pPr>
              <w:widowControl/>
              <w:adjustRightInd/>
              <w:snapToGrid/>
              <w:spacing w:line="240" w:lineRule="auto"/>
              <w:jc w:val="center"/>
              <w:rPr>
                <w:kern w:val="0"/>
                <w:sz w:val="18"/>
                <w:szCs w:val="18"/>
              </w:rPr>
            </w:pPr>
            <w:r>
              <w:rPr>
                <w:rFonts w:hint="eastAsia"/>
                <w:color w:val="000000"/>
                <w:sz w:val="18"/>
                <w:szCs w:val="18"/>
              </w:rPr>
              <w:t xml:space="preserve">12.5 </w:t>
            </w:r>
          </w:p>
        </w:tc>
        <w:tc>
          <w:tcPr>
            <w:tcW w:w="880" w:type="dxa"/>
            <w:vAlign w:val="center"/>
          </w:tcPr>
          <w:p w14:paraId="4E3204AD">
            <w:pPr>
              <w:widowControl/>
              <w:adjustRightInd/>
              <w:snapToGrid/>
              <w:spacing w:line="240" w:lineRule="auto"/>
              <w:jc w:val="center"/>
              <w:rPr>
                <w:kern w:val="0"/>
                <w:sz w:val="18"/>
                <w:szCs w:val="18"/>
              </w:rPr>
            </w:pPr>
            <w:r>
              <w:rPr>
                <w:rFonts w:hint="eastAsia"/>
                <w:color w:val="000000"/>
                <w:sz w:val="18"/>
                <w:szCs w:val="18"/>
              </w:rPr>
              <w:t xml:space="preserve">4.5 </w:t>
            </w:r>
          </w:p>
        </w:tc>
        <w:tc>
          <w:tcPr>
            <w:tcW w:w="880" w:type="dxa"/>
            <w:noWrap/>
            <w:vAlign w:val="center"/>
          </w:tcPr>
          <w:p w14:paraId="19D49E66">
            <w:pPr>
              <w:widowControl/>
              <w:adjustRightInd/>
              <w:snapToGrid/>
              <w:spacing w:line="240" w:lineRule="auto"/>
              <w:jc w:val="center"/>
              <w:rPr>
                <w:kern w:val="0"/>
                <w:sz w:val="18"/>
                <w:szCs w:val="18"/>
              </w:rPr>
            </w:pPr>
            <w:r>
              <w:rPr>
                <w:kern w:val="0"/>
                <w:sz w:val="18"/>
                <w:szCs w:val="18"/>
              </w:rPr>
              <w:t>65</w:t>
            </w:r>
          </w:p>
        </w:tc>
        <w:tc>
          <w:tcPr>
            <w:tcW w:w="881" w:type="dxa"/>
            <w:noWrap/>
            <w:vAlign w:val="center"/>
          </w:tcPr>
          <w:p w14:paraId="0CCD751E">
            <w:pPr>
              <w:widowControl/>
              <w:adjustRightInd/>
              <w:snapToGrid/>
              <w:spacing w:line="240" w:lineRule="auto"/>
              <w:jc w:val="center"/>
              <w:rPr>
                <w:kern w:val="0"/>
                <w:sz w:val="18"/>
                <w:szCs w:val="18"/>
              </w:rPr>
            </w:pPr>
            <w:r>
              <w:rPr>
                <w:color w:val="000000"/>
                <w:sz w:val="18"/>
                <w:szCs w:val="18"/>
              </w:rPr>
              <w:t xml:space="preserve">65.2 </w:t>
            </w:r>
          </w:p>
        </w:tc>
        <w:tc>
          <w:tcPr>
            <w:tcW w:w="880" w:type="dxa"/>
            <w:noWrap/>
            <w:vAlign w:val="center"/>
          </w:tcPr>
          <w:p w14:paraId="4112AD01">
            <w:pPr>
              <w:widowControl/>
              <w:adjustRightInd/>
              <w:snapToGrid/>
              <w:spacing w:line="240" w:lineRule="auto"/>
              <w:jc w:val="center"/>
              <w:rPr>
                <w:kern w:val="0"/>
                <w:sz w:val="18"/>
                <w:szCs w:val="18"/>
              </w:rPr>
            </w:pPr>
            <w:r>
              <w:rPr>
                <w:color w:val="000000"/>
                <w:sz w:val="18"/>
                <w:szCs w:val="18"/>
              </w:rPr>
              <w:t xml:space="preserve">13.2 </w:t>
            </w:r>
          </w:p>
        </w:tc>
        <w:tc>
          <w:tcPr>
            <w:tcW w:w="880" w:type="dxa"/>
            <w:noWrap/>
            <w:vAlign w:val="center"/>
          </w:tcPr>
          <w:p w14:paraId="0483E68B">
            <w:pPr>
              <w:widowControl/>
              <w:adjustRightInd/>
              <w:snapToGrid/>
              <w:spacing w:line="240" w:lineRule="auto"/>
              <w:jc w:val="center"/>
              <w:rPr>
                <w:kern w:val="0"/>
                <w:sz w:val="18"/>
                <w:szCs w:val="18"/>
              </w:rPr>
            </w:pPr>
            <w:r>
              <w:rPr>
                <w:color w:val="000000"/>
                <w:sz w:val="18"/>
                <w:szCs w:val="18"/>
              </w:rPr>
              <w:t xml:space="preserve">5.2 </w:t>
            </w:r>
          </w:p>
        </w:tc>
        <w:tc>
          <w:tcPr>
            <w:tcW w:w="881" w:type="dxa"/>
            <w:noWrap/>
            <w:vAlign w:val="center"/>
          </w:tcPr>
          <w:p w14:paraId="53301A8B">
            <w:pPr>
              <w:widowControl/>
              <w:adjustRightInd/>
              <w:snapToGrid/>
              <w:spacing w:line="240" w:lineRule="auto"/>
              <w:jc w:val="center"/>
              <w:rPr>
                <w:kern w:val="0"/>
                <w:sz w:val="18"/>
                <w:szCs w:val="18"/>
              </w:rPr>
            </w:pPr>
            <w:r>
              <w:rPr>
                <w:rFonts w:hint="eastAsia"/>
                <w:color w:val="000000"/>
                <w:sz w:val="18"/>
                <w:szCs w:val="18"/>
              </w:rPr>
              <w:t>66</w:t>
            </w:r>
          </w:p>
        </w:tc>
        <w:tc>
          <w:tcPr>
            <w:tcW w:w="880" w:type="dxa"/>
            <w:noWrap/>
            <w:vAlign w:val="center"/>
          </w:tcPr>
          <w:p w14:paraId="77771B3D">
            <w:pPr>
              <w:widowControl/>
              <w:adjustRightInd/>
              <w:snapToGrid/>
              <w:spacing w:line="240" w:lineRule="auto"/>
              <w:jc w:val="center"/>
              <w:rPr>
                <w:kern w:val="0"/>
                <w:sz w:val="18"/>
                <w:szCs w:val="18"/>
              </w:rPr>
            </w:pPr>
            <w:r>
              <w:rPr>
                <w:color w:val="000000"/>
                <w:sz w:val="18"/>
                <w:szCs w:val="18"/>
              </w:rPr>
              <w:t xml:space="preserve">66.2 </w:t>
            </w:r>
          </w:p>
        </w:tc>
        <w:tc>
          <w:tcPr>
            <w:tcW w:w="880" w:type="dxa"/>
            <w:noWrap/>
            <w:vAlign w:val="center"/>
          </w:tcPr>
          <w:p w14:paraId="2F5CDDB6">
            <w:pPr>
              <w:widowControl/>
              <w:adjustRightInd/>
              <w:snapToGrid/>
              <w:spacing w:line="240" w:lineRule="auto"/>
              <w:jc w:val="center"/>
              <w:rPr>
                <w:kern w:val="0"/>
                <w:sz w:val="18"/>
                <w:szCs w:val="18"/>
              </w:rPr>
            </w:pPr>
            <w:r>
              <w:rPr>
                <w:color w:val="000000"/>
                <w:sz w:val="18"/>
                <w:szCs w:val="18"/>
              </w:rPr>
              <w:t xml:space="preserve">14.2 </w:t>
            </w:r>
          </w:p>
        </w:tc>
        <w:tc>
          <w:tcPr>
            <w:tcW w:w="881" w:type="dxa"/>
            <w:noWrap/>
            <w:vAlign w:val="center"/>
          </w:tcPr>
          <w:p w14:paraId="18B24DFC">
            <w:pPr>
              <w:widowControl/>
              <w:adjustRightInd/>
              <w:snapToGrid/>
              <w:spacing w:line="240" w:lineRule="auto"/>
              <w:jc w:val="center"/>
              <w:rPr>
                <w:kern w:val="0"/>
                <w:sz w:val="18"/>
                <w:szCs w:val="18"/>
              </w:rPr>
            </w:pPr>
            <w:r>
              <w:rPr>
                <w:color w:val="000000"/>
                <w:sz w:val="18"/>
                <w:szCs w:val="18"/>
              </w:rPr>
              <w:t xml:space="preserve">6.2 </w:t>
            </w:r>
          </w:p>
        </w:tc>
      </w:tr>
      <w:tr w14:paraId="79BA2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62BED98">
            <w:pPr>
              <w:widowControl/>
              <w:adjustRightInd/>
              <w:snapToGrid/>
              <w:spacing w:line="240" w:lineRule="auto"/>
              <w:jc w:val="center"/>
              <w:rPr>
                <w:kern w:val="0"/>
                <w:sz w:val="18"/>
                <w:szCs w:val="18"/>
              </w:rPr>
            </w:pPr>
            <w:r>
              <w:rPr>
                <w:sz w:val="18"/>
                <w:szCs w:val="18"/>
              </w:rPr>
              <w:t>42</w:t>
            </w:r>
          </w:p>
        </w:tc>
        <w:tc>
          <w:tcPr>
            <w:tcW w:w="673" w:type="dxa"/>
            <w:vMerge w:val="continue"/>
            <w:vAlign w:val="center"/>
          </w:tcPr>
          <w:p w14:paraId="0E46E765">
            <w:pPr>
              <w:widowControl/>
              <w:adjustRightInd/>
              <w:snapToGrid/>
              <w:spacing w:line="240" w:lineRule="auto"/>
              <w:jc w:val="left"/>
              <w:rPr>
                <w:kern w:val="0"/>
                <w:sz w:val="18"/>
                <w:szCs w:val="18"/>
              </w:rPr>
            </w:pPr>
          </w:p>
        </w:tc>
        <w:tc>
          <w:tcPr>
            <w:tcW w:w="595" w:type="dxa"/>
            <w:vMerge w:val="continue"/>
            <w:vAlign w:val="center"/>
          </w:tcPr>
          <w:p w14:paraId="5127B4E1">
            <w:pPr>
              <w:widowControl/>
              <w:adjustRightInd/>
              <w:snapToGrid/>
              <w:spacing w:line="240" w:lineRule="auto"/>
              <w:jc w:val="left"/>
              <w:rPr>
                <w:kern w:val="0"/>
                <w:sz w:val="18"/>
                <w:szCs w:val="18"/>
              </w:rPr>
            </w:pPr>
          </w:p>
        </w:tc>
        <w:tc>
          <w:tcPr>
            <w:tcW w:w="567" w:type="dxa"/>
            <w:vMerge w:val="continue"/>
            <w:vAlign w:val="center"/>
          </w:tcPr>
          <w:p w14:paraId="7B52F580">
            <w:pPr>
              <w:widowControl/>
              <w:adjustRightInd/>
              <w:snapToGrid/>
              <w:spacing w:line="240" w:lineRule="auto"/>
              <w:jc w:val="left"/>
              <w:rPr>
                <w:kern w:val="0"/>
                <w:sz w:val="18"/>
                <w:szCs w:val="18"/>
              </w:rPr>
            </w:pPr>
          </w:p>
        </w:tc>
        <w:tc>
          <w:tcPr>
            <w:tcW w:w="426" w:type="dxa"/>
            <w:noWrap/>
            <w:vAlign w:val="center"/>
          </w:tcPr>
          <w:p w14:paraId="38A12091">
            <w:pPr>
              <w:widowControl/>
              <w:adjustRightInd/>
              <w:snapToGrid/>
              <w:spacing w:line="240" w:lineRule="auto"/>
              <w:jc w:val="center"/>
              <w:rPr>
                <w:kern w:val="0"/>
                <w:sz w:val="18"/>
                <w:szCs w:val="18"/>
              </w:rPr>
            </w:pPr>
            <w:r>
              <w:rPr>
                <w:sz w:val="18"/>
                <w:szCs w:val="18"/>
              </w:rPr>
              <w:t>夜间</w:t>
            </w:r>
          </w:p>
        </w:tc>
        <w:tc>
          <w:tcPr>
            <w:tcW w:w="708" w:type="dxa"/>
            <w:noWrap/>
            <w:vAlign w:val="center"/>
          </w:tcPr>
          <w:p w14:paraId="186B3844">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645A3728">
            <w:pPr>
              <w:widowControl/>
              <w:adjustRightInd/>
              <w:snapToGrid/>
              <w:spacing w:line="240" w:lineRule="auto"/>
              <w:jc w:val="center"/>
              <w:rPr>
                <w:kern w:val="0"/>
                <w:sz w:val="18"/>
                <w:szCs w:val="18"/>
              </w:rPr>
            </w:pPr>
          </w:p>
        </w:tc>
        <w:tc>
          <w:tcPr>
            <w:tcW w:w="709" w:type="dxa"/>
            <w:vMerge w:val="continue"/>
            <w:noWrap/>
            <w:vAlign w:val="center"/>
          </w:tcPr>
          <w:p w14:paraId="7402EB0B">
            <w:pPr>
              <w:widowControl/>
              <w:adjustRightInd/>
              <w:snapToGrid/>
              <w:spacing w:line="240" w:lineRule="auto"/>
              <w:jc w:val="center"/>
              <w:rPr>
                <w:kern w:val="0"/>
                <w:sz w:val="18"/>
                <w:szCs w:val="18"/>
              </w:rPr>
            </w:pPr>
          </w:p>
        </w:tc>
        <w:tc>
          <w:tcPr>
            <w:tcW w:w="880" w:type="dxa"/>
            <w:vAlign w:val="center"/>
          </w:tcPr>
          <w:p w14:paraId="5930992A">
            <w:pPr>
              <w:widowControl/>
              <w:adjustRightInd/>
              <w:snapToGrid/>
              <w:spacing w:line="240" w:lineRule="auto"/>
              <w:jc w:val="center"/>
              <w:rPr>
                <w:kern w:val="0"/>
                <w:sz w:val="18"/>
                <w:szCs w:val="18"/>
              </w:rPr>
            </w:pPr>
            <w:r>
              <w:rPr>
                <w:rFonts w:hint="eastAsia"/>
                <w:color w:val="000000"/>
                <w:sz w:val="18"/>
                <w:szCs w:val="18"/>
              </w:rPr>
              <w:t>52.8</w:t>
            </w:r>
          </w:p>
        </w:tc>
        <w:tc>
          <w:tcPr>
            <w:tcW w:w="880" w:type="dxa"/>
            <w:vAlign w:val="center"/>
          </w:tcPr>
          <w:p w14:paraId="6C4827B0">
            <w:pPr>
              <w:widowControl/>
              <w:adjustRightInd/>
              <w:snapToGrid/>
              <w:spacing w:line="240" w:lineRule="auto"/>
              <w:jc w:val="center"/>
              <w:rPr>
                <w:kern w:val="0"/>
                <w:sz w:val="18"/>
                <w:szCs w:val="18"/>
              </w:rPr>
            </w:pPr>
            <w:r>
              <w:rPr>
                <w:color w:val="000000"/>
                <w:sz w:val="18"/>
                <w:szCs w:val="18"/>
              </w:rPr>
              <w:t xml:space="preserve">53.2 </w:t>
            </w:r>
          </w:p>
        </w:tc>
        <w:tc>
          <w:tcPr>
            <w:tcW w:w="881" w:type="dxa"/>
            <w:vAlign w:val="center"/>
          </w:tcPr>
          <w:p w14:paraId="52317B27">
            <w:pPr>
              <w:widowControl/>
              <w:adjustRightInd/>
              <w:snapToGrid/>
              <w:spacing w:line="240" w:lineRule="auto"/>
              <w:jc w:val="center"/>
              <w:rPr>
                <w:kern w:val="0"/>
                <w:sz w:val="18"/>
                <w:szCs w:val="18"/>
              </w:rPr>
            </w:pPr>
            <w:r>
              <w:rPr>
                <w:rFonts w:hint="eastAsia"/>
                <w:color w:val="000000"/>
                <w:sz w:val="18"/>
                <w:szCs w:val="18"/>
              </w:rPr>
              <w:t xml:space="preserve">10.2 </w:t>
            </w:r>
          </w:p>
        </w:tc>
        <w:tc>
          <w:tcPr>
            <w:tcW w:w="880" w:type="dxa"/>
            <w:vAlign w:val="center"/>
          </w:tcPr>
          <w:p w14:paraId="087E1C3E">
            <w:pPr>
              <w:widowControl/>
              <w:adjustRightInd/>
              <w:snapToGrid/>
              <w:spacing w:line="240" w:lineRule="auto"/>
              <w:jc w:val="center"/>
              <w:rPr>
                <w:kern w:val="0"/>
                <w:sz w:val="18"/>
                <w:szCs w:val="18"/>
              </w:rPr>
            </w:pPr>
            <w:r>
              <w:rPr>
                <w:rFonts w:hint="eastAsia"/>
                <w:color w:val="000000"/>
                <w:sz w:val="18"/>
                <w:szCs w:val="18"/>
              </w:rPr>
              <w:t xml:space="preserve">3.2 </w:t>
            </w:r>
          </w:p>
        </w:tc>
        <w:tc>
          <w:tcPr>
            <w:tcW w:w="880" w:type="dxa"/>
            <w:noWrap/>
            <w:vAlign w:val="center"/>
          </w:tcPr>
          <w:p w14:paraId="05989ECC">
            <w:pPr>
              <w:widowControl/>
              <w:adjustRightInd/>
              <w:snapToGrid/>
              <w:spacing w:line="240" w:lineRule="auto"/>
              <w:jc w:val="center"/>
              <w:rPr>
                <w:kern w:val="0"/>
                <w:sz w:val="18"/>
                <w:szCs w:val="18"/>
              </w:rPr>
            </w:pPr>
            <w:r>
              <w:rPr>
                <w:kern w:val="0"/>
                <w:sz w:val="18"/>
                <w:szCs w:val="18"/>
              </w:rPr>
              <w:t>53.7</w:t>
            </w:r>
          </w:p>
        </w:tc>
        <w:tc>
          <w:tcPr>
            <w:tcW w:w="881" w:type="dxa"/>
            <w:noWrap/>
            <w:vAlign w:val="center"/>
          </w:tcPr>
          <w:p w14:paraId="4B10BC12">
            <w:pPr>
              <w:widowControl/>
              <w:adjustRightInd/>
              <w:snapToGrid/>
              <w:spacing w:line="240" w:lineRule="auto"/>
              <w:jc w:val="center"/>
              <w:rPr>
                <w:kern w:val="0"/>
                <w:sz w:val="18"/>
                <w:szCs w:val="18"/>
              </w:rPr>
            </w:pPr>
            <w:r>
              <w:rPr>
                <w:color w:val="000000"/>
                <w:sz w:val="18"/>
                <w:szCs w:val="18"/>
              </w:rPr>
              <w:t xml:space="preserve">54.1 </w:t>
            </w:r>
          </w:p>
        </w:tc>
        <w:tc>
          <w:tcPr>
            <w:tcW w:w="880" w:type="dxa"/>
            <w:noWrap/>
            <w:vAlign w:val="center"/>
          </w:tcPr>
          <w:p w14:paraId="5C0BCEB6">
            <w:pPr>
              <w:widowControl/>
              <w:adjustRightInd/>
              <w:snapToGrid/>
              <w:spacing w:line="240" w:lineRule="auto"/>
              <w:jc w:val="center"/>
              <w:rPr>
                <w:kern w:val="0"/>
                <w:sz w:val="18"/>
                <w:szCs w:val="18"/>
              </w:rPr>
            </w:pPr>
            <w:r>
              <w:rPr>
                <w:color w:val="000000"/>
                <w:sz w:val="18"/>
                <w:szCs w:val="18"/>
              </w:rPr>
              <w:t xml:space="preserve">11.1 </w:t>
            </w:r>
          </w:p>
        </w:tc>
        <w:tc>
          <w:tcPr>
            <w:tcW w:w="880" w:type="dxa"/>
            <w:noWrap/>
            <w:vAlign w:val="center"/>
          </w:tcPr>
          <w:p w14:paraId="4C060398">
            <w:pPr>
              <w:widowControl/>
              <w:adjustRightInd/>
              <w:snapToGrid/>
              <w:spacing w:line="240" w:lineRule="auto"/>
              <w:jc w:val="center"/>
              <w:rPr>
                <w:kern w:val="0"/>
                <w:sz w:val="18"/>
                <w:szCs w:val="18"/>
              </w:rPr>
            </w:pPr>
            <w:r>
              <w:rPr>
                <w:color w:val="000000"/>
                <w:sz w:val="18"/>
                <w:szCs w:val="18"/>
              </w:rPr>
              <w:t xml:space="preserve">4.1 </w:t>
            </w:r>
          </w:p>
        </w:tc>
        <w:tc>
          <w:tcPr>
            <w:tcW w:w="881" w:type="dxa"/>
            <w:noWrap/>
            <w:vAlign w:val="center"/>
          </w:tcPr>
          <w:p w14:paraId="1DC4B224">
            <w:pPr>
              <w:widowControl/>
              <w:adjustRightInd/>
              <w:snapToGrid/>
              <w:spacing w:line="240" w:lineRule="auto"/>
              <w:jc w:val="center"/>
              <w:rPr>
                <w:kern w:val="0"/>
                <w:sz w:val="18"/>
                <w:szCs w:val="18"/>
              </w:rPr>
            </w:pPr>
            <w:r>
              <w:rPr>
                <w:rFonts w:hint="eastAsia"/>
                <w:color w:val="000000"/>
                <w:sz w:val="18"/>
                <w:szCs w:val="18"/>
              </w:rPr>
              <w:t>54.6</w:t>
            </w:r>
          </w:p>
        </w:tc>
        <w:tc>
          <w:tcPr>
            <w:tcW w:w="880" w:type="dxa"/>
            <w:noWrap/>
            <w:vAlign w:val="center"/>
          </w:tcPr>
          <w:p w14:paraId="1DF2D357">
            <w:pPr>
              <w:widowControl/>
              <w:adjustRightInd/>
              <w:snapToGrid/>
              <w:spacing w:line="240" w:lineRule="auto"/>
              <w:jc w:val="center"/>
              <w:rPr>
                <w:kern w:val="0"/>
                <w:sz w:val="18"/>
                <w:szCs w:val="18"/>
              </w:rPr>
            </w:pPr>
            <w:r>
              <w:rPr>
                <w:color w:val="000000"/>
                <w:sz w:val="18"/>
                <w:szCs w:val="18"/>
              </w:rPr>
              <w:t xml:space="preserve">54.9 </w:t>
            </w:r>
          </w:p>
        </w:tc>
        <w:tc>
          <w:tcPr>
            <w:tcW w:w="880" w:type="dxa"/>
            <w:noWrap/>
            <w:vAlign w:val="center"/>
          </w:tcPr>
          <w:p w14:paraId="07A2764B">
            <w:pPr>
              <w:widowControl/>
              <w:adjustRightInd/>
              <w:snapToGrid/>
              <w:spacing w:line="240" w:lineRule="auto"/>
              <w:jc w:val="center"/>
              <w:rPr>
                <w:kern w:val="0"/>
                <w:sz w:val="18"/>
                <w:szCs w:val="18"/>
              </w:rPr>
            </w:pPr>
            <w:r>
              <w:rPr>
                <w:color w:val="000000"/>
                <w:sz w:val="18"/>
                <w:szCs w:val="18"/>
              </w:rPr>
              <w:t xml:space="preserve">11.9 </w:t>
            </w:r>
          </w:p>
        </w:tc>
        <w:tc>
          <w:tcPr>
            <w:tcW w:w="881" w:type="dxa"/>
            <w:noWrap/>
            <w:vAlign w:val="center"/>
          </w:tcPr>
          <w:p w14:paraId="7EA0CBDF">
            <w:pPr>
              <w:widowControl/>
              <w:adjustRightInd/>
              <w:snapToGrid/>
              <w:spacing w:line="240" w:lineRule="auto"/>
              <w:jc w:val="center"/>
              <w:rPr>
                <w:kern w:val="0"/>
                <w:sz w:val="18"/>
                <w:szCs w:val="18"/>
              </w:rPr>
            </w:pPr>
            <w:r>
              <w:rPr>
                <w:color w:val="000000"/>
                <w:sz w:val="18"/>
                <w:szCs w:val="18"/>
              </w:rPr>
              <w:t xml:space="preserve">4.9 </w:t>
            </w:r>
          </w:p>
        </w:tc>
      </w:tr>
      <w:tr w14:paraId="58702F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548B948">
            <w:pPr>
              <w:widowControl/>
              <w:adjustRightInd/>
              <w:snapToGrid/>
              <w:spacing w:line="240" w:lineRule="auto"/>
              <w:jc w:val="center"/>
              <w:rPr>
                <w:kern w:val="0"/>
                <w:sz w:val="18"/>
                <w:szCs w:val="18"/>
              </w:rPr>
            </w:pPr>
            <w:r>
              <w:rPr>
                <w:sz w:val="18"/>
                <w:szCs w:val="18"/>
              </w:rPr>
              <w:t>43</w:t>
            </w:r>
          </w:p>
        </w:tc>
        <w:tc>
          <w:tcPr>
            <w:tcW w:w="673" w:type="dxa"/>
            <w:vMerge w:val="continue"/>
            <w:vAlign w:val="center"/>
          </w:tcPr>
          <w:p w14:paraId="01F8E596">
            <w:pPr>
              <w:widowControl/>
              <w:adjustRightInd/>
              <w:snapToGrid/>
              <w:spacing w:line="240" w:lineRule="auto"/>
              <w:jc w:val="left"/>
              <w:rPr>
                <w:kern w:val="0"/>
                <w:sz w:val="18"/>
                <w:szCs w:val="18"/>
              </w:rPr>
            </w:pPr>
          </w:p>
        </w:tc>
        <w:tc>
          <w:tcPr>
            <w:tcW w:w="595" w:type="dxa"/>
            <w:vMerge w:val="restart"/>
            <w:vAlign w:val="center"/>
          </w:tcPr>
          <w:p w14:paraId="448C6AA8">
            <w:pPr>
              <w:widowControl/>
              <w:adjustRightInd/>
              <w:snapToGrid/>
              <w:spacing w:line="240" w:lineRule="auto"/>
              <w:jc w:val="center"/>
              <w:rPr>
                <w:kern w:val="0"/>
                <w:sz w:val="18"/>
                <w:szCs w:val="18"/>
              </w:rPr>
            </w:pPr>
            <w:r>
              <w:rPr>
                <w:kern w:val="0"/>
                <w:sz w:val="18"/>
                <w:szCs w:val="18"/>
              </w:rPr>
              <w:t>16.2</w:t>
            </w:r>
          </w:p>
        </w:tc>
        <w:tc>
          <w:tcPr>
            <w:tcW w:w="567" w:type="dxa"/>
            <w:vMerge w:val="continue"/>
            <w:vAlign w:val="center"/>
          </w:tcPr>
          <w:p w14:paraId="59E48D98">
            <w:pPr>
              <w:widowControl/>
              <w:adjustRightInd/>
              <w:snapToGrid/>
              <w:spacing w:line="240" w:lineRule="auto"/>
              <w:jc w:val="left"/>
              <w:rPr>
                <w:kern w:val="0"/>
                <w:sz w:val="18"/>
                <w:szCs w:val="18"/>
              </w:rPr>
            </w:pPr>
          </w:p>
        </w:tc>
        <w:tc>
          <w:tcPr>
            <w:tcW w:w="426" w:type="dxa"/>
            <w:noWrap/>
            <w:vAlign w:val="center"/>
          </w:tcPr>
          <w:p w14:paraId="3018D38A">
            <w:pPr>
              <w:widowControl/>
              <w:adjustRightInd/>
              <w:snapToGrid/>
              <w:spacing w:line="240" w:lineRule="auto"/>
              <w:jc w:val="center"/>
              <w:rPr>
                <w:kern w:val="0"/>
                <w:sz w:val="18"/>
                <w:szCs w:val="18"/>
              </w:rPr>
            </w:pPr>
            <w:r>
              <w:rPr>
                <w:sz w:val="18"/>
                <w:szCs w:val="18"/>
              </w:rPr>
              <w:t>昼间</w:t>
            </w:r>
          </w:p>
        </w:tc>
        <w:tc>
          <w:tcPr>
            <w:tcW w:w="708" w:type="dxa"/>
            <w:noWrap/>
            <w:vAlign w:val="center"/>
          </w:tcPr>
          <w:p w14:paraId="43782E5F">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7497D929">
            <w:pPr>
              <w:widowControl/>
              <w:adjustRightInd/>
              <w:snapToGrid/>
              <w:spacing w:line="240" w:lineRule="auto"/>
              <w:jc w:val="center"/>
              <w:rPr>
                <w:kern w:val="0"/>
                <w:sz w:val="18"/>
                <w:szCs w:val="18"/>
              </w:rPr>
            </w:pPr>
          </w:p>
        </w:tc>
        <w:tc>
          <w:tcPr>
            <w:tcW w:w="709" w:type="dxa"/>
            <w:vMerge w:val="continue"/>
            <w:noWrap/>
            <w:vAlign w:val="center"/>
          </w:tcPr>
          <w:p w14:paraId="0072F442">
            <w:pPr>
              <w:widowControl/>
              <w:adjustRightInd/>
              <w:snapToGrid/>
              <w:spacing w:line="240" w:lineRule="auto"/>
              <w:jc w:val="center"/>
              <w:rPr>
                <w:kern w:val="0"/>
                <w:sz w:val="18"/>
                <w:szCs w:val="18"/>
              </w:rPr>
            </w:pPr>
          </w:p>
        </w:tc>
        <w:tc>
          <w:tcPr>
            <w:tcW w:w="880" w:type="dxa"/>
            <w:vAlign w:val="center"/>
          </w:tcPr>
          <w:p w14:paraId="59692E31">
            <w:pPr>
              <w:widowControl/>
              <w:adjustRightInd/>
              <w:snapToGrid/>
              <w:spacing w:line="240" w:lineRule="auto"/>
              <w:jc w:val="center"/>
              <w:rPr>
                <w:kern w:val="0"/>
                <w:sz w:val="18"/>
                <w:szCs w:val="18"/>
              </w:rPr>
            </w:pPr>
            <w:r>
              <w:rPr>
                <w:rFonts w:hint="eastAsia"/>
                <w:color w:val="000000"/>
                <w:sz w:val="18"/>
                <w:szCs w:val="18"/>
              </w:rPr>
              <w:t>66.3</w:t>
            </w:r>
          </w:p>
        </w:tc>
        <w:tc>
          <w:tcPr>
            <w:tcW w:w="880" w:type="dxa"/>
            <w:vAlign w:val="center"/>
          </w:tcPr>
          <w:p w14:paraId="2FE43A5A">
            <w:pPr>
              <w:widowControl/>
              <w:adjustRightInd/>
              <w:snapToGrid/>
              <w:spacing w:line="240" w:lineRule="auto"/>
              <w:jc w:val="center"/>
              <w:rPr>
                <w:kern w:val="0"/>
                <w:sz w:val="18"/>
                <w:szCs w:val="18"/>
              </w:rPr>
            </w:pPr>
            <w:r>
              <w:rPr>
                <w:color w:val="000000"/>
                <w:sz w:val="18"/>
                <w:szCs w:val="18"/>
              </w:rPr>
              <w:t xml:space="preserve">66.5 </w:t>
            </w:r>
          </w:p>
        </w:tc>
        <w:tc>
          <w:tcPr>
            <w:tcW w:w="881" w:type="dxa"/>
            <w:vAlign w:val="center"/>
          </w:tcPr>
          <w:p w14:paraId="0C7C4072">
            <w:pPr>
              <w:widowControl/>
              <w:adjustRightInd/>
              <w:snapToGrid/>
              <w:spacing w:line="240" w:lineRule="auto"/>
              <w:jc w:val="center"/>
              <w:rPr>
                <w:kern w:val="0"/>
                <w:sz w:val="18"/>
                <w:szCs w:val="18"/>
              </w:rPr>
            </w:pPr>
            <w:r>
              <w:rPr>
                <w:rFonts w:hint="eastAsia"/>
                <w:color w:val="000000"/>
                <w:sz w:val="18"/>
                <w:szCs w:val="18"/>
              </w:rPr>
              <w:t xml:space="preserve">14.5 </w:t>
            </w:r>
          </w:p>
        </w:tc>
        <w:tc>
          <w:tcPr>
            <w:tcW w:w="880" w:type="dxa"/>
            <w:vAlign w:val="center"/>
          </w:tcPr>
          <w:p w14:paraId="5EAA9C77">
            <w:pPr>
              <w:widowControl/>
              <w:adjustRightInd/>
              <w:snapToGrid/>
              <w:spacing w:line="240" w:lineRule="auto"/>
              <w:jc w:val="center"/>
              <w:rPr>
                <w:kern w:val="0"/>
                <w:sz w:val="18"/>
                <w:szCs w:val="18"/>
              </w:rPr>
            </w:pPr>
            <w:r>
              <w:rPr>
                <w:rFonts w:hint="eastAsia"/>
                <w:color w:val="000000"/>
                <w:sz w:val="18"/>
                <w:szCs w:val="18"/>
              </w:rPr>
              <w:t xml:space="preserve">6.5 </w:t>
            </w:r>
          </w:p>
        </w:tc>
        <w:tc>
          <w:tcPr>
            <w:tcW w:w="880" w:type="dxa"/>
            <w:noWrap/>
            <w:vAlign w:val="center"/>
          </w:tcPr>
          <w:p w14:paraId="6D039816">
            <w:pPr>
              <w:widowControl/>
              <w:adjustRightInd/>
              <w:snapToGrid/>
              <w:spacing w:line="240" w:lineRule="auto"/>
              <w:jc w:val="center"/>
              <w:rPr>
                <w:kern w:val="0"/>
                <w:sz w:val="18"/>
                <w:szCs w:val="18"/>
              </w:rPr>
            </w:pPr>
            <w:r>
              <w:rPr>
                <w:kern w:val="0"/>
                <w:sz w:val="18"/>
                <w:szCs w:val="18"/>
              </w:rPr>
              <w:t>67.1</w:t>
            </w:r>
          </w:p>
        </w:tc>
        <w:tc>
          <w:tcPr>
            <w:tcW w:w="881" w:type="dxa"/>
            <w:noWrap/>
            <w:vAlign w:val="center"/>
          </w:tcPr>
          <w:p w14:paraId="3DEE6A92">
            <w:pPr>
              <w:widowControl/>
              <w:adjustRightInd/>
              <w:snapToGrid/>
              <w:spacing w:line="240" w:lineRule="auto"/>
              <w:jc w:val="center"/>
              <w:rPr>
                <w:kern w:val="0"/>
                <w:sz w:val="18"/>
                <w:szCs w:val="18"/>
              </w:rPr>
            </w:pPr>
            <w:r>
              <w:rPr>
                <w:color w:val="000000"/>
                <w:sz w:val="18"/>
                <w:szCs w:val="18"/>
              </w:rPr>
              <w:t xml:space="preserve">67.2 </w:t>
            </w:r>
          </w:p>
        </w:tc>
        <w:tc>
          <w:tcPr>
            <w:tcW w:w="880" w:type="dxa"/>
            <w:noWrap/>
            <w:vAlign w:val="center"/>
          </w:tcPr>
          <w:p w14:paraId="7E7B3023">
            <w:pPr>
              <w:widowControl/>
              <w:adjustRightInd/>
              <w:snapToGrid/>
              <w:spacing w:line="240" w:lineRule="auto"/>
              <w:jc w:val="center"/>
              <w:rPr>
                <w:kern w:val="0"/>
                <w:sz w:val="18"/>
                <w:szCs w:val="18"/>
              </w:rPr>
            </w:pPr>
            <w:r>
              <w:rPr>
                <w:color w:val="000000"/>
                <w:sz w:val="18"/>
                <w:szCs w:val="18"/>
              </w:rPr>
              <w:t xml:space="preserve">15.2 </w:t>
            </w:r>
          </w:p>
        </w:tc>
        <w:tc>
          <w:tcPr>
            <w:tcW w:w="880" w:type="dxa"/>
            <w:noWrap/>
            <w:vAlign w:val="center"/>
          </w:tcPr>
          <w:p w14:paraId="56F2AB65">
            <w:pPr>
              <w:widowControl/>
              <w:adjustRightInd/>
              <w:snapToGrid/>
              <w:spacing w:line="240" w:lineRule="auto"/>
              <w:jc w:val="center"/>
              <w:rPr>
                <w:kern w:val="0"/>
                <w:sz w:val="18"/>
                <w:szCs w:val="18"/>
              </w:rPr>
            </w:pPr>
            <w:r>
              <w:rPr>
                <w:color w:val="000000"/>
                <w:sz w:val="18"/>
                <w:szCs w:val="18"/>
              </w:rPr>
              <w:t xml:space="preserve">7.2 </w:t>
            </w:r>
          </w:p>
        </w:tc>
        <w:tc>
          <w:tcPr>
            <w:tcW w:w="881" w:type="dxa"/>
            <w:noWrap/>
            <w:vAlign w:val="center"/>
          </w:tcPr>
          <w:p w14:paraId="36A6251F">
            <w:pPr>
              <w:widowControl/>
              <w:adjustRightInd/>
              <w:snapToGrid/>
              <w:spacing w:line="240" w:lineRule="auto"/>
              <w:jc w:val="center"/>
              <w:rPr>
                <w:kern w:val="0"/>
                <w:sz w:val="18"/>
                <w:szCs w:val="18"/>
              </w:rPr>
            </w:pPr>
            <w:r>
              <w:rPr>
                <w:rFonts w:hint="eastAsia"/>
                <w:color w:val="000000"/>
                <w:sz w:val="18"/>
                <w:szCs w:val="18"/>
              </w:rPr>
              <w:t>68.1</w:t>
            </w:r>
          </w:p>
        </w:tc>
        <w:tc>
          <w:tcPr>
            <w:tcW w:w="880" w:type="dxa"/>
            <w:noWrap/>
            <w:vAlign w:val="center"/>
          </w:tcPr>
          <w:p w14:paraId="1EEAF187">
            <w:pPr>
              <w:widowControl/>
              <w:adjustRightInd/>
              <w:snapToGrid/>
              <w:spacing w:line="240" w:lineRule="auto"/>
              <w:jc w:val="center"/>
              <w:rPr>
                <w:kern w:val="0"/>
                <w:sz w:val="18"/>
                <w:szCs w:val="18"/>
              </w:rPr>
            </w:pPr>
            <w:r>
              <w:rPr>
                <w:color w:val="000000"/>
                <w:sz w:val="18"/>
                <w:szCs w:val="18"/>
              </w:rPr>
              <w:t xml:space="preserve">68.2 </w:t>
            </w:r>
          </w:p>
        </w:tc>
        <w:tc>
          <w:tcPr>
            <w:tcW w:w="880" w:type="dxa"/>
            <w:noWrap/>
            <w:vAlign w:val="center"/>
          </w:tcPr>
          <w:p w14:paraId="364084A9">
            <w:pPr>
              <w:widowControl/>
              <w:adjustRightInd/>
              <w:snapToGrid/>
              <w:spacing w:line="240" w:lineRule="auto"/>
              <w:jc w:val="center"/>
              <w:rPr>
                <w:kern w:val="0"/>
                <w:sz w:val="18"/>
                <w:szCs w:val="18"/>
              </w:rPr>
            </w:pPr>
            <w:r>
              <w:rPr>
                <w:color w:val="000000"/>
                <w:sz w:val="18"/>
                <w:szCs w:val="18"/>
              </w:rPr>
              <w:t xml:space="preserve">16.2 </w:t>
            </w:r>
          </w:p>
        </w:tc>
        <w:tc>
          <w:tcPr>
            <w:tcW w:w="881" w:type="dxa"/>
            <w:noWrap/>
            <w:vAlign w:val="center"/>
          </w:tcPr>
          <w:p w14:paraId="642E1F35">
            <w:pPr>
              <w:widowControl/>
              <w:adjustRightInd/>
              <w:snapToGrid/>
              <w:spacing w:line="240" w:lineRule="auto"/>
              <w:jc w:val="center"/>
              <w:rPr>
                <w:kern w:val="0"/>
                <w:sz w:val="18"/>
                <w:szCs w:val="18"/>
              </w:rPr>
            </w:pPr>
            <w:r>
              <w:rPr>
                <w:color w:val="000000"/>
                <w:sz w:val="18"/>
                <w:szCs w:val="18"/>
              </w:rPr>
              <w:t xml:space="preserve">8.2 </w:t>
            </w:r>
          </w:p>
        </w:tc>
      </w:tr>
      <w:tr w14:paraId="5F3FD3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62ECC5EF">
            <w:pPr>
              <w:widowControl/>
              <w:adjustRightInd/>
              <w:snapToGrid/>
              <w:spacing w:line="240" w:lineRule="auto"/>
              <w:jc w:val="center"/>
              <w:rPr>
                <w:kern w:val="0"/>
                <w:sz w:val="18"/>
                <w:szCs w:val="18"/>
              </w:rPr>
            </w:pPr>
            <w:r>
              <w:rPr>
                <w:sz w:val="18"/>
                <w:szCs w:val="18"/>
              </w:rPr>
              <w:t>44</w:t>
            </w:r>
          </w:p>
        </w:tc>
        <w:tc>
          <w:tcPr>
            <w:tcW w:w="673" w:type="dxa"/>
            <w:vMerge w:val="continue"/>
            <w:vAlign w:val="center"/>
          </w:tcPr>
          <w:p w14:paraId="30724C4C">
            <w:pPr>
              <w:widowControl/>
              <w:adjustRightInd/>
              <w:snapToGrid/>
              <w:spacing w:line="240" w:lineRule="auto"/>
              <w:jc w:val="left"/>
              <w:rPr>
                <w:kern w:val="0"/>
                <w:sz w:val="18"/>
                <w:szCs w:val="18"/>
              </w:rPr>
            </w:pPr>
          </w:p>
        </w:tc>
        <w:tc>
          <w:tcPr>
            <w:tcW w:w="595" w:type="dxa"/>
            <w:vMerge w:val="continue"/>
            <w:vAlign w:val="center"/>
          </w:tcPr>
          <w:p w14:paraId="2BE5DDB9">
            <w:pPr>
              <w:widowControl/>
              <w:adjustRightInd/>
              <w:snapToGrid/>
              <w:spacing w:line="240" w:lineRule="auto"/>
              <w:jc w:val="left"/>
              <w:rPr>
                <w:kern w:val="0"/>
                <w:sz w:val="18"/>
                <w:szCs w:val="18"/>
              </w:rPr>
            </w:pPr>
          </w:p>
        </w:tc>
        <w:tc>
          <w:tcPr>
            <w:tcW w:w="567" w:type="dxa"/>
            <w:vMerge w:val="continue"/>
            <w:vAlign w:val="center"/>
          </w:tcPr>
          <w:p w14:paraId="2C77BB14">
            <w:pPr>
              <w:widowControl/>
              <w:adjustRightInd/>
              <w:snapToGrid/>
              <w:spacing w:line="240" w:lineRule="auto"/>
              <w:jc w:val="left"/>
              <w:rPr>
                <w:kern w:val="0"/>
                <w:sz w:val="18"/>
                <w:szCs w:val="18"/>
              </w:rPr>
            </w:pPr>
          </w:p>
        </w:tc>
        <w:tc>
          <w:tcPr>
            <w:tcW w:w="426" w:type="dxa"/>
            <w:noWrap/>
            <w:vAlign w:val="center"/>
          </w:tcPr>
          <w:p w14:paraId="0850C2F0">
            <w:pPr>
              <w:widowControl/>
              <w:adjustRightInd/>
              <w:snapToGrid/>
              <w:spacing w:line="240" w:lineRule="auto"/>
              <w:jc w:val="center"/>
              <w:rPr>
                <w:kern w:val="0"/>
                <w:sz w:val="18"/>
                <w:szCs w:val="18"/>
              </w:rPr>
            </w:pPr>
            <w:r>
              <w:rPr>
                <w:sz w:val="18"/>
                <w:szCs w:val="18"/>
              </w:rPr>
              <w:t>夜间</w:t>
            </w:r>
          </w:p>
        </w:tc>
        <w:tc>
          <w:tcPr>
            <w:tcW w:w="708" w:type="dxa"/>
            <w:noWrap/>
            <w:vAlign w:val="center"/>
          </w:tcPr>
          <w:p w14:paraId="1D532E68">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1B280E9F">
            <w:pPr>
              <w:widowControl/>
              <w:adjustRightInd/>
              <w:snapToGrid/>
              <w:spacing w:line="240" w:lineRule="auto"/>
              <w:jc w:val="center"/>
              <w:rPr>
                <w:kern w:val="0"/>
                <w:sz w:val="18"/>
                <w:szCs w:val="18"/>
              </w:rPr>
            </w:pPr>
          </w:p>
        </w:tc>
        <w:tc>
          <w:tcPr>
            <w:tcW w:w="709" w:type="dxa"/>
            <w:vMerge w:val="continue"/>
            <w:noWrap/>
            <w:vAlign w:val="center"/>
          </w:tcPr>
          <w:p w14:paraId="6AC59E22">
            <w:pPr>
              <w:widowControl/>
              <w:adjustRightInd/>
              <w:snapToGrid/>
              <w:spacing w:line="240" w:lineRule="auto"/>
              <w:jc w:val="center"/>
              <w:rPr>
                <w:kern w:val="0"/>
                <w:sz w:val="18"/>
                <w:szCs w:val="18"/>
              </w:rPr>
            </w:pPr>
          </w:p>
        </w:tc>
        <w:tc>
          <w:tcPr>
            <w:tcW w:w="880" w:type="dxa"/>
            <w:vAlign w:val="center"/>
          </w:tcPr>
          <w:p w14:paraId="1CC53655">
            <w:pPr>
              <w:widowControl/>
              <w:adjustRightInd/>
              <w:snapToGrid/>
              <w:spacing w:line="240" w:lineRule="auto"/>
              <w:jc w:val="center"/>
              <w:rPr>
                <w:kern w:val="0"/>
                <w:sz w:val="18"/>
                <w:szCs w:val="18"/>
              </w:rPr>
            </w:pPr>
            <w:r>
              <w:rPr>
                <w:rFonts w:hint="eastAsia"/>
                <w:color w:val="000000"/>
                <w:sz w:val="18"/>
                <w:szCs w:val="18"/>
              </w:rPr>
              <w:t>54.2</w:t>
            </w:r>
          </w:p>
        </w:tc>
        <w:tc>
          <w:tcPr>
            <w:tcW w:w="880" w:type="dxa"/>
            <w:vAlign w:val="center"/>
          </w:tcPr>
          <w:p w14:paraId="37F669EC">
            <w:pPr>
              <w:widowControl/>
              <w:adjustRightInd/>
              <w:snapToGrid/>
              <w:spacing w:line="240" w:lineRule="auto"/>
              <w:jc w:val="center"/>
              <w:rPr>
                <w:kern w:val="0"/>
                <w:sz w:val="18"/>
                <w:szCs w:val="18"/>
              </w:rPr>
            </w:pPr>
            <w:r>
              <w:rPr>
                <w:color w:val="000000"/>
                <w:sz w:val="18"/>
                <w:szCs w:val="18"/>
              </w:rPr>
              <w:t xml:space="preserve">54.5 </w:t>
            </w:r>
          </w:p>
        </w:tc>
        <w:tc>
          <w:tcPr>
            <w:tcW w:w="881" w:type="dxa"/>
            <w:vAlign w:val="center"/>
          </w:tcPr>
          <w:p w14:paraId="2A8478BC">
            <w:pPr>
              <w:widowControl/>
              <w:adjustRightInd/>
              <w:snapToGrid/>
              <w:spacing w:line="240" w:lineRule="auto"/>
              <w:jc w:val="center"/>
              <w:rPr>
                <w:kern w:val="0"/>
                <w:sz w:val="18"/>
                <w:szCs w:val="18"/>
              </w:rPr>
            </w:pPr>
            <w:r>
              <w:rPr>
                <w:rFonts w:hint="eastAsia"/>
                <w:color w:val="000000"/>
                <w:sz w:val="18"/>
                <w:szCs w:val="18"/>
              </w:rPr>
              <w:t xml:space="preserve">11.5 </w:t>
            </w:r>
          </w:p>
        </w:tc>
        <w:tc>
          <w:tcPr>
            <w:tcW w:w="880" w:type="dxa"/>
            <w:vAlign w:val="center"/>
          </w:tcPr>
          <w:p w14:paraId="31FEBFD0">
            <w:pPr>
              <w:widowControl/>
              <w:adjustRightInd/>
              <w:snapToGrid/>
              <w:spacing w:line="240" w:lineRule="auto"/>
              <w:jc w:val="center"/>
              <w:rPr>
                <w:kern w:val="0"/>
                <w:sz w:val="18"/>
                <w:szCs w:val="18"/>
              </w:rPr>
            </w:pPr>
            <w:r>
              <w:rPr>
                <w:rFonts w:hint="eastAsia"/>
                <w:color w:val="000000"/>
                <w:sz w:val="18"/>
                <w:szCs w:val="18"/>
              </w:rPr>
              <w:t xml:space="preserve">4.5 </w:t>
            </w:r>
          </w:p>
        </w:tc>
        <w:tc>
          <w:tcPr>
            <w:tcW w:w="880" w:type="dxa"/>
            <w:noWrap/>
            <w:vAlign w:val="center"/>
          </w:tcPr>
          <w:p w14:paraId="1DA115D6">
            <w:pPr>
              <w:widowControl/>
              <w:adjustRightInd/>
              <w:snapToGrid/>
              <w:spacing w:line="240" w:lineRule="auto"/>
              <w:jc w:val="center"/>
              <w:rPr>
                <w:kern w:val="0"/>
                <w:sz w:val="18"/>
                <w:szCs w:val="18"/>
              </w:rPr>
            </w:pPr>
            <w:r>
              <w:rPr>
                <w:kern w:val="0"/>
                <w:sz w:val="18"/>
                <w:szCs w:val="18"/>
              </w:rPr>
              <w:t>55.1</w:t>
            </w:r>
          </w:p>
        </w:tc>
        <w:tc>
          <w:tcPr>
            <w:tcW w:w="881" w:type="dxa"/>
            <w:noWrap/>
            <w:vAlign w:val="center"/>
          </w:tcPr>
          <w:p w14:paraId="47CF83BD">
            <w:pPr>
              <w:widowControl/>
              <w:adjustRightInd/>
              <w:snapToGrid/>
              <w:spacing w:line="240" w:lineRule="auto"/>
              <w:jc w:val="center"/>
              <w:rPr>
                <w:kern w:val="0"/>
                <w:sz w:val="18"/>
                <w:szCs w:val="18"/>
              </w:rPr>
            </w:pPr>
            <w:r>
              <w:rPr>
                <w:color w:val="000000"/>
                <w:sz w:val="18"/>
                <w:szCs w:val="18"/>
              </w:rPr>
              <w:t xml:space="preserve">55.4 </w:t>
            </w:r>
          </w:p>
        </w:tc>
        <w:tc>
          <w:tcPr>
            <w:tcW w:w="880" w:type="dxa"/>
            <w:noWrap/>
            <w:vAlign w:val="center"/>
          </w:tcPr>
          <w:p w14:paraId="7EFDD10F">
            <w:pPr>
              <w:widowControl/>
              <w:adjustRightInd/>
              <w:snapToGrid/>
              <w:spacing w:line="240" w:lineRule="auto"/>
              <w:jc w:val="center"/>
              <w:rPr>
                <w:kern w:val="0"/>
                <w:sz w:val="18"/>
                <w:szCs w:val="18"/>
              </w:rPr>
            </w:pPr>
            <w:r>
              <w:rPr>
                <w:color w:val="000000"/>
                <w:sz w:val="18"/>
                <w:szCs w:val="18"/>
              </w:rPr>
              <w:t xml:space="preserve">12.4 </w:t>
            </w:r>
          </w:p>
        </w:tc>
        <w:tc>
          <w:tcPr>
            <w:tcW w:w="880" w:type="dxa"/>
            <w:noWrap/>
            <w:vAlign w:val="center"/>
          </w:tcPr>
          <w:p w14:paraId="6A4A1FC3">
            <w:pPr>
              <w:widowControl/>
              <w:adjustRightInd/>
              <w:snapToGrid/>
              <w:spacing w:line="240" w:lineRule="auto"/>
              <w:jc w:val="center"/>
              <w:rPr>
                <w:kern w:val="0"/>
                <w:sz w:val="18"/>
                <w:szCs w:val="18"/>
              </w:rPr>
            </w:pPr>
            <w:r>
              <w:rPr>
                <w:color w:val="000000"/>
                <w:sz w:val="18"/>
                <w:szCs w:val="18"/>
              </w:rPr>
              <w:t xml:space="preserve">5.4 </w:t>
            </w:r>
          </w:p>
        </w:tc>
        <w:tc>
          <w:tcPr>
            <w:tcW w:w="881" w:type="dxa"/>
            <w:noWrap/>
            <w:vAlign w:val="center"/>
          </w:tcPr>
          <w:p w14:paraId="38B16AA9">
            <w:pPr>
              <w:widowControl/>
              <w:adjustRightInd/>
              <w:snapToGrid/>
              <w:spacing w:line="240" w:lineRule="auto"/>
              <w:jc w:val="center"/>
              <w:rPr>
                <w:kern w:val="0"/>
                <w:sz w:val="18"/>
                <w:szCs w:val="18"/>
              </w:rPr>
            </w:pPr>
            <w:r>
              <w:rPr>
                <w:rFonts w:hint="eastAsia"/>
                <w:color w:val="000000"/>
                <w:sz w:val="18"/>
                <w:szCs w:val="18"/>
              </w:rPr>
              <w:t>56</w:t>
            </w:r>
          </w:p>
        </w:tc>
        <w:tc>
          <w:tcPr>
            <w:tcW w:w="880" w:type="dxa"/>
            <w:noWrap/>
            <w:vAlign w:val="center"/>
          </w:tcPr>
          <w:p w14:paraId="0955A1AD">
            <w:pPr>
              <w:widowControl/>
              <w:adjustRightInd/>
              <w:snapToGrid/>
              <w:spacing w:line="240" w:lineRule="auto"/>
              <w:jc w:val="center"/>
              <w:rPr>
                <w:kern w:val="0"/>
                <w:sz w:val="18"/>
                <w:szCs w:val="18"/>
              </w:rPr>
            </w:pPr>
            <w:r>
              <w:rPr>
                <w:color w:val="000000"/>
                <w:sz w:val="18"/>
                <w:szCs w:val="18"/>
              </w:rPr>
              <w:t xml:space="preserve">56.2 </w:t>
            </w:r>
          </w:p>
        </w:tc>
        <w:tc>
          <w:tcPr>
            <w:tcW w:w="880" w:type="dxa"/>
            <w:noWrap/>
            <w:vAlign w:val="center"/>
          </w:tcPr>
          <w:p w14:paraId="352819E1">
            <w:pPr>
              <w:widowControl/>
              <w:adjustRightInd/>
              <w:snapToGrid/>
              <w:spacing w:line="240" w:lineRule="auto"/>
              <w:jc w:val="center"/>
              <w:rPr>
                <w:kern w:val="0"/>
                <w:sz w:val="18"/>
                <w:szCs w:val="18"/>
              </w:rPr>
            </w:pPr>
            <w:r>
              <w:rPr>
                <w:color w:val="000000"/>
                <w:sz w:val="18"/>
                <w:szCs w:val="18"/>
              </w:rPr>
              <w:t xml:space="preserve">13.2 </w:t>
            </w:r>
          </w:p>
        </w:tc>
        <w:tc>
          <w:tcPr>
            <w:tcW w:w="881" w:type="dxa"/>
            <w:noWrap/>
            <w:vAlign w:val="center"/>
          </w:tcPr>
          <w:p w14:paraId="5E7590C6">
            <w:pPr>
              <w:widowControl/>
              <w:adjustRightInd/>
              <w:snapToGrid/>
              <w:spacing w:line="240" w:lineRule="auto"/>
              <w:jc w:val="center"/>
              <w:rPr>
                <w:kern w:val="0"/>
                <w:sz w:val="18"/>
                <w:szCs w:val="18"/>
              </w:rPr>
            </w:pPr>
            <w:r>
              <w:rPr>
                <w:color w:val="000000"/>
                <w:sz w:val="18"/>
                <w:szCs w:val="18"/>
              </w:rPr>
              <w:t xml:space="preserve">6.2 </w:t>
            </w:r>
          </w:p>
        </w:tc>
      </w:tr>
      <w:tr w14:paraId="25D523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2E913CE5">
            <w:pPr>
              <w:widowControl/>
              <w:adjustRightInd/>
              <w:snapToGrid/>
              <w:spacing w:line="240" w:lineRule="auto"/>
              <w:jc w:val="center"/>
              <w:rPr>
                <w:kern w:val="0"/>
                <w:sz w:val="18"/>
                <w:szCs w:val="18"/>
              </w:rPr>
            </w:pPr>
            <w:r>
              <w:rPr>
                <w:sz w:val="18"/>
                <w:szCs w:val="18"/>
              </w:rPr>
              <w:t>45</w:t>
            </w:r>
          </w:p>
        </w:tc>
        <w:tc>
          <w:tcPr>
            <w:tcW w:w="673" w:type="dxa"/>
            <w:vMerge w:val="continue"/>
            <w:vAlign w:val="center"/>
          </w:tcPr>
          <w:p w14:paraId="14D9F17D">
            <w:pPr>
              <w:widowControl/>
              <w:adjustRightInd/>
              <w:snapToGrid/>
              <w:spacing w:line="240" w:lineRule="auto"/>
              <w:jc w:val="left"/>
              <w:rPr>
                <w:kern w:val="0"/>
                <w:sz w:val="18"/>
                <w:szCs w:val="18"/>
              </w:rPr>
            </w:pPr>
          </w:p>
        </w:tc>
        <w:tc>
          <w:tcPr>
            <w:tcW w:w="595" w:type="dxa"/>
            <w:vMerge w:val="restart"/>
            <w:vAlign w:val="center"/>
          </w:tcPr>
          <w:p w14:paraId="08120927">
            <w:pPr>
              <w:widowControl/>
              <w:adjustRightInd/>
              <w:snapToGrid/>
              <w:spacing w:line="240" w:lineRule="auto"/>
              <w:jc w:val="center"/>
              <w:rPr>
                <w:kern w:val="0"/>
                <w:sz w:val="18"/>
                <w:szCs w:val="18"/>
              </w:rPr>
            </w:pPr>
            <w:r>
              <w:rPr>
                <w:kern w:val="0"/>
                <w:sz w:val="18"/>
                <w:szCs w:val="18"/>
              </w:rPr>
              <w:t>31.2</w:t>
            </w:r>
          </w:p>
        </w:tc>
        <w:tc>
          <w:tcPr>
            <w:tcW w:w="567" w:type="dxa"/>
            <w:vMerge w:val="continue"/>
            <w:vAlign w:val="center"/>
          </w:tcPr>
          <w:p w14:paraId="36F5CE3F">
            <w:pPr>
              <w:widowControl/>
              <w:adjustRightInd/>
              <w:snapToGrid/>
              <w:spacing w:line="240" w:lineRule="auto"/>
              <w:jc w:val="left"/>
              <w:rPr>
                <w:kern w:val="0"/>
                <w:sz w:val="18"/>
                <w:szCs w:val="18"/>
              </w:rPr>
            </w:pPr>
          </w:p>
        </w:tc>
        <w:tc>
          <w:tcPr>
            <w:tcW w:w="426" w:type="dxa"/>
            <w:noWrap/>
            <w:vAlign w:val="center"/>
          </w:tcPr>
          <w:p w14:paraId="0EF61FC1">
            <w:pPr>
              <w:widowControl/>
              <w:adjustRightInd/>
              <w:snapToGrid/>
              <w:spacing w:line="240" w:lineRule="auto"/>
              <w:jc w:val="center"/>
              <w:rPr>
                <w:kern w:val="0"/>
                <w:sz w:val="18"/>
                <w:szCs w:val="18"/>
              </w:rPr>
            </w:pPr>
            <w:r>
              <w:rPr>
                <w:sz w:val="18"/>
                <w:szCs w:val="18"/>
              </w:rPr>
              <w:t>昼间</w:t>
            </w:r>
          </w:p>
        </w:tc>
        <w:tc>
          <w:tcPr>
            <w:tcW w:w="708" w:type="dxa"/>
            <w:noWrap/>
            <w:vAlign w:val="center"/>
          </w:tcPr>
          <w:p w14:paraId="132CF2ED">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3E703056">
            <w:pPr>
              <w:widowControl/>
              <w:adjustRightInd/>
              <w:snapToGrid/>
              <w:spacing w:line="240" w:lineRule="auto"/>
              <w:jc w:val="center"/>
              <w:rPr>
                <w:kern w:val="0"/>
                <w:sz w:val="18"/>
                <w:szCs w:val="18"/>
              </w:rPr>
            </w:pPr>
          </w:p>
        </w:tc>
        <w:tc>
          <w:tcPr>
            <w:tcW w:w="709" w:type="dxa"/>
            <w:vMerge w:val="continue"/>
            <w:noWrap/>
            <w:vAlign w:val="center"/>
          </w:tcPr>
          <w:p w14:paraId="70FB1C98">
            <w:pPr>
              <w:widowControl/>
              <w:adjustRightInd/>
              <w:snapToGrid/>
              <w:spacing w:line="240" w:lineRule="auto"/>
              <w:jc w:val="center"/>
              <w:rPr>
                <w:kern w:val="0"/>
                <w:sz w:val="18"/>
                <w:szCs w:val="18"/>
              </w:rPr>
            </w:pPr>
          </w:p>
        </w:tc>
        <w:tc>
          <w:tcPr>
            <w:tcW w:w="880" w:type="dxa"/>
            <w:vAlign w:val="center"/>
          </w:tcPr>
          <w:p w14:paraId="33E42846">
            <w:pPr>
              <w:widowControl/>
              <w:adjustRightInd/>
              <w:snapToGrid/>
              <w:spacing w:line="240" w:lineRule="auto"/>
              <w:jc w:val="center"/>
              <w:rPr>
                <w:kern w:val="0"/>
                <w:sz w:val="18"/>
                <w:szCs w:val="18"/>
              </w:rPr>
            </w:pPr>
            <w:r>
              <w:rPr>
                <w:rFonts w:hint="eastAsia"/>
                <w:color w:val="000000"/>
                <w:sz w:val="18"/>
                <w:szCs w:val="18"/>
              </w:rPr>
              <w:t>64.9</w:t>
            </w:r>
          </w:p>
        </w:tc>
        <w:tc>
          <w:tcPr>
            <w:tcW w:w="880" w:type="dxa"/>
            <w:vAlign w:val="center"/>
          </w:tcPr>
          <w:p w14:paraId="54923ECF">
            <w:pPr>
              <w:widowControl/>
              <w:adjustRightInd/>
              <w:snapToGrid/>
              <w:spacing w:line="240" w:lineRule="auto"/>
              <w:jc w:val="center"/>
              <w:rPr>
                <w:kern w:val="0"/>
                <w:sz w:val="18"/>
                <w:szCs w:val="18"/>
              </w:rPr>
            </w:pPr>
            <w:r>
              <w:rPr>
                <w:color w:val="000000"/>
                <w:sz w:val="18"/>
                <w:szCs w:val="18"/>
              </w:rPr>
              <w:t xml:space="preserve">65.1 </w:t>
            </w:r>
          </w:p>
        </w:tc>
        <w:tc>
          <w:tcPr>
            <w:tcW w:w="881" w:type="dxa"/>
            <w:vAlign w:val="center"/>
          </w:tcPr>
          <w:p w14:paraId="41F10A81">
            <w:pPr>
              <w:widowControl/>
              <w:adjustRightInd/>
              <w:snapToGrid/>
              <w:spacing w:line="240" w:lineRule="auto"/>
              <w:jc w:val="center"/>
              <w:rPr>
                <w:kern w:val="0"/>
                <w:sz w:val="18"/>
                <w:szCs w:val="18"/>
              </w:rPr>
            </w:pPr>
            <w:r>
              <w:rPr>
                <w:rFonts w:hint="eastAsia"/>
                <w:color w:val="000000"/>
                <w:sz w:val="18"/>
                <w:szCs w:val="18"/>
              </w:rPr>
              <w:t xml:space="preserve">13.1 </w:t>
            </w:r>
          </w:p>
        </w:tc>
        <w:tc>
          <w:tcPr>
            <w:tcW w:w="880" w:type="dxa"/>
            <w:vAlign w:val="center"/>
          </w:tcPr>
          <w:p w14:paraId="5727115E">
            <w:pPr>
              <w:widowControl/>
              <w:adjustRightInd/>
              <w:snapToGrid/>
              <w:spacing w:line="240" w:lineRule="auto"/>
              <w:jc w:val="center"/>
              <w:rPr>
                <w:kern w:val="0"/>
                <w:sz w:val="18"/>
                <w:szCs w:val="18"/>
              </w:rPr>
            </w:pPr>
            <w:r>
              <w:rPr>
                <w:rFonts w:hint="eastAsia"/>
                <w:color w:val="000000"/>
                <w:sz w:val="18"/>
                <w:szCs w:val="18"/>
              </w:rPr>
              <w:t xml:space="preserve">5.1 </w:t>
            </w:r>
          </w:p>
        </w:tc>
        <w:tc>
          <w:tcPr>
            <w:tcW w:w="880" w:type="dxa"/>
            <w:noWrap/>
            <w:vAlign w:val="center"/>
          </w:tcPr>
          <w:p w14:paraId="2143A854">
            <w:pPr>
              <w:widowControl/>
              <w:adjustRightInd/>
              <w:snapToGrid/>
              <w:spacing w:line="240" w:lineRule="auto"/>
              <w:jc w:val="center"/>
              <w:rPr>
                <w:kern w:val="0"/>
                <w:sz w:val="18"/>
                <w:szCs w:val="18"/>
              </w:rPr>
            </w:pPr>
            <w:r>
              <w:rPr>
                <w:kern w:val="0"/>
                <w:sz w:val="18"/>
                <w:szCs w:val="18"/>
              </w:rPr>
              <w:t>65.7</w:t>
            </w:r>
          </w:p>
        </w:tc>
        <w:tc>
          <w:tcPr>
            <w:tcW w:w="881" w:type="dxa"/>
            <w:noWrap/>
            <w:vAlign w:val="center"/>
          </w:tcPr>
          <w:p w14:paraId="3B9D5C42">
            <w:pPr>
              <w:widowControl/>
              <w:adjustRightInd/>
              <w:snapToGrid/>
              <w:spacing w:line="240" w:lineRule="auto"/>
              <w:jc w:val="center"/>
              <w:rPr>
                <w:kern w:val="0"/>
                <w:sz w:val="18"/>
                <w:szCs w:val="18"/>
              </w:rPr>
            </w:pPr>
            <w:r>
              <w:rPr>
                <w:color w:val="000000"/>
                <w:sz w:val="18"/>
                <w:szCs w:val="18"/>
              </w:rPr>
              <w:t xml:space="preserve">65.9 </w:t>
            </w:r>
          </w:p>
        </w:tc>
        <w:tc>
          <w:tcPr>
            <w:tcW w:w="880" w:type="dxa"/>
            <w:noWrap/>
            <w:vAlign w:val="center"/>
          </w:tcPr>
          <w:p w14:paraId="1EE91D3B">
            <w:pPr>
              <w:widowControl/>
              <w:adjustRightInd/>
              <w:snapToGrid/>
              <w:spacing w:line="240" w:lineRule="auto"/>
              <w:jc w:val="center"/>
              <w:rPr>
                <w:kern w:val="0"/>
                <w:sz w:val="18"/>
                <w:szCs w:val="18"/>
              </w:rPr>
            </w:pPr>
            <w:r>
              <w:rPr>
                <w:color w:val="000000"/>
                <w:sz w:val="18"/>
                <w:szCs w:val="18"/>
              </w:rPr>
              <w:t xml:space="preserve">13.9 </w:t>
            </w:r>
          </w:p>
        </w:tc>
        <w:tc>
          <w:tcPr>
            <w:tcW w:w="880" w:type="dxa"/>
            <w:noWrap/>
            <w:vAlign w:val="center"/>
          </w:tcPr>
          <w:p w14:paraId="70131E52">
            <w:pPr>
              <w:widowControl/>
              <w:adjustRightInd/>
              <w:snapToGrid/>
              <w:spacing w:line="240" w:lineRule="auto"/>
              <w:jc w:val="center"/>
              <w:rPr>
                <w:kern w:val="0"/>
                <w:sz w:val="18"/>
                <w:szCs w:val="18"/>
              </w:rPr>
            </w:pPr>
            <w:r>
              <w:rPr>
                <w:color w:val="000000"/>
                <w:sz w:val="18"/>
                <w:szCs w:val="18"/>
              </w:rPr>
              <w:t xml:space="preserve">5.9 </w:t>
            </w:r>
          </w:p>
        </w:tc>
        <w:tc>
          <w:tcPr>
            <w:tcW w:w="881" w:type="dxa"/>
            <w:noWrap/>
            <w:vAlign w:val="center"/>
          </w:tcPr>
          <w:p w14:paraId="287F3158">
            <w:pPr>
              <w:widowControl/>
              <w:adjustRightInd/>
              <w:snapToGrid/>
              <w:spacing w:line="240" w:lineRule="auto"/>
              <w:jc w:val="center"/>
              <w:rPr>
                <w:kern w:val="0"/>
                <w:sz w:val="18"/>
                <w:szCs w:val="18"/>
              </w:rPr>
            </w:pPr>
            <w:r>
              <w:rPr>
                <w:rFonts w:hint="eastAsia"/>
                <w:color w:val="000000"/>
                <w:sz w:val="18"/>
                <w:szCs w:val="18"/>
              </w:rPr>
              <w:t>66.6</w:t>
            </w:r>
          </w:p>
        </w:tc>
        <w:tc>
          <w:tcPr>
            <w:tcW w:w="880" w:type="dxa"/>
            <w:noWrap/>
            <w:vAlign w:val="center"/>
          </w:tcPr>
          <w:p w14:paraId="3294B2B2">
            <w:pPr>
              <w:widowControl/>
              <w:adjustRightInd/>
              <w:snapToGrid/>
              <w:spacing w:line="240" w:lineRule="auto"/>
              <w:jc w:val="center"/>
              <w:rPr>
                <w:kern w:val="0"/>
                <w:sz w:val="18"/>
                <w:szCs w:val="18"/>
              </w:rPr>
            </w:pPr>
            <w:r>
              <w:rPr>
                <w:color w:val="000000"/>
                <w:sz w:val="18"/>
                <w:szCs w:val="18"/>
              </w:rPr>
              <w:t xml:space="preserve">66.7 </w:t>
            </w:r>
          </w:p>
        </w:tc>
        <w:tc>
          <w:tcPr>
            <w:tcW w:w="880" w:type="dxa"/>
            <w:noWrap/>
            <w:vAlign w:val="center"/>
          </w:tcPr>
          <w:p w14:paraId="0D981336">
            <w:pPr>
              <w:widowControl/>
              <w:adjustRightInd/>
              <w:snapToGrid/>
              <w:spacing w:line="240" w:lineRule="auto"/>
              <w:jc w:val="center"/>
              <w:rPr>
                <w:kern w:val="0"/>
                <w:sz w:val="18"/>
                <w:szCs w:val="18"/>
              </w:rPr>
            </w:pPr>
            <w:r>
              <w:rPr>
                <w:color w:val="000000"/>
                <w:sz w:val="18"/>
                <w:szCs w:val="18"/>
              </w:rPr>
              <w:t xml:space="preserve">14.7 </w:t>
            </w:r>
          </w:p>
        </w:tc>
        <w:tc>
          <w:tcPr>
            <w:tcW w:w="881" w:type="dxa"/>
            <w:noWrap/>
            <w:vAlign w:val="center"/>
          </w:tcPr>
          <w:p w14:paraId="1E25A91B">
            <w:pPr>
              <w:widowControl/>
              <w:adjustRightInd/>
              <w:snapToGrid/>
              <w:spacing w:line="240" w:lineRule="auto"/>
              <w:jc w:val="center"/>
              <w:rPr>
                <w:kern w:val="0"/>
                <w:sz w:val="18"/>
                <w:szCs w:val="18"/>
              </w:rPr>
            </w:pPr>
            <w:r>
              <w:rPr>
                <w:color w:val="000000"/>
                <w:sz w:val="18"/>
                <w:szCs w:val="18"/>
              </w:rPr>
              <w:t xml:space="preserve">6.7 </w:t>
            </w:r>
          </w:p>
        </w:tc>
      </w:tr>
      <w:tr w14:paraId="6BED34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CCF76D6">
            <w:pPr>
              <w:widowControl/>
              <w:adjustRightInd/>
              <w:snapToGrid/>
              <w:spacing w:line="240" w:lineRule="auto"/>
              <w:jc w:val="center"/>
              <w:rPr>
                <w:kern w:val="0"/>
                <w:sz w:val="18"/>
                <w:szCs w:val="18"/>
              </w:rPr>
            </w:pPr>
            <w:r>
              <w:rPr>
                <w:sz w:val="18"/>
                <w:szCs w:val="18"/>
              </w:rPr>
              <w:t>46</w:t>
            </w:r>
          </w:p>
        </w:tc>
        <w:tc>
          <w:tcPr>
            <w:tcW w:w="673" w:type="dxa"/>
            <w:vMerge w:val="continue"/>
            <w:vAlign w:val="center"/>
          </w:tcPr>
          <w:p w14:paraId="3E0EDDBD">
            <w:pPr>
              <w:widowControl/>
              <w:adjustRightInd/>
              <w:snapToGrid/>
              <w:spacing w:line="240" w:lineRule="auto"/>
              <w:jc w:val="left"/>
              <w:rPr>
                <w:kern w:val="0"/>
                <w:sz w:val="18"/>
                <w:szCs w:val="18"/>
              </w:rPr>
            </w:pPr>
          </w:p>
        </w:tc>
        <w:tc>
          <w:tcPr>
            <w:tcW w:w="595" w:type="dxa"/>
            <w:vMerge w:val="continue"/>
            <w:vAlign w:val="center"/>
          </w:tcPr>
          <w:p w14:paraId="5B5D6803">
            <w:pPr>
              <w:widowControl/>
              <w:adjustRightInd/>
              <w:snapToGrid/>
              <w:spacing w:line="240" w:lineRule="auto"/>
              <w:jc w:val="left"/>
              <w:rPr>
                <w:kern w:val="0"/>
                <w:sz w:val="18"/>
                <w:szCs w:val="18"/>
              </w:rPr>
            </w:pPr>
          </w:p>
        </w:tc>
        <w:tc>
          <w:tcPr>
            <w:tcW w:w="567" w:type="dxa"/>
            <w:vMerge w:val="continue"/>
            <w:vAlign w:val="center"/>
          </w:tcPr>
          <w:p w14:paraId="296C1874">
            <w:pPr>
              <w:widowControl/>
              <w:adjustRightInd/>
              <w:snapToGrid/>
              <w:spacing w:line="240" w:lineRule="auto"/>
              <w:jc w:val="left"/>
              <w:rPr>
                <w:kern w:val="0"/>
                <w:sz w:val="18"/>
                <w:szCs w:val="18"/>
              </w:rPr>
            </w:pPr>
          </w:p>
        </w:tc>
        <w:tc>
          <w:tcPr>
            <w:tcW w:w="426" w:type="dxa"/>
            <w:noWrap/>
            <w:vAlign w:val="center"/>
          </w:tcPr>
          <w:p w14:paraId="32F2DA0E">
            <w:pPr>
              <w:widowControl/>
              <w:adjustRightInd/>
              <w:snapToGrid/>
              <w:spacing w:line="240" w:lineRule="auto"/>
              <w:jc w:val="center"/>
              <w:rPr>
                <w:kern w:val="0"/>
                <w:sz w:val="18"/>
                <w:szCs w:val="18"/>
              </w:rPr>
            </w:pPr>
            <w:r>
              <w:rPr>
                <w:sz w:val="18"/>
                <w:szCs w:val="18"/>
              </w:rPr>
              <w:t>夜间</w:t>
            </w:r>
          </w:p>
        </w:tc>
        <w:tc>
          <w:tcPr>
            <w:tcW w:w="708" w:type="dxa"/>
            <w:noWrap/>
            <w:vAlign w:val="center"/>
          </w:tcPr>
          <w:p w14:paraId="29A4229B">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18D04DC8">
            <w:pPr>
              <w:widowControl/>
              <w:adjustRightInd/>
              <w:snapToGrid/>
              <w:spacing w:line="240" w:lineRule="auto"/>
              <w:jc w:val="center"/>
              <w:rPr>
                <w:kern w:val="0"/>
                <w:sz w:val="18"/>
                <w:szCs w:val="18"/>
              </w:rPr>
            </w:pPr>
          </w:p>
        </w:tc>
        <w:tc>
          <w:tcPr>
            <w:tcW w:w="709" w:type="dxa"/>
            <w:vMerge w:val="continue"/>
            <w:noWrap/>
            <w:vAlign w:val="center"/>
          </w:tcPr>
          <w:p w14:paraId="0A44B159">
            <w:pPr>
              <w:widowControl/>
              <w:adjustRightInd/>
              <w:snapToGrid/>
              <w:spacing w:line="240" w:lineRule="auto"/>
              <w:jc w:val="center"/>
              <w:rPr>
                <w:kern w:val="0"/>
                <w:sz w:val="18"/>
                <w:szCs w:val="18"/>
              </w:rPr>
            </w:pPr>
          </w:p>
        </w:tc>
        <w:tc>
          <w:tcPr>
            <w:tcW w:w="880" w:type="dxa"/>
            <w:vAlign w:val="center"/>
          </w:tcPr>
          <w:p w14:paraId="70D98F3A">
            <w:pPr>
              <w:widowControl/>
              <w:adjustRightInd/>
              <w:snapToGrid/>
              <w:spacing w:line="240" w:lineRule="auto"/>
              <w:jc w:val="center"/>
              <w:rPr>
                <w:kern w:val="0"/>
                <w:sz w:val="18"/>
                <w:szCs w:val="18"/>
              </w:rPr>
            </w:pPr>
            <w:r>
              <w:rPr>
                <w:rFonts w:hint="eastAsia"/>
                <w:color w:val="000000"/>
                <w:sz w:val="18"/>
                <w:szCs w:val="18"/>
              </w:rPr>
              <w:t>52.1</w:t>
            </w:r>
          </w:p>
        </w:tc>
        <w:tc>
          <w:tcPr>
            <w:tcW w:w="880" w:type="dxa"/>
            <w:vAlign w:val="center"/>
          </w:tcPr>
          <w:p w14:paraId="1FCAA120">
            <w:pPr>
              <w:widowControl/>
              <w:adjustRightInd/>
              <w:snapToGrid/>
              <w:spacing w:line="240" w:lineRule="auto"/>
              <w:jc w:val="center"/>
              <w:rPr>
                <w:kern w:val="0"/>
                <w:sz w:val="18"/>
                <w:szCs w:val="18"/>
              </w:rPr>
            </w:pPr>
            <w:r>
              <w:rPr>
                <w:color w:val="000000"/>
                <w:sz w:val="18"/>
                <w:szCs w:val="18"/>
              </w:rPr>
              <w:t xml:space="preserve">52.6 </w:t>
            </w:r>
          </w:p>
        </w:tc>
        <w:tc>
          <w:tcPr>
            <w:tcW w:w="881" w:type="dxa"/>
            <w:vAlign w:val="center"/>
          </w:tcPr>
          <w:p w14:paraId="6EEA6891">
            <w:pPr>
              <w:widowControl/>
              <w:adjustRightInd/>
              <w:snapToGrid/>
              <w:spacing w:line="240" w:lineRule="auto"/>
              <w:jc w:val="center"/>
              <w:rPr>
                <w:kern w:val="0"/>
                <w:sz w:val="18"/>
                <w:szCs w:val="18"/>
              </w:rPr>
            </w:pPr>
            <w:r>
              <w:rPr>
                <w:rFonts w:hint="eastAsia"/>
                <w:color w:val="000000"/>
                <w:sz w:val="18"/>
                <w:szCs w:val="18"/>
              </w:rPr>
              <w:t xml:space="preserve">9.6 </w:t>
            </w:r>
          </w:p>
        </w:tc>
        <w:tc>
          <w:tcPr>
            <w:tcW w:w="880" w:type="dxa"/>
            <w:vAlign w:val="center"/>
          </w:tcPr>
          <w:p w14:paraId="66E5B0A2">
            <w:pPr>
              <w:widowControl/>
              <w:adjustRightInd/>
              <w:snapToGrid/>
              <w:spacing w:line="240" w:lineRule="auto"/>
              <w:jc w:val="center"/>
              <w:rPr>
                <w:kern w:val="0"/>
                <w:sz w:val="18"/>
                <w:szCs w:val="18"/>
              </w:rPr>
            </w:pPr>
            <w:r>
              <w:rPr>
                <w:rFonts w:hint="eastAsia"/>
                <w:color w:val="000000"/>
                <w:sz w:val="18"/>
                <w:szCs w:val="18"/>
              </w:rPr>
              <w:t xml:space="preserve">2.6 </w:t>
            </w:r>
          </w:p>
        </w:tc>
        <w:tc>
          <w:tcPr>
            <w:tcW w:w="880" w:type="dxa"/>
            <w:noWrap/>
            <w:vAlign w:val="center"/>
          </w:tcPr>
          <w:p w14:paraId="40666762">
            <w:pPr>
              <w:widowControl/>
              <w:adjustRightInd/>
              <w:snapToGrid/>
              <w:spacing w:line="240" w:lineRule="auto"/>
              <w:jc w:val="center"/>
              <w:rPr>
                <w:kern w:val="0"/>
                <w:sz w:val="18"/>
                <w:szCs w:val="18"/>
              </w:rPr>
            </w:pPr>
            <w:r>
              <w:rPr>
                <w:kern w:val="0"/>
                <w:sz w:val="18"/>
                <w:szCs w:val="18"/>
              </w:rPr>
              <w:t>53</w:t>
            </w:r>
          </w:p>
        </w:tc>
        <w:tc>
          <w:tcPr>
            <w:tcW w:w="881" w:type="dxa"/>
            <w:noWrap/>
            <w:vAlign w:val="center"/>
          </w:tcPr>
          <w:p w14:paraId="3398E17C">
            <w:pPr>
              <w:widowControl/>
              <w:adjustRightInd/>
              <w:snapToGrid/>
              <w:spacing w:line="240" w:lineRule="auto"/>
              <w:jc w:val="center"/>
              <w:rPr>
                <w:kern w:val="0"/>
                <w:sz w:val="18"/>
                <w:szCs w:val="18"/>
              </w:rPr>
            </w:pPr>
            <w:r>
              <w:rPr>
                <w:color w:val="000000"/>
                <w:sz w:val="18"/>
                <w:szCs w:val="18"/>
              </w:rPr>
              <w:t xml:space="preserve">53.4 </w:t>
            </w:r>
          </w:p>
        </w:tc>
        <w:tc>
          <w:tcPr>
            <w:tcW w:w="880" w:type="dxa"/>
            <w:noWrap/>
            <w:vAlign w:val="center"/>
          </w:tcPr>
          <w:p w14:paraId="0B0F2572">
            <w:pPr>
              <w:widowControl/>
              <w:adjustRightInd/>
              <w:snapToGrid/>
              <w:spacing w:line="240" w:lineRule="auto"/>
              <w:jc w:val="center"/>
              <w:rPr>
                <w:kern w:val="0"/>
                <w:sz w:val="18"/>
                <w:szCs w:val="18"/>
              </w:rPr>
            </w:pPr>
            <w:r>
              <w:rPr>
                <w:color w:val="000000"/>
                <w:sz w:val="18"/>
                <w:szCs w:val="18"/>
              </w:rPr>
              <w:t xml:space="preserve">10.4 </w:t>
            </w:r>
          </w:p>
        </w:tc>
        <w:tc>
          <w:tcPr>
            <w:tcW w:w="880" w:type="dxa"/>
            <w:noWrap/>
            <w:vAlign w:val="center"/>
          </w:tcPr>
          <w:p w14:paraId="5F1C4042">
            <w:pPr>
              <w:widowControl/>
              <w:adjustRightInd/>
              <w:snapToGrid/>
              <w:spacing w:line="240" w:lineRule="auto"/>
              <w:jc w:val="center"/>
              <w:rPr>
                <w:kern w:val="0"/>
                <w:sz w:val="18"/>
                <w:szCs w:val="18"/>
              </w:rPr>
            </w:pPr>
            <w:r>
              <w:rPr>
                <w:color w:val="000000"/>
                <w:sz w:val="18"/>
                <w:szCs w:val="18"/>
              </w:rPr>
              <w:t xml:space="preserve">3.4 </w:t>
            </w:r>
          </w:p>
        </w:tc>
        <w:tc>
          <w:tcPr>
            <w:tcW w:w="881" w:type="dxa"/>
            <w:noWrap/>
            <w:vAlign w:val="center"/>
          </w:tcPr>
          <w:p w14:paraId="59DA0682">
            <w:pPr>
              <w:widowControl/>
              <w:adjustRightInd/>
              <w:snapToGrid/>
              <w:spacing w:line="240" w:lineRule="auto"/>
              <w:jc w:val="center"/>
              <w:rPr>
                <w:kern w:val="0"/>
                <w:sz w:val="18"/>
                <w:szCs w:val="18"/>
              </w:rPr>
            </w:pPr>
            <w:r>
              <w:rPr>
                <w:rFonts w:hint="eastAsia"/>
                <w:color w:val="000000"/>
                <w:sz w:val="18"/>
                <w:szCs w:val="18"/>
              </w:rPr>
              <w:t>53.9</w:t>
            </w:r>
          </w:p>
        </w:tc>
        <w:tc>
          <w:tcPr>
            <w:tcW w:w="880" w:type="dxa"/>
            <w:noWrap/>
            <w:vAlign w:val="center"/>
          </w:tcPr>
          <w:p w14:paraId="1C387D99">
            <w:pPr>
              <w:widowControl/>
              <w:adjustRightInd/>
              <w:snapToGrid/>
              <w:spacing w:line="240" w:lineRule="auto"/>
              <w:jc w:val="center"/>
              <w:rPr>
                <w:kern w:val="0"/>
                <w:sz w:val="18"/>
                <w:szCs w:val="18"/>
              </w:rPr>
            </w:pPr>
            <w:r>
              <w:rPr>
                <w:color w:val="000000"/>
                <w:sz w:val="18"/>
                <w:szCs w:val="18"/>
              </w:rPr>
              <w:t xml:space="preserve">54.2 </w:t>
            </w:r>
          </w:p>
        </w:tc>
        <w:tc>
          <w:tcPr>
            <w:tcW w:w="880" w:type="dxa"/>
            <w:noWrap/>
            <w:vAlign w:val="center"/>
          </w:tcPr>
          <w:p w14:paraId="3E371E4A">
            <w:pPr>
              <w:widowControl/>
              <w:adjustRightInd/>
              <w:snapToGrid/>
              <w:spacing w:line="240" w:lineRule="auto"/>
              <w:jc w:val="center"/>
              <w:rPr>
                <w:kern w:val="0"/>
                <w:sz w:val="18"/>
                <w:szCs w:val="18"/>
              </w:rPr>
            </w:pPr>
            <w:r>
              <w:rPr>
                <w:color w:val="000000"/>
                <w:sz w:val="18"/>
                <w:szCs w:val="18"/>
              </w:rPr>
              <w:t xml:space="preserve">11.2 </w:t>
            </w:r>
          </w:p>
        </w:tc>
        <w:tc>
          <w:tcPr>
            <w:tcW w:w="881" w:type="dxa"/>
            <w:noWrap/>
            <w:vAlign w:val="center"/>
          </w:tcPr>
          <w:p w14:paraId="6391D034">
            <w:pPr>
              <w:widowControl/>
              <w:adjustRightInd/>
              <w:snapToGrid/>
              <w:spacing w:line="240" w:lineRule="auto"/>
              <w:jc w:val="center"/>
              <w:rPr>
                <w:kern w:val="0"/>
                <w:sz w:val="18"/>
                <w:szCs w:val="18"/>
              </w:rPr>
            </w:pPr>
            <w:r>
              <w:rPr>
                <w:color w:val="000000"/>
                <w:sz w:val="18"/>
                <w:szCs w:val="18"/>
              </w:rPr>
              <w:t xml:space="preserve">4.2 </w:t>
            </w:r>
          </w:p>
        </w:tc>
      </w:tr>
      <w:tr w14:paraId="6882AE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5F5BCA5">
            <w:pPr>
              <w:widowControl/>
              <w:adjustRightInd/>
              <w:snapToGrid/>
              <w:spacing w:line="240" w:lineRule="auto"/>
              <w:jc w:val="center"/>
              <w:rPr>
                <w:kern w:val="0"/>
                <w:sz w:val="18"/>
                <w:szCs w:val="18"/>
              </w:rPr>
            </w:pPr>
            <w:r>
              <w:rPr>
                <w:sz w:val="18"/>
                <w:szCs w:val="18"/>
              </w:rPr>
              <w:t>47</w:t>
            </w:r>
          </w:p>
        </w:tc>
        <w:tc>
          <w:tcPr>
            <w:tcW w:w="673" w:type="dxa"/>
            <w:vMerge w:val="continue"/>
            <w:vAlign w:val="center"/>
          </w:tcPr>
          <w:p w14:paraId="3F52B3B9">
            <w:pPr>
              <w:widowControl/>
              <w:adjustRightInd/>
              <w:snapToGrid/>
              <w:spacing w:line="240" w:lineRule="auto"/>
              <w:jc w:val="left"/>
              <w:rPr>
                <w:kern w:val="0"/>
                <w:sz w:val="18"/>
                <w:szCs w:val="18"/>
              </w:rPr>
            </w:pPr>
          </w:p>
        </w:tc>
        <w:tc>
          <w:tcPr>
            <w:tcW w:w="595" w:type="dxa"/>
            <w:vMerge w:val="restart"/>
            <w:vAlign w:val="center"/>
          </w:tcPr>
          <w:p w14:paraId="62C5995F">
            <w:pPr>
              <w:widowControl/>
              <w:adjustRightInd/>
              <w:snapToGrid/>
              <w:spacing w:line="240" w:lineRule="auto"/>
              <w:jc w:val="center"/>
              <w:rPr>
                <w:kern w:val="0"/>
                <w:sz w:val="18"/>
                <w:szCs w:val="18"/>
              </w:rPr>
            </w:pPr>
            <w:r>
              <w:rPr>
                <w:kern w:val="0"/>
                <w:sz w:val="18"/>
                <w:szCs w:val="18"/>
              </w:rPr>
              <w:t>46.2</w:t>
            </w:r>
          </w:p>
        </w:tc>
        <w:tc>
          <w:tcPr>
            <w:tcW w:w="567" w:type="dxa"/>
            <w:vMerge w:val="continue"/>
            <w:vAlign w:val="center"/>
          </w:tcPr>
          <w:p w14:paraId="5199B132">
            <w:pPr>
              <w:widowControl/>
              <w:adjustRightInd/>
              <w:snapToGrid/>
              <w:spacing w:line="240" w:lineRule="auto"/>
              <w:jc w:val="left"/>
              <w:rPr>
                <w:kern w:val="0"/>
                <w:sz w:val="18"/>
                <w:szCs w:val="18"/>
              </w:rPr>
            </w:pPr>
          </w:p>
        </w:tc>
        <w:tc>
          <w:tcPr>
            <w:tcW w:w="426" w:type="dxa"/>
            <w:noWrap/>
            <w:vAlign w:val="center"/>
          </w:tcPr>
          <w:p w14:paraId="102FA348">
            <w:pPr>
              <w:widowControl/>
              <w:adjustRightInd/>
              <w:snapToGrid/>
              <w:spacing w:line="240" w:lineRule="auto"/>
              <w:jc w:val="center"/>
              <w:rPr>
                <w:kern w:val="0"/>
                <w:sz w:val="18"/>
                <w:szCs w:val="18"/>
              </w:rPr>
            </w:pPr>
            <w:r>
              <w:rPr>
                <w:sz w:val="18"/>
                <w:szCs w:val="18"/>
              </w:rPr>
              <w:t>昼间</w:t>
            </w:r>
          </w:p>
        </w:tc>
        <w:tc>
          <w:tcPr>
            <w:tcW w:w="708" w:type="dxa"/>
            <w:noWrap/>
            <w:vAlign w:val="center"/>
          </w:tcPr>
          <w:p w14:paraId="0E97CC03">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707A542C">
            <w:pPr>
              <w:widowControl/>
              <w:adjustRightInd/>
              <w:snapToGrid/>
              <w:spacing w:line="240" w:lineRule="auto"/>
              <w:jc w:val="center"/>
              <w:rPr>
                <w:kern w:val="0"/>
                <w:sz w:val="18"/>
                <w:szCs w:val="18"/>
              </w:rPr>
            </w:pPr>
          </w:p>
        </w:tc>
        <w:tc>
          <w:tcPr>
            <w:tcW w:w="709" w:type="dxa"/>
            <w:vMerge w:val="continue"/>
            <w:noWrap/>
            <w:vAlign w:val="center"/>
          </w:tcPr>
          <w:p w14:paraId="1FFC07F5">
            <w:pPr>
              <w:widowControl/>
              <w:adjustRightInd/>
              <w:snapToGrid/>
              <w:spacing w:line="240" w:lineRule="auto"/>
              <w:jc w:val="center"/>
              <w:rPr>
                <w:kern w:val="0"/>
                <w:sz w:val="18"/>
                <w:szCs w:val="18"/>
              </w:rPr>
            </w:pPr>
          </w:p>
        </w:tc>
        <w:tc>
          <w:tcPr>
            <w:tcW w:w="880" w:type="dxa"/>
            <w:vAlign w:val="center"/>
          </w:tcPr>
          <w:p w14:paraId="13FF0AA0">
            <w:pPr>
              <w:widowControl/>
              <w:adjustRightInd/>
              <w:snapToGrid/>
              <w:spacing w:line="240" w:lineRule="auto"/>
              <w:jc w:val="center"/>
              <w:rPr>
                <w:kern w:val="0"/>
                <w:sz w:val="18"/>
                <w:szCs w:val="18"/>
              </w:rPr>
            </w:pPr>
            <w:r>
              <w:rPr>
                <w:rFonts w:hint="eastAsia"/>
                <w:color w:val="000000"/>
                <w:sz w:val="18"/>
                <w:szCs w:val="18"/>
              </w:rPr>
              <w:t>63.6</w:t>
            </w:r>
          </w:p>
        </w:tc>
        <w:tc>
          <w:tcPr>
            <w:tcW w:w="880" w:type="dxa"/>
            <w:vAlign w:val="center"/>
          </w:tcPr>
          <w:p w14:paraId="3B0C9726">
            <w:pPr>
              <w:widowControl/>
              <w:adjustRightInd/>
              <w:snapToGrid/>
              <w:spacing w:line="240" w:lineRule="auto"/>
              <w:jc w:val="center"/>
              <w:rPr>
                <w:kern w:val="0"/>
                <w:sz w:val="18"/>
                <w:szCs w:val="18"/>
              </w:rPr>
            </w:pPr>
            <w:r>
              <w:rPr>
                <w:color w:val="000000"/>
                <w:sz w:val="18"/>
                <w:szCs w:val="18"/>
              </w:rPr>
              <w:t xml:space="preserve">63.9 </w:t>
            </w:r>
          </w:p>
        </w:tc>
        <w:tc>
          <w:tcPr>
            <w:tcW w:w="881" w:type="dxa"/>
            <w:vAlign w:val="center"/>
          </w:tcPr>
          <w:p w14:paraId="5916BC1C">
            <w:pPr>
              <w:widowControl/>
              <w:adjustRightInd/>
              <w:snapToGrid/>
              <w:spacing w:line="240" w:lineRule="auto"/>
              <w:jc w:val="center"/>
              <w:rPr>
                <w:kern w:val="0"/>
                <w:sz w:val="18"/>
                <w:szCs w:val="18"/>
              </w:rPr>
            </w:pPr>
            <w:r>
              <w:rPr>
                <w:rFonts w:hint="eastAsia"/>
                <w:color w:val="000000"/>
                <w:sz w:val="18"/>
                <w:szCs w:val="18"/>
              </w:rPr>
              <w:t xml:space="preserve">11.9 </w:t>
            </w:r>
          </w:p>
        </w:tc>
        <w:tc>
          <w:tcPr>
            <w:tcW w:w="880" w:type="dxa"/>
            <w:vAlign w:val="center"/>
          </w:tcPr>
          <w:p w14:paraId="2A968659">
            <w:pPr>
              <w:widowControl/>
              <w:adjustRightInd/>
              <w:snapToGrid/>
              <w:spacing w:line="240" w:lineRule="auto"/>
              <w:jc w:val="center"/>
              <w:rPr>
                <w:kern w:val="0"/>
                <w:sz w:val="18"/>
                <w:szCs w:val="18"/>
              </w:rPr>
            </w:pPr>
            <w:r>
              <w:rPr>
                <w:rFonts w:hint="eastAsia"/>
                <w:color w:val="000000"/>
                <w:sz w:val="18"/>
                <w:szCs w:val="18"/>
              </w:rPr>
              <w:t xml:space="preserve">3.9 </w:t>
            </w:r>
          </w:p>
        </w:tc>
        <w:tc>
          <w:tcPr>
            <w:tcW w:w="880" w:type="dxa"/>
            <w:noWrap/>
            <w:vAlign w:val="center"/>
          </w:tcPr>
          <w:p w14:paraId="21DB9413">
            <w:pPr>
              <w:widowControl/>
              <w:adjustRightInd/>
              <w:snapToGrid/>
              <w:spacing w:line="240" w:lineRule="auto"/>
              <w:jc w:val="center"/>
              <w:rPr>
                <w:kern w:val="0"/>
                <w:sz w:val="18"/>
                <w:szCs w:val="18"/>
              </w:rPr>
            </w:pPr>
            <w:r>
              <w:rPr>
                <w:kern w:val="0"/>
                <w:sz w:val="18"/>
                <w:szCs w:val="18"/>
              </w:rPr>
              <w:t>64.5</w:t>
            </w:r>
          </w:p>
        </w:tc>
        <w:tc>
          <w:tcPr>
            <w:tcW w:w="881" w:type="dxa"/>
            <w:noWrap/>
            <w:vAlign w:val="center"/>
          </w:tcPr>
          <w:p w14:paraId="7FCC6222">
            <w:pPr>
              <w:widowControl/>
              <w:adjustRightInd/>
              <w:snapToGrid/>
              <w:spacing w:line="240" w:lineRule="auto"/>
              <w:jc w:val="center"/>
              <w:rPr>
                <w:kern w:val="0"/>
                <w:sz w:val="18"/>
                <w:szCs w:val="18"/>
              </w:rPr>
            </w:pPr>
            <w:r>
              <w:rPr>
                <w:color w:val="000000"/>
                <w:sz w:val="18"/>
                <w:szCs w:val="18"/>
              </w:rPr>
              <w:t xml:space="preserve">64.7 </w:t>
            </w:r>
          </w:p>
        </w:tc>
        <w:tc>
          <w:tcPr>
            <w:tcW w:w="880" w:type="dxa"/>
            <w:noWrap/>
            <w:vAlign w:val="center"/>
          </w:tcPr>
          <w:p w14:paraId="5EDDAC42">
            <w:pPr>
              <w:widowControl/>
              <w:adjustRightInd/>
              <w:snapToGrid/>
              <w:spacing w:line="240" w:lineRule="auto"/>
              <w:jc w:val="center"/>
              <w:rPr>
                <w:kern w:val="0"/>
                <w:sz w:val="18"/>
                <w:szCs w:val="18"/>
              </w:rPr>
            </w:pPr>
            <w:r>
              <w:rPr>
                <w:color w:val="000000"/>
                <w:sz w:val="18"/>
                <w:szCs w:val="18"/>
              </w:rPr>
              <w:t xml:space="preserve">12.7 </w:t>
            </w:r>
          </w:p>
        </w:tc>
        <w:tc>
          <w:tcPr>
            <w:tcW w:w="880" w:type="dxa"/>
            <w:noWrap/>
            <w:vAlign w:val="center"/>
          </w:tcPr>
          <w:p w14:paraId="79264E31">
            <w:pPr>
              <w:widowControl/>
              <w:adjustRightInd/>
              <w:snapToGrid/>
              <w:spacing w:line="240" w:lineRule="auto"/>
              <w:jc w:val="center"/>
              <w:rPr>
                <w:kern w:val="0"/>
                <w:sz w:val="18"/>
                <w:szCs w:val="18"/>
              </w:rPr>
            </w:pPr>
            <w:r>
              <w:rPr>
                <w:color w:val="000000"/>
                <w:sz w:val="18"/>
                <w:szCs w:val="18"/>
              </w:rPr>
              <w:t xml:space="preserve">4.7 </w:t>
            </w:r>
          </w:p>
        </w:tc>
        <w:tc>
          <w:tcPr>
            <w:tcW w:w="881" w:type="dxa"/>
            <w:noWrap/>
            <w:vAlign w:val="center"/>
          </w:tcPr>
          <w:p w14:paraId="4D92B56C">
            <w:pPr>
              <w:widowControl/>
              <w:adjustRightInd/>
              <w:snapToGrid/>
              <w:spacing w:line="240" w:lineRule="auto"/>
              <w:jc w:val="center"/>
              <w:rPr>
                <w:kern w:val="0"/>
                <w:sz w:val="18"/>
                <w:szCs w:val="18"/>
              </w:rPr>
            </w:pPr>
            <w:r>
              <w:rPr>
                <w:rFonts w:hint="eastAsia"/>
                <w:color w:val="000000"/>
                <w:sz w:val="18"/>
                <w:szCs w:val="18"/>
              </w:rPr>
              <w:t>65.4</w:t>
            </w:r>
          </w:p>
        </w:tc>
        <w:tc>
          <w:tcPr>
            <w:tcW w:w="880" w:type="dxa"/>
            <w:noWrap/>
            <w:vAlign w:val="center"/>
          </w:tcPr>
          <w:p w14:paraId="1046C163">
            <w:pPr>
              <w:widowControl/>
              <w:adjustRightInd/>
              <w:snapToGrid/>
              <w:spacing w:line="240" w:lineRule="auto"/>
              <w:jc w:val="center"/>
              <w:rPr>
                <w:kern w:val="0"/>
                <w:sz w:val="18"/>
                <w:szCs w:val="18"/>
              </w:rPr>
            </w:pPr>
            <w:r>
              <w:rPr>
                <w:color w:val="000000"/>
                <w:sz w:val="18"/>
                <w:szCs w:val="18"/>
              </w:rPr>
              <w:t xml:space="preserve">65.6 </w:t>
            </w:r>
          </w:p>
        </w:tc>
        <w:tc>
          <w:tcPr>
            <w:tcW w:w="880" w:type="dxa"/>
            <w:noWrap/>
            <w:vAlign w:val="center"/>
          </w:tcPr>
          <w:p w14:paraId="05759B94">
            <w:pPr>
              <w:widowControl/>
              <w:adjustRightInd/>
              <w:snapToGrid/>
              <w:spacing w:line="240" w:lineRule="auto"/>
              <w:jc w:val="center"/>
              <w:rPr>
                <w:kern w:val="0"/>
                <w:sz w:val="18"/>
                <w:szCs w:val="18"/>
              </w:rPr>
            </w:pPr>
            <w:r>
              <w:rPr>
                <w:color w:val="000000"/>
                <w:sz w:val="18"/>
                <w:szCs w:val="18"/>
              </w:rPr>
              <w:t xml:space="preserve">13.6 </w:t>
            </w:r>
          </w:p>
        </w:tc>
        <w:tc>
          <w:tcPr>
            <w:tcW w:w="881" w:type="dxa"/>
            <w:noWrap/>
            <w:vAlign w:val="center"/>
          </w:tcPr>
          <w:p w14:paraId="0BDE417A">
            <w:pPr>
              <w:widowControl/>
              <w:adjustRightInd/>
              <w:snapToGrid/>
              <w:spacing w:line="240" w:lineRule="auto"/>
              <w:jc w:val="center"/>
              <w:rPr>
                <w:kern w:val="0"/>
                <w:sz w:val="18"/>
                <w:szCs w:val="18"/>
              </w:rPr>
            </w:pPr>
            <w:r>
              <w:rPr>
                <w:color w:val="000000"/>
                <w:sz w:val="18"/>
                <w:szCs w:val="18"/>
              </w:rPr>
              <w:t xml:space="preserve">5.6 </w:t>
            </w:r>
          </w:p>
        </w:tc>
      </w:tr>
      <w:tr w14:paraId="7290B0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86B5667">
            <w:pPr>
              <w:widowControl/>
              <w:adjustRightInd/>
              <w:snapToGrid/>
              <w:spacing w:line="240" w:lineRule="auto"/>
              <w:jc w:val="center"/>
              <w:rPr>
                <w:kern w:val="0"/>
                <w:sz w:val="18"/>
                <w:szCs w:val="18"/>
              </w:rPr>
            </w:pPr>
            <w:r>
              <w:rPr>
                <w:sz w:val="18"/>
                <w:szCs w:val="18"/>
              </w:rPr>
              <w:t>48</w:t>
            </w:r>
          </w:p>
        </w:tc>
        <w:tc>
          <w:tcPr>
            <w:tcW w:w="673" w:type="dxa"/>
            <w:vMerge w:val="continue"/>
            <w:vAlign w:val="center"/>
          </w:tcPr>
          <w:p w14:paraId="48DEAB72">
            <w:pPr>
              <w:widowControl/>
              <w:adjustRightInd/>
              <w:snapToGrid/>
              <w:spacing w:line="240" w:lineRule="auto"/>
              <w:jc w:val="left"/>
              <w:rPr>
                <w:kern w:val="0"/>
                <w:sz w:val="18"/>
                <w:szCs w:val="18"/>
              </w:rPr>
            </w:pPr>
          </w:p>
        </w:tc>
        <w:tc>
          <w:tcPr>
            <w:tcW w:w="595" w:type="dxa"/>
            <w:vMerge w:val="continue"/>
            <w:vAlign w:val="center"/>
          </w:tcPr>
          <w:p w14:paraId="21642256">
            <w:pPr>
              <w:widowControl/>
              <w:adjustRightInd/>
              <w:snapToGrid/>
              <w:spacing w:line="240" w:lineRule="auto"/>
              <w:jc w:val="left"/>
              <w:rPr>
                <w:kern w:val="0"/>
                <w:sz w:val="18"/>
                <w:szCs w:val="18"/>
              </w:rPr>
            </w:pPr>
          </w:p>
        </w:tc>
        <w:tc>
          <w:tcPr>
            <w:tcW w:w="567" w:type="dxa"/>
            <w:vMerge w:val="continue"/>
            <w:vAlign w:val="center"/>
          </w:tcPr>
          <w:p w14:paraId="198602A1">
            <w:pPr>
              <w:widowControl/>
              <w:adjustRightInd/>
              <w:snapToGrid/>
              <w:spacing w:line="240" w:lineRule="auto"/>
              <w:jc w:val="left"/>
              <w:rPr>
                <w:kern w:val="0"/>
                <w:sz w:val="18"/>
                <w:szCs w:val="18"/>
              </w:rPr>
            </w:pPr>
          </w:p>
        </w:tc>
        <w:tc>
          <w:tcPr>
            <w:tcW w:w="426" w:type="dxa"/>
            <w:noWrap/>
            <w:vAlign w:val="center"/>
          </w:tcPr>
          <w:p w14:paraId="451F959B">
            <w:pPr>
              <w:widowControl/>
              <w:adjustRightInd/>
              <w:snapToGrid/>
              <w:spacing w:line="240" w:lineRule="auto"/>
              <w:jc w:val="center"/>
              <w:rPr>
                <w:kern w:val="0"/>
                <w:sz w:val="18"/>
                <w:szCs w:val="18"/>
              </w:rPr>
            </w:pPr>
            <w:r>
              <w:rPr>
                <w:sz w:val="18"/>
                <w:szCs w:val="18"/>
              </w:rPr>
              <w:t>夜间</w:t>
            </w:r>
          </w:p>
        </w:tc>
        <w:tc>
          <w:tcPr>
            <w:tcW w:w="708" w:type="dxa"/>
            <w:noWrap/>
            <w:vAlign w:val="center"/>
          </w:tcPr>
          <w:p w14:paraId="67BB4135">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15C18FA8">
            <w:pPr>
              <w:widowControl/>
              <w:adjustRightInd/>
              <w:snapToGrid/>
              <w:spacing w:line="240" w:lineRule="auto"/>
              <w:jc w:val="center"/>
              <w:rPr>
                <w:kern w:val="0"/>
                <w:sz w:val="18"/>
                <w:szCs w:val="18"/>
              </w:rPr>
            </w:pPr>
          </w:p>
        </w:tc>
        <w:tc>
          <w:tcPr>
            <w:tcW w:w="709" w:type="dxa"/>
            <w:vMerge w:val="continue"/>
            <w:noWrap/>
            <w:vAlign w:val="center"/>
          </w:tcPr>
          <w:p w14:paraId="3DB0EE1B">
            <w:pPr>
              <w:widowControl/>
              <w:adjustRightInd/>
              <w:snapToGrid/>
              <w:spacing w:line="240" w:lineRule="auto"/>
              <w:jc w:val="center"/>
              <w:rPr>
                <w:kern w:val="0"/>
                <w:sz w:val="18"/>
                <w:szCs w:val="18"/>
              </w:rPr>
            </w:pPr>
          </w:p>
        </w:tc>
        <w:tc>
          <w:tcPr>
            <w:tcW w:w="880" w:type="dxa"/>
            <w:vAlign w:val="center"/>
          </w:tcPr>
          <w:p w14:paraId="5F801930">
            <w:pPr>
              <w:widowControl/>
              <w:adjustRightInd/>
              <w:snapToGrid/>
              <w:spacing w:line="240" w:lineRule="auto"/>
              <w:jc w:val="center"/>
              <w:rPr>
                <w:kern w:val="0"/>
                <w:sz w:val="18"/>
                <w:szCs w:val="18"/>
              </w:rPr>
            </w:pPr>
            <w:r>
              <w:rPr>
                <w:rFonts w:hint="eastAsia"/>
                <w:color w:val="000000"/>
                <w:sz w:val="18"/>
                <w:szCs w:val="18"/>
              </w:rPr>
              <w:t>50.3</w:t>
            </w:r>
          </w:p>
        </w:tc>
        <w:tc>
          <w:tcPr>
            <w:tcW w:w="880" w:type="dxa"/>
            <w:vAlign w:val="center"/>
          </w:tcPr>
          <w:p w14:paraId="7FCDFD0C">
            <w:pPr>
              <w:widowControl/>
              <w:adjustRightInd/>
              <w:snapToGrid/>
              <w:spacing w:line="240" w:lineRule="auto"/>
              <w:jc w:val="center"/>
              <w:rPr>
                <w:kern w:val="0"/>
                <w:sz w:val="18"/>
                <w:szCs w:val="18"/>
              </w:rPr>
            </w:pPr>
            <w:r>
              <w:rPr>
                <w:color w:val="000000"/>
                <w:sz w:val="18"/>
                <w:szCs w:val="18"/>
              </w:rPr>
              <w:t xml:space="preserve">51.0 </w:t>
            </w:r>
          </w:p>
        </w:tc>
        <w:tc>
          <w:tcPr>
            <w:tcW w:w="881" w:type="dxa"/>
            <w:vAlign w:val="center"/>
          </w:tcPr>
          <w:p w14:paraId="7A94BB43">
            <w:pPr>
              <w:widowControl/>
              <w:adjustRightInd/>
              <w:snapToGrid/>
              <w:spacing w:line="240" w:lineRule="auto"/>
              <w:jc w:val="center"/>
              <w:rPr>
                <w:kern w:val="0"/>
                <w:sz w:val="18"/>
                <w:szCs w:val="18"/>
              </w:rPr>
            </w:pPr>
            <w:r>
              <w:rPr>
                <w:rFonts w:hint="eastAsia"/>
                <w:color w:val="000000"/>
                <w:sz w:val="18"/>
                <w:szCs w:val="18"/>
              </w:rPr>
              <w:t xml:space="preserve">8.0 </w:t>
            </w:r>
          </w:p>
        </w:tc>
        <w:tc>
          <w:tcPr>
            <w:tcW w:w="880" w:type="dxa"/>
            <w:vAlign w:val="center"/>
          </w:tcPr>
          <w:p w14:paraId="622A4BC6">
            <w:pPr>
              <w:widowControl/>
              <w:adjustRightInd/>
              <w:snapToGrid/>
              <w:spacing w:line="240" w:lineRule="auto"/>
              <w:jc w:val="center"/>
              <w:rPr>
                <w:kern w:val="0"/>
                <w:sz w:val="18"/>
                <w:szCs w:val="18"/>
              </w:rPr>
            </w:pPr>
            <w:r>
              <w:rPr>
                <w:rFonts w:hint="eastAsia"/>
                <w:color w:val="000000"/>
                <w:sz w:val="18"/>
                <w:szCs w:val="18"/>
              </w:rPr>
              <w:t xml:space="preserve">1.0 </w:t>
            </w:r>
          </w:p>
        </w:tc>
        <w:tc>
          <w:tcPr>
            <w:tcW w:w="880" w:type="dxa"/>
            <w:noWrap/>
            <w:vAlign w:val="center"/>
          </w:tcPr>
          <w:p w14:paraId="7F8E0424">
            <w:pPr>
              <w:widowControl/>
              <w:adjustRightInd/>
              <w:snapToGrid/>
              <w:spacing w:line="240" w:lineRule="auto"/>
              <w:jc w:val="center"/>
              <w:rPr>
                <w:kern w:val="0"/>
                <w:sz w:val="18"/>
                <w:szCs w:val="18"/>
              </w:rPr>
            </w:pPr>
            <w:r>
              <w:rPr>
                <w:kern w:val="0"/>
                <w:sz w:val="18"/>
                <w:szCs w:val="18"/>
              </w:rPr>
              <w:t>51.1</w:t>
            </w:r>
          </w:p>
        </w:tc>
        <w:tc>
          <w:tcPr>
            <w:tcW w:w="881" w:type="dxa"/>
            <w:noWrap/>
            <w:vAlign w:val="center"/>
          </w:tcPr>
          <w:p w14:paraId="0641C6C7">
            <w:pPr>
              <w:widowControl/>
              <w:adjustRightInd/>
              <w:snapToGrid/>
              <w:spacing w:line="240" w:lineRule="auto"/>
              <w:jc w:val="center"/>
              <w:rPr>
                <w:kern w:val="0"/>
                <w:sz w:val="18"/>
                <w:szCs w:val="18"/>
              </w:rPr>
            </w:pPr>
            <w:r>
              <w:rPr>
                <w:color w:val="000000"/>
                <w:sz w:val="18"/>
                <w:szCs w:val="18"/>
              </w:rPr>
              <w:t xml:space="preserve">51.7 </w:t>
            </w:r>
          </w:p>
        </w:tc>
        <w:tc>
          <w:tcPr>
            <w:tcW w:w="880" w:type="dxa"/>
            <w:noWrap/>
            <w:vAlign w:val="center"/>
          </w:tcPr>
          <w:p w14:paraId="247370C6">
            <w:pPr>
              <w:widowControl/>
              <w:adjustRightInd/>
              <w:snapToGrid/>
              <w:spacing w:line="240" w:lineRule="auto"/>
              <w:jc w:val="center"/>
              <w:rPr>
                <w:kern w:val="0"/>
                <w:sz w:val="18"/>
                <w:szCs w:val="18"/>
              </w:rPr>
            </w:pPr>
            <w:r>
              <w:rPr>
                <w:color w:val="000000"/>
                <w:sz w:val="18"/>
                <w:szCs w:val="18"/>
              </w:rPr>
              <w:t xml:space="preserve">8.7 </w:t>
            </w:r>
          </w:p>
        </w:tc>
        <w:tc>
          <w:tcPr>
            <w:tcW w:w="880" w:type="dxa"/>
            <w:noWrap/>
            <w:vAlign w:val="center"/>
          </w:tcPr>
          <w:p w14:paraId="7BBA2368">
            <w:pPr>
              <w:widowControl/>
              <w:adjustRightInd/>
              <w:snapToGrid/>
              <w:spacing w:line="240" w:lineRule="auto"/>
              <w:jc w:val="center"/>
              <w:rPr>
                <w:kern w:val="0"/>
                <w:sz w:val="18"/>
                <w:szCs w:val="18"/>
              </w:rPr>
            </w:pPr>
            <w:r>
              <w:rPr>
                <w:color w:val="000000"/>
                <w:sz w:val="18"/>
                <w:szCs w:val="18"/>
              </w:rPr>
              <w:t xml:space="preserve">1.7 </w:t>
            </w:r>
          </w:p>
        </w:tc>
        <w:tc>
          <w:tcPr>
            <w:tcW w:w="881" w:type="dxa"/>
            <w:noWrap/>
            <w:vAlign w:val="center"/>
          </w:tcPr>
          <w:p w14:paraId="2EED57ED">
            <w:pPr>
              <w:widowControl/>
              <w:adjustRightInd/>
              <w:snapToGrid/>
              <w:spacing w:line="240" w:lineRule="auto"/>
              <w:jc w:val="center"/>
              <w:rPr>
                <w:kern w:val="0"/>
                <w:sz w:val="18"/>
                <w:szCs w:val="18"/>
              </w:rPr>
            </w:pPr>
            <w:r>
              <w:rPr>
                <w:rFonts w:hint="eastAsia"/>
                <w:color w:val="000000"/>
                <w:sz w:val="18"/>
                <w:szCs w:val="18"/>
              </w:rPr>
              <w:t>52.1</w:t>
            </w:r>
          </w:p>
        </w:tc>
        <w:tc>
          <w:tcPr>
            <w:tcW w:w="880" w:type="dxa"/>
            <w:noWrap/>
            <w:vAlign w:val="center"/>
          </w:tcPr>
          <w:p w14:paraId="6252DE69">
            <w:pPr>
              <w:widowControl/>
              <w:adjustRightInd/>
              <w:snapToGrid/>
              <w:spacing w:line="240" w:lineRule="auto"/>
              <w:jc w:val="center"/>
              <w:rPr>
                <w:kern w:val="0"/>
                <w:sz w:val="18"/>
                <w:szCs w:val="18"/>
              </w:rPr>
            </w:pPr>
            <w:r>
              <w:rPr>
                <w:color w:val="000000"/>
                <w:sz w:val="18"/>
                <w:szCs w:val="18"/>
              </w:rPr>
              <w:t xml:space="preserve">52.6 </w:t>
            </w:r>
          </w:p>
        </w:tc>
        <w:tc>
          <w:tcPr>
            <w:tcW w:w="880" w:type="dxa"/>
            <w:noWrap/>
            <w:vAlign w:val="center"/>
          </w:tcPr>
          <w:p w14:paraId="202B4EA5">
            <w:pPr>
              <w:widowControl/>
              <w:adjustRightInd/>
              <w:snapToGrid/>
              <w:spacing w:line="240" w:lineRule="auto"/>
              <w:jc w:val="center"/>
              <w:rPr>
                <w:kern w:val="0"/>
                <w:sz w:val="18"/>
                <w:szCs w:val="18"/>
              </w:rPr>
            </w:pPr>
            <w:r>
              <w:rPr>
                <w:color w:val="000000"/>
                <w:sz w:val="18"/>
                <w:szCs w:val="18"/>
              </w:rPr>
              <w:t xml:space="preserve">9.6 </w:t>
            </w:r>
          </w:p>
        </w:tc>
        <w:tc>
          <w:tcPr>
            <w:tcW w:w="881" w:type="dxa"/>
            <w:noWrap/>
            <w:vAlign w:val="center"/>
          </w:tcPr>
          <w:p w14:paraId="3874C404">
            <w:pPr>
              <w:widowControl/>
              <w:adjustRightInd/>
              <w:snapToGrid/>
              <w:spacing w:line="240" w:lineRule="auto"/>
              <w:jc w:val="center"/>
              <w:rPr>
                <w:kern w:val="0"/>
                <w:sz w:val="18"/>
                <w:szCs w:val="18"/>
              </w:rPr>
            </w:pPr>
            <w:r>
              <w:rPr>
                <w:color w:val="000000"/>
                <w:sz w:val="18"/>
                <w:szCs w:val="18"/>
              </w:rPr>
              <w:t xml:space="preserve">2.6 </w:t>
            </w:r>
          </w:p>
        </w:tc>
      </w:tr>
      <w:tr w14:paraId="5876ED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3D04A03">
            <w:pPr>
              <w:widowControl/>
              <w:adjustRightInd/>
              <w:snapToGrid/>
              <w:spacing w:line="240" w:lineRule="auto"/>
              <w:jc w:val="center"/>
              <w:rPr>
                <w:kern w:val="0"/>
                <w:sz w:val="18"/>
                <w:szCs w:val="18"/>
              </w:rPr>
            </w:pPr>
            <w:r>
              <w:rPr>
                <w:sz w:val="18"/>
                <w:szCs w:val="18"/>
              </w:rPr>
              <w:t>49</w:t>
            </w:r>
          </w:p>
        </w:tc>
        <w:tc>
          <w:tcPr>
            <w:tcW w:w="673" w:type="dxa"/>
            <w:vMerge w:val="continue"/>
            <w:vAlign w:val="center"/>
          </w:tcPr>
          <w:p w14:paraId="58B42663">
            <w:pPr>
              <w:widowControl/>
              <w:adjustRightInd/>
              <w:snapToGrid/>
              <w:spacing w:line="240" w:lineRule="auto"/>
              <w:jc w:val="left"/>
              <w:rPr>
                <w:kern w:val="0"/>
                <w:sz w:val="18"/>
                <w:szCs w:val="18"/>
              </w:rPr>
            </w:pPr>
          </w:p>
        </w:tc>
        <w:tc>
          <w:tcPr>
            <w:tcW w:w="595" w:type="dxa"/>
            <w:vMerge w:val="restart"/>
            <w:vAlign w:val="center"/>
          </w:tcPr>
          <w:p w14:paraId="123180E1">
            <w:pPr>
              <w:widowControl/>
              <w:adjustRightInd/>
              <w:snapToGrid/>
              <w:spacing w:line="240" w:lineRule="auto"/>
              <w:jc w:val="center"/>
              <w:rPr>
                <w:kern w:val="0"/>
                <w:sz w:val="18"/>
                <w:szCs w:val="18"/>
              </w:rPr>
            </w:pPr>
            <w:r>
              <w:rPr>
                <w:kern w:val="0"/>
                <w:sz w:val="18"/>
                <w:szCs w:val="18"/>
              </w:rPr>
              <w:t>61.2</w:t>
            </w:r>
          </w:p>
        </w:tc>
        <w:tc>
          <w:tcPr>
            <w:tcW w:w="567" w:type="dxa"/>
            <w:vMerge w:val="continue"/>
            <w:vAlign w:val="center"/>
          </w:tcPr>
          <w:p w14:paraId="1029F435">
            <w:pPr>
              <w:widowControl/>
              <w:adjustRightInd/>
              <w:snapToGrid/>
              <w:spacing w:line="240" w:lineRule="auto"/>
              <w:jc w:val="left"/>
              <w:rPr>
                <w:kern w:val="0"/>
                <w:sz w:val="18"/>
                <w:szCs w:val="18"/>
              </w:rPr>
            </w:pPr>
          </w:p>
        </w:tc>
        <w:tc>
          <w:tcPr>
            <w:tcW w:w="426" w:type="dxa"/>
            <w:noWrap/>
            <w:vAlign w:val="center"/>
          </w:tcPr>
          <w:p w14:paraId="348A5F22">
            <w:pPr>
              <w:widowControl/>
              <w:adjustRightInd/>
              <w:snapToGrid/>
              <w:spacing w:line="240" w:lineRule="auto"/>
              <w:jc w:val="center"/>
              <w:rPr>
                <w:kern w:val="0"/>
                <w:sz w:val="18"/>
                <w:szCs w:val="18"/>
              </w:rPr>
            </w:pPr>
            <w:r>
              <w:rPr>
                <w:sz w:val="18"/>
                <w:szCs w:val="18"/>
              </w:rPr>
              <w:t>昼间</w:t>
            </w:r>
          </w:p>
        </w:tc>
        <w:tc>
          <w:tcPr>
            <w:tcW w:w="708" w:type="dxa"/>
            <w:noWrap/>
            <w:vAlign w:val="center"/>
          </w:tcPr>
          <w:p w14:paraId="3B7078F0">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64DC6401">
            <w:pPr>
              <w:widowControl/>
              <w:adjustRightInd/>
              <w:snapToGrid/>
              <w:spacing w:line="240" w:lineRule="auto"/>
              <w:jc w:val="center"/>
              <w:rPr>
                <w:kern w:val="0"/>
                <w:sz w:val="18"/>
                <w:szCs w:val="18"/>
              </w:rPr>
            </w:pPr>
          </w:p>
        </w:tc>
        <w:tc>
          <w:tcPr>
            <w:tcW w:w="709" w:type="dxa"/>
            <w:vMerge w:val="continue"/>
            <w:noWrap/>
            <w:vAlign w:val="center"/>
          </w:tcPr>
          <w:p w14:paraId="75F56BE0">
            <w:pPr>
              <w:widowControl/>
              <w:adjustRightInd/>
              <w:snapToGrid/>
              <w:spacing w:line="240" w:lineRule="auto"/>
              <w:jc w:val="center"/>
              <w:rPr>
                <w:kern w:val="0"/>
                <w:sz w:val="18"/>
                <w:szCs w:val="18"/>
              </w:rPr>
            </w:pPr>
          </w:p>
        </w:tc>
        <w:tc>
          <w:tcPr>
            <w:tcW w:w="880" w:type="dxa"/>
            <w:vAlign w:val="center"/>
          </w:tcPr>
          <w:p w14:paraId="25203AE2">
            <w:pPr>
              <w:widowControl/>
              <w:adjustRightInd/>
              <w:snapToGrid/>
              <w:spacing w:line="240" w:lineRule="auto"/>
              <w:jc w:val="center"/>
              <w:rPr>
                <w:kern w:val="0"/>
                <w:sz w:val="18"/>
                <w:szCs w:val="18"/>
              </w:rPr>
            </w:pPr>
            <w:r>
              <w:rPr>
                <w:rFonts w:hint="eastAsia"/>
                <w:color w:val="000000"/>
                <w:sz w:val="18"/>
                <w:szCs w:val="18"/>
              </w:rPr>
              <w:t>62.6</w:t>
            </w:r>
          </w:p>
        </w:tc>
        <w:tc>
          <w:tcPr>
            <w:tcW w:w="880" w:type="dxa"/>
            <w:vAlign w:val="center"/>
          </w:tcPr>
          <w:p w14:paraId="4DFC4D57">
            <w:pPr>
              <w:widowControl/>
              <w:adjustRightInd/>
              <w:snapToGrid/>
              <w:spacing w:line="240" w:lineRule="auto"/>
              <w:jc w:val="center"/>
              <w:rPr>
                <w:kern w:val="0"/>
                <w:sz w:val="18"/>
                <w:szCs w:val="18"/>
              </w:rPr>
            </w:pPr>
            <w:r>
              <w:rPr>
                <w:color w:val="000000"/>
                <w:sz w:val="18"/>
                <w:szCs w:val="18"/>
              </w:rPr>
              <w:t xml:space="preserve">63.0 </w:t>
            </w:r>
          </w:p>
        </w:tc>
        <w:tc>
          <w:tcPr>
            <w:tcW w:w="881" w:type="dxa"/>
            <w:vAlign w:val="center"/>
          </w:tcPr>
          <w:p w14:paraId="70C6702C">
            <w:pPr>
              <w:widowControl/>
              <w:adjustRightInd/>
              <w:snapToGrid/>
              <w:spacing w:line="240" w:lineRule="auto"/>
              <w:jc w:val="center"/>
              <w:rPr>
                <w:kern w:val="0"/>
                <w:sz w:val="18"/>
                <w:szCs w:val="18"/>
              </w:rPr>
            </w:pPr>
            <w:r>
              <w:rPr>
                <w:rFonts w:hint="eastAsia"/>
                <w:color w:val="000000"/>
                <w:sz w:val="18"/>
                <w:szCs w:val="18"/>
              </w:rPr>
              <w:t xml:space="preserve">11.0 </w:t>
            </w:r>
          </w:p>
        </w:tc>
        <w:tc>
          <w:tcPr>
            <w:tcW w:w="880" w:type="dxa"/>
            <w:vAlign w:val="center"/>
          </w:tcPr>
          <w:p w14:paraId="0F55588C">
            <w:pPr>
              <w:widowControl/>
              <w:adjustRightInd/>
              <w:snapToGrid/>
              <w:spacing w:line="240" w:lineRule="auto"/>
              <w:jc w:val="center"/>
              <w:rPr>
                <w:kern w:val="0"/>
                <w:sz w:val="18"/>
                <w:szCs w:val="18"/>
              </w:rPr>
            </w:pPr>
            <w:r>
              <w:rPr>
                <w:rFonts w:hint="eastAsia"/>
                <w:color w:val="000000"/>
                <w:sz w:val="18"/>
                <w:szCs w:val="18"/>
              </w:rPr>
              <w:t xml:space="preserve">3.0 </w:t>
            </w:r>
          </w:p>
        </w:tc>
        <w:tc>
          <w:tcPr>
            <w:tcW w:w="880" w:type="dxa"/>
            <w:noWrap/>
            <w:vAlign w:val="center"/>
          </w:tcPr>
          <w:p w14:paraId="0F7C4FFD">
            <w:pPr>
              <w:widowControl/>
              <w:adjustRightInd/>
              <w:snapToGrid/>
              <w:spacing w:line="240" w:lineRule="auto"/>
              <w:jc w:val="center"/>
              <w:rPr>
                <w:kern w:val="0"/>
                <w:sz w:val="18"/>
                <w:szCs w:val="18"/>
              </w:rPr>
            </w:pPr>
            <w:r>
              <w:rPr>
                <w:kern w:val="0"/>
                <w:sz w:val="18"/>
                <w:szCs w:val="18"/>
              </w:rPr>
              <w:t>63.4</w:t>
            </w:r>
          </w:p>
        </w:tc>
        <w:tc>
          <w:tcPr>
            <w:tcW w:w="881" w:type="dxa"/>
            <w:noWrap/>
            <w:vAlign w:val="center"/>
          </w:tcPr>
          <w:p w14:paraId="2F1560DF">
            <w:pPr>
              <w:widowControl/>
              <w:adjustRightInd/>
              <w:snapToGrid/>
              <w:spacing w:line="240" w:lineRule="auto"/>
              <w:jc w:val="center"/>
              <w:rPr>
                <w:kern w:val="0"/>
                <w:sz w:val="18"/>
                <w:szCs w:val="18"/>
              </w:rPr>
            </w:pPr>
            <w:r>
              <w:rPr>
                <w:color w:val="000000"/>
                <w:sz w:val="18"/>
                <w:szCs w:val="18"/>
              </w:rPr>
              <w:t xml:space="preserve">63.7 </w:t>
            </w:r>
          </w:p>
        </w:tc>
        <w:tc>
          <w:tcPr>
            <w:tcW w:w="880" w:type="dxa"/>
            <w:noWrap/>
            <w:vAlign w:val="center"/>
          </w:tcPr>
          <w:p w14:paraId="62321B2F">
            <w:pPr>
              <w:widowControl/>
              <w:adjustRightInd/>
              <w:snapToGrid/>
              <w:spacing w:line="240" w:lineRule="auto"/>
              <w:jc w:val="center"/>
              <w:rPr>
                <w:kern w:val="0"/>
                <w:sz w:val="18"/>
                <w:szCs w:val="18"/>
              </w:rPr>
            </w:pPr>
            <w:r>
              <w:rPr>
                <w:color w:val="000000"/>
                <w:sz w:val="18"/>
                <w:szCs w:val="18"/>
              </w:rPr>
              <w:t xml:space="preserve">11.7 </w:t>
            </w:r>
          </w:p>
        </w:tc>
        <w:tc>
          <w:tcPr>
            <w:tcW w:w="880" w:type="dxa"/>
            <w:noWrap/>
            <w:vAlign w:val="center"/>
          </w:tcPr>
          <w:p w14:paraId="3749C18D">
            <w:pPr>
              <w:widowControl/>
              <w:adjustRightInd/>
              <w:snapToGrid/>
              <w:spacing w:line="240" w:lineRule="auto"/>
              <w:jc w:val="center"/>
              <w:rPr>
                <w:kern w:val="0"/>
                <w:sz w:val="18"/>
                <w:szCs w:val="18"/>
              </w:rPr>
            </w:pPr>
            <w:r>
              <w:rPr>
                <w:color w:val="000000"/>
                <w:sz w:val="18"/>
                <w:szCs w:val="18"/>
              </w:rPr>
              <w:t xml:space="preserve">3.7 </w:t>
            </w:r>
          </w:p>
        </w:tc>
        <w:tc>
          <w:tcPr>
            <w:tcW w:w="881" w:type="dxa"/>
            <w:noWrap/>
            <w:vAlign w:val="center"/>
          </w:tcPr>
          <w:p w14:paraId="23931225">
            <w:pPr>
              <w:widowControl/>
              <w:adjustRightInd/>
              <w:snapToGrid/>
              <w:spacing w:line="240" w:lineRule="auto"/>
              <w:jc w:val="center"/>
              <w:rPr>
                <w:kern w:val="0"/>
                <w:sz w:val="18"/>
                <w:szCs w:val="18"/>
              </w:rPr>
            </w:pPr>
            <w:r>
              <w:rPr>
                <w:rFonts w:hint="eastAsia"/>
                <w:color w:val="000000"/>
                <w:sz w:val="18"/>
                <w:szCs w:val="18"/>
              </w:rPr>
              <w:t>64.3</w:t>
            </w:r>
          </w:p>
        </w:tc>
        <w:tc>
          <w:tcPr>
            <w:tcW w:w="880" w:type="dxa"/>
            <w:noWrap/>
            <w:vAlign w:val="center"/>
          </w:tcPr>
          <w:p w14:paraId="5C2BD9B3">
            <w:pPr>
              <w:widowControl/>
              <w:adjustRightInd/>
              <w:snapToGrid/>
              <w:spacing w:line="240" w:lineRule="auto"/>
              <w:jc w:val="center"/>
              <w:rPr>
                <w:kern w:val="0"/>
                <w:sz w:val="18"/>
                <w:szCs w:val="18"/>
              </w:rPr>
            </w:pPr>
            <w:r>
              <w:rPr>
                <w:color w:val="000000"/>
                <w:sz w:val="18"/>
                <w:szCs w:val="18"/>
              </w:rPr>
              <w:t xml:space="preserve">64.5 </w:t>
            </w:r>
          </w:p>
        </w:tc>
        <w:tc>
          <w:tcPr>
            <w:tcW w:w="880" w:type="dxa"/>
            <w:noWrap/>
            <w:vAlign w:val="center"/>
          </w:tcPr>
          <w:p w14:paraId="194B9414">
            <w:pPr>
              <w:widowControl/>
              <w:adjustRightInd/>
              <w:snapToGrid/>
              <w:spacing w:line="240" w:lineRule="auto"/>
              <w:jc w:val="center"/>
              <w:rPr>
                <w:kern w:val="0"/>
                <w:sz w:val="18"/>
                <w:szCs w:val="18"/>
              </w:rPr>
            </w:pPr>
            <w:r>
              <w:rPr>
                <w:color w:val="000000"/>
                <w:sz w:val="18"/>
                <w:szCs w:val="18"/>
              </w:rPr>
              <w:t xml:space="preserve">12.5 </w:t>
            </w:r>
          </w:p>
        </w:tc>
        <w:tc>
          <w:tcPr>
            <w:tcW w:w="881" w:type="dxa"/>
            <w:noWrap/>
            <w:vAlign w:val="center"/>
          </w:tcPr>
          <w:p w14:paraId="037C73E6">
            <w:pPr>
              <w:widowControl/>
              <w:adjustRightInd/>
              <w:snapToGrid/>
              <w:spacing w:line="240" w:lineRule="auto"/>
              <w:jc w:val="center"/>
              <w:rPr>
                <w:kern w:val="0"/>
                <w:sz w:val="18"/>
                <w:szCs w:val="18"/>
              </w:rPr>
            </w:pPr>
            <w:r>
              <w:rPr>
                <w:color w:val="000000"/>
                <w:sz w:val="18"/>
                <w:szCs w:val="18"/>
              </w:rPr>
              <w:t xml:space="preserve">4.5 </w:t>
            </w:r>
          </w:p>
        </w:tc>
      </w:tr>
      <w:tr w14:paraId="30413A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65865635">
            <w:pPr>
              <w:widowControl/>
              <w:adjustRightInd/>
              <w:snapToGrid/>
              <w:spacing w:line="240" w:lineRule="auto"/>
              <w:jc w:val="center"/>
              <w:rPr>
                <w:kern w:val="0"/>
                <w:sz w:val="18"/>
                <w:szCs w:val="18"/>
              </w:rPr>
            </w:pPr>
            <w:r>
              <w:rPr>
                <w:sz w:val="18"/>
                <w:szCs w:val="18"/>
              </w:rPr>
              <w:t>50</w:t>
            </w:r>
          </w:p>
        </w:tc>
        <w:tc>
          <w:tcPr>
            <w:tcW w:w="673" w:type="dxa"/>
            <w:vMerge w:val="continue"/>
            <w:vAlign w:val="center"/>
          </w:tcPr>
          <w:p w14:paraId="6DA6159A">
            <w:pPr>
              <w:widowControl/>
              <w:adjustRightInd/>
              <w:snapToGrid/>
              <w:spacing w:line="240" w:lineRule="auto"/>
              <w:jc w:val="left"/>
              <w:rPr>
                <w:kern w:val="0"/>
                <w:sz w:val="18"/>
                <w:szCs w:val="18"/>
              </w:rPr>
            </w:pPr>
          </w:p>
        </w:tc>
        <w:tc>
          <w:tcPr>
            <w:tcW w:w="595" w:type="dxa"/>
            <w:vMerge w:val="continue"/>
            <w:vAlign w:val="center"/>
          </w:tcPr>
          <w:p w14:paraId="1797B9CC">
            <w:pPr>
              <w:widowControl/>
              <w:adjustRightInd/>
              <w:snapToGrid/>
              <w:spacing w:line="240" w:lineRule="auto"/>
              <w:jc w:val="left"/>
              <w:rPr>
                <w:kern w:val="0"/>
                <w:sz w:val="18"/>
                <w:szCs w:val="18"/>
              </w:rPr>
            </w:pPr>
          </w:p>
        </w:tc>
        <w:tc>
          <w:tcPr>
            <w:tcW w:w="567" w:type="dxa"/>
            <w:vMerge w:val="continue"/>
            <w:vAlign w:val="center"/>
          </w:tcPr>
          <w:p w14:paraId="32BF7C89">
            <w:pPr>
              <w:widowControl/>
              <w:adjustRightInd/>
              <w:snapToGrid/>
              <w:spacing w:line="240" w:lineRule="auto"/>
              <w:jc w:val="left"/>
              <w:rPr>
                <w:kern w:val="0"/>
                <w:sz w:val="18"/>
                <w:szCs w:val="18"/>
              </w:rPr>
            </w:pPr>
          </w:p>
        </w:tc>
        <w:tc>
          <w:tcPr>
            <w:tcW w:w="426" w:type="dxa"/>
            <w:noWrap/>
            <w:vAlign w:val="center"/>
          </w:tcPr>
          <w:p w14:paraId="77195ACC">
            <w:pPr>
              <w:widowControl/>
              <w:adjustRightInd/>
              <w:snapToGrid/>
              <w:spacing w:line="240" w:lineRule="auto"/>
              <w:jc w:val="center"/>
              <w:rPr>
                <w:kern w:val="0"/>
                <w:sz w:val="18"/>
                <w:szCs w:val="18"/>
              </w:rPr>
            </w:pPr>
            <w:r>
              <w:rPr>
                <w:sz w:val="18"/>
                <w:szCs w:val="18"/>
              </w:rPr>
              <w:t>夜间</w:t>
            </w:r>
          </w:p>
        </w:tc>
        <w:tc>
          <w:tcPr>
            <w:tcW w:w="708" w:type="dxa"/>
            <w:noWrap/>
            <w:vAlign w:val="center"/>
          </w:tcPr>
          <w:p w14:paraId="22BD4BCE">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5311F5E0">
            <w:pPr>
              <w:widowControl/>
              <w:adjustRightInd/>
              <w:snapToGrid/>
              <w:spacing w:line="240" w:lineRule="auto"/>
              <w:jc w:val="center"/>
              <w:rPr>
                <w:kern w:val="0"/>
                <w:sz w:val="18"/>
                <w:szCs w:val="18"/>
              </w:rPr>
            </w:pPr>
          </w:p>
        </w:tc>
        <w:tc>
          <w:tcPr>
            <w:tcW w:w="709" w:type="dxa"/>
            <w:vMerge w:val="continue"/>
            <w:noWrap/>
            <w:vAlign w:val="center"/>
          </w:tcPr>
          <w:p w14:paraId="73127C9F">
            <w:pPr>
              <w:widowControl/>
              <w:adjustRightInd/>
              <w:snapToGrid/>
              <w:spacing w:line="240" w:lineRule="auto"/>
              <w:jc w:val="center"/>
              <w:rPr>
                <w:kern w:val="0"/>
                <w:sz w:val="18"/>
                <w:szCs w:val="18"/>
              </w:rPr>
            </w:pPr>
          </w:p>
        </w:tc>
        <w:tc>
          <w:tcPr>
            <w:tcW w:w="880" w:type="dxa"/>
            <w:vAlign w:val="center"/>
          </w:tcPr>
          <w:p w14:paraId="1D9340D8">
            <w:pPr>
              <w:widowControl/>
              <w:adjustRightInd/>
              <w:snapToGrid/>
              <w:spacing w:line="240" w:lineRule="auto"/>
              <w:jc w:val="center"/>
              <w:rPr>
                <w:kern w:val="0"/>
                <w:sz w:val="18"/>
                <w:szCs w:val="18"/>
              </w:rPr>
            </w:pPr>
            <w:r>
              <w:rPr>
                <w:rFonts w:hint="eastAsia"/>
                <w:color w:val="000000"/>
                <w:sz w:val="18"/>
                <w:szCs w:val="18"/>
              </w:rPr>
              <w:t>48.7</w:t>
            </w:r>
          </w:p>
        </w:tc>
        <w:tc>
          <w:tcPr>
            <w:tcW w:w="880" w:type="dxa"/>
            <w:vAlign w:val="center"/>
          </w:tcPr>
          <w:p w14:paraId="3DF7F549">
            <w:pPr>
              <w:widowControl/>
              <w:adjustRightInd/>
              <w:snapToGrid/>
              <w:spacing w:line="240" w:lineRule="auto"/>
              <w:jc w:val="center"/>
              <w:rPr>
                <w:kern w:val="0"/>
                <w:sz w:val="18"/>
                <w:szCs w:val="18"/>
              </w:rPr>
            </w:pPr>
            <w:r>
              <w:rPr>
                <w:color w:val="000000"/>
                <w:sz w:val="18"/>
                <w:szCs w:val="18"/>
              </w:rPr>
              <w:t xml:space="preserve">49.7 </w:t>
            </w:r>
          </w:p>
        </w:tc>
        <w:tc>
          <w:tcPr>
            <w:tcW w:w="881" w:type="dxa"/>
            <w:vAlign w:val="center"/>
          </w:tcPr>
          <w:p w14:paraId="756E54B2">
            <w:pPr>
              <w:widowControl/>
              <w:adjustRightInd/>
              <w:snapToGrid/>
              <w:spacing w:line="240" w:lineRule="auto"/>
              <w:jc w:val="center"/>
              <w:rPr>
                <w:kern w:val="0"/>
                <w:sz w:val="18"/>
                <w:szCs w:val="18"/>
              </w:rPr>
            </w:pPr>
            <w:r>
              <w:rPr>
                <w:rFonts w:hint="eastAsia"/>
                <w:color w:val="000000"/>
                <w:sz w:val="18"/>
                <w:szCs w:val="18"/>
              </w:rPr>
              <w:t xml:space="preserve">6.7 </w:t>
            </w:r>
          </w:p>
        </w:tc>
        <w:tc>
          <w:tcPr>
            <w:tcW w:w="880" w:type="dxa"/>
            <w:vAlign w:val="center"/>
          </w:tcPr>
          <w:p w14:paraId="2971CAEF">
            <w:pPr>
              <w:widowControl/>
              <w:adjustRightInd/>
              <w:snapToGrid/>
              <w:spacing w:line="240" w:lineRule="auto"/>
              <w:jc w:val="center"/>
              <w:rPr>
                <w:kern w:val="0"/>
                <w:sz w:val="18"/>
                <w:szCs w:val="18"/>
              </w:rPr>
            </w:pPr>
            <w:r>
              <w:rPr>
                <w:rFonts w:hint="eastAsia"/>
                <w:color w:val="000000"/>
                <w:sz w:val="18"/>
                <w:szCs w:val="18"/>
              </w:rPr>
              <w:t xml:space="preserve">-0.3 </w:t>
            </w:r>
          </w:p>
        </w:tc>
        <w:tc>
          <w:tcPr>
            <w:tcW w:w="880" w:type="dxa"/>
            <w:noWrap/>
            <w:vAlign w:val="center"/>
          </w:tcPr>
          <w:p w14:paraId="640C14A2">
            <w:pPr>
              <w:widowControl/>
              <w:adjustRightInd/>
              <w:snapToGrid/>
              <w:spacing w:line="240" w:lineRule="auto"/>
              <w:jc w:val="center"/>
              <w:rPr>
                <w:kern w:val="0"/>
                <w:sz w:val="18"/>
                <w:szCs w:val="18"/>
              </w:rPr>
            </w:pPr>
            <w:r>
              <w:rPr>
                <w:kern w:val="0"/>
                <w:sz w:val="18"/>
                <w:szCs w:val="18"/>
              </w:rPr>
              <w:t>49.6</w:t>
            </w:r>
          </w:p>
        </w:tc>
        <w:tc>
          <w:tcPr>
            <w:tcW w:w="881" w:type="dxa"/>
            <w:noWrap/>
            <w:vAlign w:val="center"/>
          </w:tcPr>
          <w:p w14:paraId="3E8082D0">
            <w:pPr>
              <w:widowControl/>
              <w:adjustRightInd/>
              <w:snapToGrid/>
              <w:spacing w:line="240" w:lineRule="auto"/>
              <w:jc w:val="center"/>
              <w:rPr>
                <w:kern w:val="0"/>
                <w:sz w:val="18"/>
                <w:szCs w:val="18"/>
              </w:rPr>
            </w:pPr>
            <w:r>
              <w:rPr>
                <w:color w:val="000000"/>
                <w:sz w:val="18"/>
                <w:szCs w:val="18"/>
              </w:rPr>
              <w:t xml:space="preserve">50.5 </w:t>
            </w:r>
          </w:p>
        </w:tc>
        <w:tc>
          <w:tcPr>
            <w:tcW w:w="880" w:type="dxa"/>
            <w:noWrap/>
            <w:vAlign w:val="center"/>
          </w:tcPr>
          <w:p w14:paraId="632737FB">
            <w:pPr>
              <w:widowControl/>
              <w:adjustRightInd/>
              <w:snapToGrid/>
              <w:spacing w:line="240" w:lineRule="auto"/>
              <w:jc w:val="center"/>
              <w:rPr>
                <w:kern w:val="0"/>
                <w:sz w:val="18"/>
                <w:szCs w:val="18"/>
              </w:rPr>
            </w:pPr>
            <w:r>
              <w:rPr>
                <w:color w:val="000000"/>
                <w:sz w:val="18"/>
                <w:szCs w:val="18"/>
              </w:rPr>
              <w:t xml:space="preserve">7.5 </w:t>
            </w:r>
          </w:p>
        </w:tc>
        <w:tc>
          <w:tcPr>
            <w:tcW w:w="880" w:type="dxa"/>
            <w:noWrap/>
            <w:vAlign w:val="center"/>
          </w:tcPr>
          <w:p w14:paraId="729B90E4">
            <w:pPr>
              <w:widowControl/>
              <w:adjustRightInd/>
              <w:snapToGrid/>
              <w:spacing w:line="240" w:lineRule="auto"/>
              <w:jc w:val="center"/>
              <w:rPr>
                <w:kern w:val="0"/>
                <w:sz w:val="18"/>
                <w:szCs w:val="18"/>
              </w:rPr>
            </w:pPr>
            <w:r>
              <w:rPr>
                <w:color w:val="000000"/>
                <w:sz w:val="18"/>
                <w:szCs w:val="18"/>
              </w:rPr>
              <w:t xml:space="preserve">0.5 </w:t>
            </w:r>
          </w:p>
        </w:tc>
        <w:tc>
          <w:tcPr>
            <w:tcW w:w="881" w:type="dxa"/>
            <w:noWrap/>
            <w:vAlign w:val="center"/>
          </w:tcPr>
          <w:p w14:paraId="55126C91">
            <w:pPr>
              <w:widowControl/>
              <w:adjustRightInd/>
              <w:snapToGrid/>
              <w:spacing w:line="240" w:lineRule="auto"/>
              <w:jc w:val="center"/>
              <w:rPr>
                <w:kern w:val="0"/>
                <w:sz w:val="18"/>
                <w:szCs w:val="18"/>
              </w:rPr>
            </w:pPr>
            <w:r>
              <w:rPr>
                <w:rFonts w:hint="eastAsia"/>
                <w:color w:val="000000"/>
                <w:sz w:val="18"/>
                <w:szCs w:val="18"/>
              </w:rPr>
              <w:t>50.5</w:t>
            </w:r>
          </w:p>
        </w:tc>
        <w:tc>
          <w:tcPr>
            <w:tcW w:w="880" w:type="dxa"/>
            <w:noWrap/>
            <w:vAlign w:val="center"/>
          </w:tcPr>
          <w:p w14:paraId="3EDBECB0">
            <w:pPr>
              <w:widowControl/>
              <w:adjustRightInd/>
              <w:snapToGrid/>
              <w:spacing w:line="240" w:lineRule="auto"/>
              <w:jc w:val="center"/>
              <w:rPr>
                <w:kern w:val="0"/>
                <w:sz w:val="18"/>
                <w:szCs w:val="18"/>
              </w:rPr>
            </w:pPr>
            <w:r>
              <w:rPr>
                <w:color w:val="000000"/>
                <w:sz w:val="18"/>
                <w:szCs w:val="18"/>
              </w:rPr>
              <w:t xml:space="preserve">51.2 </w:t>
            </w:r>
          </w:p>
        </w:tc>
        <w:tc>
          <w:tcPr>
            <w:tcW w:w="880" w:type="dxa"/>
            <w:noWrap/>
            <w:vAlign w:val="center"/>
          </w:tcPr>
          <w:p w14:paraId="1613F900">
            <w:pPr>
              <w:widowControl/>
              <w:adjustRightInd/>
              <w:snapToGrid/>
              <w:spacing w:line="240" w:lineRule="auto"/>
              <w:jc w:val="center"/>
              <w:rPr>
                <w:kern w:val="0"/>
                <w:sz w:val="18"/>
                <w:szCs w:val="18"/>
              </w:rPr>
            </w:pPr>
            <w:r>
              <w:rPr>
                <w:color w:val="000000"/>
                <w:sz w:val="18"/>
                <w:szCs w:val="18"/>
              </w:rPr>
              <w:t xml:space="preserve">8.2 </w:t>
            </w:r>
          </w:p>
        </w:tc>
        <w:tc>
          <w:tcPr>
            <w:tcW w:w="881" w:type="dxa"/>
            <w:noWrap/>
            <w:vAlign w:val="center"/>
          </w:tcPr>
          <w:p w14:paraId="17443F68">
            <w:pPr>
              <w:widowControl/>
              <w:adjustRightInd/>
              <w:snapToGrid/>
              <w:spacing w:line="240" w:lineRule="auto"/>
              <w:jc w:val="center"/>
              <w:rPr>
                <w:kern w:val="0"/>
                <w:sz w:val="18"/>
                <w:szCs w:val="18"/>
              </w:rPr>
            </w:pPr>
            <w:r>
              <w:rPr>
                <w:color w:val="000000"/>
                <w:sz w:val="18"/>
                <w:szCs w:val="18"/>
              </w:rPr>
              <w:t xml:space="preserve">1.2 </w:t>
            </w:r>
          </w:p>
        </w:tc>
      </w:tr>
      <w:tr w14:paraId="746137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16AF934">
            <w:pPr>
              <w:widowControl/>
              <w:adjustRightInd/>
              <w:snapToGrid/>
              <w:spacing w:line="240" w:lineRule="auto"/>
              <w:jc w:val="center"/>
              <w:rPr>
                <w:kern w:val="0"/>
                <w:sz w:val="18"/>
                <w:szCs w:val="18"/>
              </w:rPr>
            </w:pPr>
            <w:r>
              <w:rPr>
                <w:sz w:val="18"/>
                <w:szCs w:val="18"/>
              </w:rPr>
              <w:t>51</w:t>
            </w:r>
          </w:p>
        </w:tc>
        <w:tc>
          <w:tcPr>
            <w:tcW w:w="673" w:type="dxa"/>
            <w:vMerge w:val="restart"/>
            <w:vAlign w:val="center"/>
          </w:tcPr>
          <w:p w14:paraId="0FE73408">
            <w:pPr>
              <w:widowControl/>
              <w:adjustRightInd/>
              <w:snapToGrid/>
              <w:spacing w:line="240" w:lineRule="auto"/>
              <w:jc w:val="center"/>
              <w:rPr>
                <w:kern w:val="0"/>
                <w:sz w:val="18"/>
                <w:szCs w:val="18"/>
              </w:rPr>
            </w:pPr>
            <w:r>
              <w:rPr>
                <w:kern w:val="0"/>
                <w:sz w:val="18"/>
                <w:szCs w:val="18"/>
              </w:rPr>
              <w:t>规划住宅</w:t>
            </w:r>
            <w:r>
              <w:rPr>
                <w:rFonts w:hint="eastAsia"/>
                <w:kern w:val="0"/>
                <w:sz w:val="18"/>
                <w:szCs w:val="18"/>
              </w:rPr>
              <w:t>6</w:t>
            </w:r>
          </w:p>
        </w:tc>
        <w:tc>
          <w:tcPr>
            <w:tcW w:w="595" w:type="dxa"/>
            <w:vMerge w:val="restart"/>
            <w:vAlign w:val="center"/>
          </w:tcPr>
          <w:p w14:paraId="33C3DF37">
            <w:pPr>
              <w:widowControl/>
              <w:adjustRightInd/>
              <w:snapToGrid/>
              <w:spacing w:line="240" w:lineRule="auto"/>
              <w:jc w:val="center"/>
              <w:rPr>
                <w:kern w:val="0"/>
                <w:sz w:val="18"/>
                <w:szCs w:val="18"/>
              </w:rPr>
            </w:pPr>
            <w:r>
              <w:rPr>
                <w:kern w:val="0"/>
                <w:sz w:val="18"/>
                <w:szCs w:val="18"/>
              </w:rPr>
              <w:t>1.2</w:t>
            </w:r>
          </w:p>
        </w:tc>
        <w:tc>
          <w:tcPr>
            <w:tcW w:w="567" w:type="dxa"/>
            <w:vMerge w:val="restart"/>
            <w:vAlign w:val="center"/>
          </w:tcPr>
          <w:p w14:paraId="7C56FF51">
            <w:pPr>
              <w:widowControl/>
              <w:adjustRightInd/>
              <w:snapToGrid/>
              <w:spacing w:line="240" w:lineRule="auto"/>
              <w:jc w:val="center"/>
              <w:rPr>
                <w:kern w:val="0"/>
                <w:sz w:val="18"/>
                <w:szCs w:val="18"/>
              </w:rPr>
            </w:pPr>
            <w:r>
              <w:rPr>
                <w:kern w:val="0"/>
                <w:sz w:val="18"/>
                <w:szCs w:val="18"/>
              </w:rPr>
              <w:t>2类</w:t>
            </w:r>
          </w:p>
        </w:tc>
        <w:tc>
          <w:tcPr>
            <w:tcW w:w="426" w:type="dxa"/>
            <w:noWrap/>
            <w:vAlign w:val="center"/>
          </w:tcPr>
          <w:p w14:paraId="308DCB6D">
            <w:pPr>
              <w:widowControl/>
              <w:adjustRightInd/>
              <w:snapToGrid/>
              <w:spacing w:line="240" w:lineRule="auto"/>
              <w:jc w:val="center"/>
              <w:rPr>
                <w:kern w:val="0"/>
                <w:sz w:val="18"/>
                <w:szCs w:val="18"/>
              </w:rPr>
            </w:pPr>
            <w:r>
              <w:rPr>
                <w:sz w:val="18"/>
                <w:szCs w:val="18"/>
              </w:rPr>
              <w:t>昼间</w:t>
            </w:r>
          </w:p>
        </w:tc>
        <w:tc>
          <w:tcPr>
            <w:tcW w:w="708" w:type="dxa"/>
            <w:noWrap/>
            <w:vAlign w:val="center"/>
          </w:tcPr>
          <w:p w14:paraId="4AC1D7F5">
            <w:pPr>
              <w:widowControl/>
              <w:adjustRightInd/>
              <w:snapToGrid/>
              <w:spacing w:line="240" w:lineRule="auto"/>
              <w:jc w:val="center"/>
              <w:rPr>
                <w:kern w:val="0"/>
                <w:sz w:val="18"/>
                <w:szCs w:val="18"/>
              </w:rPr>
            </w:pPr>
            <w:r>
              <w:rPr>
                <w:sz w:val="18"/>
                <w:szCs w:val="18"/>
              </w:rPr>
              <w:t>60</w:t>
            </w:r>
          </w:p>
        </w:tc>
        <w:tc>
          <w:tcPr>
            <w:tcW w:w="709" w:type="dxa"/>
            <w:vMerge w:val="restart"/>
            <w:noWrap/>
            <w:vAlign w:val="center"/>
          </w:tcPr>
          <w:p w14:paraId="616FB044">
            <w:pPr>
              <w:widowControl/>
              <w:adjustRightInd/>
              <w:snapToGrid/>
              <w:spacing w:line="240" w:lineRule="auto"/>
              <w:jc w:val="center"/>
              <w:rPr>
                <w:kern w:val="0"/>
                <w:sz w:val="18"/>
                <w:szCs w:val="18"/>
              </w:rPr>
            </w:pPr>
            <w:r>
              <w:rPr>
                <w:rFonts w:hint="eastAsia"/>
                <w:kern w:val="0"/>
                <w:sz w:val="18"/>
                <w:szCs w:val="18"/>
              </w:rPr>
              <w:t>52（昼）</w:t>
            </w:r>
          </w:p>
          <w:p w14:paraId="0986B729">
            <w:pPr>
              <w:widowControl/>
              <w:adjustRightInd/>
              <w:snapToGrid/>
              <w:spacing w:line="240" w:lineRule="auto"/>
              <w:jc w:val="center"/>
              <w:rPr>
                <w:kern w:val="0"/>
                <w:sz w:val="18"/>
                <w:szCs w:val="18"/>
              </w:rPr>
            </w:pPr>
            <w:r>
              <w:rPr>
                <w:rFonts w:hint="eastAsia"/>
                <w:kern w:val="0"/>
                <w:sz w:val="18"/>
                <w:szCs w:val="18"/>
              </w:rPr>
              <w:t>43（夜）</w:t>
            </w:r>
          </w:p>
        </w:tc>
        <w:tc>
          <w:tcPr>
            <w:tcW w:w="709" w:type="dxa"/>
            <w:vMerge w:val="restart"/>
            <w:noWrap/>
            <w:vAlign w:val="center"/>
          </w:tcPr>
          <w:p w14:paraId="26499964">
            <w:pPr>
              <w:widowControl/>
              <w:adjustRightInd/>
              <w:snapToGrid/>
              <w:spacing w:line="240" w:lineRule="auto"/>
              <w:jc w:val="center"/>
              <w:rPr>
                <w:kern w:val="0"/>
                <w:sz w:val="18"/>
                <w:szCs w:val="18"/>
              </w:rPr>
            </w:pPr>
            <w:r>
              <w:rPr>
                <w:rFonts w:hint="eastAsia"/>
                <w:kern w:val="0"/>
                <w:sz w:val="18"/>
                <w:szCs w:val="18"/>
              </w:rPr>
              <w:t>52（昼）</w:t>
            </w:r>
          </w:p>
          <w:p w14:paraId="102D5B9E">
            <w:pPr>
              <w:widowControl/>
              <w:adjustRightInd/>
              <w:snapToGrid/>
              <w:spacing w:line="240" w:lineRule="auto"/>
              <w:jc w:val="center"/>
              <w:rPr>
                <w:kern w:val="0"/>
                <w:sz w:val="18"/>
                <w:szCs w:val="18"/>
              </w:rPr>
            </w:pPr>
            <w:r>
              <w:rPr>
                <w:rFonts w:hint="eastAsia"/>
                <w:kern w:val="0"/>
                <w:sz w:val="18"/>
                <w:szCs w:val="18"/>
              </w:rPr>
              <w:t>43（夜）</w:t>
            </w:r>
          </w:p>
        </w:tc>
        <w:tc>
          <w:tcPr>
            <w:tcW w:w="880" w:type="dxa"/>
            <w:vAlign w:val="center"/>
          </w:tcPr>
          <w:p w14:paraId="5A3B5F5A">
            <w:pPr>
              <w:widowControl/>
              <w:adjustRightInd/>
              <w:snapToGrid/>
              <w:spacing w:line="240" w:lineRule="auto"/>
              <w:jc w:val="center"/>
              <w:rPr>
                <w:kern w:val="0"/>
                <w:sz w:val="18"/>
                <w:szCs w:val="18"/>
              </w:rPr>
            </w:pPr>
            <w:r>
              <w:rPr>
                <w:rFonts w:hint="eastAsia"/>
                <w:color w:val="000000"/>
                <w:sz w:val="18"/>
                <w:szCs w:val="18"/>
              </w:rPr>
              <w:t>63</w:t>
            </w:r>
          </w:p>
        </w:tc>
        <w:tc>
          <w:tcPr>
            <w:tcW w:w="880" w:type="dxa"/>
            <w:vAlign w:val="center"/>
          </w:tcPr>
          <w:p w14:paraId="7C3A4660">
            <w:pPr>
              <w:widowControl/>
              <w:adjustRightInd/>
              <w:snapToGrid/>
              <w:spacing w:line="240" w:lineRule="auto"/>
              <w:jc w:val="center"/>
              <w:rPr>
                <w:kern w:val="0"/>
                <w:sz w:val="18"/>
                <w:szCs w:val="18"/>
              </w:rPr>
            </w:pPr>
            <w:r>
              <w:rPr>
                <w:color w:val="000000"/>
                <w:sz w:val="18"/>
                <w:szCs w:val="18"/>
              </w:rPr>
              <w:t xml:space="preserve">63.3 </w:t>
            </w:r>
          </w:p>
        </w:tc>
        <w:tc>
          <w:tcPr>
            <w:tcW w:w="881" w:type="dxa"/>
            <w:vAlign w:val="center"/>
          </w:tcPr>
          <w:p w14:paraId="30E019AB">
            <w:pPr>
              <w:widowControl/>
              <w:adjustRightInd/>
              <w:snapToGrid/>
              <w:spacing w:line="240" w:lineRule="auto"/>
              <w:jc w:val="center"/>
              <w:rPr>
                <w:kern w:val="0"/>
                <w:sz w:val="18"/>
                <w:szCs w:val="18"/>
              </w:rPr>
            </w:pPr>
            <w:r>
              <w:rPr>
                <w:rFonts w:hint="eastAsia"/>
                <w:color w:val="000000"/>
                <w:sz w:val="18"/>
                <w:szCs w:val="18"/>
              </w:rPr>
              <w:t xml:space="preserve">11.3 </w:t>
            </w:r>
          </w:p>
        </w:tc>
        <w:tc>
          <w:tcPr>
            <w:tcW w:w="880" w:type="dxa"/>
            <w:vAlign w:val="center"/>
          </w:tcPr>
          <w:p w14:paraId="75843EB5">
            <w:pPr>
              <w:widowControl/>
              <w:adjustRightInd/>
              <w:snapToGrid/>
              <w:spacing w:line="240" w:lineRule="auto"/>
              <w:jc w:val="center"/>
              <w:rPr>
                <w:kern w:val="0"/>
                <w:sz w:val="18"/>
                <w:szCs w:val="18"/>
              </w:rPr>
            </w:pPr>
            <w:r>
              <w:rPr>
                <w:rFonts w:hint="eastAsia"/>
                <w:color w:val="000000"/>
                <w:sz w:val="18"/>
                <w:szCs w:val="18"/>
              </w:rPr>
              <w:t xml:space="preserve">3.3 </w:t>
            </w:r>
          </w:p>
        </w:tc>
        <w:tc>
          <w:tcPr>
            <w:tcW w:w="880" w:type="dxa"/>
            <w:noWrap/>
            <w:vAlign w:val="center"/>
          </w:tcPr>
          <w:p w14:paraId="06146768">
            <w:pPr>
              <w:widowControl/>
              <w:adjustRightInd/>
              <w:snapToGrid/>
              <w:spacing w:line="240" w:lineRule="auto"/>
              <w:jc w:val="center"/>
              <w:rPr>
                <w:kern w:val="0"/>
                <w:sz w:val="18"/>
                <w:szCs w:val="18"/>
              </w:rPr>
            </w:pPr>
            <w:r>
              <w:rPr>
                <w:kern w:val="0"/>
                <w:sz w:val="18"/>
                <w:szCs w:val="18"/>
              </w:rPr>
              <w:t>63.8</w:t>
            </w:r>
          </w:p>
        </w:tc>
        <w:tc>
          <w:tcPr>
            <w:tcW w:w="881" w:type="dxa"/>
            <w:noWrap/>
            <w:vAlign w:val="center"/>
          </w:tcPr>
          <w:p w14:paraId="57CFC171">
            <w:pPr>
              <w:widowControl/>
              <w:adjustRightInd/>
              <w:snapToGrid/>
              <w:spacing w:line="240" w:lineRule="auto"/>
              <w:jc w:val="center"/>
              <w:rPr>
                <w:kern w:val="0"/>
                <w:sz w:val="18"/>
                <w:szCs w:val="18"/>
              </w:rPr>
            </w:pPr>
            <w:r>
              <w:rPr>
                <w:color w:val="000000"/>
                <w:sz w:val="18"/>
                <w:szCs w:val="18"/>
              </w:rPr>
              <w:t xml:space="preserve">64.1 </w:t>
            </w:r>
          </w:p>
        </w:tc>
        <w:tc>
          <w:tcPr>
            <w:tcW w:w="880" w:type="dxa"/>
            <w:noWrap/>
            <w:vAlign w:val="center"/>
          </w:tcPr>
          <w:p w14:paraId="583D02E3">
            <w:pPr>
              <w:widowControl/>
              <w:adjustRightInd/>
              <w:snapToGrid/>
              <w:spacing w:line="240" w:lineRule="auto"/>
              <w:jc w:val="center"/>
              <w:rPr>
                <w:kern w:val="0"/>
                <w:sz w:val="18"/>
                <w:szCs w:val="18"/>
              </w:rPr>
            </w:pPr>
            <w:r>
              <w:rPr>
                <w:color w:val="000000"/>
                <w:sz w:val="18"/>
                <w:szCs w:val="18"/>
              </w:rPr>
              <w:t xml:space="preserve">12.1 </w:t>
            </w:r>
          </w:p>
        </w:tc>
        <w:tc>
          <w:tcPr>
            <w:tcW w:w="880" w:type="dxa"/>
            <w:noWrap/>
            <w:vAlign w:val="center"/>
          </w:tcPr>
          <w:p w14:paraId="37A49B74">
            <w:pPr>
              <w:widowControl/>
              <w:adjustRightInd/>
              <w:snapToGrid/>
              <w:spacing w:line="240" w:lineRule="auto"/>
              <w:jc w:val="center"/>
              <w:rPr>
                <w:kern w:val="0"/>
                <w:sz w:val="18"/>
                <w:szCs w:val="18"/>
              </w:rPr>
            </w:pPr>
            <w:r>
              <w:rPr>
                <w:color w:val="000000"/>
                <w:sz w:val="18"/>
                <w:szCs w:val="18"/>
              </w:rPr>
              <w:t xml:space="preserve">4.1 </w:t>
            </w:r>
          </w:p>
        </w:tc>
        <w:tc>
          <w:tcPr>
            <w:tcW w:w="881" w:type="dxa"/>
            <w:noWrap/>
            <w:vAlign w:val="center"/>
          </w:tcPr>
          <w:p w14:paraId="40EC7494">
            <w:pPr>
              <w:widowControl/>
              <w:adjustRightInd/>
              <w:snapToGrid/>
              <w:spacing w:line="240" w:lineRule="auto"/>
              <w:jc w:val="center"/>
              <w:rPr>
                <w:kern w:val="0"/>
                <w:sz w:val="18"/>
                <w:szCs w:val="18"/>
              </w:rPr>
            </w:pPr>
            <w:r>
              <w:rPr>
                <w:rFonts w:hint="eastAsia"/>
                <w:color w:val="000000"/>
                <w:sz w:val="18"/>
                <w:szCs w:val="18"/>
              </w:rPr>
              <w:t>64.8</w:t>
            </w:r>
          </w:p>
        </w:tc>
        <w:tc>
          <w:tcPr>
            <w:tcW w:w="880" w:type="dxa"/>
            <w:noWrap/>
            <w:vAlign w:val="center"/>
          </w:tcPr>
          <w:p w14:paraId="4A411786">
            <w:pPr>
              <w:widowControl/>
              <w:adjustRightInd/>
              <w:snapToGrid/>
              <w:spacing w:line="240" w:lineRule="auto"/>
              <w:jc w:val="center"/>
              <w:rPr>
                <w:kern w:val="0"/>
                <w:sz w:val="18"/>
                <w:szCs w:val="18"/>
              </w:rPr>
            </w:pPr>
            <w:r>
              <w:rPr>
                <w:color w:val="000000"/>
                <w:sz w:val="18"/>
                <w:szCs w:val="18"/>
              </w:rPr>
              <w:t xml:space="preserve">65.0 </w:t>
            </w:r>
          </w:p>
        </w:tc>
        <w:tc>
          <w:tcPr>
            <w:tcW w:w="880" w:type="dxa"/>
            <w:noWrap/>
            <w:vAlign w:val="center"/>
          </w:tcPr>
          <w:p w14:paraId="3E304DA4">
            <w:pPr>
              <w:widowControl/>
              <w:adjustRightInd/>
              <w:snapToGrid/>
              <w:spacing w:line="240" w:lineRule="auto"/>
              <w:jc w:val="center"/>
              <w:rPr>
                <w:kern w:val="0"/>
                <w:sz w:val="18"/>
                <w:szCs w:val="18"/>
              </w:rPr>
            </w:pPr>
            <w:r>
              <w:rPr>
                <w:color w:val="000000"/>
                <w:sz w:val="18"/>
                <w:szCs w:val="18"/>
              </w:rPr>
              <w:t xml:space="preserve">13.0 </w:t>
            </w:r>
          </w:p>
        </w:tc>
        <w:tc>
          <w:tcPr>
            <w:tcW w:w="881" w:type="dxa"/>
            <w:noWrap/>
            <w:vAlign w:val="center"/>
          </w:tcPr>
          <w:p w14:paraId="5E1F5DE0">
            <w:pPr>
              <w:widowControl/>
              <w:adjustRightInd/>
              <w:snapToGrid/>
              <w:spacing w:line="240" w:lineRule="auto"/>
              <w:jc w:val="center"/>
              <w:rPr>
                <w:kern w:val="0"/>
                <w:sz w:val="18"/>
                <w:szCs w:val="18"/>
              </w:rPr>
            </w:pPr>
            <w:r>
              <w:rPr>
                <w:color w:val="000000"/>
                <w:sz w:val="18"/>
                <w:szCs w:val="18"/>
              </w:rPr>
              <w:t xml:space="preserve">5.0 </w:t>
            </w:r>
          </w:p>
        </w:tc>
      </w:tr>
      <w:tr w14:paraId="11BE3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092CE59">
            <w:pPr>
              <w:widowControl/>
              <w:adjustRightInd/>
              <w:snapToGrid/>
              <w:spacing w:line="240" w:lineRule="auto"/>
              <w:jc w:val="center"/>
              <w:rPr>
                <w:kern w:val="0"/>
                <w:sz w:val="18"/>
                <w:szCs w:val="18"/>
              </w:rPr>
            </w:pPr>
            <w:r>
              <w:rPr>
                <w:sz w:val="18"/>
                <w:szCs w:val="18"/>
              </w:rPr>
              <w:t>52</w:t>
            </w:r>
          </w:p>
        </w:tc>
        <w:tc>
          <w:tcPr>
            <w:tcW w:w="673" w:type="dxa"/>
            <w:vMerge w:val="continue"/>
            <w:vAlign w:val="center"/>
          </w:tcPr>
          <w:p w14:paraId="2B031CA7">
            <w:pPr>
              <w:widowControl/>
              <w:adjustRightInd/>
              <w:snapToGrid/>
              <w:spacing w:line="240" w:lineRule="auto"/>
              <w:jc w:val="left"/>
              <w:rPr>
                <w:kern w:val="0"/>
                <w:sz w:val="18"/>
                <w:szCs w:val="18"/>
              </w:rPr>
            </w:pPr>
          </w:p>
        </w:tc>
        <w:tc>
          <w:tcPr>
            <w:tcW w:w="595" w:type="dxa"/>
            <w:vMerge w:val="continue"/>
            <w:vAlign w:val="center"/>
          </w:tcPr>
          <w:p w14:paraId="316EF0DC">
            <w:pPr>
              <w:widowControl/>
              <w:adjustRightInd/>
              <w:snapToGrid/>
              <w:spacing w:line="240" w:lineRule="auto"/>
              <w:jc w:val="left"/>
              <w:rPr>
                <w:kern w:val="0"/>
                <w:sz w:val="18"/>
                <w:szCs w:val="18"/>
              </w:rPr>
            </w:pPr>
          </w:p>
        </w:tc>
        <w:tc>
          <w:tcPr>
            <w:tcW w:w="567" w:type="dxa"/>
            <w:vMerge w:val="continue"/>
            <w:vAlign w:val="center"/>
          </w:tcPr>
          <w:p w14:paraId="081AF8A0">
            <w:pPr>
              <w:widowControl/>
              <w:adjustRightInd/>
              <w:snapToGrid/>
              <w:spacing w:line="240" w:lineRule="auto"/>
              <w:jc w:val="left"/>
              <w:rPr>
                <w:kern w:val="0"/>
                <w:sz w:val="18"/>
                <w:szCs w:val="18"/>
              </w:rPr>
            </w:pPr>
          </w:p>
        </w:tc>
        <w:tc>
          <w:tcPr>
            <w:tcW w:w="426" w:type="dxa"/>
            <w:noWrap/>
            <w:vAlign w:val="center"/>
          </w:tcPr>
          <w:p w14:paraId="0DC0B74B">
            <w:pPr>
              <w:widowControl/>
              <w:adjustRightInd/>
              <w:snapToGrid/>
              <w:spacing w:line="240" w:lineRule="auto"/>
              <w:jc w:val="center"/>
              <w:rPr>
                <w:kern w:val="0"/>
                <w:sz w:val="18"/>
                <w:szCs w:val="18"/>
              </w:rPr>
            </w:pPr>
            <w:r>
              <w:rPr>
                <w:sz w:val="18"/>
                <w:szCs w:val="18"/>
              </w:rPr>
              <w:t>夜间</w:t>
            </w:r>
          </w:p>
        </w:tc>
        <w:tc>
          <w:tcPr>
            <w:tcW w:w="708" w:type="dxa"/>
            <w:noWrap/>
            <w:vAlign w:val="center"/>
          </w:tcPr>
          <w:p w14:paraId="35446F52">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1D6F63AC">
            <w:pPr>
              <w:widowControl/>
              <w:adjustRightInd/>
              <w:snapToGrid/>
              <w:spacing w:line="240" w:lineRule="auto"/>
              <w:jc w:val="center"/>
              <w:rPr>
                <w:kern w:val="0"/>
                <w:sz w:val="18"/>
                <w:szCs w:val="18"/>
              </w:rPr>
            </w:pPr>
          </w:p>
        </w:tc>
        <w:tc>
          <w:tcPr>
            <w:tcW w:w="709" w:type="dxa"/>
            <w:vMerge w:val="continue"/>
            <w:noWrap/>
            <w:vAlign w:val="center"/>
          </w:tcPr>
          <w:p w14:paraId="554F90E1">
            <w:pPr>
              <w:widowControl/>
              <w:adjustRightInd/>
              <w:snapToGrid/>
              <w:spacing w:line="240" w:lineRule="auto"/>
              <w:jc w:val="center"/>
              <w:rPr>
                <w:kern w:val="0"/>
                <w:sz w:val="18"/>
                <w:szCs w:val="18"/>
              </w:rPr>
            </w:pPr>
          </w:p>
        </w:tc>
        <w:tc>
          <w:tcPr>
            <w:tcW w:w="880" w:type="dxa"/>
            <w:vAlign w:val="center"/>
          </w:tcPr>
          <w:p w14:paraId="6CF4BA65">
            <w:pPr>
              <w:widowControl/>
              <w:adjustRightInd/>
              <w:snapToGrid/>
              <w:spacing w:line="240" w:lineRule="auto"/>
              <w:jc w:val="center"/>
              <w:rPr>
                <w:kern w:val="0"/>
                <w:sz w:val="18"/>
                <w:szCs w:val="18"/>
              </w:rPr>
            </w:pPr>
            <w:r>
              <w:rPr>
                <w:rFonts w:hint="eastAsia"/>
                <w:color w:val="000000"/>
                <w:sz w:val="18"/>
                <w:szCs w:val="18"/>
              </w:rPr>
              <w:t>51.2</w:t>
            </w:r>
          </w:p>
        </w:tc>
        <w:tc>
          <w:tcPr>
            <w:tcW w:w="880" w:type="dxa"/>
            <w:vAlign w:val="center"/>
          </w:tcPr>
          <w:p w14:paraId="4F433114">
            <w:pPr>
              <w:widowControl/>
              <w:adjustRightInd/>
              <w:snapToGrid/>
              <w:spacing w:line="240" w:lineRule="auto"/>
              <w:jc w:val="center"/>
              <w:rPr>
                <w:kern w:val="0"/>
                <w:sz w:val="18"/>
                <w:szCs w:val="18"/>
              </w:rPr>
            </w:pPr>
            <w:r>
              <w:rPr>
                <w:color w:val="000000"/>
                <w:sz w:val="18"/>
                <w:szCs w:val="18"/>
              </w:rPr>
              <w:t xml:space="preserve">51.8 </w:t>
            </w:r>
          </w:p>
        </w:tc>
        <w:tc>
          <w:tcPr>
            <w:tcW w:w="881" w:type="dxa"/>
            <w:vAlign w:val="center"/>
          </w:tcPr>
          <w:p w14:paraId="25E977CB">
            <w:pPr>
              <w:widowControl/>
              <w:adjustRightInd/>
              <w:snapToGrid/>
              <w:spacing w:line="240" w:lineRule="auto"/>
              <w:jc w:val="center"/>
              <w:rPr>
                <w:kern w:val="0"/>
                <w:sz w:val="18"/>
                <w:szCs w:val="18"/>
              </w:rPr>
            </w:pPr>
            <w:r>
              <w:rPr>
                <w:rFonts w:hint="eastAsia"/>
                <w:color w:val="000000"/>
                <w:sz w:val="18"/>
                <w:szCs w:val="18"/>
              </w:rPr>
              <w:t xml:space="preserve">8.8 </w:t>
            </w:r>
          </w:p>
        </w:tc>
        <w:tc>
          <w:tcPr>
            <w:tcW w:w="880" w:type="dxa"/>
            <w:vAlign w:val="center"/>
          </w:tcPr>
          <w:p w14:paraId="1216E680">
            <w:pPr>
              <w:widowControl/>
              <w:adjustRightInd/>
              <w:snapToGrid/>
              <w:spacing w:line="240" w:lineRule="auto"/>
              <w:jc w:val="center"/>
              <w:rPr>
                <w:kern w:val="0"/>
                <w:sz w:val="18"/>
                <w:szCs w:val="18"/>
              </w:rPr>
            </w:pPr>
            <w:r>
              <w:rPr>
                <w:rFonts w:hint="eastAsia"/>
                <w:color w:val="000000"/>
                <w:sz w:val="18"/>
                <w:szCs w:val="18"/>
              </w:rPr>
              <w:t xml:space="preserve">1.8 </w:t>
            </w:r>
          </w:p>
        </w:tc>
        <w:tc>
          <w:tcPr>
            <w:tcW w:w="880" w:type="dxa"/>
            <w:noWrap/>
            <w:vAlign w:val="center"/>
          </w:tcPr>
          <w:p w14:paraId="663B86E3">
            <w:pPr>
              <w:widowControl/>
              <w:adjustRightInd/>
              <w:snapToGrid/>
              <w:spacing w:line="240" w:lineRule="auto"/>
              <w:jc w:val="center"/>
              <w:rPr>
                <w:kern w:val="0"/>
                <w:sz w:val="18"/>
                <w:szCs w:val="18"/>
              </w:rPr>
            </w:pPr>
            <w:r>
              <w:rPr>
                <w:kern w:val="0"/>
                <w:sz w:val="18"/>
                <w:szCs w:val="18"/>
              </w:rPr>
              <w:t>52.1</w:t>
            </w:r>
          </w:p>
        </w:tc>
        <w:tc>
          <w:tcPr>
            <w:tcW w:w="881" w:type="dxa"/>
            <w:noWrap/>
            <w:vAlign w:val="center"/>
          </w:tcPr>
          <w:p w14:paraId="14B2B212">
            <w:pPr>
              <w:widowControl/>
              <w:adjustRightInd/>
              <w:snapToGrid/>
              <w:spacing w:line="240" w:lineRule="auto"/>
              <w:jc w:val="center"/>
              <w:rPr>
                <w:kern w:val="0"/>
                <w:sz w:val="18"/>
                <w:szCs w:val="18"/>
              </w:rPr>
            </w:pPr>
            <w:r>
              <w:rPr>
                <w:color w:val="000000"/>
                <w:sz w:val="18"/>
                <w:szCs w:val="18"/>
              </w:rPr>
              <w:t xml:space="preserve">52.6 </w:t>
            </w:r>
          </w:p>
        </w:tc>
        <w:tc>
          <w:tcPr>
            <w:tcW w:w="880" w:type="dxa"/>
            <w:noWrap/>
            <w:vAlign w:val="center"/>
          </w:tcPr>
          <w:p w14:paraId="26661CD4">
            <w:pPr>
              <w:widowControl/>
              <w:adjustRightInd/>
              <w:snapToGrid/>
              <w:spacing w:line="240" w:lineRule="auto"/>
              <w:jc w:val="center"/>
              <w:rPr>
                <w:kern w:val="0"/>
                <w:sz w:val="18"/>
                <w:szCs w:val="18"/>
              </w:rPr>
            </w:pPr>
            <w:r>
              <w:rPr>
                <w:color w:val="000000"/>
                <w:sz w:val="18"/>
                <w:szCs w:val="18"/>
              </w:rPr>
              <w:t xml:space="preserve">9.6 </w:t>
            </w:r>
          </w:p>
        </w:tc>
        <w:tc>
          <w:tcPr>
            <w:tcW w:w="880" w:type="dxa"/>
            <w:noWrap/>
            <w:vAlign w:val="center"/>
          </w:tcPr>
          <w:p w14:paraId="366CC503">
            <w:pPr>
              <w:widowControl/>
              <w:adjustRightInd/>
              <w:snapToGrid/>
              <w:spacing w:line="240" w:lineRule="auto"/>
              <w:jc w:val="center"/>
              <w:rPr>
                <w:kern w:val="0"/>
                <w:sz w:val="18"/>
                <w:szCs w:val="18"/>
              </w:rPr>
            </w:pPr>
            <w:r>
              <w:rPr>
                <w:color w:val="000000"/>
                <w:sz w:val="18"/>
                <w:szCs w:val="18"/>
              </w:rPr>
              <w:t xml:space="preserve">2.6 </w:t>
            </w:r>
          </w:p>
        </w:tc>
        <w:tc>
          <w:tcPr>
            <w:tcW w:w="881" w:type="dxa"/>
            <w:noWrap/>
            <w:vAlign w:val="center"/>
          </w:tcPr>
          <w:p w14:paraId="05CECF52">
            <w:pPr>
              <w:widowControl/>
              <w:adjustRightInd/>
              <w:snapToGrid/>
              <w:spacing w:line="240" w:lineRule="auto"/>
              <w:jc w:val="center"/>
              <w:rPr>
                <w:kern w:val="0"/>
                <w:sz w:val="18"/>
                <w:szCs w:val="18"/>
              </w:rPr>
            </w:pPr>
            <w:r>
              <w:rPr>
                <w:rFonts w:hint="eastAsia"/>
                <w:color w:val="000000"/>
                <w:sz w:val="18"/>
                <w:szCs w:val="18"/>
              </w:rPr>
              <w:t>53</w:t>
            </w:r>
          </w:p>
        </w:tc>
        <w:tc>
          <w:tcPr>
            <w:tcW w:w="880" w:type="dxa"/>
            <w:noWrap/>
            <w:vAlign w:val="center"/>
          </w:tcPr>
          <w:p w14:paraId="69F43E59">
            <w:pPr>
              <w:widowControl/>
              <w:adjustRightInd/>
              <w:snapToGrid/>
              <w:spacing w:line="240" w:lineRule="auto"/>
              <w:jc w:val="center"/>
              <w:rPr>
                <w:kern w:val="0"/>
                <w:sz w:val="18"/>
                <w:szCs w:val="18"/>
              </w:rPr>
            </w:pPr>
            <w:r>
              <w:rPr>
                <w:color w:val="000000"/>
                <w:sz w:val="18"/>
                <w:szCs w:val="18"/>
              </w:rPr>
              <w:t xml:space="preserve">53.4 </w:t>
            </w:r>
          </w:p>
        </w:tc>
        <w:tc>
          <w:tcPr>
            <w:tcW w:w="880" w:type="dxa"/>
            <w:noWrap/>
            <w:vAlign w:val="center"/>
          </w:tcPr>
          <w:p w14:paraId="5A08DA0F">
            <w:pPr>
              <w:widowControl/>
              <w:adjustRightInd/>
              <w:snapToGrid/>
              <w:spacing w:line="240" w:lineRule="auto"/>
              <w:jc w:val="center"/>
              <w:rPr>
                <w:kern w:val="0"/>
                <w:sz w:val="18"/>
                <w:szCs w:val="18"/>
              </w:rPr>
            </w:pPr>
            <w:r>
              <w:rPr>
                <w:color w:val="000000"/>
                <w:sz w:val="18"/>
                <w:szCs w:val="18"/>
              </w:rPr>
              <w:t xml:space="preserve">10.4 </w:t>
            </w:r>
          </w:p>
        </w:tc>
        <w:tc>
          <w:tcPr>
            <w:tcW w:w="881" w:type="dxa"/>
            <w:noWrap/>
            <w:vAlign w:val="center"/>
          </w:tcPr>
          <w:p w14:paraId="20A269B6">
            <w:pPr>
              <w:widowControl/>
              <w:adjustRightInd/>
              <w:snapToGrid/>
              <w:spacing w:line="240" w:lineRule="auto"/>
              <w:jc w:val="center"/>
              <w:rPr>
                <w:kern w:val="0"/>
                <w:sz w:val="18"/>
                <w:szCs w:val="18"/>
              </w:rPr>
            </w:pPr>
            <w:r>
              <w:rPr>
                <w:color w:val="000000"/>
                <w:sz w:val="18"/>
                <w:szCs w:val="18"/>
              </w:rPr>
              <w:t xml:space="preserve">3.4 </w:t>
            </w:r>
          </w:p>
        </w:tc>
      </w:tr>
      <w:tr w14:paraId="2CDD91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8B93B96">
            <w:pPr>
              <w:widowControl/>
              <w:adjustRightInd/>
              <w:snapToGrid/>
              <w:spacing w:line="240" w:lineRule="auto"/>
              <w:jc w:val="center"/>
              <w:rPr>
                <w:kern w:val="0"/>
                <w:sz w:val="18"/>
                <w:szCs w:val="18"/>
              </w:rPr>
            </w:pPr>
            <w:r>
              <w:rPr>
                <w:rFonts w:hint="eastAsia"/>
                <w:kern w:val="0"/>
                <w:sz w:val="18"/>
                <w:szCs w:val="18"/>
              </w:rPr>
              <w:t>53</w:t>
            </w:r>
          </w:p>
        </w:tc>
        <w:tc>
          <w:tcPr>
            <w:tcW w:w="673" w:type="dxa"/>
            <w:vMerge w:val="continue"/>
            <w:vAlign w:val="center"/>
          </w:tcPr>
          <w:p w14:paraId="052FB65F">
            <w:pPr>
              <w:widowControl/>
              <w:adjustRightInd/>
              <w:snapToGrid/>
              <w:spacing w:line="240" w:lineRule="auto"/>
              <w:jc w:val="left"/>
              <w:rPr>
                <w:kern w:val="0"/>
                <w:sz w:val="18"/>
                <w:szCs w:val="18"/>
              </w:rPr>
            </w:pPr>
          </w:p>
        </w:tc>
        <w:tc>
          <w:tcPr>
            <w:tcW w:w="595" w:type="dxa"/>
            <w:vMerge w:val="restart"/>
            <w:vAlign w:val="center"/>
          </w:tcPr>
          <w:p w14:paraId="12741BED">
            <w:pPr>
              <w:widowControl/>
              <w:adjustRightInd/>
              <w:snapToGrid/>
              <w:spacing w:line="240" w:lineRule="auto"/>
              <w:jc w:val="center"/>
              <w:rPr>
                <w:kern w:val="0"/>
                <w:sz w:val="18"/>
                <w:szCs w:val="18"/>
              </w:rPr>
            </w:pPr>
            <w:r>
              <w:rPr>
                <w:kern w:val="0"/>
                <w:sz w:val="18"/>
                <w:szCs w:val="18"/>
              </w:rPr>
              <w:t>16.2</w:t>
            </w:r>
          </w:p>
        </w:tc>
        <w:tc>
          <w:tcPr>
            <w:tcW w:w="567" w:type="dxa"/>
            <w:vMerge w:val="continue"/>
            <w:vAlign w:val="center"/>
          </w:tcPr>
          <w:p w14:paraId="0B601C88">
            <w:pPr>
              <w:widowControl/>
              <w:adjustRightInd/>
              <w:snapToGrid/>
              <w:spacing w:line="240" w:lineRule="auto"/>
              <w:jc w:val="left"/>
              <w:rPr>
                <w:kern w:val="0"/>
                <w:sz w:val="18"/>
                <w:szCs w:val="18"/>
              </w:rPr>
            </w:pPr>
          </w:p>
        </w:tc>
        <w:tc>
          <w:tcPr>
            <w:tcW w:w="426" w:type="dxa"/>
            <w:noWrap/>
            <w:vAlign w:val="center"/>
          </w:tcPr>
          <w:p w14:paraId="01334130">
            <w:pPr>
              <w:widowControl/>
              <w:adjustRightInd/>
              <w:snapToGrid/>
              <w:spacing w:line="240" w:lineRule="auto"/>
              <w:jc w:val="center"/>
              <w:rPr>
                <w:kern w:val="0"/>
                <w:sz w:val="18"/>
                <w:szCs w:val="18"/>
              </w:rPr>
            </w:pPr>
            <w:r>
              <w:rPr>
                <w:sz w:val="18"/>
                <w:szCs w:val="18"/>
              </w:rPr>
              <w:t>昼间</w:t>
            </w:r>
          </w:p>
        </w:tc>
        <w:tc>
          <w:tcPr>
            <w:tcW w:w="708" w:type="dxa"/>
            <w:noWrap/>
            <w:vAlign w:val="center"/>
          </w:tcPr>
          <w:p w14:paraId="26586F42">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29B0FFE2">
            <w:pPr>
              <w:widowControl/>
              <w:adjustRightInd/>
              <w:snapToGrid/>
              <w:spacing w:line="240" w:lineRule="auto"/>
              <w:jc w:val="center"/>
              <w:rPr>
                <w:kern w:val="0"/>
                <w:sz w:val="18"/>
                <w:szCs w:val="18"/>
              </w:rPr>
            </w:pPr>
          </w:p>
        </w:tc>
        <w:tc>
          <w:tcPr>
            <w:tcW w:w="709" w:type="dxa"/>
            <w:vMerge w:val="continue"/>
            <w:noWrap/>
            <w:vAlign w:val="center"/>
          </w:tcPr>
          <w:p w14:paraId="06555C55">
            <w:pPr>
              <w:widowControl/>
              <w:adjustRightInd/>
              <w:snapToGrid/>
              <w:spacing w:line="240" w:lineRule="auto"/>
              <w:jc w:val="center"/>
              <w:rPr>
                <w:kern w:val="0"/>
                <w:sz w:val="18"/>
                <w:szCs w:val="18"/>
              </w:rPr>
            </w:pPr>
          </w:p>
        </w:tc>
        <w:tc>
          <w:tcPr>
            <w:tcW w:w="880" w:type="dxa"/>
            <w:vAlign w:val="center"/>
          </w:tcPr>
          <w:p w14:paraId="1D1D12B5">
            <w:pPr>
              <w:widowControl/>
              <w:adjustRightInd/>
              <w:snapToGrid/>
              <w:spacing w:line="240" w:lineRule="auto"/>
              <w:jc w:val="center"/>
              <w:rPr>
                <w:kern w:val="0"/>
                <w:sz w:val="18"/>
                <w:szCs w:val="18"/>
              </w:rPr>
            </w:pPr>
            <w:r>
              <w:rPr>
                <w:rFonts w:hint="eastAsia"/>
                <w:color w:val="000000"/>
                <w:sz w:val="18"/>
                <w:szCs w:val="18"/>
              </w:rPr>
              <w:t>65.7</w:t>
            </w:r>
          </w:p>
        </w:tc>
        <w:tc>
          <w:tcPr>
            <w:tcW w:w="880" w:type="dxa"/>
            <w:vAlign w:val="center"/>
          </w:tcPr>
          <w:p w14:paraId="326CAF29">
            <w:pPr>
              <w:widowControl/>
              <w:adjustRightInd/>
              <w:snapToGrid/>
              <w:spacing w:line="240" w:lineRule="auto"/>
              <w:jc w:val="center"/>
              <w:rPr>
                <w:kern w:val="0"/>
                <w:sz w:val="18"/>
                <w:szCs w:val="18"/>
              </w:rPr>
            </w:pPr>
            <w:r>
              <w:rPr>
                <w:color w:val="000000"/>
                <w:sz w:val="18"/>
                <w:szCs w:val="18"/>
              </w:rPr>
              <w:t xml:space="preserve">65.9 </w:t>
            </w:r>
          </w:p>
        </w:tc>
        <w:tc>
          <w:tcPr>
            <w:tcW w:w="881" w:type="dxa"/>
            <w:vAlign w:val="center"/>
          </w:tcPr>
          <w:p w14:paraId="4DC1C901">
            <w:pPr>
              <w:widowControl/>
              <w:adjustRightInd/>
              <w:snapToGrid/>
              <w:spacing w:line="240" w:lineRule="auto"/>
              <w:jc w:val="center"/>
              <w:rPr>
                <w:kern w:val="0"/>
                <w:sz w:val="18"/>
                <w:szCs w:val="18"/>
              </w:rPr>
            </w:pPr>
            <w:r>
              <w:rPr>
                <w:rFonts w:hint="eastAsia"/>
                <w:color w:val="000000"/>
                <w:sz w:val="18"/>
                <w:szCs w:val="18"/>
              </w:rPr>
              <w:t xml:space="preserve">13.9 </w:t>
            </w:r>
          </w:p>
        </w:tc>
        <w:tc>
          <w:tcPr>
            <w:tcW w:w="880" w:type="dxa"/>
            <w:vAlign w:val="center"/>
          </w:tcPr>
          <w:p w14:paraId="68E9C4FD">
            <w:pPr>
              <w:widowControl/>
              <w:adjustRightInd/>
              <w:snapToGrid/>
              <w:spacing w:line="240" w:lineRule="auto"/>
              <w:jc w:val="center"/>
              <w:rPr>
                <w:kern w:val="0"/>
                <w:sz w:val="18"/>
                <w:szCs w:val="18"/>
              </w:rPr>
            </w:pPr>
            <w:r>
              <w:rPr>
                <w:rFonts w:hint="eastAsia"/>
                <w:color w:val="000000"/>
                <w:sz w:val="18"/>
                <w:szCs w:val="18"/>
              </w:rPr>
              <w:t xml:space="preserve">5.9 </w:t>
            </w:r>
          </w:p>
        </w:tc>
        <w:tc>
          <w:tcPr>
            <w:tcW w:w="880" w:type="dxa"/>
            <w:noWrap/>
            <w:vAlign w:val="center"/>
          </w:tcPr>
          <w:p w14:paraId="255D67D3">
            <w:pPr>
              <w:widowControl/>
              <w:adjustRightInd/>
              <w:snapToGrid/>
              <w:spacing w:line="240" w:lineRule="auto"/>
              <w:jc w:val="center"/>
              <w:rPr>
                <w:kern w:val="0"/>
                <w:sz w:val="18"/>
                <w:szCs w:val="18"/>
              </w:rPr>
            </w:pPr>
            <w:r>
              <w:rPr>
                <w:kern w:val="0"/>
                <w:sz w:val="18"/>
                <w:szCs w:val="18"/>
              </w:rPr>
              <w:t>66.6</w:t>
            </w:r>
          </w:p>
        </w:tc>
        <w:tc>
          <w:tcPr>
            <w:tcW w:w="881" w:type="dxa"/>
            <w:noWrap/>
            <w:vAlign w:val="center"/>
          </w:tcPr>
          <w:p w14:paraId="0B64D196">
            <w:pPr>
              <w:widowControl/>
              <w:adjustRightInd/>
              <w:snapToGrid/>
              <w:spacing w:line="240" w:lineRule="auto"/>
              <w:jc w:val="center"/>
              <w:rPr>
                <w:kern w:val="0"/>
                <w:sz w:val="18"/>
                <w:szCs w:val="18"/>
              </w:rPr>
            </w:pPr>
            <w:r>
              <w:rPr>
                <w:color w:val="000000"/>
                <w:sz w:val="18"/>
                <w:szCs w:val="18"/>
              </w:rPr>
              <w:t xml:space="preserve">66.7 </w:t>
            </w:r>
          </w:p>
        </w:tc>
        <w:tc>
          <w:tcPr>
            <w:tcW w:w="880" w:type="dxa"/>
            <w:noWrap/>
            <w:vAlign w:val="center"/>
          </w:tcPr>
          <w:p w14:paraId="35C9295B">
            <w:pPr>
              <w:widowControl/>
              <w:adjustRightInd/>
              <w:snapToGrid/>
              <w:spacing w:line="240" w:lineRule="auto"/>
              <w:jc w:val="center"/>
              <w:rPr>
                <w:kern w:val="0"/>
                <w:sz w:val="18"/>
                <w:szCs w:val="18"/>
              </w:rPr>
            </w:pPr>
            <w:r>
              <w:rPr>
                <w:color w:val="000000"/>
                <w:sz w:val="18"/>
                <w:szCs w:val="18"/>
              </w:rPr>
              <w:t xml:space="preserve">14.7 </w:t>
            </w:r>
          </w:p>
        </w:tc>
        <w:tc>
          <w:tcPr>
            <w:tcW w:w="880" w:type="dxa"/>
            <w:noWrap/>
            <w:vAlign w:val="center"/>
          </w:tcPr>
          <w:p w14:paraId="014454F0">
            <w:pPr>
              <w:widowControl/>
              <w:adjustRightInd/>
              <w:snapToGrid/>
              <w:spacing w:line="240" w:lineRule="auto"/>
              <w:jc w:val="center"/>
              <w:rPr>
                <w:kern w:val="0"/>
                <w:sz w:val="18"/>
                <w:szCs w:val="18"/>
              </w:rPr>
            </w:pPr>
            <w:r>
              <w:rPr>
                <w:color w:val="000000"/>
                <w:sz w:val="18"/>
                <w:szCs w:val="18"/>
              </w:rPr>
              <w:t xml:space="preserve">6.7 </w:t>
            </w:r>
          </w:p>
        </w:tc>
        <w:tc>
          <w:tcPr>
            <w:tcW w:w="881" w:type="dxa"/>
            <w:noWrap/>
            <w:vAlign w:val="center"/>
          </w:tcPr>
          <w:p w14:paraId="357B3C9A">
            <w:pPr>
              <w:widowControl/>
              <w:adjustRightInd/>
              <w:snapToGrid/>
              <w:spacing w:line="240" w:lineRule="auto"/>
              <w:jc w:val="center"/>
              <w:rPr>
                <w:kern w:val="0"/>
                <w:sz w:val="18"/>
                <w:szCs w:val="18"/>
              </w:rPr>
            </w:pPr>
            <w:r>
              <w:rPr>
                <w:rFonts w:hint="eastAsia"/>
                <w:color w:val="000000"/>
                <w:sz w:val="18"/>
                <w:szCs w:val="18"/>
              </w:rPr>
              <w:t>67.5</w:t>
            </w:r>
          </w:p>
        </w:tc>
        <w:tc>
          <w:tcPr>
            <w:tcW w:w="880" w:type="dxa"/>
            <w:noWrap/>
            <w:vAlign w:val="center"/>
          </w:tcPr>
          <w:p w14:paraId="53D0A960">
            <w:pPr>
              <w:widowControl/>
              <w:adjustRightInd/>
              <w:snapToGrid/>
              <w:spacing w:line="240" w:lineRule="auto"/>
              <w:jc w:val="center"/>
              <w:rPr>
                <w:kern w:val="0"/>
                <w:sz w:val="18"/>
                <w:szCs w:val="18"/>
              </w:rPr>
            </w:pPr>
            <w:r>
              <w:rPr>
                <w:color w:val="000000"/>
                <w:sz w:val="18"/>
                <w:szCs w:val="18"/>
              </w:rPr>
              <w:t xml:space="preserve">67.6 </w:t>
            </w:r>
          </w:p>
        </w:tc>
        <w:tc>
          <w:tcPr>
            <w:tcW w:w="880" w:type="dxa"/>
            <w:noWrap/>
            <w:vAlign w:val="center"/>
          </w:tcPr>
          <w:p w14:paraId="06FEAD7B">
            <w:pPr>
              <w:widowControl/>
              <w:adjustRightInd/>
              <w:snapToGrid/>
              <w:spacing w:line="240" w:lineRule="auto"/>
              <w:jc w:val="center"/>
              <w:rPr>
                <w:kern w:val="0"/>
                <w:sz w:val="18"/>
                <w:szCs w:val="18"/>
              </w:rPr>
            </w:pPr>
            <w:r>
              <w:rPr>
                <w:color w:val="000000"/>
                <w:sz w:val="18"/>
                <w:szCs w:val="18"/>
              </w:rPr>
              <w:t xml:space="preserve">15.6 </w:t>
            </w:r>
          </w:p>
        </w:tc>
        <w:tc>
          <w:tcPr>
            <w:tcW w:w="881" w:type="dxa"/>
            <w:noWrap/>
            <w:vAlign w:val="center"/>
          </w:tcPr>
          <w:p w14:paraId="735206D8">
            <w:pPr>
              <w:widowControl/>
              <w:adjustRightInd/>
              <w:snapToGrid/>
              <w:spacing w:line="240" w:lineRule="auto"/>
              <w:jc w:val="center"/>
              <w:rPr>
                <w:kern w:val="0"/>
                <w:sz w:val="18"/>
                <w:szCs w:val="18"/>
              </w:rPr>
            </w:pPr>
            <w:r>
              <w:rPr>
                <w:color w:val="000000"/>
                <w:sz w:val="18"/>
                <w:szCs w:val="18"/>
              </w:rPr>
              <w:t xml:space="preserve">7.6 </w:t>
            </w:r>
          </w:p>
        </w:tc>
      </w:tr>
      <w:tr w14:paraId="4E564D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B1F8C28">
            <w:pPr>
              <w:widowControl/>
              <w:adjustRightInd/>
              <w:snapToGrid/>
              <w:spacing w:line="240" w:lineRule="auto"/>
              <w:jc w:val="center"/>
              <w:rPr>
                <w:kern w:val="0"/>
                <w:sz w:val="18"/>
                <w:szCs w:val="18"/>
              </w:rPr>
            </w:pPr>
            <w:r>
              <w:rPr>
                <w:rFonts w:hint="eastAsia"/>
                <w:kern w:val="0"/>
                <w:sz w:val="18"/>
                <w:szCs w:val="18"/>
              </w:rPr>
              <w:t>54</w:t>
            </w:r>
          </w:p>
        </w:tc>
        <w:tc>
          <w:tcPr>
            <w:tcW w:w="673" w:type="dxa"/>
            <w:vMerge w:val="continue"/>
            <w:vAlign w:val="center"/>
          </w:tcPr>
          <w:p w14:paraId="1450CAC7">
            <w:pPr>
              <w:widowControl/>
              <w:adjustRightInd/>
              <w:snapToGrid/>
              <w:spacing w:line="240" w:lineRule="auto"/>
              <w:jc w:val="left"/>
              <w:rPr>
                <w:kern w:val="0"/>
                <w:sz w:val="18"/>
                <w:szCs w:val="18"/>
              </w:rPr>
            </w:pPr>
          </w:p>
        </w:tc>
        <w:tc>
          <w:tcPr>
            <w:tcW w:w="595" w:type="dxa"/>
            <w:vMerge w:val="continue"/>
            <w:vAlign w:val="center"/>
          </w:tcPr>
          <w:p w14:paraId="7A7FEB83">
            <w:pPr>
              <w:widowControl/>
              <w:adjustRightInd/>
              <w:snapToGrid/>
              <w:spacing w:line="240" w:lineRule="auto"/>
              <w:jc w:val="left"/>
              <w:rPr>
                <w:kern w:val="0"/>
                <w:sz w:val="18"/>
                <w:szCs w:val="18"/>
              </w:rPr>
            </w:pPr>
          </w:p>
        </w:tc>
        <w:tc>
          <w:tcPr>
            <w:tcW w:w="567" w:type="dxa"/>
            <w:vMerge w:val="continue"/>
            <w:vAlign w:val="center"/>
          </w:tcPr>
          <w:p w14:paraId="187AFBC6">
            <w:pPr>
              <w:widowControl/>
              <w:adjustRightInd/>
              <w:snapToGrid/>
              <w:spacing w:line="240" w:lineRule="auto"/>
              <w:jc w:val="left"/>
              <w:rPr>
                <w:kern w:val="0"/>
                <w:sz w:val="18"/>
                <w:szCs w:val="18"/>
              </w:rPr>
            </w:pPr>
          </w:p>
        </w:tc>
        <w:tc>
          <w:tcPr>
            <w:tcW w:w="426" w:type="dxa"/>
            <w:noWrap/>
            <w:vAlign w:val="center"/>
          </w:tcPr>
          <w:p w14:paraId="4119A615">
            <w:pPr>
              <w:widowControl/>
              <w:adjustRightInd/>
              <w:snapToGrid/>
              <w:spacing w:line="240" w:lineRule="auto"/>
              <w:jc w:val="center"/>
              <w:rPr>
                <w:kern w:val="0"/>
                <w:sz w:val="18"/>
                <w:szCs w:val="18"/>
              </w:rPr>
            </w:pPr>
            <w:r>
              <w:rPr>
                <w:sz w:val="18"/>
                <w:szCs w:val="18"/>
              </w:rPr>
              <w:t>夜间</w:t>
            </w:r>
          </w:p>
        </w:tc>
        <w:tc>
          <w:tcPr>
            <w:tcW w:w="708" w:type="dxa"/>
            <w:noWrap/>
            <w:vAlign w:val="center"/>
          </w:tcPr>
          <w:p w14:paraId="10055497">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378AD9FB">
            <w:pPr>
              <w:widowControl/>
              <w:adjustRightInd/>
              <w:snapToGrid/>
              <w:spacing w:line="240" w:lineRule="auto"/>
              <w:jc w:val="center"/>
              <w:rPr>
                <w:kern w:val="0"/>
                <w:sz w:val="18"/>
                <w:szCs w:val="18"/>
              </w:rPr>
            </w:pPr>
          </w:p>
        </w:tc>
        <w:tc>
          <w:tcPr>
            <w:tcW w:w="709" w:type="dxa"/>
            <w:vMerge w:val="continue"/>
            <w:noWrap/>
            <w:vAlign w:val="center"/>
          </w:tcPr>
          <w:p w14:paraId="64D943B4">
            <w:pPr>
              <w:widowControl/>
              <w:adjustRightInd/>
              <w:snapToGrid/>
              <w:spacing w:line="240" w:lineRule="auto"/>
              <w:jc w:val="center"/>
              <w:rPr>
                <w:kern w:val="0"/>
                <w:sz w:val="18"/>
                <w:szCs w:val="18"/>
              </w:rPr>
            </w:pPr>
          </w:p>
        </w:tc>
        <w:tc>
          <w:tcPr>
            <w:tcW w:w="880" w:type="dxa"/>
            <w:vAlign w:val="center"/>
          </w:tcPr>
          <w:p w14:paraId="244F7756">
            <w:pPr>
              <w:widowControl/>
              <w:adjustRightInd/>
              <w:snapToGrid/>
              <w:spacing w:line="240" w:lineRule="auto"/>
              <w:jc w:val="center"/>
              <w:rPr>
                <w:kern w:val="0"/>
                <w:sz w:val="18"/>
                <w:szCs w:val="18"/>
              </w:rPr>
            </w:pPr>
            <w:r>
              <w:rPr>
                <w:rFonts w:hint="eastAsia"/>
                <w:color w:val="000000"/>
                <w:sz w:val="18"/>
                <w:szCs w:val="18"/>
              </w:rPr>
              <w:t>53.5</w:t>
            </w:r>
          </w:p>
        </w:tc>
        <w:tc>
          <w:tcPr>
            <w:tcW w:w="880" w:type="dxa"/>
            <w:vAlign w:val="center"/>
          </w:tcPr>
          <w:p w14:paraId="25352E89">
            <w:pPr>
              <w:widowControl/>
              <w:adjustRightInd/>
              <w:snapToGrid/>
              <w:spacing w:line="240" w:lineRule="auto"/>
              <w:jc w:val="center"/>
              <w:rPr>
                <w:kern w:val="0"/>
                <w:sz w:val="18"/>
                <w:szCs w:val="18"/>
              </w:rPr>
            </w:pPr>
            <w:r>
              <w:rPr>
                <w:color w:val="000000"/>
                <w:sz w:val="18"/>
                <w:szCs w:val="18"/>
              </w:rPr>
              <w:t xml:space="preserve">53.9 </w:t>
            </w:r>
          </w:p>
        </w:tc>
        <w:tc>
          <w:tcPr>
            <w:tcW w:w="881" w:type="dxa"/>
            <w:vAlign w:val="center"/>
          </w:tcPr>
          <w:p w14:paraId="7206114F">
            <w:pPr>
              <w:widowControl/>
              <w:adjustRightInd/>
              <w:snapToGrid/>
              <w:spacing w:line="240" w:lineRule="auto"/>
              <w:jc w:val="center"/>
              <w:rPr>
                <w:kern w:val="0"/>
                <w:sz w:val="18"/>
                <w:szCs w:val="18"/>
              </w:rPr>
            </w:pPr>
            <w:r>
              <w:rPr>
                <w:rFonts w:hint="eastAsia"/>
                <w:color w:val="000000"/>
                <w:sz w:val="18"/>
                <w:szCs w:val="18"/>
              </w:rPr>
              <w:t xml:space="preserve">10.9 </w:t>
            </w:r>
          </w:p>
        </w:tc>
        <w:tc>
          <w:tcPr>
            <w:tcW w:w="880" w:type="dxa"/>
            <w:vAlign w:val="center"/>
          </w:tcPr>
          <w:p w14:paraId="38803EC4">
            <w:pPr>
              <w:widowControl/>
              <w:adjustRightInd/>
              <w:snapToGrid/>
              <w:spacing w:line="240" w:lineRule="auto"/>
              <w:jc w:val="center"/>
              <w:rPr>
                <w:kern w:val="0"/>
                <w:sz w:val="18"/>
                <w:szCs w:val="18"/>
              </w:rPr>
            </w:pPr>
            <w:r>
              <w:rPr>
                <w:rFonts w:hint="eastAsia"/>
                <w:color w:val="000000"/>
                <w:sz w:val="18"/>
                <w:szCs w:val="18"/>
              </w:rPr>
              <w:t xml:space="preserve">3.9 </w:t>
            </w:r>
          </w:p>
        </w:tc>
        <w:tc>
          <w:tcPr>
            <w:tcW w:w="880" w:type="dxa"/>
            <w:noWrap/>
            <w:vAlign w:val="center"/>
          </w:tcPr>
          <w:p w14:paraId="78A86F98">
            <w:pPr>
              <w:widowControl/>
              <w:adjustRightInd/>
              <w:snapToGrid/>
              <w:spacing w:line="240" w:lineRule="auto"/>
              <w:jc w:val="center"/>
              <w:rPr>
                <w:kern w:val="0"/>
                <w:sz w:val="18"/>
                <w:szCs w:val="18"/>
              </w:rPr>
            </w:pPr>
            <w:r>
              <w:rPr>
                <w:kern w:val="0"/>
                <w:sz w:val="18"/>
                <w:szCs w:val="18"/>
              </w:rPr>
              <w:t>54.3</w:t>
            </w:r>
          </w:p>
        </w:tc>
        <w:tc>
          <w:tcPr>
            <w:tcW w:w="881" w:type="dxa"/>
            <w:noWrap/>
            <w:vAlign w:val="center"/>
          </w:tcPr>
          <w:p w14:paraId="70CE0DFB">
            <w:pPr>
              <w:widowControl/>
              <w:adjustRightInd/>
              <w:snapToGrid/>
              <w:spacing w:line="240" w:lineRule="auto"/>
              <w:jc w:val="center"/>
              <w:rPr>
                <w:kern w:val="0"/>
                <w:sz w:val="18"/>
                <w:szCs w:val="18"/>
              </w:rPr>
            </w:pPr>
            <w:r>
              <w:rPr>
                <w:color w:val="000000"/>
                <w:sz w:val="18"/>
                <w:szCs w:val="18"/>
              </w:rPr>
              <w:t xml:space="preserve">54.6 </w:t>
            </w:r>
          </w:p>
        </w:tc>
        <w:tc>
          <w:tcPr>
            <w:tcW w:w="880" w:type="dxa"/>
            <w:noWrap/>
            <w:vAlign w:val="center"/>
          </w:tcPr>
          <w:p w14:paraId="2BFB4873">
            <w:pPr>
              <w:widowControl/>
              <w:adjustRightInd/>
              <w:snapToGrid/>
              <w:spacing w:line="240" w:lineRule="auto"/>
              <w:jc w:val="center"/>
              <w:rPr>
                <w:kern w:val="0"/>
                <w:sz w:val="18"/>
                <w:szCs w:val="18"/>
              </w:rPr>
            </w:pPr>
            <w:r>
              <w:rPr>
                <w:color w:val="000000"/>
                <w:sz w:val="18"/>
                <w:szCs w:val="18"/>
              </w:rPr>
              <w:t xml:space="preserve">11.6 </w:t>
            </w:r>
          </w:p>
        </w:tc>
        <w:tc>
          <w:tcPr>
            <w:tcW w:w="880" w:type="dxa"/>
            <w:noWrap/>
            <w:vAlign w:val="center"/>
          </w:tcPr>
          <w:p w14:paraId="62173DC4">
            <w:pPr>
              <w:widowControl/>
              <w:adjustRightInd/>
              <w:snapToGrid/>
              <w:spacing w:line="240" w:lineRule="auto"/>
              <w:jc w:val="center"/>
              <w:rPr>
                <w:kern w:val="0"/>
                <w:sz w:val="18"/>
                <w:szCs w:val="18"/>
              </w:rPr>
            </w:pPr>
            <w:r>
              <w:rPr>
                <w:color w:val="000000"/>
                <w:sz w:val="18"/>
                <w:szCs w:val="18"/>
              </w:rPr>
              <w:t xml:space="preserve">4.6 </w:t>
            </w:r>
          </w:p>
        </w:tc>
        <w:tc>
          <w:tcPr>
            <w:tcW w:w="881" w:type="dxa"/>
            <w:noWrap/>
            <w:vAlign w:val="center"/>
          </w:tcPr>
          <w:p w14:paraId="30A967D0">
            <w:pPr>
              <w:widowControl/>
              <w:adjustRightInd/>
              <w:snapToGrid/>
              <w:spacing w:line="240" w:lineRule="auto"/>
              <w:jc w:val="center"/>
              <w:rPr>
                <w:kern w:val="0"/>
                <w:sz w:val="18"/>
                <w:szCs w:val="18"/>
              </w:rPr>
            </w:pPr>
            <w:r>
              <w:rPr>
                <w:rFonts w:hint="eastAsia"/>
                <w:color w:val="000000"/>
                <w:sz w:val="18"/>
                <w:szCs w:val="18"/>
              </w:rPr>
              <w:t>55.3</w:t>
            </w:r>
          </w:p>
        </w:tc>
        <w:tc>
          <w:tcPr>
            <w:tcW w:w="880" w:type="dxa"/>
            <w:noWrap/>
            <w:vAlign w:val="center"/>
          </w:tcPr>
          <w:p w14:paraId="6E0067B5">
            <w:pPr>
              <w:widowControl/>
              <w:adjustRightInd/>
              <w:snapToGrid/>
              <w:spacing w:line="240" w:lineRule="auto"/>
              <w:jc w:val="center"/>
              <w:rPr>
                <w:kern w:val="0"/>
                <w:sz w:val="18"/>
                <w:szCs w:val="18"/>
              </w:rPr>
            </w:pPr>
            <w:r>
              <w:rPr>
                <w:color w:val="000000"/>
                <w:sz w:val="18"/>
                <w:szCs w:val="18"/>
              </w:rPr>
              <w:t xml:space="preserve">55.5 </w:t>
            </w:r>
          </w:p>
        </w:tc>
        <w:tc>
          <w:tcPr>
            <w:tcW w:w="880" w:type="dxa"/>
            <w:noWrap/>
            <w:vAlign w:val="center"/>
          </w:tcPr>
          <w:p w14:paraId="20978018">
            <w:pPr>
              <w:widowControl/>
              <w:adjustRightInd/>
              <w:snapToGrid/>
              <w:spacing w:line="240" w:lineRule="auto"/>
              <w:jc w:val="center"/>
              <w:rPr>
                <w:kern w:val="0"/>
                <w:sz w:val="18"/>
                <w:szCs w:val="18"/>
              </w:rPr>
            </w:pPr>
            <w:r>
              <w:rPr>
                <w:color w:val="000000"/>
                <w:sz w:val="18"/>
                <w:szCs w:val="18"/>
              </w:rPr>
              <w:t xml:space="preserve">12.5 </w:t>
            </w:r>
          </w:p>
        </w:tc>
        <w:tc>
          <w:tcPr>
            <w:tcW w:w="881" w:type="dxa"/>
            <w:noWrap/>
            <w:vAlign w:val="center"/>
          </w:tcPr>
          <w:p w14:paraId="6F19DD93">
            <w:pPr>
              <w:widowControl/>
              <w:adjustRightInd/>
              <w:snapToGrid/>
              <w:spacing w:line="240" w:lineRule="auto"/>
              <w:jc w:val="center"/>
              <w:rPr>
                <w:kern w:val="0"/>
                <w:sz w:val="18"/>
                <w:szCs w:val="18"/>
              </w:rPr>
            </w:pPr>
            <w:r>
              <w:rPr>
                <w:color w:val="000000"/>
                <w:sz w:val="18"/>
                <w:szCs w:val="18"/>
              </w:rPr>
              <w:t xml:space="preserve">5.5 </w:t>
            </w:r>
          </w:p>
        </w:tc>
      </w:tr>
      <w:tr w14:paraId="48F5EE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FF4C0EA">
            <w:pPr>
              <w:widowControl/>
              <w:adjustRightInd/>
              <w:snapToGrid/>
              <w:spacing w:line="240" w:lineRule="auto"/>
              <w:jc w:val="center"/>
              <w:rPr>
                <w:kern w:val="0"/>
                <w:sz w:val="18"/>
                <w:szCs w:val="18"/>
              </w:rPr>
            </w:pPr>
            <w:r>
              <w:rPr>
                <w:rFonts w:hint="eastAsia"/>
                <w:kern w:val="0"/>
                <w:sz w:val="18"/>
                <w:szCs w:val="18"/>
              </w:rPr>
              <w:t>55</w:t>
            </w:r>
          </w:p>
        </w:tc>
        <w:tc>
          <w:tcPr>
            <w:tcW w:w="673" w:type="dxa"/>
            <w:vMerge w:val="continue"/>
            <w:vAlign w:val="center"/>
          </w:tcPr>
          <w:p w14:paraId="4B99B75C">
            <w:pPr>
              <w:widowControl/>
              <w:adjustRightInd/>
              <w:snapToGrid/>
              <w:spacing w:line="240" w:lineRule="auto"/>
              <w:jc w:val="left"/>
              <w:rPr>
                <w:kern w:val="0"/>
                <w:sz w:val="18"/>
                <w:szCs w:val="18"/>
              </w:rPr>
            </w:pPr>
          </w:p>
        </w:tc>
        <w:tc>
          <w:tcPr>
            <w:tcW w:w="595" w:type="dxa"/>
            <w:vMerge w:val="restart"/>
            <w:vAlign w:val="center"/>
          </w:tcPr>
          <w:p w14:paraId="631C22E8">
            <w:pPr>
              <w:widowControl/>
              <w:adjustRightInd/>
              <w:snapToGrid/>
              <w:spacing w:line="240" w:lineRule="auto"/>
              <w:jc w:val="center"/>
              <w:rPr>
                <w:kern w:val="0"/>
                <w:sz w:val="18"/>
                <w:szCs w:val="18"/>
              </w:rPr>
            </w:pPr>
            <w:r>
              <w:rPr>
                <w:kern w:val="0"/>
                <w:sz w:val="18"/>
                <w:szCs w:val="18"/>
              </w:rPr>
              <w:t>31.2</w:t>
            </w:r>
          </w:p>
        </w:tc>
        <w:tc>
          <w:tcPr>
            <w:tcW w:w="567" w:type="dxa"/>
            <w:vMerge w:val="continue"/>
            <w:vAlign w:val="center"/>
          </w:tcPr>
          <w:p w14:paraId="4973F9FE">
            <w:pPr>
              <w:widowControl/>
              <w:adjustRightInd/>
              <w:snapToGrid/>
              <w:spacing w:line="240" w:lineRule="auto"/>
              <w:jc w:val="left"/>
              <w:rPr>
                <w:kern w:val="0"/>
                <w:sz w:val="18"/>
                <w:szCs w:val="18"/>
              </w:rPr>
            </w:pPr>
          </w:p>
        </w:tc>
        <w:tc>
          <w:tcPr>
            <w:tcW w:w="426" w:type="dxa"/>
            <w:noWrap/>
            <w:vAlign w:val="center"/>
          </w:tcPr>
          <w:p w14:paraId="014A6BB4">
            <w:pPr>
              <w:widowControl/>
              <w:adjustRightInd/>
              <w:snapToGrid/>
              <w:spacing w:line="240" w:lineRule="auto"/>
              <w:jc w:val="center"/>
              <w:rPr>
                <w:kern w:val="0"/>
                <w:sz w:val="18"/>
                <w:szCs w:val="18"/>
              </w:rPr>
            </w:pPr>
            <w:r>
              <w:rPr>
                <w:sz w:val="18"/>
                <w:szCs w:val="18"/>
              </w:rPr>
              <w:t>昼间</w:t>
            </w:r>
          </w:p>
        </w:tc>
        <w:tc>
          <w:tcPr>
            <w:tcW w:w="708" w:type="dxa"/>
            <w:noWrap/>
            <w:vAlign w:val="center"/>
          </w:tcPr>
          <w:p w14:paraId="1F12977C">
            <w:pPr>
              <w:widowControl/>
              <w:adjustRightInd/>
              <w:snapToGrid/>
              <w:spacing w:line="240" w:lineRule="auto"/>
              <w:jc w:val="center"/>
              <w:rPr>
                <w:kern w:val="0"/>
                <w:sz w:val="18"/>
                <w:szCs w:val="18"/>
              </w:rPr>
            </w:pPr>
            <w:r>
              <w:rPr>
                <w:sz w:val="18"/>
                <w:szCs w:val="18"/>
              </w:rPr>
              <w:t>60</w:t>
            </w:r>
          </w:p>
        </w:tc>
        <w:tc>
          <w:tcPr>
            <w:tcW w:w="709" w:type="dxa"/>
            <w:vMerge w:val="continue"/>
            <w:noWrap/>
            <w:vAlign w:val="center"/>
          </w:tcPr>
          <w:p w14:paraId="274A2147">
            <w:pPr>
              <w:widowControl/>
              <w:adjustRightInd/>
              <w:snapToGrid/>
              <w:spacing w:line="240" w:lineRule="auto"/>
              <w:jc w:val="center"/>
              <w:rPr>
                <w:kern w:val="0"/>
                <w:sz w:val="18"/>
                <w:szCs w:val="18"/>
              </w:rPr>
            </w:pPr>
          </w:p>
        </w:tc>
        <w:tc>
          <w:tcPr>
            <w:tcW w:w="709" w:type="dxa"/>
            <w:vMerge w:val="continue"/>
            <w:noWrap/>
            <w:vAlign w:val="center"/>
          </w:tcPr>
          <w:p w14:paraId="61EB6CBB">
            <w:pPr>
              <w:widowControl/>
              <w:adjustRightInd/>
              <w:snapToGrid/>
              <w:spacing w:line="240" w:lineRule="auto"/>
              <w:jc w:val="center"/>
              <w:rPr>
                <w:kern w:val="0"/>
                <w:sz w:val="18"/>
                <w:szCs w:val="18"/>
              </w:rPr>
            </w:pPr>
          </w:p>
        </w:tc>
        <w:tc>
          <w:tcPr>
            <w:tcW w:w="880" w:type="dxa"/>
            <w:vAlign w:val="center"/>
          </w:tcPr>
          <w:p w14:paraId="3A4CDF99">
            <w:pPr>
              <w:widowControl/>
              <w:adjustRightInd/>
              <w:snapToGrid/>
              <w:spacing w:line="240" w:lineRule="auto"/>
              <w:jc w:val="center"/>
              <w:rPr>
                <w:kern w:val="0"/>
                <w:sz w:val="18"/>
                <w:szCs w:val="18"/>
              </w:rPr>
            </w:pPr>
            <w:r>
              <w:rPr>
                <w:rFonts w:hint="eastAsia"/>
                <w:color w:val="000000"/>
                <w:sz w:val="18"/>
                <w:szCs w:val="18"/>
              </w:rPr>
              <w:t>64.5</w:t>
            </w:r>
          </w:p>
        </w:tc>
        <w:tc>
          <w:tcPr>
            <w:tcW w:w="880" w:type="dxa"/>
            <w:vAlign w:val="center"/>
          </w:tcPr>
          <w:p w14:paraId="33ACCC83">
            <w:pPr>
              <w:widowControl/>
              <w:adjustRightInd/>
              <w:snapToGrid/>
              <w:spacing w:line="240" w:lineRule="auto"/>
              <w:jc w:val="center"/>
              <w:rPr>
                <w:kern w:val="0"/>
                <w:sz w:val="18"/>
                <w:szCs w:val="18"/>
              </w:rPr>
            </w:pPr>
            <w:r>
              <w:rPr>
                <w:color w:val="000000"/>
                <w:sz w:val="18"/>
                <w:szCs w:val="18"/>
              </w:rPr>
              <w:t xml:space="preserve">64.7 </w:t>
            </w:r>
          </w:p>
        </w:tc>
        <w:tc>
          <w:tcPr>
            <w:tcW w:w="881" w:type="dxa"/>
            <w:vAlign w:val="center"/>
          </w:tcPr>
          <w:p w14:paraId="53E1DFBC">
            <w:pPr>
              <w:widowControl/>
              <w:adjustRightInd/>
              <w:snapToGrid/>
              <w:spacing w:line="240" w:lineRule="auto"/>
              <w:jc w:val="center"/>
              <w:rPr>
                <w:kern w:val="0"/>
                <w:sz w:val="18"/>
                <w:szCs w:val="18"/>
              </w:rPr>
            </w:pPr>
            <w:r>
              <w:rPr>
                <w:rFonts w:hint="eastAsia"/>
                <w:color w:val="000000"/>
                <w:sz w:val="18"/>
                <w:szCs w:val="18"/>
              </w:rPr>
              <w:t xml:space="preserve">12.7 </w:t>
            </w:r>
          </w:p>
        </w:tc>
        <w:tc>
          <w:tcPr>
            <w:tcW w:w="880" w:type="dxa"/>
            <w:vAlign w:val="center"/>
          </w:tcPr>
          <w:p w14:paraId="086370EA">
            <w:pPr>
              <w:widowControl/>
              <w:adjustRightInd/>
              <w:snapToGrid/>
              <w:spacing w:line="240" w:lineRule="auto"/>
              <w:jc w:val="center"/>
              <w:rPr>
                <w:kern w:val="0"/>
                <w:sz w:val="18"/>
                <w:szCs w:val="18"/>
              </w:rPr>
            </w:pPr>
            <w:r>
              <w:rPr>
                <w:rFonts w:hint="eastAsia"/>
                <w:color w:val="000000"/>
                <w:sz w:val="18"/>
                <w:szCs w:val="18"/>
              </w:rPr>
              <w:t xml:space="preserve">4.7 </w:t>
            </w:r>
          </w:p>
        </w:tc>
        <w:tc>
          <w:tcPr>
            <w:tcW w:w="880" w:type="dxa"/>
            <w:noWrap/>
            <w:vAlign w:val="center"/>
          </w:tcPr>
          <w:p w14:paraId="3A1421F0">
            <w:pPr>
              <w:widowControl/>
              <w:adjustRightInd/>
              <w:snapToGrid/>
              <w:spacing w:line="240" w:lineRule="auto"/>
              <w:jc w:val="center"/>
              <w:rPr>
                <w:kern w:val="0"/>
                <w:sz w:val="18"/>
                <w:szCs w:val="18"/>
              </w:rPr>
            </w:pPr>
            <w:r>
              <w:rPr>
                <w:kern w:val="0"/>
                <w:sz w:val="18"/>
                <w:szCs w:val="18"/>
              </w:rPr>
              <w:t>65.4</w:t>
            </w:r>
          </w:p>
        </w:tc>
        <w:tc>
          <w:tcPr>
            <w:tcW w:w="881" w:type="dxa"/>
            <w:noWrap/>
            <w:vAlign w:val="center"/>
          </w:tcPr>
          <w:p w14:paraId="3166D11A">
            <w:pPr>
              <w:widowControl/>
              <w:adjustRightInd/>
              <w:snapToGrid/>
              <w:spacing w:line="240" w:lineRule="auto"/>
              <w:jc w:val="center"/>
              <w:rPr>
                <w:kern w:val="0"/>
                <w:sz w:val="18"/>
                <w:szCs w:val="18"/>
              </w:rPr>
            </w:pPr>
            <w:r>
              <w:rPr>
                <w:color w:val="000000"/>
                <w:sz w:val="18"/>
                <w:szCs w:val="18"/>
              </w:rPr>
              <w:t xml:space="preserve">65.6 </w:t>
            </w:r>
          </w:p>
        </w:tc>
        <w:tc>
          <w:tcPr>
            <w:tcW w:w="880" w:type="dxa"/>
            <w:noWrap/>
            <w:vAlign w:val="center"/>
          </w:tcPr>
          <w:p w14:paraId="50708EE9">
            <w:pPr>
              <w:widowControl/>
              <w:adjustRightInd/>
              <w:snapToGrid/>
              <w:spacing w:line="240" w:lineRule="auto"/>
              <w:jc w:val="center"/>
              <w:rPr>
                <w:kern w:val="0"/>
                <w:sz w:val="18"/>
                <w:szCs w:val="18"/>
              </w:rPr>
            </w:pPr>
            <w:r>
              <w:rPr>
                <w:color w:val="000000"/>
                <w:sz w:val="18"/>
                <w:szCs w:val="18"/>
              </w:rPr>
              <w:t xml:space="preserve">13.6 </w:t>
            </w:r>
          </w:p>
        </w:tc>
        <w:tc>
          <w:tcPr>
            <w:tcW w:w="880" w:type="dxa"/>
            <w:noWrap/>
            <w:vAlign w:val="center"/>
          </w:tcPr>
          <w:p w14:paraId="092770E4">
            <w:pPr>
              <w:widowControl/>
              <w:adjustRightInd/>
              <w:snapToGrid/>
              <w:spacing w:line="240" w:lineRule="auto"/>
              <w:jc w:val="center"/>
              <w:rPr>
                <w:kern w:val="0"/>
                <w:sz w:val="18"/>
                <w:szCs w:val="18"/>
              </w:rPr>
            </w:pPr>
            <w:r>
              <w:rPr>
                <w:color w:val="000000"/>
                <w:sz w:val="18"/>
                <w:szCs w:val="18"/>
              </w:rPr>
              <w:t xml:space="preserve">5.6 </w:t>
            </w:r>
          </w:p>
        </w:tc>
        <w:tc>
          <w:tcPr>
            <w:tcW w:w="881" w:type="dxa"/>
            <w:noWrap/>
            <w:vAlign w:val="center"/>
          </w:tcPr>
          <w:p w14:paraId="4922920D">
            <w:pPr>
              <w:widowControl/>
              <w:adjustRightInd/>
              <w:snapToGrid/>
              <w:spacing w:line="240" w:lineRule="auto"/>
              <w:jc w:val="center"/>
              <w:rPr>
                <w:kern w:val="0"/>
                <w:sz w:val="18"/>
                <w:szCs w:val="18"/>
              </w:rPr>
            </w:pPr>
            <w:r>
              <w:rPr>
                <w:rFonts w:hint="eastAsia"/>
                <w:color w:val="000000"/>
                <w:sz w:val="18"/>
                <w:szCs w:val="18"/>
              </w:rPr>
              <w:t>66.3</w:t>
            </w:r>
          </w:p>
        </w:tc>
        <w:tc>
          <w:tcPr>
            <w:tcW w:w="880" w:type="dxa"/>
            <w:noWrap/>
            <w:vAlign w:val="center"/>
          </w:tcPr>
          <w:p w14:paraId="4E49D18A">
            <w:pPr>
              <w:widowControl/>
              <w:adjustRightInd/>
              <w:snapToGrid/>
              <w:spacing w:line="240" w:lineRule="auto"/>
              <w:jc w:val="center"/>
              <w:rPr>
                <w:kern w:val="0"/>
                <w:sz w:val="18"/>
                <w:szCs w:val="18"/>
              </w:rPr>
            </w:pPr>
            <w:r>
              <w:rPr>
                <w:color w:val="000000"/>
                <w:sz w:val="18"/>
                <w:szCs w:val="18"/>
              </w:rPr>
              <w:t xml:space="preserve">66.5 </w:t>
            </w:r>
          </w:p>
        </w:tc>
        <w:tc>
          <w:tcPr>
            <w:tcW w:w="880" w:type="dxa"/>
            <w:noWrap/>
            <w:vAlign w:val="center"/>
          </w:tcPr>
          <w:p w14:paraId="00F88CA7">
            <w:pPr>
              <w:widowControl/>
              <w:adjustRightInd/>
              <w:snapToGrid/>
              <w:spacing w:line="240" w:lineRule="auto"/>
              <w:jc w:val="center"/>
              <w:rPr>
                <w:kern w:val="0"/>
                <w:sz w:val="18"/>
                <w:szCs w:val="18"/>
              </w:rPr>
            </w:pPr>
            <w:r>
              <w:rPr>
                <w:color w:val="000000"/>
                <w:sz w:val="18"/>
                <w:szCs w:val="18"/>
              </w:rPr>
              <w:t xml:space="preserve">14.5 </w:t>
            </w:r>
          </w:p>
        </w:tc>
        <w:tc>
          <w:tcPr>
            <w:tcW w:w="881" w:type="dxa"/>
            <w:noWrap/>
            <w:vAlign w:val="center"/>
          </w:tcPr>
          <w:p w14:paraId="5A389D43">
            <w:pPr>
              <w:widowControl/>
              <w:adjustRightInd/>
              <w:snapToGrid/>
              <w:spacing w:line="240" w:lineRule="auto"/>
              <w:jc w:val="center"/>
              <w:rPr>
                <w:kern w:val="0"/>
                <w:sz w:val="18"/>
                <w:szCs w:val="18"/>
              </w:rPr>
            </w:pPr>
            <w:r>
              <w:rPr>
                <w:color w:val="000000"/>
                <w:sz w:val="18"/>
                <w:szCs w:val="18"/>
              </w:rPr>
              <w:t xml:space="preserve">6.5 </w:t>
            </w:r>
          </w:p>
        </w:tc>
      </w:tr>
      <w:tr w14:paraId="5D4398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1DD81801">
            <w:pPr>
              <w:widowControl/>
              <w:adjustRightInd/>
              <w:snapToGrid/>
              <w:spacing w:line="240" w:lineRule="auto"/>
              <w:jc w:val="center"/>
              <w:rPr>
                <w:kern w:val="0"/>
                <w:sz w:val="18"/>
                <w:szCs w:val="18"/>
              </w:rPr>
            </w:pPr>
            <w:r>
              <w:rPr>
                <w:rFonts w:hint="eastAsia"/>
                <w:kern w:val="0"/>
                <w:sz w:val="18"/>
                <w:szCs w:val="18"/>
              </w:rPr>
              <w:t>56</w:t>
            </w:r>
          </w:p>
        </w:tc>
        <w:tc>
          <w:tcPr>
            <w:tcW w:w="673" w:type="dxa"/>
            <w:vMerge w:val="continue"/>
            <w:vAlign w:val="center"/>
          </w:tcPr>
          <w:p w14:paraId="061DA1CD">
            <w:pPr>
              <w:widowControl/>
              <w:adjustRightInd/>
              <w:snapToGrid/>
              <w:spacing w:line="240" w:lineRule="auto"/>
              <w:jc w:val="left"/>
              <w:rPr>
                <w:kern w:val="0"/>
                <w:sz w:val="18"/>
                <w:szCs w:val="18"/>
              </w:rPr>
            </w:pPr>
          </w:p>
        </w:tc>
        <w:tc>
          <w:tcPr>
            <w:tcW w:w="595" w:type="dxa"/>
            <w:vMerge w:val="continue"/>
            <w:vAlign w:val="center"/>
          </w:tcPr>
          <w:p w14:paraId="39D4FB3B">
            <w:pPr>
              <w:widowControl/>
              <w:adjustRightInd/>
              <w:snapToGrid/>
              <w:spacing w:line="240" w:lineRule="auto"/>
              <w:jc w:val="left"/>
              <w:rPr>
                <w:kern w:val="0"/>
                <w:sz w:val="18"/>
                <w:szCs w:val="18"/>
              </w:rPr>
            </w:pPr>
          </w:p>
        </w:tc>
        <w:tc>
          <w:tcPr>
            <w:tcW w:w="567" w:type="dxa"/>
            <w:vMerge w:val="continue"/>
            <w:vAlign w:val="center"/>
          </w:tcPr>
          <w:p w14:paraId="3AB6E465">
            <w:pPr>
              <w:widowControl/>
              <w:adjustRightInd/>
              <w:snapToGrid/>
              <w:spacing w:line="240" w:lineRule="auto"/>
              <w:jc w:val="left"/>
              <w:rPr>
                <w:kern w:val="0"/>
                <w:sz w:val="18"/>
                <w:szCs w:val="18"/>
              </w:rPr>
            </w:pPr>
          </w:p>
        </w:tc>
        <w:tc>
          <w:tcPr>
            <w:tcW w:w="426" w:type="dxa"/>
            <w:noWrap/>
            <w:vAlign w:val="center"/>
          </w:tcPr>
          <w:p w14:paraId="1564C7FE">
            <w:pPr>
              <w:widowControl/>
              <w:adjustRightInd/>
              <w:snapToGrid/>
              <w:spacing w:line="240" w:lineRule="auto"/>
              <w:jc w:val="center"/>
              <w:rPr>
                <w:kern w:val="0"/>
                <w:sz w:val="18"/>
                <w:szCs w:val="18"/>
              </w:rPr>
            </w:pPr>
            <w:r>
              <w:rPr>
                <w:sz w:val="18"/>
                <w:szCs w:val="18"/>
              </w:rPr>
              <w:t>夜间</w:t>
            </w:r>
          </w:p>
        </w:tc>
        <w:tc>
          <w:tcPr>
            <w:tcW w:w="708" w:type="dxa"/>
            <w:noWrap/>
            <w:vAlign w:val="center"/>
          </w:tcPr>
          <w:p w14:paraId="565911D2">
            <w:pPr>
              <w:widowControl/>
              <w:adjustRightInd/>
              <w:snapToGrid/>
              <w:spacing w:line="240" w:lineRule="auto"/>
              <w:jc w:val="center"/>
              <w:rPr>
                <w:kern w:val="0"/>
                <w:sz w:val="18"/>
                <w:szCs w:val="18"/>
              </w:rPr>
            </w:pPr>
            <w:r>
              <w:rPr>
                <w:sz w:val="18"/>
                <w:szCs w:val="18"/>
              </w:rPr>
              <w:t>50</w:t>
            </w:r>
          </w:p>
        </w:tc>
        <w:tc>
          <w:tcPr>
            <w:tcW w:w="709" w:type="dxa"/>
            <w:vMerge w:val="continue"/>
            <w:noWrap/>
            <w:vAlign w:val="center"/>
          </w:tcPr>
          <w:p w14:paraId="320D881F">
            <w:pPr>
              <w:widowControl/>
              <w:adjustRightInd/>
              <w:snapToGrid/>
              <w:spacing w:line="240" w:lineRule="auto"/>
              <w:jc w:val="center"/>
              <w:rPr>
                <w:kern w:val="0"/>
                <w:sz w:val="18"/>
                <w:szCs w:val="18"/>
              </w:rPr>
            </w:pPr>
          </w:p>
        </w:tc>
        <w:tc>
          <w:tcPr>
            <w:tcW w:w="709" w:type="dxa"/>
            <w:vMerge w:val="continue"/>
            <w:noWrap/>
            <w:vAlign w:val="center"/>
          </w:tcPr>
          <w:p w14:paraId="4C2BD724">
            <w:pPr>
              <w:widowControl/>
              <w:adjustRightInd/>
              <w:snapToGrid/>
              <w:spacing w:line="240" w:lineRule="auto"/>
              <w:jc w:val="center"/>
              <w:rPr>
                <w:kern w:val="0"/>
                <w:sz w:val="18"/>
                <w:szCs w:val="18"/>
              </w:rPr>
            </w:pPr>
          </w:p>
        </w:tc>
        <w:tc>
          <w:tcPr>
            <w:tcW w:w="880" w:type="dxa"/>
          </w:tcPr>
          <w:p w14:paraId="2BE70277">
            <w:pPr>
              <w:widowControl/>
              <w:adjustRightInd/>
              <w:snapToGrid/>
              <w:spacing w:line="240" w:lineRule="auto"/>
              <w:jc w:val="center"/>
              <w:rPr>
                <w:kern w:val="0"/>
                <w:sz w:val="18"/>
                <w:szCs w:val="18"/>
              </w:rPr>
            </w:pPr>
            <w:r>
              <w:rPr>
                <w:rFonts w:hint="eastAsia"/>
                <w:color w:val="000000"/>
                <w:sz w:val="18"/>
                <w:szCs w:val="18"/>
              </w:rPr>
              <w:t>51.6</w:t>
            </w:r>
          </w:p>
        </w:tc>
        <w:tc>
          <w:tcPr>
            <w:tcW w:w="880" w:type="dxa"/>
            <w:vAlign w:val="center"/>
          </w:tcPr>
          <w:p w14:paraId="20BF10C8">
            <w:pPr>
              <w:widowControl/>
              <w:adjustRightInd/>
              <w:snapToGrid/>
              <w:spacing w:line="240" w:lineRule="auto"/>
              <w:jc w:val="center"/>
              <w:rPr>
                <w:kern w:val="0"/>
                <w:sz w:val="18"/>
                <w:szCs w:val="18"/>
              </w:rPr>
            </w:pPr>
            <w:r>
              <w:rPr>
                <w:color w:val="000000"/>
                <w:sz w:val="18"/>
                <w:szCs w:val="18"/>
              </w:rPr>
              <w:t xml:space="preserve">52.2 </w:t>
            </w:r>
          </w:p>
        </w:tc>
        <w:tc>
          <w:tcPr>
            <w:tcW w:w="881" w:type="dxa"/>
            <w:vAlign w:val="center"/>
          </w:tcPr>
          <w:p w14:paraId="108D41BB">
            <w:pPr>
              <w:widowControl/>
              <w:adjustRightInd/>
              <w:snapToGrid/>
              <w:spacing w:line="240" w:lineRule="auto"/>
              <w:jc w:val="center"/>
              <w:rPr>
                <w:kern w:val="0"/>
                <w:sz w:val="18"/>
                <w:szCs w:val="18"/>
              </w:rPr>
            </w:pPr>
            <w:r>
              <w:rPr>
                <w:rFonts w:hint="eastAsia"/>
                <w:color w:val="000000"/>
                <w:sz w:val="18"/>
                <w:szCs w:val="18"/>
              </w:rPr>
              <w:t xml:space="preserve">9.2 </w:t>
            </w:r>
          </w:p>
        </w:tc>
        <w:tc>
          <w:tcPr>
            <w:tcW w:w="880" w:type="dxa"/>
            <w:vAlign w:val="center"/>
          </w:tcPr>
          <w:p w14:paraId="2500ABF1">
            <w:pPr>
              <w:widowControl/>
              <w:adjustRightInd/>
              <w:snapToGrid/>
              <w:spacing w:line="240" w:lineRule="auto"/>
              <w:jc w:val="center"/>
              <w:rPr>
                <w:kern w:val="0"/>
                <w:sz w:val="18"/>
                <w:szCs w:val="18"/>
              </w:rPr>
            </w:pPr>
            <w:r>
              <w:rPr>
                <w:rFonts w:hint="eastAsia"/>
                <w:color w:val="000000"/>
                <w:sz w:val="18"/>
                <w:szCs w:val="18"/>
              </w:rPr>
              <w:t xml:space="preserve">2.2 </w:t>
            </w:r>
          </w:p>
        </w:tc>
        <w:tc>
          <w:tcPr>
            <w:tcW w:w="880" w:type="dxa"/>
            <w:noWrap/>
            <w:vAlign w:val="center"/>
          </w:tcPr>
          <w:p w14:paraId="104E5502">
            <w:pPr>
              <w:widowControl/>
              <w:adjustRightInd/>
              <w:snapToGrid/>
              <w:spacing w:line="240" w:lineRule="auto"/>
              <w:jc w:val="center"/>
              <w:rPr>
                <w:kern w:val="0"/>
                <w:sz w:val="18"/>
                <w:szCs w:val="18"/>
              </w:rPr>
            </w:pPr>
            <w:r>
              <w:rPr>
                <w:kern w:val="0"/>
                <w:sz w:val="18"/>
                <w:szCs w:val="18"/>
              </w:rPr>
              <w:t>52.5</w:t>
            </w:r>
          </w:p>
        </w:tc>
        <w:tc>
          <w:tcPr>
            <w:tcW w:w="881" w:type="dxa"/>
            <w:noWrap/>
            <w:vAlign w:val="center"/>
          </w:tcPr>
          <w:p w14:paraId="281FD8E3">
            <w:pPr>
              <w:widowControl/>
              <w:adjustRightInd/>
              <w:snapToGrid/>
              <w:spacing w:line="240" w:lineRule="auto"/>
              <w:jc w:val="center"/>
              <w:rPr>
                <w:kern w:val="0"/>
                <w:sz w:val="18"/>
                <w:szCs w:val="18"/>
              </w:rPr>
            </w:pPr>
            <w:r>
              <w:rPr>
                <w:color w:val="000000"/>
                <w:sz w:val="18"/>
                <w:szCs w:val="18"/>
              </w:rPr>
              <w:t xml:space="preserve">53.0 </w:t>
            </w:r>
          </w:p>
        </w:tc>
        <w:tc>
          <w:tcPr>
            <w:tcW w:w="880" w:type="dxa"/>
            <w:noWrap/>
            <w:vAlign w:val="center"/>
          </w:tcPr>
          <w:p w14:paraId="68D047EA">
            <w:pPr>
              <w:widowControl/>
              <w:adjustRightInd/>
              <w:snapToGrid/>
              <w:spacing w:line="240" w:lineRule="auto"/>
              <w:jc w:val="center"/>
              <w:rPr>
                <w:kern w:val="0"/>
                <w:sz w:val="18"/>
                <w:szCs w:val="18"/>
              </w:rPr>
            </w:pPr>
            <w:r>
              <w:rPr>
                <w:color w:val="000000"/>
                <w:sz w:val="18"/>
                <w:szCs w:val="18"/>
              </w:rPr>
              <w:t xml:space="preserve">10.0 </w:t>
            </w:r>
          </w:p>
        </w:tc>
        <w:tc>
          <w:tcPr>
            <w:tcW w:w="880" w:type="dxa"/>
            <w:noWrap/>
            <w:vAlign w:val="center"/>
          </w:tcPr>
          <w:p w14:paraId="1963D8D7">
            <w:pPr>
              <w:widowControl/>
              <w:adjustRightInd/>
              <w:snapToGrid/>
              <w:spacing w:line="240" w:lineRule="auto"/>
              <w:jc w:val="center"/>
              <w:rPr>
                <w:kern w:val="0"/>
                <w:sz w:val="18"/>
                <w:szCs w:val="18"/>
              </w:rPr>
            </w:pPr>
            <w:r>
              <w:rPr>
                <w:color w:val="000000"/>
                <w:sz w:val="18"/>
                <w:szCs w:val="18"/>
              </w:rPr>
              <w:t xml:space="preserve">3.0 </w:t>
            </w:r>
          </w:p>
        </w:tc>
        <w:tc>
          <w:tcPr>
            <w:tcW w:w="881" w:type="dxa"/>
            <w:noWrap/>
            <w:vAlign w:val="center"/>
          </w:tcPr>
          <w:p w14:paraId="26827B1C">
            <w:pPr>
              <w:widowControl/>
              <w:adjustRightInd/>
              <w:snapToGrid/>
              <w:spacing w:line="240" w:lineRule="auto"/>
              <w:jc w:val="center"/>
              <w:rPr>
                <w:kern w:val="0"/>
                <w:sz w:val="18"/>
                <w:szCs w:val="18"/>
              </w:rPr>
            </w:pPr>
            <w:r>
              <w:rPr>
                <w:rFonts w:hint="eastAsia"/>
                <w:color w:val="000000"/>
                <w:sz w:val="18"/>
                <w:szCs w:val="18"/>
              </w:rPr>
              <w:t>53.4</w:t>
            </w:r>
          </w:p>
        </w:tc>
        <w:tc>
          <w:tcPr>
            <w:tcW w:w="880" w:type="dxa"/>
            <w:noWrap/>
            <w:vAlign w:val="center"/>
          </w:tcPr>
          <w:p w14:paraId="76B9B430">
            <w:pPr>
              <w:widowControl/>
              <w:adjustRightInd/>
              <w:snapToGrid/>
              <w:spacing w:line="240" w:lineRule="auto"/>
              <w:jc w:val="center"/>
              <w:rPr>
                <w:kern w:val="0"/>
                <w:sz w:val="18"/>
                <w:szCs w:val="18"/>
              </w:rPr>
            </w:pPr>
            <w:r>
              <w:rPr>
                <w:color w:val="000000"/>
                <w:sz w:val="18"/>
                <w:szCs w:val="18"/>
              </w:rPr>
              <w:t xml:space="preserve">53.8 </w:t>
            </w:r>
          </w:p>
        </w:tc>
        <w:tc>
          <w:tcPr>
            <w:tcW w:w="880" w:type="dxa"/>
            <w:noWrap/>
            <w:vAlign w:val="center"/>
          </w:tcPr>
          <w:p w14:paraId="4D429F88">
            <w:pPr>
              <w:widowControl/>
              <w:adjustRightInd/>
              <w:snapToGrid/>
              <w:spacing w:line="240" w:lineRule="auto"/>
              <w:jc w:val="center"/>
              <w:rPr>
                <w:kern w:val="0"/>
                <w:sz w:val="18"/>
                <w:szCs w:val="18"/>
              </w:rPr>
            </w:pPr>
            <w:r>
              <w:rPr>
                <w:color w:val="000000"/>
                <w:sz w:val="18"/>
                <w:szCs w:val="18"/>
              </w:rPr>
              <w:t xml:space="preserve">10.8 </w:t>
            </w:r>
          </w:p>
        </w:tc>
        <w:tc>
          <w:tcPr>
            <w:tcW w:w="881" w:type="dxa"/>
            <w:noWrap/>
            <w:vAlign w:val="center"/>
          </w:tcPr>
          <w:p w14:paraId="0FEEF542">
            <w:pPr>
              <w:widowControl/>
              <w:adjustRightInd/>
              <w:snapToGrid/>
              <w:spacing w:line="240" w:lineRule="auto"/>
              <w:jc w:val="center"/>
              <w:rPr>
                <w:kern w:val="0"/>
                <w:sz w:val="18"/>
                <w:szCs w:val="18"/>
              </w:rPr>
            </w:pPr>
            <w:r>
              <w:rPr>
                <w:color w:val="000000"/>
                <w:sz w:val="18"/>
                <w:szCs w:val="18"/>
              </w:rPr>
              <w:t xml:space="preserve">3.8 </w:t>
            </w:r>
          </w:p>
        </w:tc>
      </w:tr>
      <w:tr w14:paraId="7A4F4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52E0C77">
            <w:pPr>
              <w:widowControl/>
              <w:adjustRightInd/>
              <w:snapToGrid/>
              <w:spacing w:line="240" w:lineRule="auto"/>
              <w:jc w:val="center"/>
              <w:rPr>
                <w:sz w:val="18"/>
                <w:szCs w:val="18"/>
              </w:rPr>
            </w:pPr>
            <w:r>
              <w:rPr>
                <w:rFonts w:hint="eastAsia"/>
                <w:sz w:val="18"/>
                <w:szCs w:val="18"/>
              </w:rPr>
              <w:t>57</w:t>
            </w:r>
          </w:p>
        </w:tc>
        <w:tc>
          <w:tcPr>
            <w:tcW w:w="673" w:type="dxa"/>
            <w:vMerge w:val="continue"/>
            <w:vAlign w:val="center"/>
          </w:tcPr>
          <w:p w14:paraId="52A0D27F">
            <w:pPr>
              <w:widowControl/>
              <w:adjustRightInd/>
              <w:snapToGrid/>
              <w:spacing w:line="240" w:lineRule="auto"/>
              <w:jc w:val="left"/>
              <w:rPr>
                <w:kern w:val="0"/>
                <w:sz w:val="18"/>
                <w:szCs w:val="18"/>
              </w:rPr>
            </w:pPr>
          </w:p>
        </w:tc>
        <w:tc>
          <w:tcPr>
            <w:tcW w:w="595" w:type="dxa"/>
            <w:vMerge w:val="restart"/>
            <w:vAlign w:val="center"/>
          </w:tcPr>
          <w:p w14:paraId="7EB844D9">
            <w:pPr>
              <w:widowControl/>
              <w:adjustRightInd/>
              <w:snapToGrid/>
              <w:spacing w:line="240" w:lineRule="auto"/>
              <w:jc w:val="center"/>
              <w:rPr>
                <w:kern w:val="0"/>
                <w:sz w:val="18"/>
                <w:szCs w:val="18"/>
              </w:rPr>
            </w:pPr>
            <w:r>
              <w:rPr>
                <w:kern w:val="0"/>
                <w:sz w:val="18"/>
                <w:szCs w:val="18"/>
              </w:rPr>
              <w:t>46.2</w:t>
            </w:r>
          </w:p>
        </w:tc>
        <w:tc>
          <w:tcPr>
            <w:tcW w:w="567" w:type="dxa"/>
            <w:vMerge w:val="continue"/>
            <w:vAlign w:val="center"/>
          </w:tcPr>
          <w:p w14:paraId="7E363C8D">
            <w:pPr>
              <w:widowControl/>
              <w:adjustRightInd/>
              <w:snapToGrid/>
              <w:spacing w:line="240" w:lineRule="auto"/>
              <w:jc w:val="left"/>
              <w:rPr>
                <w:kern w:val="0"/>
                <w:sz w:val="18"/>
                <w:szCs w:val="18"/>
              </w:rPr>
            </w:pPr>
          </w:p>
        </w:tc>
        <w:tc>
          <w:tcPr>
            <w:tcW w:w="426" w:type="dxa"/>
            <w:noWrap/>
            <w:vAlign w:val="center"/>
          </w:tcPr>
          <w:p w14:paraId="01BDFA04">
            <w:pPr>
              <w:widowControl/>
              <w:adjustRightInd/>
              <w:snapToGrid/>
              <w:spacing w:line="240" w:lineRule="auto"/>
              <w:jc w:val="center"/>
              <w:rPr>
                <w:sz w:val="18"/>
                <w:szCs w:val="18"/>
              </w:rPr>
            </w:pPr>
            <w:r>
              <w:rPr>
                <w:sz w:val="18"/>
                <w:szCs w:val="18"/>
              </w:rPr>
              <w:t>昼间</w:t>
            </w:r>
          </w:p>
        </w:tc>
        <w:tc>
          <w:tcPr>
            <w:tcW w:w="708" w:type="dxa"/>
            <w:noWrap/>
            <w:vAlign w:val="center"/>
          </w:tcPr>
          <w:p w14:paraId="702D2A9D">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0FC8CDF7">
            <w:pPr>
              <w:widowControl/>
              <w:adjustRightInd/>
              <w:snapToGrid/>
              <w:spacing w:line="240" w:lineRule="auto"/>
              <w:jc w:val="center"/>
              <w:rPr>
                <w:sz w:val="18"/>
                <w:szCs w:val="18"/>
              </w:rPr>
            </w:pPr>
          </w:p>
        </w:tc>
        <w:tc>
          <w:tcPr>
            <w:tcW w:w="709" w:type="dxa"/>
            <w:vMerge w:val="continue"/>
            <w:noWrap/>
            <w:vAlign w:val="center"/>
          </w:tcPr>
          <w:p w14:paraId="259229C4">
            <w:pPr>
              <w:widowControl/>
              <w:adjustRightInd/>
              <w:snapToGrid/>
              <w:spacing w:line="240" w:lineRule="auto"/>
              <w:jc w:val="center"/>
              <w:rPr>
                <w:sz w:val="18"/>
                <w:szCs w:val="18"/>
              </w:rPr>
            </w:pPr>
          </w:p>
        </w:tc>
        <w:tc>
          <w:tcPr>
            <w:tcW w:w="880" w:type="dxa"/>
          </w:tcPr>
          <w:p w14:paraId="016F1E3D">
            <w:pPr>
              <w:widowControl/>
              <w:adjustRightInd/>
              <w:snapToGrid/>
              <w:spacing w:line="240" w:lineRule="auto"/>
              <w:jc w:val="center"/>
              <w:rPr>
                <w:kern w:val="0"/>
                <w:sz w:val="18"/>
                <w:szCs w:val="18"/>
              </w:rPr>
            </w:pPr>
            <w:r>
              <w:rPr>
                <w:rFonts w:hint="eastAsia"/>
                <w:color w:val="000000"/>
                <w:sz w:val="18"/>
                <w:szCs w:val="18"/>
              </w:rPr>
              <w:t>63.4</w:t>
            </w:r>
          </w:p>
        </w:tc>
        <w:tc>
          <w:tcPr>
            <w:tcW w:w="880" w:type="dxa"/>
            <w:vAlign w:val="center"/>
          </w:tcPr>
          <w:p w14:paraId="084663FA">
            <w:pPr>
              <w:widowControl/>
              <w:adjustRightInd/>
              <w:snapToGrid/>
              <w:spacing w:line="240" w:lineRule="auto"/>
              <w:jc w:val="center"/>
              <w:rPr>
                <w:kern w:val="0"/>
                <w:sz w:val="18"/>
                <w:szCs w:val="18"/>
              </w:rPr>
            </w:pPr>
            <w:r>
              <w:rPr>
                <w:color w:val="000000"/>
                <w:sz w:val="18"/>
                <w:szCs w:val="18"/>
              </w:rPr>
              <w:t xml:space="preserve">63.7 </w:t>
            </w:r>
          </w:p>
        </w:tc>
        <w:tc>
          <w:tcPr>
            <w:tcW w:w="881" w:type="dxa"/>
            <w:vAlign w:val="center"/>
          </w:tcPr>
          <w:p w14:paraId="4F0E601B">
            <w:pPr>
              <w:widowControl/>
              <w:adjustRightInd/>
              <w:snapToGrid/>
              <w:spacing w:line="240" w:lineRule="auto"/>
              <w:jc w:val="center"/>
              <w:rPr>
                <w:kern w:val="0"/>
                <w:sz w:val="18"/>
                <w:szCs w:val="18"/>
              </w:rPr>
            </w:pPr>
            <w:r>
              <w:rPr>
                <w:rFonts w:hint="eastAsia"/>
                <w:color w:val="000000"/>
                <w:sz w:val="18"/>
                <w:szCs w:val="18"/>
              </w:rPr>
              <w:t xml:space="preserve">11.7 </w:t>
            </w:r>
          </w:p>
        </w:tc>
        <w:tc>
          <w:tcPr>
            <w:tcW w:w="880" w:type="dxa"/>
            <w:vAlign w:val="center"/>
          </w:tcPr>
          <w:p w14:paraId="5E01F247">
            <w:pPr>
              <w:widowControl/>
              <w:adjustRightInd/>
              <w:snapToGrid/>
              <w:spacing w:line="240" w:lineRule="auto"/>
              <w:jc w:val="center"/>
              <w:rPr>
                <w:kern w:val="0"/>
                <w:sz w:val="18"/>
                <w:szCs w:val="18"/>
              </w:rPr>
            </w:pPr>
            <w:r>
              <w:rPr>
                <w:rFonts w:hint="eastAsia"/>
                <w:color w:val="000000"/>
                <w:sz w:val="18"/>
                <w:szCs w:val="18"/>
              </w:rPr>
              <w:t xml:space="preserve">3.7 </w:t>
            </w:r>
          </w:p>
        </w:tc>
        <w:tc>
          <w:tcPr>
            <w:tcW w:w="880" w:type="dxa"/>
            <w:noWrap/>
            <w:vAlign w:val="center"/>
          </w:tcPr>
          <w:p w14:paraId="560B7202">
            <w:pPr>
              <w:widowControl/>
              <w:adjustRightInd/>
              <w:snapToGrid/>
              <w:spacing w:line="240" w:lineRule="auto"/>
              <w:jc w:val="center"/>
              <w:rPr>
                <w:kern w:val="0"/>
                <w:sz w:val="18"/>
                <w:szCs w:val="18"/>
              </w:rPr>
            </w:pPr>
            <w:r>
              <w:rPr>
                <w:kern w:val="0"/>
                <w:sz w:val="18"/>
                <w:szCs w:val="18"/>
              </w:rPr>
              <w:t>64.2</w:t>
            </w:r>
          </w:p>
        </w:tc>
        <w:tc>
          <w:tcPr>
            <w:tcW w:w="881" w:type="dxa"/>
            <w:noWrap/>
            <w:vAlign w:val="center"/>
          </w:tcPr>
          <w:p w14:paraId="1021906B">
            <w:pPr>
              <w:widowControl/>
              <w:adjustRightInd/>
              <w:snapToGrid/>
              <w:spacing w:line="240" w:lineRule="auto"/>
              <w:jc w:val="center"/>
              <w:rPr>
                <w:sz w:val="18"/>
                <w:szCs w:val="18"/>
              </w:rPr>
            </w:pPr>
            <w:r>
              <w:rPr>
                <w:color w:val="000000"/>
                <w:sz w:val="18"/>
                <w:szCs w:val="18"/>
              </w:rPr>
              <w:t xml:space="preserve">64.5 </w:t>
            </w:r>
          </w:p>
        </w:tc>
        <w:tc>
          <w:tcPr>
            <w:tcW w:w="880" w:type="dxa"/>
            <w:noWrap/>
            <w:vAlign w:val="center"/>
          </w:tcPr>
          <w:p w14:paraId="72AE1C9A">
            <w:pPr>
              <w:widowControl/>
              <w:adjustRightInd/>
              <w:snapToGrid/>
              <w:spacing w:line="240" w:lineRule="auto"/>
              <w:jc w:val="center"/>
              <w:rPr>
                <w:sz w:val="18"/>
                <w:szCs w:val="18"/>
              </w:rPr>
            </w:pPr>
            <w:r>
              <w:rPr>
                <w:color w:val="000000"/>
                <w:sz w:val="18"/>
                <w:szCs w:val="18"/>
              </w:rPr>
              <w:t xml:space="preserve">12.5 </w:t>
            </w:r>
          </w:p>
        </w:tc>
        <w:tc>
          <w:tcPr>
            <w:tcW w:w="880" w:type="dxa"/>
            <w:noWrap/>
            <w:vAlign w:val="center"/>
          </w:tcPr>
          <w:p w14:paraId="1C8C47F1">
            <w:pPr>
              <w:widowControl/>
              <w:adjustRightInd/>
              <w:snapToGrid/>
              <w:spacing w:line="240" w:lineRule="auto"/>
              <w:jc w:val="center"/>
              <w:rPr>
                <w:sz w:val="18"/>
                <w:szCs w:val="18"/>
              </w:rPr>
            </w:pPr>
            <w:r>
              <w:rPr>
                <w:color w:val="000000"/>
                <w:sz w:val="18"/>
                <w:szCs w:val="18"/>
              </w:rPr>
              <w:t xml:space="preserve">4.5 </w:t>
            </w:r>
          </w:p>
        </w:tc>
        <w:tc>
          <w:tcPr>
            <w:tcW w:w="881" w:type="dxa"/>
            <w:noWrap/>
            <w:vAlign w:val="center"/>
          </w:tcPr>
          <w:p w14:paraId="4CB0B61A">
            <w:pPr>
              <w:widowControl/>
              <w:adjustRightInd/>
              <w:snapToGrid/>
              <w:spacing w:line="240" w:lineRule="auto"/>
              <w:jc w:val="center"/>
              <w:rPr>
                <w:sz w:val="18"/>
                <w:szCs w:val="18"/>
              </w:rPr>
            </w:pPr>
            <w:r>
              <w:rPr>
                <w:rFonts w:hint="eastAsia"/>
                <w:color w:val="000000"/>
                <w:sz w:val="18"/>
                <w:szCs w:val="18"/>
              </w:rPr>
              <w:t>65.2</w:t>
            </w:r>
          </w:p>
        </w:tc>
        <w:tc>
          <w:tcPr>
            <w:tcW w:w="880" w:type="dxa"/>
            <w:noWrap/>
            <w:vAlign w:val="center"/>
          </w:tcPr>
          <w:p w14:paraId="3246DD36">
            <w:pPr>
              <w:widowControl/>
              <w:adjustRightInd/>
              <w:snapToGrid/>
              <w:spacing w:line="240" w:lineRule="auto"/>
              <w:jc w:val="center"/>
              <w:rPr>
                <w:sz w:val="18"/>
                <w:szCs w:val="18"/>
              </w:rPr>
            </w:pPr>
            <w:r>
              <w:rPr>
                <w:color w:val="000000"/>
                <w:sz w:val="18"/>
                <w:szCs w:val="18"/>
              </w:rPr>
              <w:t xml:space="preserve">65.4 </w:t>
            </w:r>
          </w:p>
        </w:tc>
        <w:tc>
          <w:tcPr>
            <w:tcW w:w="880" w:type="dxa"/>
            <w:noWrap/>
            <w:vAlign w:val="center"/>
          </w:tcPr>
          <w:p w14:paraId="63A12B52">
            <w:pPr>
              <w:widowControl/>
              <w:adjustRightInd/>
              <w:snapToGrid/>
              <w:spacing w:line="240" w:lineRule="auto"/>
              <w:jc w:val="center"/>
              <w:rPr>
                <w:sz w:val="18"/>
                <w:szCs w:val="18"/>
              </w:rPr>
            </w:pPr>
            <w:r>
              <w:rPr>
                <w:color w:val="000000"/>
                <w:sz w:val="18"/>
                <w:szCs w:val="18"/>
              </w:rPr>
              <w:t xml:space="preserve">13.4 </w:t>
            </w:r>
          </w:p>
        </w:tc>
        <w:tc>
          <w:tcPr>
            <w:tcW w:w="881" w:type="dxa"/>
            <w:noWrap/>
            <w:vAlign w:val="center"/>
          </w:tcPr>
          <w:p w14:paraId="3907C64D">
            <w:pPr>
              <w:widowControl/>
              <w:adjustRightInd/>
              <w:snapToGrid/>
              <w:spacing w:line="240" w:lineRule="auto"/>
              <w:jc w:val="center"/>
              <w:rPr>
                <w:sz w:val="18"/>
                <w:szCs w:val="18"/>
              </w:rPr>
            </w:pPr>
            <w:r>
              <w:rPr>
                <w:color w:val="000000"/>
                <w:sz w:val="18"/>
                <w:szCs w:val="18"/>
              </w:rPr>
              <w:t xml:space="preserve">5.4 </w:t>
            </w:r>
          </w:p>
        </w:tc>
      </w:tr>
      <w:tr w14:paraId="6EC6D3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E367EED">
            <w:pPr>
              <w:widowControl/>
              <w:adjustRightInd/>
              <w:snapToGrid/>
              <w:spacing w:line="240" w:lineRule="auto"/>
              <w:jc w:val="center"/>
              <w:rPr>
                <w:sz w:val="18"/>
                <w:szCs w:val="18"/>
              </w:rPr>
            </w:pPr>
            <w:r>
              <w:rPr>
                <w:rFonts w:hint="eastAsia"/>
                <w:sz w:val="18"/>
                <w:szCs w:val="18"/>
              </w:rPr>
              <w:t>58</w:t>
            </w:r>
          </w:p>
        </w:tc>
        <w:tc>
          <w:tcPr>
            <w:tcW w:w="673" w:type="dxa"/>
            <w:vMerge w:val="continue"/>
            <w:vAlign w:val="center"/>
          </w:tcPr>
          <w:p w14:paraId="1BB02AD5">
            <w:pPr>
              <w:widowControl/>
              <w:adjustRightInd/>
              <w:snapToGrid/>
              <w:spacing w:line="240" w:lineRule="auto"/>
              <w:jc w:val="left"/>
              <w:rPr>
                <w:kern w:val="0"/>
                <w:sz w:val="18"/>
                <w:szCs w:val="18"/>
              </w:rPr>
            </w:pPr>
          </w:p>
        </w:tc>
        <w:tc>
          <w:tcPr>
            <w:tcW w:w="595" w:type="dxa"/>
            <w:vMerge w:val="continue"/>
            <w:vAlign w:val="center"/>
          </w:tcPr>
          <w:p w14:paraId="5067F3F6">
            <w:pPr>
              <w:widowControl/>
              <w:adjustRightInd/>
              <w:snapToGrid/>
              <w:spacing w:line="240" w:lineRule="auto"/>
              <w:jc w:val="center"/>
              <w:rPr>
                <w:kern w:val="0"/>
                <w:sz w:val="18"/>
                <w:szCs w:val="18"/>
              </w:rPr>
            </w:pPr>
          </w:p>
        </w:tc>
        <w:tc>
          <w:tcPr>
            <w:tcW w:w="567" w:type="dxa"/>
            <w:vMerge w:val="continue"/>
            <w:vAlign w:val="center"/>
          </w:tcPr>
          <w:p w14:paraId="3F070241">
            <w:pPr>
              <w:widowControl/>
              <w:adjustRightInd/>
              <w:snapToGrid/>
              <w:spacing w:line="240" w:lineRule="auto"/>
              <w:jc w:val="left"/>
              <w:rPr>
                <w:kern w:val="0"/>
                <w:sz w:val="18"/>
                <w:szCs w:val="18"/>
              </w:rPr>
            </w:pPr>
          </w:p>
        </w:tc>
        <w:tc>
          <w:tcPr>
            <w:tcW w:w="426" w:type="dxa"/>
            <w:noWrap/>
            <w:vAlign w:val="center"/>
          </w:tcPr>
          <w:p w14:paraId="0AEE41F2">
            <w:pPr>
              <w:widowControl/>
              <w:adjustRightInd/>
              <w:snapToGrid/>
              <w:spacing w:line="240" w:lineRule="auto"/>
              <w:jc w:val="center"/>
              <w:rPr>
                <w:sz w:val="18"/>
                <w:szCs w:val="18"/>
              </w:rPr>
            </w:pPr>
            <w:r>
              <w:rPr>
                <w:sz w:val="18"/>
                <w:szCs w:val="18"/>
              </w:rPr>
              <w:t>夜间</w:t>
            </w:r>
          </w:p>
        </w:tc>
        <w:tc>
          <w:tcPr>
            <w:tcW w:w="708" w:type="dxa"/>
            <w:noWrap/>
            <w:vAlign w:val="center"/>
          </w:tcPr>
          <w:p w14:paraId="71649B95">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3BB18596">
            <w:pPr>
              <w:widowControl/>
              <w:adjustRightInd/>
              <w:snapToGrid/>
              <w:spacing w:line="240" w:lineRule="auto"/>
              <w:jc w:val="center"/>
              <w:rPr>
                <w:sz w:val="18"/>
                <w:szCs w:val="18"/>
              </w:rPr>
            </w:pPr>
          </w:p>
        </w:tc>
        <w:tc>
          <w:tcPr>
            <w:tcW w:w="709" w:type="dxa"/>
            <w:vMerge w:val="continue"/>
            <w:noWrap/>
            <w:vAlign w:val="center"/>
          </w:tcPr>
          <w:p w14:paraId="245E990C">
            <w:pPr>
              <w:widowControl/>
              <w:adjustRightInd/>
              <w:snapToGrid/>
              <w:spacing w:line="240" w:lineRule="auto"/>
              <w:jc w:val="center"/>
              <w:rPr>
                <w:sz w:val="18"/>
                <w:szCs w:val="18"/>
              </w:rPr>
            </w:pPr>
          </w:p>
        </w:tc>
        <w:tc>
          <w:tcPr>
            <w:tcW w:w="880" w:type="dxa"/>
          </w:tcPr>
          <w:p w14:paraId="3B90E5D2">
            <w:pPr>
              <w:widowControl/>
              <w:adjustRightInd/>
              <w:snapToGrid/>
              <w:spacing w:line="240" w:lineRule="auto"/>
              <w:jc w:val="center"/>
              <w:rPr>
                <w:kern w:val="0"/>
                <w:sz w:val="18"/>
                <w:szCs w:val="18"/>
              </w:rPr>
            </w:pPr>
            <w:r>
              <w:rPr>
                <w:rFonts w:hint="eastAsia"/>
                <w:color w:val="000000"/>
                <w:sz w:val="18"/>
                <w:szCs w:val="18"/>
              </w:rPr>
              <w:t>49.9</w:t>
            </w:r>
          </w:p>
        </w:tc>
        <w:tc>
          <w:tcPr>
            <w:tcW w:w="880" w:type="dxa"/>
            <w:vAlign w:val="center"/>
          </w:tcPr>
          <w:p w14:paraId="444C76BC">
            <w:pPr>
              <w:widowControl/>
              <w:adjustRightInd/>
              <w:snapToGrid/>
              <w:spacing w:line="240" w:lineRule="auto"/>
              <w:jc w:val="center"/>
              <w:rPr>
                <w:kern w:val="0"/>
                <w:sz w:val="18"/>
                <w:szCs w:val="18"/>
              </w:rPr>
            </w:pPr>
            <w:r>
              <w:rPr>
                <w:color w:val="000000"/>
                <w:sz w:val="18"/>
                <w:szCs w:val="18"/>
              </w:rPr>
              <w:t xml:space="preserve">50.7 </w:t>
            </w:r>
          </w:p>
        </w:tc>
        <w:tc>
          <w:tcPr>
            <w:tcW w:w="881" w:type="dxa"/>
            <w:vAlign w:val="center"/>
          </w:tcPr>
          <w:p w14:paraId="3F98D830">
            <w:pPr>
              <w:widowControl/>
              <w:adjustRightInd/>
              <w:snapToGrid/>
              <w:spacing w:line="240" w:lineRule="auto"/>
              <w:jc w:val="center"/>
              <w:rPr>
                <w:kern w:val="0"/>
                <w:sz w:val="18"/>
                <w:szCs w:val="18"/>
              </w:rPr>
            </w:pPr>
            <w:r>
              <w:rPr>
                <w:rFonts w:hint="eastAsia"/>
                <w:color w:val="000000"/>
                <w:sz w:val="18"/>
                <w:szCs w:val="18"/>
              </w:rPr>
              <w:t xml:space="preserve">7.7 </w:t>
            </w:r>
          </w:p>
        </w:tc>
        <w:tc>
          <w:tcPr>
            <w:tcW w:w="880" w:type="dxa"/>
            <w:vAlign w:val="center"/>
          </w:tcPr>
          <w:p w14:paraId="40F00F89">
            <w:pPr>
              <w:widowControl/>
              <w:adjustRightInd/>
              <w:snapToGrid/>
              <w:spacing w:line="240" w:lineRule="auto"/>
              <w:jc w:val="center"/>
              <w:rPr>
                <w:kern w:val="0"/>
                <w:sz w:val="18"/>
                <w:szCs w:val="18"/>
              </w:rPr>
            </w:pPr>
            <w:r>
              <w:rPr>
                <w:rFonts w:hint="eastAsia"/>
                <w:color w:val="000000"/>
                <w:sz w:val="18"/>
                <w:szCs w:val="18"/>
              </w:rPr>
              <w:t xml:space="preserve">0.7 </w:t>
            </w:r>
          </w:p>
        </w:tc>
        <w:tc>
          <w:tcPr>
            <w:tcW w:w="880" w:type="dxa"/>
            <w:noWrap/>
            <w:vAlign w:val="center"/>
          </w:tcPr>
          <w:p w14:paraId="1DA8940B">
            <w:pPr>
              <w:widowControl/>
              <w:adjustRightInd/>
              <w:snapToGrid/>
              <w:spacing w:line="240" w:lineRule="auto"/>
              <w:jc w:val="center"/>
              <w:rPr>
                <w:kern w:val="0"/>
                <w:sz w:val="18"/>
                <w:szCs w:val="18"/>
              </w:rPr>
            </w:pPr>
            <w:r>
              <w:rPr>
                <w:kern w:val="0"/>
                <w:sz w:val="18"/>
                <w:szCs w:val="18"/>
              </w:rPr>
              <w:t>50.8</w:t>
            </w:r>
          </w:p>
        </w:tc>
        <w:tc>
          <w:tcPr>
            <w:tcW w:w="881" w:type="dxa"/>
            <w:noWrap/>
            <w:vAlign w:val="center"/>
          </w:tcPr>
          <w:p w14:paraId="6744245D">
            <w:pPr>
              <w:widowControl/>
              <w:adjustRightInd/>
              <w:snapToGrid/>
              <w:spacing w:line="240" w:lineRule="auto"/>
              <w:jc w:val="center"/>
              <w:rPr>
                <w:sz w:val="18"/>
                <w:szCs w:val="18"/>
              </w:rPr>
            </w:pPr>
            <w:r>
              <w:rPr>
                <w:color w:val="000000"/>
                <w:sz w:val="18"/>
                <w:szCs w:val="18"/>
              </w:rPr>
              <w:t xml:space="preserve">51.5 </w:t>
            </w:r>
          </w:p>
        </w:tc>
        <w:tc>
          <w:tcPr>
            <w:tcW w:w="880" w:type="dxa"/>
            <w:noWrap/>
            <w:vAlign w:val="center"/>
          </w:tcPr>
          <w:p w14:paraId="3C33F0BB">
            <w:pPr>
              <w:widowControl/>
              <w:adjustRightInd/>
              <w:snapToGrid/>
              <w:spacing w:line="240" w:lineRule="auto"/>
              <w:jc w:val="center"/>
              <w:rPr>
                <w:sz w:val="18"/>
                <w:szCs w:val="18"/>
              </w:rPr>
            </w:pPr>
            <w:r>
              <w:rPr>
                <w:color w:val="000000"/>
                <w:sz w:val="18"/>
                <w:szCs w:val="18"/>
              </w:rPr>
              <w:t xml:space="preserve">8.5 </w:t>
            </w:r>
          </w:p>
        </w:tc>
        <w:tc>
          <w:tcPr>
            <w:tcW w:w="880" w:type="dxa"/>
            <w:noWrap/>
            <w:vAlign w:val="center"/>
          </w:tcPr>
          <w:p w14:paraId="2FA713D2">
            <w:pPr>
              <w:widowControl/>
              <w:adjustRightInd/>
              <w:snapToGrid/>
              <w:spacing w:line="240" w:lineRule="auto"/>
              <w:jc w:val="center"/>
              <w:rPr>
                <w:sz w:val="18"/>
                <w:szCs w:val="18"/>
              </w:rPr>
            </w:pPr>
            <w:r>
              <w:rPr>
                <w:color w:val="000000"/>
                <w:sz w:val="18"/>
                <w:szCs w:val="18"/>
              </w:rPr>
              <w:t xml:space="preserve">1.5 </w:t>
            </w:r>
          </w:p>
        </w:tc>
        <w:tc>
          <w:tcPr>
            <w:tcW w:w="881" w:type="dxa"/>
            <w:noWrap/>
            <w:vAlign w:val="center"/>
          </w:tcPr>
          <w:p w14:paraId="37B0299E">
            <w:pPr>
              <w:widowControl/>
              <w:adjustRightInd/>
              <w:snapToGrid/>
              <w:spacing w:line="240" w:lineRule="auto"/>
              <w:jc w:val="center"/>
              <w:rPr>
                <w:sz w:val="18"/>
                <w:szCs w:val="18"/>
              </w:rPr>
            </w:pPr>
            <w:r>
              <w:rPr>
                <w:rFonts w:hint="eastAsia"/>
                <w:color w:val="000000"/>
                <w:sz w:val="18"/>
                <w:szCs w:val="18"/>
              </w:rPr>
              <w:t>51.7</w:t>
            </w:r>
          </w:p>
        </w:tc>
        <w:tc>
          <w:tcPr>
            <w:tcW w:w="880" w:type="dxa"/>
            <w:noWrap/>
            <w:vAlign w:val="center"/>
          </w:tcPr>
          <w:p w14:paraId="7C39736D">
            <w:pPr>
              <w:widowControl/>
              <w:adjustRightInd/>
              <w:snapToGrid/>
              <w:spacing w:line="240" w:lineRule="auto"/>
              <w:jc w:val="center"/>
              <w:rPr>
                <w:sz w:val="18"/>
                <w:szCs w:val="18"/>
              </w:rPr>
            </w:pPr>
            <w:r>
              <w:rPr>
                <w:color w:val="000000"/>
                <w:sz w:val="18"/>
                <w:szCs w:val="18"/>
              </w:rPr>
              <w:t xml:space="preserve">52.2 </w:t>
            </w:r>
          </w:p>
        </w:tc>
        <w:tc>
          <w:tcPr>
            <w:tcW w:w="880" w:type="dxa"/>
            <w:noWrap/>
            <w:vAlign w:val="center"/>
          </w:tcPr>
          <w:p w14:paraId="430E256B">
            <w:pPr>
              <w:widowControl/>
              <w:adjustRightInd/>
              <w:snapToGrid/>
              <w:spacing w:line="240" w:lineRule="auto"/>
              <w:jc w:val="center"/>
              <w:rPr>
                <w:sz w:val="18"/>
                <w:szCs w:val="18"/>
              </w:rPr>
            </w:pPr>
            <w:r>
              <w:rPr>
                <w:color w:val="000000"/>
                <w:sz w:val="18"/>
                <w:szCs w:val="18"/>
              </w:rPr>
              <w:t xml:space="preserve">9.2 </w:t>
            </w:r>
          </w:p>
        </w:tc>
        <w:tc>
          <w:tcPr>
            <w:tcW w:w="881" w:type="dxa"/>
            <w:noWrap/>
            <w:vAlign w:val="center"/>
          </w:tcPr>
          <w:p w14:paraId="10BE476D">
            <w:pPr>
              <w:widowControl/>
              <w:adjustRightInd/>
              <w:snapToGrid/>
              <w:spacing w:line="240" w:lineRule="auto"/>
              <w:jc w:val="center"/>
              <w:rPr>
                <w:sz w:val="18"/>
                <w:szCs w:val="18"/>
              </w:rPr>
            </w:pPr>
            <w:r>
              <w:rPr>
                <w:color w:val="000000"/>
                <w:sz w:val="18"/>
                <w:szCs w:val="18"/>
              </w:rPr>
              <w:t xml:space="preserve">2.2 </w:t>
            </w:r>
          </w:p>
        </w:tc>
      </w:tr>
      <w:tr w14:paraId="4E4707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CBFCEB4">
            <w:pPr>
              <w:widowControl/>
              <w:adjustRightInd/>
              <w:snapToGrid/>
              <w:spacing w:line="240" w:lineRule="auto"/>
              <w:jc w:val="center"/>
              <w:rPr>
                <w:sz w:val="18"/>
                <w:szCs w:val="18"/>
              </w:rPr>
            </w:pPr>
            <w:r>
              <w:rPr>
                <w:rFonts w:hint="eastAsia"/>
                <w:sz w:val="18"/>
                <w:szCs w:val="18"/>
              </w:rPr>
              <w:t>59</w:t>
            </w:r>
          </w:p>
        </w:tc>
        <w:tc>
          <w:tcPr>
            <w:tcW w:w="673" w:type="dxa"/>
            <w:vMerge w:val="continue"/>
            <w:vAlign w:val="center"/>
          </w:tcPr>
          <w:p w14:paraId="4569ACFA">
            <w:pPr>
              <w:widowControl/>
              <w:adjustRightInd/>
              <w:snapToGrid/>
              <w:spacing w:line="240" w:lineRule="auto"/>
              <w:jc w:val="left"/>
              <w:rPr>
                <w:kern w:val="0"/>
                <w:sz w:val="18"/>
                <w:szCs w:val="18"/>
              </w:rPr>
            </w:pPr>
          </w:p>
        </w:tc>
        <w:tc>
          <w:tcPr>
            <w:tcW w:w="595" w:type="dxa"/>
            <w:vMerge w:val="restart"/>
            <w:vAlign w:val="center"/>
          </w:tcPr>
          <w:p w14:paraId="021DC7A5">
            <w:pPr>
              <w:widowControl/>
              <w:adjustRightInd/>
              <w:snapToGrid/>
              <w:spacing w:line="240" w:lineRule="auto"/>
              <w:jc w:val="center"/>
              <w:rPr>
                <w:kern w:val="0"/>
                <w:sz w:val="18"/>
                <w:szCs w:val="18"/>
              </w:rPr>
            </w:pPr>
            <w:r>
              <w:rPr>
                <w:kern w:val="0"/>
                <w:sz w:val="18"/>
                <w:szCs w:val="18"/>
              </w:rPr>
              <w:t>61.2</w:t>
            </w:r>
          </w:p>
        </w:tc>
        <w:tc>
          <w:tcPr>
            <w:tcW w:w="567" w:type="dxa"/>
            <w:vMerge w:val="continue"/>
            <w:vAlign w:val="center"/>
          </w:tcPr>
          <w:p w14:paraId="4B80A9BB">
            <w:pPr>
              <w:widowControl/>
              <w:adjustRightInd/>
              <w:snapToGrid/>
              <w:spacing w:line="240" w:lineRule="auto"/>
              <w:jc w:val="left"/>
              <w:rPr>
                <w:kern w:val="0"/>
                <w:sz w:val="18"/>
                <w:szCs w:val="18"/>
              </w:rPr>
            </w:pPr>
          </w:p>
        </w:tc>
        <w:tc>
          <w:tcPr>
            <w:tcW w:w="426" w:type="dxa"/>
            <w:noWrap/>
            <w:vAlign w:val="center"/>
          </w:tcPr>
          <w:p w14:paraId="21FC4BE5">
            <w:pPr>
              <w:widowControl/>
              <w:adjustRightInd/>
              <w:snapToGrid/>
              <w:spacing w:line="240" w:lineRule="auto"/>
              <w:jc w:val="center"/>
              <w:rPr>
                <w:sz w:val="18"/>
                <w:szCs w:val="18"/>
              </w:rPr>
            </w:pPr>
            <w:r>
              <w:rPr>
                <w:sz w:val="18"/>
                <w:szCs w:val="18"/>
              </w:rPr>
              <w:t>昼间</w:t>
            </w:r>
          </w:p>
        </w:tc>
        <w:tc>
          <w:tcPr>
            <w:tcW w:w="708" w:type="dxa"/>
            <w:noWrap/>
            <w:vAlign w:val="center"/>
          </w:tcPr>
          <w:p w14:paraId="66F85C51">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60FA7E3E">
            <w:pPr>
              <w:widowControl/>
              <w:adjustRightInd/>
              <w:snapToGrid/>
              <w:spacing w:line="240" w:lineRule="auto"/>
              <w:jc w:val="center"/>
              <w:rPr>
                <w:sz w:val="18"/>
                <w:szCs w:val="18"/>
              </w:rPr>
            </w:pPr>
          </w:p>
        </w:tc>
        <w:tc>
          <w:tcPr>
            <w:tcW w:w="709" w:type="dxa"/>
            <w:vMerge w:val="continue"/>
            <w:noWrap/>
            <w:vAlign w:val="center"/>
          </w:tcPr>
          <w:p w14:paraId="04CA032B">
            <w:pPr>
              <w:widowControl/>
              <w:adjustRightInd/>
              <w:snapToGrid/>
              <w:spacing w:line="240" w:lineRule="auto"/>
              <w:jc w:val="center"/>
              <w:rPr>
                <w:sz w:val="18"/>
                <w:szCs w:val="18"/>
              </w:rPr>
            </w:pPr>
          </w:p>
        </w:tc>
        <w:tc>
          <w:tcPr>
            <w:tcW w:w="880" w:type="dxa"/>
          </w:tcPr>
          <w:p w14:paraId="24B28737">
            <w:pPr>
              <w:widowControl/>
              <w:adjustRightInd/>
              <w:snapToGrid/>
              <w:spacing w:line="240" w:lineRule="auto"/>
              <w:jc w:val="center"/>
              <w:rPr>
                <w:kern w:val="0"/>
                <w:sz w:val="18"/>
                <w:szCs w:val="18"/>
              </w:rPr>
            </w:pPr>
            <w:r>
              <w:rPr>
                <w:rFonts w:hint="eastAsia"/>
                <w:color w:val="000000"/>
                <w:sz w:val="18"/>
                <w:szCs w:val="18"/>
              </w:rPr>
              <w:t>62.4</w:t>
            </w:r>
          </w:p>
        </w:tc>
        <w:tc>
          <w:tcPr>
            <w:tcW w:w="880" w:type="dxa"/>
            <w:vAlign w:val="center"/>
          </w:tcPr>
          <w:p w14:paraId="2DA1FD46">
            <w:pPr>
              <w:widowControl/>
              <w:adjustRightInd/>
              <w:snapToGrid/>
              <w:spacing w:line="240" w:lineRule="auto"/>
              <w:jc w:val="center"/>
              <w:rPr>
                <w:kern w:val="0"/>
                <w:sz w:val="18"/>
                <w:szCs w:val="18"/>
              </w:rPr>
            </w:pPr>
            <w:r>
              <w:rPr>
                <w:color w:val="000000"/>
                <w:sz w:val="18"/>
                <w:szCs w:val="18"/>
              </w:rPr>
              <w:t xml:space="preserve">62.8 </w:t>
            </w:r>
          </w:p>
        </w:tc>
        <w:tc>
          <w:tcPr>
            <w:tcW w:w="881" w:type="dxa"/>
            <w:vAlign w:val="center"/>
          </w:tcPr>
          <w:p w14:paraId="573C2654">
            <w:pPr>
              <w:widowControl/>
              <w:adjustRightInd/>
              <w:snapToGrid/>
              <w:spacing w:line="240" w:lineRule="auto"/>
              <w:jc w:val="center"/>
              <w:rPr>
                <w:kern w:val="0"/>
                <w:sz w:val="18"/>
                <w:szCs w:val="18"/>
              </w:rPr>
            </w:pPr>
            <w:r>
              <w:rPr>
                <w:rFonts w:hint="eastAsia"/>
                <w:color w:val="000000"/>
                <w:sz w:val="18"/>
                <w:szCs w:val="18"/>
              </w:rPr>
              <w:t xml:space="preserve">10.8 </w:t>
            </w:r>
          </w:p>
        </w:tc>
        <w:tc>
          <w:tcPr>
            <w:tcW w:w="880" w:type="dxa"/>
            <w:vAlign w:val="center"/>
          </w:tcPr>
          <w:p w14:paraId="5219C347">
            <w:pPr>
              <w:widowControl/>
              <w:adjustRightInd/>
              <w:snapToGrid/>
              <w:spacing w:line="240" w:lineRule="auto"/>
              <w:jc w:val="center"/>
              <w:rPr>
                <w:kern w:val="0"/>
                <w:sz w:val="18"/>
                <w:szCs w:val="18"/>
              </w:rPr>
            </w:pPr>
            <w:r>
              <w:rPr>
                <w:rFonts w:hint="eastAsia"/>
                <w:color w:val="000000"/>
                <w:sz w:val="18"/>
                <w:szCs w:val="18"/>
              </w:rPr>
              <w:t xml:space="preserve">2.8 </w:t>
            </w:r>
          </w:p>
        </w:tc>
        <w:tc>
          <w:tcPr>
            <w:tcW w:w="880" w:type="dxa"/>
            <w:noWrap/>
            <w:vAlign w:val="center"/>
          </w:tcPr>
          <w:p w14:paraId="18D79B15">
            <w:pPr>
              <w:widowControl/>
              <w:adjustRightInd/>
              <w:snapToGrid/>
              <w:spacing w:line="240" w:lineRule="auto"/>
              <w:jc w:val="center"/>
              <w:rPr>
                <w:kern w:val="0"/>
                <w:sz w:val="18"/>
                <w:szCs w:val="18"/>
              </w:rPr>
            </w:pPr>
            <w:r>
              <w:rPr>
                <w:kern w:val="0"/>
                <w:sz w:val="18"/>
                <w:szCs w:val="18"/>
              </w:rPr>
              <w:t>63.2</w:t>
            </w:r>
          </w:p>
        </w:tc>
        <w:tc>
          <w:tcPr>
            <w:tcW w:w="881" w:type="dxa"/>
            <w:noWrap/>
            <w:vAlign w:val="center"/>
          </w:tcPr>
          <w:p w14:paraId="22653837">
            <w:pPr>
              <w:widowControl/>
              <w:adjustRightInd/>
              <w:snapToGrid/>
              <w:spacing w:line="240" w:lineRule="auto"/>
              <w:jc w:val="center"/>
              <w:rPr>
                <w:sz w:val="18"/>
                <w:szCs w:val="18"/>
              </w:rPr>
            </w:pPr>
            <w:r>
              <w:rPr>
                <w:color w:val="000000"/>
                <w:sz w:val="18"/>
                <w:szCs w:val="18"/>
              </w:rPr>
              <w:t xml:space="preserve">63.5 </w:t>
            </w:r>
          </w:p>
        </w:tc>
        <w:tc>
          <w:tcPr>
            <w:tcW w:w="880" w:type="dxa"/>
            <w:noWrap/>
            <w:vAlign w:val="center"/>
          </w:tcPr>
          <w:p w14:paraId="202A69AD">
            <w:pPr>
              <w:widowControl/>
              <w:adjustRightInd/>
              <w:snapToGrid/>
              <w:spacing w:line="240" w:lineRule="auto"/>
              <w:jc w:val="center"/>
              <w:rPr>
                <w:sz w:val="18"/>
                <w:szCs w:val="18"/>
              </w:rPr>
            </w:pPr>
            <w:r>
              <w:rPr>
                <w:color w:val="000000"/>
                <w:sz w:val="18"/>
                <w:szCs w:val="18"/>
              </w:rPr>
              <w:t xml:space="preserve">11.5 </w:t>
            </w:r>
          </w:p>
        </w:tc>
        <w:tc>
          <w:tcPr>
            <w:tcW w:w="880" w:type="dxa"/>
            <w:noWrap/>
            <w:vAlign w:val="center"/>
          </w:tcPr>
          <w:p w14:paraId="1624E792">
            <w:pPr>
              <w:widowControl/>
              <w:adjustRightInd/>
              <w:snapToGrid/>
              <w:spacing w:line="240" w:lineRule="auto"/>
              <w:jc w:val="center"/>
              <w:rPr>
                <w:sz w:val="18"/>
                <w:szCs w:val="18"/>
              </w:rPr>
            </w:pPr>
            <w:r>
              <w:rPr>
                <w:color w:val="000000"/>
                <w:sz w:val="18"/>
                <w:szCs w:val="18"/>
              </w:rPr>
              <w:t xml:space="preserve">3.5 </w:t>
            </w:r>
          </w:p>
        </w:tc>
        <w:tc>
          <w:tcPr>
            <w:tcW w:w="881" w:type="dxa"/>
            <w:noWrap/>
            <w:vAlign w:val="center"/>
          </w:tcPr>
          <w:p w14:paraId="20D477B9">
            <w:pPr>
              <w:widowControl/>
              <w:adjustRightInd/>
              <w:snapToGrid/>
              <w:spacing w:line="240" w:lineRule="auto"/>
              <w:jc w:val="center"/>
              <w:rPr>
                <w:sz w:val="18"/>
                <w:szCs w:val="18"/>
              </w:rPr>
            </w:pPr>
            <w:r>
              <w:rPr>
                <w:rFonts w:hint="eastAsia"/>
                <w:color w:val="000000"/>
                <w:sz w:val="18"/>
                <w:szCs w:val="18"/>
              </w:rPr>
              <w:t>64.1</w:t>
            </w:r>
          </w:p>
        </w:tc>
        <w:tc>
          <w:tcPr>
            <w:tcW w:w="880" w:type="dxa"/>
            <w:noWrap/>
            <w:vAlign w:val="center"/>
          </w:tcPr>
          <w:p w14:paraId="1201CA14">
            <w:pPr>
              <w:widowControl/>
              <w:adjustRightInd/>
              <w:snapToGrid/>
              <w:spacing w:line="240" w:lineRule="auto"/>
              <w:jc w:val="center"/>
              <w:rPr>
                <w:sz w:val="18"/>
                <w:szCs w:val="18"/>
              </w:rPr>
            </w:pPr>
            <w:r>
              <w:rPr>
                <w:color w:val="000000"/>
                <w:sz w:val="18"/>
                <w:szCs w:val="18"/>
              </w:rPr>
              <w:t xml:space="preserve">64.4 </w:t>
            </w:r>
          </w:p>
        </w:tc>
        <w:tc>
          <w:tcPr>
            <w:tcW w:w="880" w:type="dxa"/>
            <w:noWrap/>
            <w:vAlign w:val="center"/>
          </w:tcPr>
          <w:p w14:paraId="69B21AE2">
            <w:pPr>
              <w:widowControl/>
              <w:adjustRightInd/>
              <w:snapToGrid/>
              <w:spacing w:line="240" w:lineRule="auto"/>
              <w:jc w:val="center"/>
              <w:rPr>
                <w:sz w:val="18"/>
                <w:szCs w:val="18"/>
              </w:rPr>
            </w:pPr>
            <w:r>
              <w:rPr>
                <w:color w:val="000000"/>
                <w:sz w:val="18"/>
                <w:szCs w:val="18"/>
              </w:rPr>
              <w:t xml:space="preserve">12.4 </w:t>
            </w:r>
          </w:p>
        </w:tc>
        <w:tc>
          <w:tcPr>
            <w:tcW w:w="881" w:type="dxa"/>
            <w:noWrap/>
            <w:vAlign w:val="center"/>
          </w:tcPr>
          <w:p w14:paraId="70BE4417">
            <w:pPr>
              <w:widowControl/>
              <w:adjustRightInd/>
              <w:snapToGrid/>
              <w:spacing w:line="240" w:lineRule="auto"/>
              <w:jc w:val="center"/>
              <w:rPr>
                <w:sz w:val="18"/>
                <w:szCs w:val="18"/>
              </w:rPr>
            </w:pPr>
            <w:r>
              <w:rPr>
                <w:color w:val="000000"/>
                <w:sz w:val="18"/>
                <w:szCs w:val="18"/>
              </w:rPr>
              <w:t xml:space="preserve">4.4 </w:t>
            </w:r>
          </w:p>
        </w:tc>
      </w:tr>
      <w:tr w14:paraId="4D51C7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15E7C404">
            <w:pPr>
              <w:widowControl/>
              <w:adjustRightInd/>
              <w:snapToGrid/>
              <w:spacing w:line="240" w:lineRule="auto"/>
              <w:jc w:val="center"/>
              <w:rPr>
                <w:sz w:val="18"/>
                <w:szCs w:val="18"/>
              </w:rPr>
            </w:pPr>
            <w:r>
              <w:rPr>
                <w:rFonts w:hint="eastAsia"/>
                <w:sz w:val="18"/>
                <w:szCs w:val="18"/>
              </w:rPr>
              <w:t>60</w:t>
            </w:r>
          </w:p>
        </w:tc>
        <w:tc>
          <w:tcPr>
            <w:tcW w:w="673" w:type="dxa"/>
            <w:vMerge w:val="continue"/>
            <w:vAlign w:val="center"/>
          </w:tcPr>
          <w:p w14:paraId="77578BF1">
            <w:pPr>
              <w:widowControl/>
              <w:adjustRightInd/>
              <w:snapToGrid/>
              <w:spacing w:line="240" w:lineRule="auto"/>
              <w:jc w:val="left"/>
              <w:rPr>
                <w:kern w:val="0"/>
                <w:sz w:val="18"/>
                <w:szCs w:val="18"/>
              </w:rPr>
            </w:pPr>
          </w:p>
        </w:tc>
        <w:tc>
          <w:tcPr>
            <w:tcW w:w="595" w:type="dxa"/>
            <w:vMerge w:val="continue"/>
            <w:vAlign w:val="center"/>
          </w:tcPr>
          <w:p w14:paraId="74A0891E">
            <w:pPr>
              <w:widowControl/>
              <w:adjustRightInd/>
              <w:snapToGrid/>
              <w:spacing w:line="240" w:lineRule="auto"/>
              <w:jc w:val="left"/>
              <w:rPr>
                <w:kern w:val="0"/>
                <w:sz w:val="18"/>
                <w:szCs w:val="18"/>
              </w:rPr>
            </w:pPr>
          </w:p>
        </w:tc>
        <w:tc>
          <w:tcPr>
            <w:tcW w:w="567" w:type="dxa"/>
            <w:vMerge w:val="continue"/>
            <w:vAlign w:val="center"/>
          </w:tcPr>
          <w:p w14:paraId="4DB94BBE">
            <w:pPr>
              <w:widowControl/>
              <w:adjustRightInd/>
              <w:snapToGrid/>
              <w:spacing w:line="240" w:lineRule="auto"/>
              <w:jc w:val="left"/>
              <w:rPr>
                <w:kern w:val="0"/>
                <w:sz w:val="18"/>
                <w:szCs w:val="18"/>
              </w:rPr>
            </w:pPr>
          </w:p>
        </w:tc>
        <w:tc>
          <w:tcPr>
            <w:tcW w:w="426" w:type="dxa"/>
            <w:noWrap/>
            <w:vAlign w:val="center"/>
          </w:tcPr>
          <w:p w14:paraId="589B9E00">
            <w:pPr>
              <w:widowControl/>
              <w:adjustRightInd/>
              <w:snapToGrid/>
              <w:spacing w:line="240" w:lineRule="auto"/>
              <w:jc w:val="center"/>
              <w:rPr>
                <w:sz w:val="18"/>
                <w:szCs w:val="18"/>
              </w:rPr>
            </w:pPr>
            <w:r>
              <w:rPr>
                <w:sz w:val="18"/>
                <w:szCs w:val="18"/>
              </w:rPr>
              <w:t>夜间</w:t>
            </w:r>
          </w:p>
        </w:tc>
        <w:tc>
          <w:tcPr>
            <w:tcW w:w="708" w:type="dxa"/>
            <w:noWrap/>
            <w:vAlign w:val="center"/>
          </w:tcPr>
          <w:p w14:paraId="65094801">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301C3EAF">
            <w:pPr>
              <w:widowControl/>
              <w:adjustRightInd/>
              <w:snapToGrid/>
              <w:spacing w:line="240" w:lineRule="auto"/>
              <w:jc w:val="center"/>
              <w:rPr>
                <w:sz w:val="18"/>
                <w:szCs w:val="18"/>
              </w:rPr>
            </w:pPr>
          </w:p>
        </w:tc>
        <w:tc>
          <w:tcPr>
            <w:tcW w:w="709" w:type="dxa"/>
            <w:vMerge w:val="continue"/>
            <w:noWrap/>
            <w:vAlign w:val="center"/>
          </w:tcPr>
          <w:p w14:paraId="469D7DC4">
            <w:pPr>
              <w:widowControl/>
              <w:adjustRightInd/>
              <w:snapToGrid/>
              <w:spacing w:line="240" w:lineRule="auto"/>
              <w:jc w:val="center"/>
              <w:rPr>
                <w:sz w:val="18"/>
                <w:szCs w:val="18"/>
              </w:rPr>
            </w:pPr>
          </w:p>
        </w:tc>
        <w:tc>
          <w:tcPr>
            <w:tcW w:w="880" w:type="dxa"/>
          </w:tcPr>
          <w:p w14:paraId="68BDB37A">
            <w:pPr>
              <w:widowControl/>
              <w:adjustRightInd/>
              <w:snapToGrid/>
              <w:spacing w:line="240" w:lineRule="auto"/>
              <w:jc w:val="center"/>
              <w:rPr>
                <w:kern w:val="0"/>
                <w:sz w:val="18"/>
                <w:szCs w:val="18"/>
              </w:rPr>
            </w:pPr>
            <w:r>
              <w:rPr>
                <w:rFonts w:hint="eastAsia"/>
                <w:color w:val="000000"/>
                <w:sz w:val="18"/>
                <w:szCs w:val="18"/>
              </w:rPr>
              <w:t>48.5</w:t>
            </w:r>
          </w:p>
        </w:tc>
        <w:tc>
          <w:tcPr>
            <w:tcW w:w="880" w:type="dxa"/>
            <w:vAlign w:val="center"/>
          </w:tcPr>
          <w:p w14:paraId="18EA4370">
            <w:pPr>
              <w:widowControl/>
              <w:adjustRightInd/>
              <w:snapToGrid/>
              <w:spacing w:line="240" w:lineRule="auto"/>
              <w:jc w:val="center"/>
              <w:rPr>
                <w:kern w:val="0"/>
                <w:sz w:val="18"/>
                <w:szCs w:val="18"/>
              </w:rPr>
            </w:pPr>
            <w:r>
              <w:rPr>
                <w:color w:val="000000"/>
                <w:sz w:val="18"/>
                <w:szCs w:val="18"/>
              </w:rPr>
              <w:t xml:space="preserve">49.6 </w:t>
            </w:r>
          </w:p>
        </w:tc>
        <w:tc>
          <w:tcPr>
            <w:tcW w:w="881" w:type="dxa"/>
            <w:vAlign w:val="center"/>
          </w:tcPr>
          <w:p w14:paraId="7CF79B6E">
            <w:pPr>
              <w:widowControl/>
              <w:adjustRightInd/>
              <w:snapToGrid/>
              <w:spacing w:line="240" w:lineRule="auto"/>
              <w:jc w:val="center"/>
              <w:rPr>
                <w:kern w:val="0"/>
                <w:sz w:val="18"/>
                <w:szCs w:val="18"/>
              </w:rPr>
            </w:pPr>
            <w:r>
              <w:rPr>
                <w:rFonts w:hint="eastAsia"/>
                <w:color w:val="000000"/>
                <w:sz w:val="18"/>
                <w:szCs w:val="18"/>
              </w:rPr>
              <w:t xml:space="preserve">6.6 </w:t>
            </w:r>
          </w:p>
        </w:tc>
        <w:tc>
          <w:tcPr>
            <w:tcW w:w="880" w:type="dxa"/>
            <w:vAlign w:val="center"/>
          </w:tcPr>
          <w:p w14:paraId="65DFEE5E">
            <w:pPr>
              <w:widowControl/>
              <w:adjustRightInd/>
              <w:snapToGrid/>
              <w:spacing w:line="240" w:lineRule="auto"/>
              <w:jc w:val="center"/>
              <w:rPr>
                <w:kern w:val="0"/>
                <w:sz w:val="18"/>
                <w:szCs w:val="18"/>
              </w:rPr>
            </w:pPr>
            <w:r>
              <w:rPr>
                <w:rFonts w:hint="eastAsia"/>
                <w:color w:val="000000"/>
                <w:sz w:val="18"/>
                <w:szCs w:val="18"/>
              </w:rPr>
              <w:t xml:space="preserve">-0.4 </w:t>
            </w:r>
          </w:p>
        </w:tc>
        <w:tc>
          <w:tcPr>
            <w:tcW w:w="880" w:type="dxa"/>
            <w:noWrap/>
            <w:vAlign w:val="center"/>
          </w:tcPr>
          <w:p w14:paraId="4E9263A9">
            <w:pPr>
              <w:widowControl/>
              <w:adjustRightInd/>
              <w:snapToGrid/>
              <w:spacing w:line="240" w:lineRule="auto"/>
              <w:jc w:val="center"/>
              <w:rPr>
                <w:kern w:val="0"/>
                <w:sz w:val="18"/>
                <w:szCs w:val="18"/>
              </w:rPr>
            </w:pPr>
            <w:r>
              <w:rPr>
                <w:kern w:val="0"/>
                <w:sz w:val="18"/>
                <w:szCs w:val="18"/>
              </w:rPr>
              <w:t>49.3</w:t>
            </w:r>
          </w:p>
        </w:tc>
        <w:tc>
          <w:tcPr>
            <w:tcW w:w="881" w:type="dxa"/>
            <w:noWrap/>
            <w:vAlign w:val="center"/>
          </w:tcPr>
          <w:p w14:paraId="61063637">
            <w:pPr>
              <w:widowControl/>
              <w:adjustRightInd/>
              <w:snapToGrid/>
              <w:spacing w:line="240" w:lineRule="auto"/>
              <w:jc w:val="center"/>
              <w:rPr>
                <w:sz w:val="18"/>
                <w:szCs w:val="18"/>
              </w:rPr>
            </w:pPr>
            <w:r>
              <w:rPr>
                <w:color w:val="000000"/>
                <w:sz w:val="18"/>
                <w:szCs w:val="18"/>
              </w:rPr>
              <w:t xml:space="preserve">50.2 </w:t>
            </w:r>
          </w:p>
        </w:tc>
        <w:tc>
          <w:tcPr>
            <w:tcW w:w="880" w:type="dxa"/>
            <w:noWrap/>
            <w:vAlign w:val="center"/>
          </w:tcPr>
          <w:p w14:paraId="465AC46E">
            <w:pPr>
              <w:widowControl/>
              <w:adjustRightInd/>
              <w:snapToGrid/>
              <w:spacing w:line="240" w:lineRule="auto"/>
              <w:jc w:val="center"/>
              <w:rPr>
                <w:sz w:val="18"/>
                <w:szCs w:val="18"/>
              </w:rPr>
            </w:pPr>
            <w:r>
              <w:rPr>
                <w:color w:val="000000"/>
                <w:sz w:val="18"/>
                <w:szCs w:val="18"/>
              </w:rPr>
              <w:t xml:space="preserve">7.2 </w:t>
            </w:r>
          </w:p>
        </w:tc>
        <w:tc>
          <w:tcPr>
            <w:tcW w:w="880" w:type="dxa"/>
            <w:noWrap/>
            <w:vAlign w:val="center"/>
          </w:tcPr>
          <w:p w14:paraId="232E91BF">
            <w:pPr>
              <w:widowControl/>
              <w:adjustRightInd/>
              <w:snapToGrid/>
              <w:spacing w:line="240" w:lineRule="auto"/>
              <w:jc w:val="center"/>
              <w:rPr>
                <w:sz w:val="18"/>
                <w:szCs w:val="18"/>
              </w:rPr>
            </w:pPr>
            <w:r>
              <w:rPr>
                <w:color w:val="000000"/>
                <w:sz w:val="18"/>
                <w:szCs w:val="18"/>
              </w:rPr>
              <w:t xml:space="preserve">0.2 </w:t>
            </w:r>
          </w:p>
        </w:tc>
        <w:tc>
          <w:tcPr>
            <w:tcW w:w="881" w:type="dxa"/>
            <w:noWrap/>
            <w:vAlign w:val="center"/>
          </w:tcPr>
          <w:p w14:paraId="4C9A016F">
            <w:pPr>
              <w:widowControl/>
              <w:adjustRightInd/>
              <w:snapToGrid/>
              <w:spacing w:line="240" w:lineRule="auto"/>
              <w:jc w:val="center"/>
              <w:rPr>
                <w:sz w:val="18"/>
                <w:szCs w:val="18"/>
              </w:rPr>
            </w:pPr>
            <w:r>
              <w:rPr>
                <w:rFonts w:hint="eastAsia"/>
                <w:color w:val="000000"/>
                <w:sz w:val="18"/>
                <w:szCs w:val="18"/>
              </w:rPr>
              <w:t>50.3</w:t>
            </w:r>
          </w:p>
        </w:tc>
        <w:tc>
          <w:tcPr>
            <w:tcW w:w="880" w:type="dxa"/>
            <w:noWrap/>
            <w:vAlign w:val="center"/>
          </w:tcPr>
          <w:p w14:paraId="4B35F03E">
            <w:pPr>
              <w:widowControl/>
              <w:adjustRightInd/>
              <w:snapToGrid/>
              <w:spacing w:line="240" w:lineRule="auto"/>
              <w:jc w:val="center"/>
              <w:rPr>
                <w:sz w:val="18"/>
                <w:szCs w:val="18"/>
              </w:rPr>
            </w:pPr>
            <w:r>
              <w:rPr>
                <w:color w:val="000000"/>
                <w:sz w:val="18"/>
                <w:szCs w:val="18"/>
              </w:rPr>
              <w:t xml:space="preserve">51.0 </w:t>
            </w:r>
          </w:p>
        </w:tc>
        <w:tc>
          <w:tcPr>
            <w:tcW w:w="880" w:type="dxa"/>
            <w:noWrap/>
            <w:vAlign w:val="center"/>
          </w:tcPr>
          <w:p w14:paraId="6F4E4A18">
            <w:pPr>
              <w:widowControl/>
              <w:adjustRightInd/>
              <w:snapToGrid/>
              <w:spacing w:line="240" w:lineRule="auto"/>
              <w:jc w:val="center"/>
              <w:rPr>
                <w:sz w:val="18"/>
                <w:szCs w:val="18"/>
              </w:rPr>
            </w:pPr>
            <w:r>
              <w:rPr>
                <w:color w:val="000000"/>
                <w:sz w:val="18"/>
                <w:szCs w:val="18"/>
              </w:rPr>
              <w:t xml:space="preserve">8.0 </w:t>
            </w:r>
          </w:p>
        </w:tc>
        <w:tc>
          <w:tcPr>
            <w:tcW w:w="881" w:type="dxa"/>
            <w:noWrap/>
            <w:vAlign w:val="center"/>
          </w:tcPr>
          <w:p w14:paraId="297D772D">
            <w:pPr>
              <w:widowControl/>
              <w:adjustRightInd/>
              <w:snapToGrid/>
              <w:spacing w:line="240" w:lineRule="auto"/>
              <w:jc w:val="center"/>
              <w:rPr>
                <w:sz w:val="18"/>
                <w:szCs w:val="18"/>
              </w:rPr>
            </w:pPr>
            <w:r>
              <w:rPr>
                <w:color w:val="000000"/>
                <w:sz w:val="18"/>
                <w:szCs w:val="18"/>
              </w:rPr>
              <w:t xml:space="preserve">1.0 </w:t>
            </w:r>
          </w:p>
        </w:tc>
      </w:tr>
      <w:tr w14:paraId="1FCA58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5707D82">
            <w:pPr>
              <w:widowControl/>
              <w:adjustRightInd/>
              <w:snapToGrid/>
              <w:spacing w:line="240" w:lineRule="auto"/>
              <w:jc w:val="center"/>
              <w:rPr>
                <w:sz w:val="18"/>
                <w:szCs w:val="18"/>
              </w:rPr>
            </w:pPr>
            <w:r>
              <w:rPr>
                <w:rFonts w:hint="eastAsia"/>
                <w:sz w:val="18"/>
                <w:szCs w:val="18"/>
              </w:rPr>
              <w:t>61</w:t>
            </w:r>
          </w:p>
        </w:tc>
        <w:tc>
          <w:tcPr>
            <w:tcW w:w="673" w:type="dxa"/>
            <w:vMerge w:val="restart"/>
            <w:vAlign w:val="center"/>
          </w:tcPr>
          <w:p w14:paraId="578BC1F6">
            <w:pPr>
              <w:widowControl/>
              <w:adjustRightInd/>
              <w:snapToGrid/>
              <w:spacing w:line="240" w:lineRule="auto"/>
              <w:jc w:val="center"/>
              <w:rPr>
                <w:kern w:val="0"/>
                <w:sz w:val="18"/>
                <w:szCs w:val="18"/>
              </w:rPr>
            </w:pPr>
            <w:r>
              <w:rPr>
                <w:kern w:val="0"/>
                <w:sz w:val="18"/>
                <w:szCs w:val="18"/>
              </w:rPr>
              <w:t>规划住宅</w:t>
            </w:r>
            <w:r>
              <w:rPr>
                <w:rFonts w:hint="eastAsia"/>
                <w:kern w:val="0"/>
                <w:sz w:val="18"/>
                <w:szCs w:val="18"/>
              </w:rPr>
              <w:t>7</w:t>
            </w:r>
          </w:p>
        </w:tc>
        <w:tc>
          <w:tcPr>
            <w:tcW w:w="595" w:type="dxa"/>
            <w:vMerge w:val="restart"/>
            <w:vAlign w:val="center"/>
          </w:tcPr>
          <w:p w14:paraId="279CDD20">
            <w:pPr>
              <w:widowControl/>
              <w:adjustRightInd/>
              <w:snapToGrid/>
              <w:spacing w:line="240" w:lineRule="auto"/>
              <w:jc w:val="center"/>
              <w:rPr>
                <w:kern w:val="0"/>
                <w:sz w:val="18"/>
                <w:szCs w:val="18"/>
              </w:rPr>
            </w:pPr>
            <w:r>
              <w:rPr>
                <w:kern w:val="0"/>
                <w:sz w:val="18"/>
                <w:szCs w:val="18"/>
              </w:rPr>
              <w:t>1.2</w:t>
            </w:r>
          </w:p>
        </w:tc>
        <w:tc>
          <w:tcPr>
            <w:tcW w:w="567" w:type="dxa"/>
            <w:vMerge w:val="restart"/>
            <w:vAlign w:val="center"/>
          </w:tcPr>
          <w:p w14:paraId="47DBD789">
            <w:pPr>
              <w:widowControl/>
              <w:adjustRightInd/>
              <w:snapToGrid/>
              <w:spacing w:line="240" w:lineRule="auto"/>
              <w:jc w:val="center"/>
              <w:rPr>
                <w:kern w:val="0"/>
                <w:sz w:val="18"/>
                <w:szCs w:val="18"/>
              </w:rPr>
            </w:pPr>
            <w:r>
              <w:rPr>
                <w:kern w:val="0"/>
                <w:sz w:val="18"/>
                <w:szCs w:val="18"/>
              </w:rPr>
              <w:t>2类</w:t>
            </w:r>
          </w:p>
        </w:tc>
        <w:tc>
          <w:tcPr>
            <w:tcW w:w="426" w:type="dxa"/>
            <w:noWrap/>
            <w:vAlign w:val="center"/>
          </w:tcPr>
          <w:p w14:paraId="57E8847A">
            <w:pPr>
              <w:widowControl/>
              <w:adjustRightInd/>
              <w:snapToGrid/>
              <w:spacing w:line="240" w:lineRule="auto"/>
              <w:jc w:val="center"/>
              <w:rPr>
                <w:sz w:val="18"/>
                <w:szCs w:val="18"/>
              </w:rPr>
            </w:pPr>
            <w:r>
              <w:rPr>
                <w:sz w:val="18"/>
                <w:szCs w:val="18"/>
              </w:rPr>
              <w:t>昼间</w:t>
            </w:r>
          </w:p>
        </w:tc>
        <w:tc>
          <w:tcPr>
            <w:tcW w:w="708" w:type="dxa"/>
            <w:noWrap/>
            <w:vAlign w:val="center"/>
          </w:tcPr>
          <w:p w14:paraId="0E2F10C5">
            <w:pPr>
              <w:widowControl/>
              <w:adjustRightInd/>
              <w:snapToGrid/>
              <w:spacing w:line="240" w:lineRule="auto"/>
              <w:jc w:val="center"/>
              <w:rPr>
                <w:sz w:val="18"/>
                <w:szCs w:val="18"/>
              </w:rPr>
            </w:pPr>
            <w:r>
              <w:rPr>
                <w:sz w:val="18"/>
                <w:szCs w:val="18"/>
              </w:rPr>
              <w:t>60</w:t>
            </w:r>
          </w:p>
        </w:tc>
        <w:tc>
          <w:tcPr>
            <w:tcW w:w="709" w:type="dxa"/>
            <w:vMerge w:val="restart"/>
            <w:noWrap/>
            <w:vAlign w:val="center"/>
          </w:tcPr>
          <w:p w14:paraId="2C7054DD">
            <w:pPr>
              <w:widowControl/>
              <w:adjustRightInd/>
              <w:snapToGrid/>
              <w:spacing w:line="240" w:lineRule="auto"/>
              <w:jc w:val="center"/>
              <w:rPr>
                <w:kern w:val="0"/>
                <w:sz w:val="18"/>
                <w:szCs w:val="18"/>
              </w:rPr>
            </w:pPr>
            <w:r>
              <w:rPr>
                <w:rFonts w:hint="eastAsia"/>
                <w:kern w:val="0"/>
                <w:sz w:val="18"/>
                <w:szCs w:val="18"/>
              </w:rPr>
              <w:t>52（昼）</w:t>
            </w:r>
          </w:p>
          <w:p w14:paraId="3EA2FDE1">
            <w:pPr>
              <w:widowControl/>
              <w:adjustRightInd/>
              <w:snapToGrid/>
              <w:spacing w:line="240" w:lineRule="auto"/>
              <w:jc w:val="center"/>
              <w:rPr>
                <w:sz w:val="18"/>
                <w:szCs w:val="18"/>
              </w:rPr>
            </w:pPr>
            <w:r>
              <w:rPr>
                <w:rFonts w:hint="eastAsia"/>
                <w:kern w:val="0"/>
                <w:sz w:val="18"/>
                <w:szCs w:val="18"/>
              </w:rPr>
              <w:t>43（夜）</w:t>
            </w:r>
          </w:p>
        </w:tc>
        <w:tc>
          <w:tcPr>
            <w:tcW w:w="709" w:type="dxa"/>
            <w:vMerge w:val="restart"/>
            <w:noWrap/>
            <w:vAlign w:val="center"/>
          </w:tcPr>
          <w:p w14:paraId="4B3DCFA2">
            <w:pPr>
              <w:widowControl/>
              <w:adjustRightInd/>
              <w:snapToGrid/>
              <w:spacing w:line="240" w:lineRule="auto"/>
              <w:jc w:val="center"/>
              <w:rPr>
                <w:kern w:val="0"/>
                <w:sz w:val="18"/>
                <w:szCs w:val="18"/>
              </w:rPr>
            </w:pPr>
            <w:r>
              <w:rPr>
                <w:rFonts w:hint="eastAsia"/>
                <w:kern w:val="0"/>
                <w:sz w:val="18"/>
                <w:szCs w:val="18"/>
              </w:rPr>
              <w:t>52（昼）</w:t>
            </w:r>
          </w:p>
          <w:p w14:paraId="0DF26FF1">
            <w:pPr>
              <w:widowControl/>
              <w:adjustRightInd/>
              <w:snapToGrid/>
              <w:spacing w:line="240" w:lineRule="auto"/>
              <w:jc w:val="center"/>
              <w:rPr>
                <w:sz w:val="18"/>
                <w:szCs w:val="18"/>
              </w:rPr>
            </w:pPr>
            <w:r>
              <w:rPr>
                <w:rFonts w:hint="eastAsia"/>
                <w:kern w:val="0"/>
                <w:sz w:val="18"/>
                <w:szCs w:val="18"/>
              </w:rPr>
              <w:t>43（夜）</w:t>
            </w:r>
          </w:p>
        </w:tc>
        <w:tc>
          <w:tcPr>
            <w:tcW w:w="880" w:type="dxa"/>
          </w:tcPr>
          <w:p w14:paraId="709A211C">
            <w:pPr>
              <w:widowControl/>
              <w:adjustRightInd/>
              <w:snapToGrid/>
              <w:spacing w:line="240" w:lineRule="auto"/>
              <w:jc w:val="center"/>
              <w:rPr>
                <w:kern w:val="0"/>
                <w:sz w:val="18"/>
                <w:szCs w:val="18"/>
              </w:rPr>
            </w:pPr>
            <w:r>
              <w:rPr>
                <w:rFonts w:hint="eastAsia"/>
                <w:color w:val="000000"/>
                <w:sz w:val="18"/>
                <w:szCs w:val="18"/>
              </w:rPr>
              <w:t>63.5</w:t>
            </w:r>
          </w:p>
        </w:tc>
        <w:tc>
          <w:tcPr>
            <w:tcW w:w="880" w:type="dxa"/>
            <w:vAlign w:val="center"/>
          </w:tcPr>
          <w:p w14:paraId="58F23D43">
            <w:pPr>
              <w:widowControl/>
              <w:adjustRightInd/>
              <w:snapToGrid/>
              <w:spacing w:line="240" w:lineRule="auto"/>
              <w:jc w:val="center"/>
              <w:rPr>
                <w:kern w:val="0"/>
                <w:sz w:val="18"/>
                <w:szCs w:val="18"/>
              </w:rPr>
            </w:pPr>
            <w:r>
              <w:rPr>
                <w:color w:val="000000"/>
                <w:sz w:val="18"/>
                <w:szCs w:val="18"/>
              </w:rPr>
              <w:t xml:space="preserve">63.8 </w:t>
            </w:r>
          </w:p>
        </w:tc>
        <w:tc>
          <w:tcPr>
            <w:tcW w:w="881" w:type="dxa"/>
            <w:vAlign w:val="center"/>
          </w:tcPr>
          <w:p w14:paraId="65FD5C85">
            <w:pPr>
              <w:widowControl/>
              <w:adjustRightInd/>
              <w:snapToGrid/>
              <w:spacing w:line="240" w:lineRule="auto"/>
              <w:jc w:val="center"/>
              <w:rPr>
                <w:kern w:val="0"/>
                <w:sz w:val="18"/>
                <w:szCs w:val="18"/>
              </w:rPr>
            </w:pPr>
            <w:r>
              <w:rPr>
                <w:rFonts w:hint="eastAsia"/>
                <w:color w:val="000000"/>
                <w:sz w:val="18"/>
                <w:szCs w:val="18"/>
              </w:rPr>
              <w:t xml:space="preserve">11.8 </w:t>
            </w:r>
          </w:p>
        </w:tc>
        <w:tc>
          <w:tcPr>
            <w:tcW w:w="880" w:type="dxa"/>
            <w:vAlign w:val="center"/>
          </w:tcPr>
          <w:p w14:paraId="59A936C8">
            <w:pPr>
              <w:widowControl/>
              <w:adjustRightInd/>
              <w:snapToGrid/>
              <w:spacing w:line="240" w:lineRule="auto"/>
              <w:jc w:val="center"/>
              <w:rPr>
                <w:kern w:val="0"/>
                <w:sz w:val="18"/>
                <w:szCs w:val="18"/>
              </w:rPr>
            </w:pPr>
            <w:r>
              <w:rPr>
                <w:rFonts w:hint="eastAsia"/>
                <w:color w:val="000000"/>
                <w:sz w:val="18"/>
                <w:szCs w:val="18"/>
              </w:rPr>
              <w:t xml:space="preserve">3.8 </w:t>
            </w:r>
          </w:p>
        </w:tc>
        <w:tc>
          <w:tcPr>
            <w:tcW w:w="880" w:type="dxa"/>
            <w:noWrap/>
            <w:vAlign w:val="center"/>
          </w:tcPr>
          <w:p w14:paraId="14C0C30D">
            <w:pPr>
              <w:widowControl/>
              <w:adjustRightInd/>
              <w:snapToGrid/>
              <w:spacing w:line="240" w:lineRule="auto"/>
              <w:jc w:val="center"/>
              <w:rPr>
                <w:kern w:val="0"/>
                <w:sz w:val="18"/>
                <w:szCs w:val="18"/>
              </w:rPr>
            </w:pPr>
            <w:r>
              <w:rPr>
                <w:kern w:val="0"/>
                <w:sz w:val="18"/>
                <w:szCs w:val="18"/>
              </w:rPr>
              <w:t>64.4</w:t>
            </w:r>
          </w:p>
        </w:tc>
        <w:tc>
          <w:tcPr>
            <w:tcW w:w="881" w:type="dxa"/>
            <w:noWrap/>
            <w:vAlign w:val="center"/>
          </w:tcPr>
          <w:p w14:paraId="42077E8C">
            <w:pPr>
              <w:widowControl/>
              <w:adjustRightInd/>
              <w:snapToGrid/>
              <w:spacing w:line="240" w:lineRule="auto"/>
              <w:jc w:val="center"/>
              <w:rPr>
                <w:sz w:val="18"/>
                <w:szCs w:val="18"/>
              </w:rPr>
            </w:pPr>
            <w:r>
              <w:rPr>
                <w:color w:val="000000"/>
                <w:sz w:val="18"/>
                <w:szCs w:val="18"/>
              </w:rPr>
              <w:t xml:space="preserve">64.6 </w:t>
            </w:r>
          </w:p>
        </w:tc>
        <w:tc>
          <w:tcPr>
            <w:tcW w:w="880" w:type="dxa"/>
            <w:noWrap/>
            <w:vAlign w:val="center"/>
          </w:tcPr>
          <w:p w14:paraId="348E9CDF">
            <w:pPr>
              <w:widowControl/>
              <w:adjustRightInd/>
              <w:snapToGrid/>
              <w:spacing w:line="240" w:lineRule="auto"/>
              <w:jc w:val="center"/>
              <w:rPr>
                <w:sz w:val="18"/>
                <w:szCs w:val="18"/>
              </w:rPr>
            </w:pPr>
            <w:r>
              <w:rPr>
                <w:color w:val="000000"/>
                <w:sz w:val="18"/>
                <w:szCs w:val="18"/>
              </w:rPr>
              <w:t xml:space="preserve">12.6 </w:t>
            </w:r>
          </w:p>
        </w:tc>
        <w:tc>
          <w:tcPr>
            <w:tcW w:w="880" w:type="dxa"/>
            <w:noWrap/>
            <w:vAlign w:val="center"/>
          </w:tcPr>
          <w:p w14:paraId="5E24F2F2">
            <w:pPr>
              <w:widowControl/>
              <w:adjustRightInd/>
              <w:snapToGrid/>
              <w:spacing w:line="240" w:lineRule="auto"/>
              <w:jc w:val="center"/>
              <w:rPr>
                <w:sz w:val="18"/>
                <w:szCs w:val="18"/>
              </w:rPr>
            </w:pPr>
            <w:r>
              <w:rPr>
                <w:color w:val="000000"/>
                <w:sz w:val="18"/>
                <w:szCs w:val="18"/>
              </w:rPr>
              <w:t xml:space="preserve">4.6 </w:t>
            </w:r>
          </w:p>
        </w:tc>
        <w:tc>
          <w:tcPr>
            <w:tcW w:w="881" w:type="dxa"/>
            <w:noWrap/>
            <w:vAlign w:val="center"/>
          </w:tcPr>
          <w:p w14:paraId="4A89293F">
            <w:pPr>
              <w:widowControl/>
              <w:adjustRightInd/>
              <w:snapToGrid/>
              <w:spacing w:line="240" w:lineRule="auto"/>
              <w:jc w:val="center"/>
              <w:rPr>
                <w:sz w:val="18"/>
                <w:szCs w:val="18"/>
              </w:rPr>
            </w:pPr>
            <w:r>
              <w:rPr>
                <w:rFonts w:hint="eastAsia"/>
                <w:color w:val="000000"/>
                <w:sz w:val="18"/>
                <w:szCs w:val="18"/>
              </w:rPr>
              <w:t>65.3</w:t>
            </w:r>
          </w:p>
        </w:tc>
        <w:tc>
          <w:tcPr>
            <w:tcW w:w="880" w:type="dxa"/>
            <w:noWrap/>
            <w:vAlign w:val="center"/>
          </w:tcPr>
          <w:p w14:paraId="0B002EFB">
            <w:pPr>
              <w:widowControl/>
              <w:adjustRightInd/>
              <w:snapToGrid/>
              <w:spacing w:line="240" w:lineRule="auto"/>
              <w:jc w:val="center"/>
              <w:rPr>
                <w:sz w:val="18"/>
                <w:szCs w:val="18"/>
              </w:rPr>
            </w:pPr>
            <w:r>
              <w:rPr>
                <w:color w:val="000000"/>
                <w:sz w:val="18"/>
                <w:szCs w:val="18"/>
              </w:rPr>
              <w:t xml:space="preserve">65.5 </w:t>
            </w:r>
          </w:p>
        </w:tc>
        <w:tc>
          <w:tcPr>
            <w:tcW w:w="880" w:type="dxa"/>
            <w:noWrap/>
            <w:vAlign w:val="center"/>
          </w:tcPr>
          <w:p w14:paraId="2117058A">
            <w:pPr>
              <w:widowControl/>
              <w:adjustRightInd/>
              <w:snapToGrid/>
              <w:spacing w:line="240" w:lineRule="auto"/>
              <w:jc w:val="center"/>
              <w:rPr>
                <w:sz w:val="18"/>
                <w:szCs w:val="18"/>
              </w:rPr>
            </w:pPr>
            <w:r>
              <w:rPr>
                <w:color w:val="000000"/>
                <w:sz w:val="18"/>
                <w:szCs w:val="18"/>
              </w:rPr>
              <w:t xml:space="preserve">13.5 </w:t>
            </w:r>
          </w:p>
        </w:tc>
        <w:tc>
          <w:tcPr>
            <w:tcW w:w="881" w:type="dxa"/>
            <w:noWrap/>
            <w:vAlign w:val="center"/>
          </w:tcPr>
          <w:p w14:paraId="0B3C3503">
            <w:pPr>
              <w:widowControl/>
              <w:adjustRightInd/>
              <w:snapToGrid/>
              <w:spacing w:line="240" w:lineRule="auto"/>
              <w:jc w:val="center"/>
              <w:rPr>
                <w:sz w:val="18"/>
                <w:szCs w:val="18"/>
              </w:rPr>
            </w:pPr>
            <w:r>
              <w:rPr>
                <w:color w:val="000000"/>
                <w:sz w:val="18"/>
                <w:szCs w:val="18"/>
              </w:rPr>
              <w:t xml:space="preserve">5.5 </w:t>
            </w:r>
          </w:p>
        </w:tc>
      </w:tr>
      <w:tr w14:paraId="563651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0A6B1DC">
            <w:pPr>
              <w:widowControl/>
              <w:adjustRightInd/>
              <w:snapToGrid/>
              <w:spacing w:line="240" w:lineRule="auto"/>
              <w:jc w:val="center"/>
              <w:rPr>
                <w:sz w:val="18"/>
                <w:szCs w:val="18"/>
              </w:rPr>
            </w:pPr>
            <w:r>
              <w:rPr>
                <w:rFonts w:hint="eastAsia"/>
                <w:sz w:val="18"/>
                <w:szCs w:val="18"/>
              </w:rPr>
              <w:t>62</w:t>
            </w:r>
          </w:p>
        </w:tc>
        <w:tc>
          <w:tcPr>
            <w:tcW w:w="673" w:type="dxa"/>
            <w:vMerge w:val="continue"/>
            <w:vAlign w:val="center"/>
          </w:tcPr>
          <w:p w14:paraId="06021F24">
            <w:pPr>
              <w:widowControl/>
              <w:adjustRightInd/>
              <w:snapToGrid/>
              <w:spacing w:line="240" w:lineRule="auto"/>
              <w:jc w:val="left"/>
              <w:rPr>
                <w:kern w:val="0"/>
                <w:sz w:val="18"/>
                <w:szCs w:val="18"/>
              </w:rPr>
            </w:pPr>
          </w:p>
        </w:tc>
        <w:tc>
          <w:tcPr>
            <w:tcW w:w="595" w:type="dxa"/>
            <w:vMerge w:val="continue"/>
            <w:vAlign w:val="center"/>
          </w:tcPr>
          <w:p w14:paraId="1A714FDE">
            <w:pPr>
              <w:widowControl/>
              <w:adjustRightInd/>
              <w:snapToGrid/>
              <w:spacing w:line="240" w:lineRule="auto"/>
              <w:jc w:val="center"/>
              <w:rPr>
                <w:kern w:val="0"/>
                <w:sz w:val="18"/>
                <w:szCs w:val="18"/>
              </w:rPr>
            </w:pPr>
          </w:p>
        </w:tc>
        <w:tc>
          <w:tcPr>
            <w:tcW w:w="567" w:type="dxa"/>
            <w:vMerge w:val="continue"/>
            <w:vAlign w:val="center"/>
          </w:tcPr>
          <w:p w14:paraId="0811BC70">
            <w:pPr>
              <w:widowControl/>
              <w:adjustRightInd/>
              <w:snapToGrid/>
              <w:spacing w:line="240" w:lineRule="auto"/>
              <w:jc w:val="left"/>
              <w:rPr>
                <w:kern w:val="0"/>
                <w:sz w:val="18"/>
                <w:szCs w:val="18"/>
              </w:rPr>
            </w:pPr>
          </w:p>
        </w:tc>
        <w:tc>
          <w:tcPr>
            <w:tcW w:w="426" w:type="dxa"/>
            <w:noWrap/>
            <w:vAlign w:val="center"/>
          </w:tcPr>
          <w:p w14:paraId="2B76BE6D">
            <w:pPr>
              <w:widowControl/>
              <w:adjustRightInd/>
              <w:snapToGrid/>
              <w:spacing w:line="240" w:lineRule="auto"/>
              <w:jc w:val="center"/>
              <w:rPr>
                <w:sz w:val="18"/>
                <w:szCs w:val="18"/>
              </w:rPr>
            </w:pPr>
            <w:r>
              <w:rPr>
                <w:sz w:val="18"/>
                <w:szCs w:val="18"/>
              </w:rPr>
              <w:t>夜间</w:t>
            </w:r>
          </w:p>
        </w:tc>
        <w:tc>
          <w:tcPr>
            <w:tcW w:w="708" w:type="dxa"/>
            <w:noWrap/>
            <w:vAlign w:val="center"/>
          </w:tcPr>
          <w:p w14:paraId="057415BF">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5172F210">
            <w:pPr>
              <w:widowControl/>
              <w:adjustRightInd/>
              <w:snapToGrid/>
              <w:spacing w:line="240" w:lineRule="auto"/>
              <w:jc w:val="center"/>
              <w:rPr>
                <w:sz w:val="18"/>
                <w:szCs w:val="18"/>
              </w:rPr>
            </w:pPr>
          </w:p>
        </w:tc>
        <w:tc>
          <w:tcPr>
            <w:tcW w:w="709" w:type="dxa"/>
            <w:vMerge w:val="continue"/>
            <w:noWrap/>
            <w:vAlign w:val="center"/>
          </w:tcPr>
          <w:p w14:paraId="41BD3A10">
            <w:pPr>
              <w:widowControl/>
              <w:adjustRightInd/>
              <w:snapToGrid/>
              <w:spacing w:line="240" w:lineRule="auto"/>
              <w:jc w:val="center"/>
              <w:rPr>
                <w:sz w:val="18"/>
                <w:szCs w:val="18"/>
              </w:rPr>
            </w:pPr>
          </w:p>
        </w:tc>
        <w:tc>
          <w:tcPr>
            <w:tcW w:w="880" w:type="dxa"/>
          </w:tcPr>
          <w:p w14:paraId="4CE5AD20">
            <w:pPr>
              <w:widowControl/>
              <w:adjustRightInd/>
              <w:snapToGrid/>
              <w:spacing w:line="240" w:lineRule="auto"/>
              <w:jc w:val="center"/>
              <w:rPr>
                <w:kern w:val="0"/>
                <w:sz w:val="18"/>
                <w:szCs w:val="18"/>
              </w:rPr>
            </w:pPr>
            <w:r>
              <w:rPr>
                <w:rFonts w:hint="eastAsia"/>
                <w:color w:val="000000"/>
                <w:sz w:val="18"/>
                <w:szCs w:val="18"/>
              </w:rPr>
              <w:t>52.1</w:t>
            </w:r>
          </w:p>
        </w:tc>
        <w:tc>
          <w:tcPr>
            <w:tcW w:w="880" w:type="dxa"/>
            <w:vAlign w:val="center"/>
          </w:tcPr>
          <w:p w14:paraId="07B9B7EC">
            <w:pPr>
              <w:widowControl/>
              <w:adjustRightInd/>
              <w:snapToGrid/>
              <w:spacing w:line="240" w:lineRule="auto"/>
              <w:jc w:val="center"/>
              <w:rPr>
                <w:kern w:val="0"/>
                <w:sz w:val="18"/>
                <w:szCs w:val="18"/>
              </w:rPr>
            </w:pPr>
            <w:r>
              <w:rPr>
                <w:color w:val="000000"/>
                <w:sz w:val="18"/>
                <w:szCs w:val="18"/>
              </w:rPr>
              <w:t xml:space="preserve">52.6 </w:t>
            </w:r>
          </w:p>
        </w:tc>
        <w:tc>
          <w:tcPr>
            <w:tcW w:w="881" w:type="dxa"/>
            <w:vAlign w:val="center"/>
          </w:tcPr>
          <w:p w14:paraId="1BF72C81">
            <w:pPr>
              <w:widowControl/>
              <w:adjustRightInd/>
              <w:snapToGrid/>
              <w:spacing w:line="240" w:lineRule="auto"/>
              <w:jc w:val="center"/>
              <w:rPr>
                <w:kern w:val="0"/>
                <w:sz w:val="18"/>
                <w:szCs w:val="18"/>
              </w:rPr>
            </w:pPr>
            <w:r>
              <w:rPr>
                <w:rFonts w:hint="eastAsia"/>
                <w:color w:val="000000"/>
                <w:sz w:val="18"/>
                <w:szCs w:val="18"/>
              </w:rPr>
              <w:t xml:space="preserve">9.6 </w:t>
            </w:r>
          </w:p>
        </w:tc>
        <w:tc>
          <w:tcPr>
            <w:tcW w:w="880" w:type="dxa"/>
            <w:vAlign w:val="center"/>
          </w:tcPr>
          <w:p w14:paraId="734E35E4">
            <w:pPr>
              <w:widowControl/>
              <w:adjustRightInd/>
              <w:snapToGrid/>
              <w:spacing w:line="240" w:lineRule="auto"/>
              <w:jc w:val="center"/>
              <w:rPr>
                <w:kern w:val="0"/>
                <w:sz w:val="18"/>
                <w:szCs w:val="18"/>
              </w:rPr>
            </w:pPr>
            <w:r>
              <w:rPr>
                <w:rFonts w:hint="eastAsia"/>
                <w:color w:val="000000"/>
                <w:sz w:val="18"/>
                <w:szCs w:val="18"/>
              </w:rPr>
              <w:t xml:space="preserve">2.6 </w:t>
            </w:r>
          </w:p>
        </w:tc>
        <w:tc>
          <w:tcPr>
            <w:tcW w:w="880" w:type="dxa"/>
            <w:noWrap/>
            <w:vAlign w:val="center"/>
          </w:tcPr>
          <w:p w14:paraId="4A0F651F">
            <w:pPr>
              <w:widowControl/>
              <w:adjustRightInd/>
              <w:snapToGrid/>
              <w:spacing w:line="240" w:lineRule="auto"/>
              <w:jc w:val="center"/>
              <w:rPr>
                <w:kern w:val="0"/>
                <w:sz w:val="18"/>
                <w:szCs w:val="18"/>
              </w:rPr>
            </w:pPr>
            <w:r>
              <w:rPr>
                <w:kern w:val="0"/>
                <w:sz w:val="18"/>
                <w:szCs w:val="18"/>
              </w:rPr>
              <w:t>53</w:t>
            </w:r>
          </w:p>
        </w:tc>
        <w:tc>
          <w:tcPr>
            <w:tcW w:w="881" w:type="dxa"/>
            <w:noWrap/>
            <w:vAlign w:val="center"/>
          </w:tcPr>
          <w:p w14:paraId="4BA72B61">
            <w:pPr>
              <w:widowControl/>
              <w:adjustRightInd/>
              <w:snapToGrid/>
              <w:spacing w:line="240" w:lineRule="auto"/>
              <w:jc w:val="center"/>
              <w:rPr>
                <w:sz w:val="18"/>
                <w:szCs w:val="18"/>
              </w:rPr>
            </w:pPr>
            <w:r>
              <w:rPr>
                <w:color w:val="000000"/>
                <w:sz w:val="18"/>
                <w:szCs w:val="18"/>
              </w:rPr>
              <w:t xml:space="preserve">53.4 </w:t>
            </w:r>
          </w:p>
        </w:tc>
        <w:tc>
          <w:tcPr>
            <w:tcW w:w="880" w:type="dxa"/>
            <w:noWrap/>
            <w:vAlign w:val="center"/>
          </w:tcPr>
          <w:p w14:paraId="67380F43">
            <w:pPr>
              <w:widowControl/>
              <w:adjustRightInd/>
              <w:snapToGrid/>
              <w:spacing w:line="240" w:lineRule="auto"/>
              <w:jc w:val="center"/>
              <w:rPr>
                <w:sz w:val="18"/>
                <w:szCs w:val="18"/>
              </w:rPr>
            </w:pPr>
            <w:r>
              <w:rPr>
                <w:color w:val="000000"/>
                <w:sz w:val="18"/>
                <w:szCs w:val="18"/>
              </w:rPr>
              <w:t xml:space="preserve">10.4 </w:t>
            </w:r>
          </w:p>
        </w:tc>
        <w:tc>
          <w:tcPr>
            <w:tcW w:w="880" w:type="dxa"/>
            <w:noWrap/>
            <w:vAlign w:val="center"/>
          </w:tcPr>
          <w:p w14:paraId="6CAE742C">
            <w:pPr>
              <w:widowControl/>
              <w:adjustRightInd/>
              <w:snapToGrid/>
              <w:spacing w:line="240" w:lineRule="auto"/>
              <w:jc w:val="center"/>
              <w:rPr>
                <w:sz w:val="18"/>
                <w:szCs w:val="18"/>
              </w:rPr>
            </w:pPr>
            <w:r>
              <w:rPr>
                <w:color w:val="000000"/>
                <w:sz w:val="18"/>
                <w:szCs w:val="18"/>
              </w:rPr>
              <w:t xml:space="preserve">3.4 </w:t>
            </w:r>
          </w:p>
        </w:tc>
        <w:tc>
          <w:tcPr>
            <w:tcW w:w="881" w:type="dxa"/>
            <w:noWrap/>
            <w:vAlign w:val="center"/>
          </w:tcPr>
          <w:p w14:paraId="7BABBF55">
            <w:pPr>
              <w:widowControl/>
              <w:adjustRightInd/>
              <w:snapToGrid/>
              <w:spacing w:line="240" w:lineRule="auto"/>
              <w:jc w:val="center"/>
              <w:rPr>
                <w:sz w:val="18"/>
                <w:szCs w:val="18"/>
              </w:rPr>
            </w:pPr>
            <w:r>
              <w:rPr>
                <w:rFonts w:hint="eastAsia"/>
                <w:color w:val="000000"/>
                <w:sz w:val="18"/>
                <w:szCs w:val="18"/>
              </w:rPr>
              <w:t>53.9</w:t>
            </w:r>
          </w:p>
        </w:tc>
        <w:tc>
          <w:tcPr>
            <w:tcW w:w="880" w:type="dxa"/>
            <w:noWrap/>
            <w:vAlign w:val="center"/>
          </w:tcPr>
          <w:p w14:paraId="06D809C2">
            <w:pPr>
              <w:widowControl/>
              <w:adjustRightInd/>
              <w:snapToGrid/>
              <w:spacing w:line="240" w:lineRule="auto"/>
              <w:jc w:val="center"/>
              <w:rPr>
                <w:sz w:val="18"/>
                <w:szCs w:val="18"/>
              </w:rPr>
            </w:pPr>
            <w:r>
              <w:rPr>
                <w:color w:val="000000"/>
                <w:sz w:val="18"/>
                <w:szCs w:val="18"/>
              </w:rPr>
              <w:t xml:space="preserve">54.2 </w:t>
            </w:r>
          </w:p>
        </w:tc>
        <w:tc>
          <w:tcPr>
            <w:tcW w:w="880" w:type="dxa"/>
            <w:noWrap/>
            <w:vAlign w:val="center"/>
          </w:tcPr>
          <w:p w14:paraId="28FAFDEB">
            <w:pPr>
              <w:widowControl/>
              <w:adjustRightInd/>
              <w:snapToGrid/>
              <w:spacing w:line="240" w:lineRule="auto"/>
              <w:jc w:val="center"/>
              <w:rPr>
                <w:sz w:val="18"/>
                <w:szCs w:val="18"/>
              </w:rPr>
            </w:pPr>
            <w:r>
              <w:rPr>
                <w:color w:val="000000"/>
                <w:sz w:val="18"/>
                <w:szCs w:val="18"/>
              </w:rPr>
              <w:t xml:space="preserve">11.2 </w:t>
            </w:r>
          </w:p>
        </w:tc>
        <w:tc>
          <w:tcPr>
            <w:tcW w:w="881" w:type="dxa"/>
            <w:noWrap/>
            <w:vAlign w:val="center"/>
          </w:tcPr>
          <w:p w14:paraId="3FEBDAD1">
            <w:pPr>
              <w:widowControl/>
              <w:adjustRightInd/>
              <w:snapToGrid/>
              <w:spacing w:line="240" w:lineRule="auto"/>
              <w:jc w:val="center"/>
              <w:rPr>
                <w:sz w:val="18"/>
                <w:szCs w:val="18"/>
              </w:rPr>
            </w:pPr>
            <w:r>
              <w:rPr>
                <w:color w:val="000000"/>
                <w:sz w:val="18"/>
                <w:szCs w:val="18"/>
              </w:rPr>
              <w:t xml:space="preserve">4.2 </w:t>
            </w:r>
          </w:p>
        </w:tc>
      </w:tr>
      <w:tr w14:paraId="091348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CE08F15">
            <w:pPr>
              <w:widowControl/>
              <w:adjustRightInd/>
              <w:snapToGrid/>
              <w:spacing w:line="240" w:lineRule="auto"/>
              <w:jc w:val="center"/>
              <w:rPr>
                <w:sz w:val="18"/>
                <w:szCs w:val="18"/>
              </w:rPr>
            </w:pPr>
            <w:r>
              <w:rPr>
                <w:rFonts w:hint="eastAsia"/>
                <w:sz w:val="18"/>
                <w:szCs w:val="18"/>
              </w:rPr>
              <w:t>63</w:t>
            </w:r>
          </w:p>
        </w:tc>
        <w:tc>
          <w:tcPr>
            <w:tcW w:w="673" w:type="dxa"/>
            <w:vMerge w:val="continue"/>
            <w:vAlign w:val="center"/>
          </w:tcPr>
          <w:p w14:paraId="4DDE09B2">
            <w:pPr>
              <w:widowControl/>
              <w:adjustRightInd/>
              <w:snapToGrid/>
              <w:spacing w:line="240" w:lineRule="auto"/>
              <w:jc w:val="left"/>
              <w:rPr>
                <w:kern w:val="0"/>
                <w:sz w:val="18"/>
                <w:szCs w:val="18"/>
              </w:rPr>
            </w:pPr>
          </w:p>
        </w:tc>
        <w:tc>
          <w:tcPr>
            <w:tcW w:w="595" w:type="dxa"/>
            <w:vMerge w:val="restart"/>
            <w:vAlign w:val="center"/>
          </w:tcPr>
          <w:p w14:paraId="5A26CF40">
            <w:pPr>
              <w:widowControl/>
              <w:adjustRightInd/>
              <w:snapToGrid/>
              <w:spacing w:line="240" w:lineRule="auto"/>
              <w:jc w:val="center"/>
              <w:rPr>
                <w:kern w:val="0"/>
                <w:sz w:val="18"/>
                <w:szCs w:val="18"/>
              </w:rPr>
            </w:pPr>
            <w:r>
              <w:rPr>
                <w:kern w:val="0"/>
                <w:sz w:val="18"/>
                <w:szCs w:val="18"/>
              </w:rPr>
              <w:t>16.2</w:t>
            </w:r>
          </w:p>
        </w:tc>
        <w:tc>
          <w:tcPr>
            <w:tcW w:w="567" w:type="dxa"/>
            <w:vMerge w:val="continue"/>
            <w:vAlign w:val="center"/>
          </w:tcPr>
          <w:p w14:paraId="1DE99F12">
            <w:pPr>
              <w:widowControl/>
              <w:adjustRightInd/>
              <w:snapToGrid/>
              <w:spacing w:line="240" w:lineRule="auto"/>
              <w:jc w:val="left"/>
              <w:rPr>
                <w:kern w:val="0"/>
                <w:sz w:val="18"/>
                <w:szCs w:val="18"/>
              </w:rPr>
            </w:pPr>
          </w:p>
        </w:tc>
        <w:tc>
          <w:tcPr>
            <w:tcW w:w="426" w:type="dxa"/>
            <w:noWrap/>
            <w:vAlign w:val="center"/>
          </w:tcPr>
          <w:p w14:paraId="268840B2">
            <w:pPr>
              <w:widowControl/>
              <w:adjustRightInd/>
              <w:snapToGrid/>
              <w:spacing w:line="240" w:lineRule="auto"/>
              <w:jc w:val="center"/>
              <w:rPr>
                <w:sz w:val="18"/>
                <w:szCs w:val="18"/>
              </w:rPr>
            </w:pPr>
            <w:r>
              <w:rPr>
                <w:sz w:val="18"/>
                <w:szCs w:val="18"/>
              </w:rPr>
              <w:t>昼间</w:t>
            </w:r>
          </w:p>
        </w:tc>
        <w:tc>
          <w:tcPr>
            <w:tcW w:w="708" w:type="dxa"/>
            <w:noWrap/>
            <w:vAlign w:val="center"/>
          </w:tcPr>
          <w:p w14:paraId="5426A742">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69EB6A76">
            <w:pPr>
              <w:widowControl/>
              <w:adjustRightInd/>
              <w:snapToGrid/>
              <w:spacing w:line="240" w:lineRule="auto"/>
              <w:jc w:val="center"/>
              <w:rPr>
                <w:sz w:val="18"/>
                <w:szCs w:val="18"/>
              </w:rPr>
            </w:pPr>
          </w:p>
        </w:tc>
        <w:tc>
          <w:tcPr>
            <w:tcW w:w="709" w:type="dxa"/>
            <w:vMerge w:val="continue"/>
            <w:noWrap/>
            <w:vAlign w:val="center"/>
          </w:tcPr>
          <w:p w14:paraId="076028C2">
            <w:pPr>
              <w:widowControl/>
              <w:adjustRightInd/>
              <w:snapToGrid/>
              <w:spacing w:line="240" w:lineRule="auto"/>
              <w:jc w:val="center"/>
              <w:rPr>
                <w:sz w:val="18"/>
                <w:szCs w:val="18"/>
              </w:rPr>
            </w:pPr>
          </w:p>
        </w:tc>
        <w:tc>
          <w:tcPr>
            <w:tcW w:w="880" w:type="dxa"/>
          </w:tcPr>
          <w:p w14:paraId="14EDB791">
            <w:pPr>
              <w:widowControl/>
              <w:adjustRightInd/>
              <w:snapToGrid/>
              <w:spacing w:line="240" w:lineRule="auto"/>
              <w:jc w:val="center"/>
              <w:rPr>
                <w:kern w:val="0"/>
                <w:sz w:val="18"/>
                <w:szCs w:val="18"/>
              </w:rPr>
            </w:pPr>
            <w:r>
              <w:rPr>
                <w:rFonts w:hint="eastAsia"/>
                <w:color w:val="000000"/>
                <w:sz w:val="18"/>
                <w:szCs w:val="18"/>
              </w:rPr>
              <w:t>65.9</w:t>
            </w:r>
          </w:p>
        </w:tc>
        <w:tc>
          <w:tcPr>
            <w:tcW w:w="880" w:type="dxa"/>
            <w:vAlign w:val="center"/>
          </w:tcPr>
          <w:p w14:paraId="546FC01D">
            <w:pPr>
              <w:widowControl/>
              <w:adjustRightInd/>
              <w:snapToGrid/>
              <w:spacing w:line="240" w:lineRule="auto"/>
              <w:jc w:val="center"/>
              <w:rPr>
                <w:kern w:val="0"/>
                <w:sz w:val="18"/>
                <w:szCs w:val="18"/>
              </w:rPr>
            </w:pPr>
            <w:r>
              <w:rPr>
                <w:color w:val="000000"/>
                <w:sz w:val="18"/>
                <w:szCs w:val="18"/>
              </w:rPr>
              <w:t xml:space="preserve">66.1 </w:t>
            </w:r>
          </w:p>
        </w:tc>
        <w:tc>
          <w:tcPr>
            <w:tcW w:w="881" w:type="dxa"/>
            <w:vAlign w:val="center"/>
          </w:tcPr>
          <w:p w14:paraId="7B88AEA1">
            <w:pPr>
              <w:widowControl/>
              <w:adjustRightInd/>
              <w:snapToGrid/>
              <w:spacing w:line="240" w:lineRule="auto"/>
              <w:jc w:val="center"/>
              <w:rPr>
                <w:kern w:val="0"/>
                <w:sz w:val="18"/>
                <w:szCs w:val="18"/>
              </w:rPr>
            </w:pPr>
            <w:r>
              <w:rPr>
                <w:rFonts w:hint="eastAsia"/>
                <w:color w:val="000000"/>
                <w:sz w:val="18"/>
                <w:szCs w:val="18"/>
              </w:rPr>
              <w:t xml:space="preserve">14.1 </w:t>
            </w:r>
          </w:p>
        </w:tc>
        <w:tc>
          <w:tcPr>
            <w:tcW w:w="880" w:type="dxa"/>
            <w:vAlign w:val="center"/>
          </w:tcPr>
          <w:p w14:paraId="48EAE562">
            <w:pPr>
              <w:widowControl/>
              <w:adjustRightInd/>
              <w:snapToGrid/>
              <w:spacing w:line="240" w:lineRule="auto"/>
              <w:jc w:val="center"/>
              <w:rPr>
                <w:kern w:val="0"/>
                <w:sz w:val="18"/>
                <w:szCs w:val="18"/>
              </w:rPr>
            </w:pPr>
            <w:r>
              <w:rPr>
                <w:rFonts w:hint="eastAsia"/>
                <w:color w:val="000000"/>
                <w:sz w:val="18"/>
                <w:szCs w:val="18"/>
              </w:rPr>
              <w:t xml:space="preserve">6.1 </w:t>
            </w:r>
          </w:p>
        </w:tc>
        <w:tc>
          <w:tcPr>
            <w:tcW w:w="880" w:type="dxa"/>
            <w:noWrap/>
            <w:vAlign w:val="center"/>
          </w:tcPr>
          <w:p w14:paraId="5D57980D">
            <w:pPr>
              <w:widowControl/>
              <w:adjustRightInd/>
              <w:snapToGrid/>
              <w:spacing w:line="240" w:lineRule="auto"/>
              <w:jc w:val="center"/>
              <w:rPr>
                <w:kern w:val="0"/>
                <w:sz w:val="18"/>
                <w:szCs w:val="18"/>
              </w:rPr>
            </w:pPr>
            <w:r>
              <w:rPr>
                <w:kern w:val="0"/>
                <w:sz w:val="18"/>
                <w:szCs w:val="18"/>
              </w:rPr>
              <w:t>66.8</w:t>
            </w:r>
          </w:p>
        </w:tc>
        <w:tc>
          <w:tcPr>
            <w:tcW w:w="881" w:type="dxa"/>
            <w:noWrap/>
            <w:vAlign w:val="center"/>
          </w:tcPr>
          <w:p w14:paraId="047121DD">
            <w:pPr>
              <w:widowControl/>
              <w:adjustRightInd/>
              <w:snapToGrid/>
              <w:spacing w:line="240" w:lineRule="auto"/>
              <w:jc w:val="center"/>
              <w:rPr>
                <w:sz w:val="18"/>
                <w:szCs w:val="18"/>
              </w:rPr>
            </w:pPr>
            <w:r>
              <w:rPr>
                <w:color w:val="000000"/>
                <w:sz w:val="18"/>
                <w:szCs w:val="18"/>
              </w:rPr>
              <w:t xml:space="preserve">66.9 </w:t>
            </w:r>
          </w:p>
        </w:tc>
        <w:tc>
          <w:tcPr>
            <w:tcW w:w="880" w:type="dxa"/>
            <w:noWrap/>
            <w:vAlign w:val="center"/>
          </w:tcPr>
          <w:p w14:paraId="032CC76C">
            <w:pPr>
              <w:widowControl/>
              <w:adjustRightInd/>
              <w:snapToGrid/>
              <w:spacing w:line="240" w:lineRule="auto"/>
              <w:jc w:val="center"/>
              <w:rPr>
                <w:sz w:val="18"/>
                <w:szCs w:val="18"/>
              </w:rPr>
            </w:pPr>
            <w:r>
              <w:rPr>
                <w:color w:val="000000"/>
                <w:sz w:val="18"/>
                <w:szCs w:val="18"/>
              </w:rPr>
              <w:t xml:space="preserve">14.9 </w:t>
            </w:r>
          </w:p>
        </w:tc>
        <w:tc>
          <w:tcPr>
            <w:tcW w:w="880" w:type="dxa"/>
            <w:noWrap/>
            <w:vAlign w:val="center"/>
          </w:tcPr>
          <w:p w14:paraId="67EB2D2F">
            <w:pPr>
              <w:widowControl/>
              <w:adjustRightInd/>
              <w:snapToGrid/>
              <w:spacing w:line="240" w:lineRule="auto"/>
              <w:jc w:val="center"/>
              <w:rPr>
                <w:sz w:val="18"/>
                <w:szCs w:val="18"/>
              </w:rPr>
            </w:pPr>
            <w:r>
              <w:rPr>
                <w:color w:val="000000"/>
                <w:sz w:val="18"/>
                <w:szCs w:val="18"/>
              </w:rPr>
              <w:t xml:space="preserve">6.9 </w:t>
            </w:r>
          </w:p>
        </w:tc>
        <w:tc>
          <w:tcPr>
            <w:tcW w:w="881" w:type="dxa"/>
            <w:noWrap/>
            <w:vAlign w:val="center"/>
          </w:tcPr>
          <w:p w14:paraId="443151B2">
            <w:pPr>
              <w:widowControl/>
              <w:adjustRightInd/>
              <w:snapToGrid/>
              <w:spacing w:line="240" w:lineRule="auto"/>
              <w:jc w:val="center"/>
              <w:rPr>
                <w:sz w:val="18"/>
                <w:szCs w:val="18"/>
              </w:rPr>
            </w:pPr>
            <w:r>
              <w:rPr>
                <w:rFonts w:hint="eastAsia"/>
                <w:color w:val="000000"/>
                <w:sz w:val="18"/>
                <w:szCs w:val="18"/>
              </w:rPr>
              <w:t>67.7</w:t>
            </w:r>
          </w:p>
        </w:tc>
        <w:tc>
          <w:tcPr>
            <w:tcW w:w="880" w:type="dxa"/>
            <w:noWrap/>
            <w:vAlign w:val="center"/>
          </w:tcPr>
          <w:p w14:paraId="3318008B">
            <w:pPr>
              <w:widowControl/>
              <w:adjustRightInd/>
              <w:snapToGrid/>
              <w:spacing w:line="240" w:lineRule="auto"/>
              <w:jc w:val="center"/>
              <w:rPr>
                <w:sz w:val="18"/>
                <w:szCs w:val="18"/>
              </w:rPr>
            </w:pPr>
            <w:r>
              <w:rPr>
                <w:color w:val="000000"/>
                <w:sz w:val="18"/>
                <w:szCs w:val="18"/>
              </w:rPr>
              <w:t xml:space="preserve">67.8 </w:t>
            </w:r>
          </w:p>
        </w:tc>
        <w:tc>
          <w:tcPr>
            <w:tcW w:w="880" w:type="dxa"/>
            <w:noWrap/>
            <w:vAlign w:val="center"/>
          </w:tcPr>
          <w:p w14:paraId="3AD99708">
            <w:pPr>
              <w:widowControl/>
              <w:adjustRightInd/>
              <w:snapToGrid/>
              <w:spacing w:line="240" w:lineRule="auto"/>
              <w:jc w:val="center"/>
              <w:rPr>
                <w:sz w:val="18"/>
                <w:szCs w:val="18"/>
              </w:rPr>
            </w:pPr>
            <w:r>
              <w:rPr>
                <w:color w:val="000000"/>
                <w:sz w:val="18"/>
                <w:szCs w:val="18"/>
              </w:rPr>
              <w:t xml:space="preserve">15.8 </w:t>
            </w:r>
          </w:p>
        </w:tc>
        <w:tc>
          <w:tcPr>
            <w:tcW w:w="881" w:type="dxa"/>
            <w:noWrap/>
            <w:vAlign w:val="center"/>
          </w:tcPr>
          <w:p w14:paraId="4883F322">
            <w:pPr>
              <w:widowControl/>
              <w:adjustRightInd/>
              <w:snapToGrid/>
              <w:spacing w:line="240" w:lineRule="auto"/>
              <w:jc w:val="center"/>
              <w:rPr>
                <w:sz w:val="18"/>
                <w:szCs w:val="18"/>
              </w:rPr>
            </w:pPr>
            <w:r>
              <w:rPr>
                <w:color w:val="000000"/>
                <w:sz w:val="18"/>
                <w:szCs w:val="18"/>
              </w:rPr>
              <w:t xml:space="preserve">7.8 </w:t>
            </w:r>
          </w:p>
        </w:tc>
      </w:tr>
      <w:tr w14:paraId="7BF70E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3CD6438">
            <w:pPr>
              <w:widowControl/>
              <w:adjustRightInd/>
              <w:snapToGrid/>
              <w:spacing w:line="240" w:lineRule="auto"/>
              <w:jc w:val="center"/>
              <w:rPr>
                <w:sz w:val="18"/>
                <w:szCs w:val="18"/>
              </w:rPr>
            </w:pPr>
            <w:r>
              <w:rPr>
                <w:rFonts w:hint="eastAsia"/>
                <w:sz w:val="18"/>
                <w:szCs w:val="18"/>
              </w:rPr>
              <w:t>64</w:t>
            </w:r>
          </w:p>
        </w:tc>
        <w:tc>
          <w:tcPr>
            <w:tcW w:w="673" w:type="dxa"/>
            <w:vMerge w:val="continue"/>
            <w:vAlign w:val="center"/>
          </w:tcPr>
          <w:p w14:paraId="398A9927">
            <w:pPr>
              <w:widowControl/>
              <w:adjustRightInd/>
              <w:snapToGrid/>
              <w:spacing w:line="240" w:lineRule="auto"/>
              <w:jc w:val="left"/>
              <w:rPr>
                <w:kern w:val="0"/>
                <w:sz w:val="18"/>
                <w:szCs w:val="18"/>
              </w:rPr>
            </w:pPr>
          </w:p>
        </w:tc>
        <w:tc>
          <w:tcPr>
            <w:tcW w:w="595" w:type="dxa"/>
            <w:vMerge w:val="continue"/>
            <w:vAlign w:val="center"/>
          </w:tcPr>
          <w:p w14:paraId="15223AB9">
            <w:pPr>
              <w:widowControl/>
              <w:adjustRightInd/>
              <w:snapToGrid/>
              <w:spacing w:line="240" w:lineRule="auto"/>
              <w:jc w:val="center"/>
              <w:rPr>
                <w:kern w:val="0"/>
                <w:sz w:val="18"/>
                <w:szCs w:val="18"/>
              </w:rPr>
            </w:pPr>
          </w:p>
        </w:tc>
        <w:tc>
          <w:tcPr>
            <w:tcW w:w="567" w:type="dxa"/>
            <w:vMerge w:val="continue"/>
            <w:vAlign w:val="center"/>
          </w:tcPr>
          <w:p w14:paraId="5D337E9B">
            <w:pPr>
              <w:widowControl/>
              <w:adjustRightInd/>
              <w:snapToGrid/>
              <w:spacing w:line="240" w:lineRule="auto"/>
              <w:jc w:val="left"/>
              <w:rPr>
                <w:kern w:val="0"/>
                <w:sz w:val="18"/>
                <w:szCs w:val="18"/>
              </w:rPr>
            </w:pPr>
          </w:p>
        </w:tc>
        <w:tc>
          <w:tcPr>
            <w:tcW w:w="426" w:type="dxa"/>
            <w:noWrap/>
            <w:vAlign w:val="center"/>
          </w:tcPr>
          <w:p w14:paraId="1B8CF161">
            <w:pPr>
              <w:widowControl/>
              <w:adjustRightInd/>
              <w:snapToGrid/>
              <w:spacing w:line="240" w:lineRule="auto"/>
              <w:jc w:val="center"/>
              <w:rPr>
                <w:sz w:val="18"/>
                <w:szCs w:val="18"/>
              </w:rPr>
            </w:pPr>
            <w:r>
              <w:rPr>
                <w:sz w:val="18"/>
                <w:szCs w:val="18"/>
              </w:rPr>
              <w:t>夜间</w:t>
            </w:r>
          </w:p>
        </w:tc>
        <w:tc>
          <w:tcPr>
            <w:tcW w:w="708" w:type="dxa"/>
            <w:noWrap/>
            <w:vAlign w:val="center"/>
          </w:tcPr>
          <w:p w14:paraId="0914CD64">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7E181CD0">
            <w:pPr>
              <w:widowControl/>
              <w:adjustRightInd/>
              <w:snapToGrid/>
              <w:spacing w:line="240" w:lineRule="auto"/>
              <w:jc w:val="center"/>
              <w:rPr>
                <w:sz w:val="18"/>
                <w:szCs w:val="18"/>
              </w:rPr>
            </w:pPr>
          </w:p>
        </w:tc>
        <w:tc>
          <w:tcPr>
            <w:tcW w:w="709" w:type="dxa"/>
            <w:vMerge w:val="continue"/>
            <w:noWrap/>
            <w:vAlign w:val="center"/>
          </w:tcPr>
          <w:p w14:paraId="7E164D32">
            <w:pPr>
              <w:widowControl/>
              <w:adjustRightInd/>
              <w:snapToGrid/>
              <w:spacing w:line="240" w:lineRule="auto"/>
              <w:jc w:val="center"/>
              <w:rPr>
                <w:sz w:val="18"/>
                <w:szCs w:val="18"/>
              </w:rPr>
            </w:pPr>
          </w:p>
        </w:tc>
        <w:tc>
          <w:tcPr>
            <w:tcW w:w="880" w:type="dxa"/>
          </w:tcPr>
          <w:p w14:paraId="0C2C5D62">
            <w:pPr>
              <w:widowControl/>
              <w:adjustRightInd/>
              <w:snapToGrid/>
              <w:spacing w:line="240" w:lineRule="auto"/>
              <w:jc w:val="center"/>
              <w:rPr>
                <w:kern w:val="0"/>
                <w:sz w:val="18"/>
                <w:szCs w:val="18"/>
              </w:rPr>
            </w:pPr>
            <w:r>
              <w:rPr>
                <w:rFonts w:hint="eastAsia"/>
                <w:color w:val="000000"/>
                <w:sz w:val="18"/>
                <w:szCs w:val="18"/>
              </w:rPr>
              <w:t>53.8</w:t>
            </w:r>
          </w:p>
        </w:tc>
        <w:tc>
          <w:tcPr>
            <w:tcW w:w="880" w:type="dxa"/>
            <w:vAlign w:val="center"/>
          </w:tcPr>
          <w:p w14:paraId="0E437083">
            <w:pPr>
              <w:widowControl/>
              <w:adjustRightInd/>
              <w:snapToGrid/>
              <w:spacing w:line="240" w:lineRule="auto"/>
              <w:jc w:val="center"/>
              <w:rPr>
                <w:kern w:val="0"/>
                <w:sz w:val="18"/>
                <w:szCs w:val="18"/>
              </w:rPr>
            </w:pPr>
            <w:r>
              <w:rPr>
                <w:color w:val="000000"/>
                <w:sz w:val="18"/>
                <w:szCs w:val="18"/>
              </w:rPr>
              <w:t xml:space="preserve">54.1 </w:t>
            </w:r>
          </w:p>
        </w:tc>
        <w:tc>
          <w:tcPr>
            <w:tcW w:w="881" w:type="dxa"/>
            <w:vAlign w:val="center"/>
          </w:tcPr>
          <w:p w14:paraId="3005BA43">
            <w:pPr>
              <w:widowControl/>
              <w:adjustRightInd/>
              <w:snapToGrid/>
              <w:spacing w:line="240" w:lineRule="auto"/>
              <w:jc w:val="center"/>
              <w:rPr>
                <w:kern w:val="0"/>
                <w:sz w:val="18"/>
                <w:szCs w:val="18"/>
              </w:rPr>
            </w:pPr>
            <w:r>
              <w:rPr>
                <w:rFonts w:hint="eastAsia"/>
                <w:color w:val="000000"/>
                <w:sz w:val="18"/>
                <w:szCs w:val="18"/>
              </w:rPr>
              <w:t xml:space="preserve">11.1 </w:t>
            </w:r>
          </w:p>
        </w:tc>
        <w:tc>
          <w:tcPr>
            <w:tcW w:w="880" w:type="dxa"/>
            <w:vAlign w:val="center"/>
          </w:tcPr>
          <w:p w14:paraId="0F190811">
            <w:pPr>
              <w:widowControl/>
              <w:adjustRightInd/>
              <w:snapToGrid/>
              <w:spacing w:line="240" w:lineRule="auto"/>
              <w:jc w:val="center"/>
              <w:rPr>
                <w:kern w:val="0"/>
                <w:sz w:val="18"/>
                <w:szCs w:val="18"/>
              </w:rPr>
            </w:pPr>
            <w:r>
              <w:rPr>
                <w:rFonts w:hint="eastAsia"/>
                <w:color w:val="000000"/>
                <w:sz w:val="18"/>
                <w:szCs w:val="18"/>
              </w:rPr>
              <w:t xml:space="preserve">4.1 </w:t>
            </w:r>
          </w:p>
        </w:tc>
        <w:tc>
          <w:tcPr>
            <w:tcW w:w="880" w:type="dxa"/>
            <w:noWrap/>
            <w:vAlign w:val="center"/>
          </w:tcPr>
          <w:p w14:paraId="1BF24A98">
            <w:pPr>
              <w:widowControl/>
              <w:adjustRightInd/>
              <w:snapToGrid/>
              <w:spacing w:line="240" w:lineRule="auto"/>
              <w:jc w:val="center"/>
              <w:rPr>
                <w:kern w:val="0"/>
                <w:sz w:val="18"/>
                <w:szCs w:val="18"/>
              </w:rPr>
            </w:pPr>
            <w:r>
              <w:rPr>
                <w:kern w:val="0"/>
                <w:sz w:val="18"/>
                <w:szCs w:val="18"/>
              </w:rPr>
              <w:t>54.7</w:t>
            </w:r>
          </w:p>
        </w:tc>
        <w:tc>
          <w:tcPr>
            <w:tcW w:w="881" w:type="dxa"/>
            <w:noWrap/>
            <w:vAlign w:val="center"/>
          </w:tcPr>
          <w:p w14:paraId="392461CA">
            <w:pPr>
              <w:widowControl/>
              <w:adjustRightInd/>
              <w:snapToGrid/>
              <w:spacing w:line="240" w:lineRule="auto"/>
              <w:jc w:val="center"/>
              <w:rPr>
                <w:sz w:val="18"/>
                <w:szCs w:val="18"/>
              </w:rPr>
            </w:pPr>
            <w:r>
              <w:rPr>
                <w:color w:val="000000"/>
                <w:sz w:val="18"/>
                <w:szCs w:val="18"/>
              </w:rPr>
              <w:t xml:space="preserve">55.0 </w:t>
            </w:r>
          </w:p>
        </w:tc>
        <w:tc>
          <w:tcPr>
            <w:tcW w:w="880" w:type="dxa"/>
            <w:noWrap/>
            <w:vAlign w:val="center"/>
          </w:tcPr>
          <w:p w14:paraId="43C8618B">
            <w:pPr>
              <w:widowControl/>
              <w:adjustRightInd/>
              <w:snapToGrid/>
              <w:spacing w:line="240" w:lineRule="auto"/>
              <w:jc w:val="center"/>
              <w:rPr>
                <w:sz w:val="18"/>
                <w:szCs w:val="18"/>
              </w:rPr>
            </w:pPr>
            <w:r>
              <w:rPr>
                <w:color w:val="000000"/>
                <w:sz w:val="18"/>
                <w:szCs w:val="18"/>
              </w:rPr>
              <w:t xml:space="preserve">12.0 </w:t>
            </w:r>
          </w:p>
        </w:tc>
        <w:tc>
          <w:tcPr>
            <w:tcW w:w="880" w:type="dxa"/>
            <w:noWrap/>
            <w:vAlign w:val="center"/>
          </w:tcPr>
          <w:p w14:paraId="7952DF32">
            <w:pPr>
              <w:widowControl/>
              <w:adjustRightInd/>
              <w:snapToGrid/>
              <w:spacing w:line="240" w:lineRule="auto"/>
              <w:jc w:val="center"/>
              <w:rPr>
                <w:sz w:val="18"/>
                <w:szCs w:val="18"/>
              </w:rPr>
            </w:pPr>
            <w:r>
              <w:rPr>
                <w:color w:val="000000"/>
                <w:sz w:val="18"/>
                <w:szCs w:val="18"/>
              </w:rPr>
              <w:t xml:space="preserve">5.0 </w:t>
            </w:r>
          </w:p>
        </w:tc>
        <w:tc>
          <w:tcPr>
            <w:tcW w:w="881" w:type="dxa"/>
            <w:noWrap/>
            <w:vAlign w:val="center"/>
          </w:tcPr>
          <w:p w14:paraId="7B4968DD">
            <w:pPr>
              <w:widowControl/>
              <w:adjustRightInd/>
              <w:snapToGrid/>
              <w:spacing w:line="240" w:lineRule="auto"/>
              <w:jc w:val="center"/>
              <w:rPr>
                <w:sz w:val="18"/>
                <w:szCs w:val="18"/>
              </w:rPr>
            </w:pPr>
            <w:r>
              <w:rPr>
                <w:rFonts w:hint="eastAsia"/>
                <w:color w:val="000000"/>
                <w:sz w:val="18"/>
                <w:szCs w:val="18"/>
              </w:rPr>
              <w:t>55.6</w:t>
            </w:r>
          </w:p>
        </w:tc>
        <w:tc>
          <w:tcPr>
            <w:tcW w:w="880" w:type="dxa"/>
            <w:noWrap/>
            <w:vAlign w:val="center"/>
          </w:tcPr>
          <w:p w14:paraId="4A48CF1C">
            <w:pPr>
              <w:widowControl/>
              <w:adjustRightInd/>
              <w:snapToGrid/>
              <w:spacing w:line="240" w:lineRule="auto"/>
              <w:jc w:val="center"/>
              <w:rPr>
                <w:sz w:val="18"/>
                <w:szCs w:val="18"/>
              </w:rPr>
            </w:pPr>
            <w:r>
              <w:rPr>
                <w:color w:val="000000"/>
                <w:sz w:val="18"/>
                <w:szCs w:val="18"/>
              </w:rPr>
              <w:t xml:space="preserve">55.8 </w:t>
            </w:r>
          </w:p>
        </w:tc>
        <w:tc>
          <w:tcPr>
            <w:tcW w:w="880" w:type="dxa"/>
            <w:noWrap/>
            <w:vAlign w:val="center"/>
          </w:tcPr>
          <w:p w14:paraId="663E4381">
            <w:pPr>
              <w:widowControl/>
              <w:adjustRightInd/>
              <w:snapToGrid/>
              <w:spacing w:line="240" w:lineRule="auto"/>
              <w:jc w:val="center"/>
              <w:rPr>
                <w:sz w:val="18"/>
                <w:szCs w:val="18"/>
              </w:rPr>
            </w:pPr>
            <w:r>
              <w:rPr>
                <w:color w:val="000000"/>
                <w:sz w:val="18"/>
                <w:szCs w:val="18"/>
              </w:rPr>
              <w:t xml:space="preserve">12.8 </w:t>
            </w:r>
          </w:p>
        </w:tc>
        <w:tc>
          <w:tcPr>
            <w:tcW w:w="881" w:type="dxa"/>
            <w:noWrap/>
            <w:vAlign w:val="center"/>
          </w:tcPr>
          <w:p w14:paraId="7DB0A000">
            <w:pPr>
              <w:widowControl/>
              <w:adjustRightInd/>
              <w:snapToGrid/>
              <w:spacing w:line="240" w:lineRule="auto"/>
              <w:jc w:val="center"/>
              <w:rPr>
                <w:sz w:val="18"/>
                <w:szCs w:val="18"/>
              </w:rPr>
            </w:pPr>
            <w:r>
              <w:rPr>
                <w:color w:val="000000"/>
                <w:sz w:val="18"/>
                <w:szCs w:val="18"/>
              </w:rPr>
              <w:t xml:space="preserve">5.8 </w:t>
            </w:r>
          </w:p>
        </w:tc>
      </w:tr>
      <w:tr w14:paraId="676391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4FFA9AE6">
            <w:pPr>
              <w:widowControl/>
              <w:adjustRightInd/>
              <w:snapToGrid/>
              <w:spacing w:line="240" w:lineRule="auto"/>
              <w:jc w:val="center"/>
              <w:rPr>
                <w:sz w:val="18"/>
                <w:szCs w:val="18"/>
              </w:rPr>
            </w:pPr>
            <w:r>
              <w:rPr>
                <w:rFonts w:hint="eastAsia"/>
                <w:sz w:val="18"/>
                <w:szCs w:val="18"/>
              </w:rPr>
              <w:t>65</w:t>
            </w:r>
          </w:p>
        </w:tc>
        <w:tc>
          <w:tcPr>
            <w:tcW w:w="673" w:type="dxa"/>
            <w:vMerge w:val="continue"/>
            <w:vAlign w:val="center"/>
          </w:tcPr>
          <w:p w14:paraId="5C154F3B">
            <w:pPr>
              <w:widowControl/>
              <w:adjustRightInd/>
              <w:snapToGrid/>
              <w:spacing w:line="240" w:lineRule="auto"/>
              <w:jc w:val="left"/>
              <w:rPr>
                <w:kern w:val="0"/>
                <w:sz w:val="18"/>
                <w:szCs w:val="18"/>
              </w:rPr>
            </w:pPr>
          </w:p>
        </w:tc>
        <w:tc>
          <w:tcPr>
            <w:tcW w:w="595" w:type="dxa"/>
            <w:vMerge w:val="restart"/>
            <w:vAlign w:val="center"/>
          </w:tcPr>
          <w:p w14:paraId="388D76EE">
            <w:pPr>
              <w:widowControl/>
              <w:adjustRightInd/>
              <w:snapToGrid/>
              <w:spacing w:line="240" w:lineRule="auto"/>
              <w:jc w:val="center"/>
              <w:rPr>
                <w:kern w:val="0"/>
                <w:sz w:val="18"/>
                <w:szCs w:val="18"/>
              </w:rPr>
            </w:pPr>
            <w:r>
              <w:rPr>
                <w:kern w:val="0"/>
                <w:sz w:val="18"/>
                <w:szCs w:val="18"/>
              </w:rPr>
              <w:t>31.2</w:t>
            </w:r>
          </w:p>
        </w:tc>
        <w:tc>
          <w:tcPr>
            <w:tcW w:w="567" w:type="dxa"/>
            <w:vMerge w:val="continue"/>
            <w:vAlign w:val="center"/>
          </w:tcPr>
          <w:p w14:paraId="261862E7">
            <w:pPr>
              <w:widowControl/>
              <w:adjustRightInd/>
              <w:snapToGrid/>
              <w:spacing w:line="240" w:lineRule="auto"/>
              <w:jc w:val="left"/>
              <w:rPr>
                <w:kern w:val="0"/>
                <w:sz w:val="18"/>
                <w:szCs w:val="18"/>
              </w:rPr>
            </w:pPr>
          </w:p>
        </w:tc>
        <w:tc>
          <w:tcPr>
            <w:tcW w:w="426" w:type="dxa"/>
            <w:noWrap/>
            <w:vAlign w:val="center"/>
          </w:tcPr>
          <w:p w14:paraId="1096F49D">
            <w:pPr>
              <w:widowControl/>
              <w:adjustRightInd/>
              <w:snapToGrid/>
              <w:spacing w:line="240" w:lineRule="auto"/>
              <w:jc w:val="center"/>
              <w:rPr>
                <w:sz w:val="18"/>
                <w:szCs w:val="18"/>
              </w:rPr>
            </w:pPr>
            <w:r>
              <w:rPr>
                <w:sz w:val="18"/>
                <w:szCs w:val="18"/>
              </w:rPr>
              <w:t>昼间</w:t>
            </w:r>
          </w:p>
        </w:tc>
        <w:tc>
          <w:tcPr>
            <w:tcW w:w="708" w:type="dxa"/>
            <w:noWrap/>
            <w:vAlign w:val="center"/>
          </w:tcPr>
          <w:p w14:paraId="0A32E376">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5D4CD0BA">
            <w:pPr>
              <w:widowControl/>
              <w:adjustRightInd/>
              <w:snapToGrid/>
              <w:spacing w:line="240" w:lineRule="auto"/>
              <w:jc w:val="center"/>
              <w:rPr>
                <w:sz w:val="18"/>
                <w:szCs w:val="18"/>
              </w:rPr>
            </w:pPr>
          </w:p>
        </w:tc>
        <w:tc>
          <w:tcPr>
            <w:tcW w:w="709" w:type="dxa"/>
            <w:vMerge w:val="continue"/>
            <w:noWrap/>
            <w:vAlign w:val="center"/>
          </w:tcPr>
          <w:p w14:paraId="66F04583">
            <w:pPr>
              <w:widowControl/>
              <w:adjustRightInd/>
              <w:snapToGrid/>
              <w:spacing w:line="240" w:lineRule="auto"/>
              <w:jc w:val="center"/>
              <w:rPr>
                <w:sz w:val="18"/>
                <w:szCs w:val="18"/>
              </w:rPr>
            </w:pPr>
          </w:p>
        </w:tc>
        <w:tc>
          <w:tcPr>
            <w:tcW w:w="880" w:type="dxa"/>
          </w:tcPr>
          <w:p w14:paraId="3A016C9B">
            <w:pPr>
              <w:widowControl/>
              <w:adjustRightInd/>
              <w:snapToGrid/>
              <w:spacing w:line="240" w:lineRule="auto"/>
              <w:jc w:val="center"/>
              <w:rPr>
                <w:kern w:val="0"/>
                <w:sz w:val="18"/>
                <w:szCs w:val="18"/>
              </w:rPr>
            </w:pPr>
            <w:r>
              <w:rPr>
                <w:rFonts w:hint="eastAsia"/>
                <w:color w:val="000000"/>
                <w:sz w:val="18"/>
                <w:szCs w:val="18"/>
              </w:rPr>
              <w:t>64.7</w:t>
            </w:r>
          </w:p>
        </w:tc>
        <w:tc>
          <w:tcPr>
            <w:tcW w:w="880" w:type="dxa"/>
            <w:vAlign w:val="center"/>
          </w:tcPr>
          <w:p w14:paraId="4D997FA9">
            <w:pPr>
              <w:widowControl/>
              <w:adjustRightInd/>
              <w:snapToGrid/>
              <w:spacing w:line="240" w:lineRule="auto"/>
              <w:jc w:val="center"/>
              <w:rPr>
                <w:kern w:val="0"/>
                <w:sz w:val="18"/>
                <w:szCs w:val="18"/>
              </w:rPr>
            </w:pPr>
            <w:r>
              <w:rPr>
                <w:color w:val="000000"/>
                <w:sz w:val="18"/>
                <w:szCs w:val="18"/>
              </w:rPr>
              <w:t xml:space="preserve">64.9 </w:t>
            </w:r>
          </w:p>
        </w:tc>
        <w:tc>
          <w:tcPr>
            <w:tcW w:w="881" w:type="dxa"/>
            <w:vAlign w:val="center"/>
          </w:tcPr>
          <w:p w14:paraId="08BAE62D">
            <w:pPr>
              <w:widowControl/>
              <w:adjustRightInd/>
              <w:snapToGrid/>
              <w:spacing w:line="240" w:lineRule="auto"/>
              <w:jc w:val="center"/>
              <w:rPr>
                <w:kern w:val="0"/>
                <w:sz w:val="18"/>
                <w:szCs w:val="18"/>
              </w:rPr>
            </w:pPr>
            <w:r>
              <w:rPr>
                <w:rFonts w:hint="eastAsia"/>
                <w:color w:val="000000"/>
                <w:sz w:val="18"/>
                <w:szCs w:val="18"/>
              </w:rPr>
              <w:t xml:space="preserve">12.9 </w:t>
            </w:r>
          </w:p>
        </w:tc>
        <w:tc>
          <w:tcPr>
            <w:tcW w:w="880" w:type="dxa"/>
            <w:vAlign w:val="center"/>
          </w:tcPr>
          <w:p w14:paraId="7EF55638">
            <w:pPr>
              <w:widowControl/>
              <w:adjustRightInd/>
              <w:snapToGrid/>
              <w:spacing w:line="240" w:lineRule="auto"/>
              <w:jc w:val="center"/>
              <w:rPr>
                <w:kern w:val="0"/>
                <w:sz w:val="18"/>
                <w:szCs w:val="18"/>
              </w:rPr>
            </w:pPr>
            <w:r>
              <w:rPr>
                <w:rFonts w:hint="eastAsia"/>
                <w:color w:val="000000"/>
                <w:sz w:val="18"/>
                <w:szCs w:val="18"/>
              </w:rPr>
              <w:t xml:space="preserve">4.9 </w:t>
            </w:r>
          </w:p>
        </w:tc>
        <w:tc>
          <w:tcPr>
            <w:tcW w:w="880" w:type="dxa"/>
            <w:noWrap/>
            <w:vAlign w:val="center"/>
          </w:tcPr>
          <w:p w14:paraId="79517013">
            <w:pPr>
              <w:widowControl/>
              <w:adjustRightInd/>
              <w:snapToGrid/>
              <w:spacing w:line="240" w:lineRule="auto"/>
              <w:jc w:val="center"/>
              <w:rPr>
                <w:kern w:val="0"/>
                <w:sz w:val="18"/>
                <w:szCs w:val="18"/>
              </w:rPr>
            </w:pPr>
            <w:r>
              <w:rPr>
                <w:kern w:val="0"/>
                <w:sz w:val="18"/>
                <w:szCs w:val="18"/>
              </w:rPr>
              <w:t>65.5</w:t>
            </w:r>
          </w:p>
        </w:tc>
        <w:tc>
          <w:tcPr>
            <w:tcW w:w="881" w:type="dxa"/>
            <w:noWrap/>
            <w:vAlign w:val="center"/>
          </w:tcPr>
          <w:p w14:paraId="44457B78">
            <w:pPr>
              <w:widowControl/>
              <w:adjustRightInd/>
              <w:snapToGrid/>
              <w:spacing w:line="240" w:lineRule="auto"/>
              <w:jc w:val="center"/>
              <w:rPr>
                <w:sz w:val="18"/>
                <w:szCs w:val="18"/>
              </w:rPr>
            </w:pPr>
            <w:r>
              <w:rPr>
                <w:color w:val="000000"/>
                <w:sz w:val="18"/>
                <w:szCs w:val="18"/>
              </w:rPr>
              <w:t xml:space="preserve">65.7 </w:t>
            </w:r>
          </w:p>
        </w:tc>
        <w:tc>
          <w:tcPr>
            <w:tcW w:w="880" w:type="dxa"/>
            <w:noWrap/>
            <w:vAlign w:val="center"/>
          </w:tcPr>
          <w:p w14:paraId="389E7A18">
            <w:pPr>
              <w:widowControl/>
              <w:adjustRightInd/>
              <w:snapToGrid/>
              <w:spacing w:line="240" w:lineRule="auto"/>
              <w:jc w:val="center"/>
              <w:rPr>
                <w:sz w:val="18"/>
                <w:szCs w:val="18"/>
              </w:rPr>
            </w:pPr>
            <w:r>
              <w:rPr>
                <w:color w:val="000000"/>
                <w:sz w:val="18"/>
                <w:szCs w:val="18"/>
              </w:rPr>
              <w:t xml:space="preserve">13.7 </w:t>
            </w:r>
          </w:p>
        </w:tc>
        <w:tc>
          <w:tcPr>
            <w:tcW w:w="880" w:type="dxa"/>
            <w:noWrap/>
            <w:vAlign w:val="center"/>
          </w:tcPr>
          <w:p w14:paraId="32BEB9D8">
            <w:pPr>
              <w:widowControl/>
              <w:adjustRightInd/>
              <w:snapToGrid/>
              <w:spacing w:line="240" w:lineRule="auto"/>
              <w:jc w:val="center"/>
              <w:rPr>
                <w:sz w:val="18"/>
                <w:szCs w:val="18"/>
              </w:rPr>
            </w:pPr>
            <w:r>
              <w:rPr>
                <w:color w:val="000000"/>
                <w:sz w:val="18"/>
                <w:szCs w:val="18"/>
              </w:rPr>
              <w:t xml:space="preserve">5.7 </w:t>
            </w:r>
          </w:p>
        </w:tc>
        <w:tc>
          <w:tcPr>
            <w:tcW w:w="881" w:type="dxa"/>
            <w:noWrap/>
            <w:vAlign w:val="center"/>
          </w:tcPr>
          <w:p w14:paraId="59EC661D">
            <w:pPr>
              <w:widowControl/>
              <w:adjustRightInd/>
              <w:snapToGrid/>
              <w:spacing w:line="240" w:lineRule="auto"/>
              <w:jc w:val="center"/>
              <w:rPr>
                <w:sz w:val="18"/>
                <w:szCs w:val="18"/>
              </w:rPr>
            </w:pPr>
            <w:r>
              <w:rPr>
                <w:rFonts w:hint="eastAsia"/>
                <w:color w:val="000000"/>
                <w:sz w:val="18"/>
                <w:szCs w:val="18"/>
              </w:rPr>
              <w:t>66.4</w:t>
            </w:r>
          </w:p>
        </w:tc>
        <w:tc>
          <w:tcPr>
            <w:tcW w:w="880" w:type="dxa"/>
            <w:noWrap/>
            <w:vAlign w:val="center"/>
          </w:tcPr>
          <w:p w14:paraId="5D164DC9">
            <w:pPr>
              <w:widowControl/>
              <w:adjustRightInd/>
              <w:snapToGrid/>
              <w:spacing w:line="240" w:lineRule="auto"/>
              <w:jc w:val="center"/>
              <w:rPr>
                <w:sz w:val="18"/>
                <w:szCs w:val="18"/>
              </w:rPr>
            </w:pPr>
            <w:r>
              <w:rPr>
                <w:color w:val="000000"/>
                <w:sz w:val="18"/>
                <w:szCs w:val="18"/>
              </w:rPr>
              <w:t xml:space="preserve">66.6 </w:t>
            </w:r>
          </w:p>
        </w:tc>
        <w:tc>
          <w:tcPr>
            <w:tcW w:w="880" w:type="dxa"/>
            <w:noWrap/>
            <w:vAlign w:val="center"/>
          </w:tcPr>
          <w:p w14:paraId="3BB2FD66">
            <w:pPr>
              <w:widowControl/>
              <w:adjustRightInd/>
              <w:snapToGrid/>
              <w:spacing w:line="240" w:lineRule="auto"/>
              <w:jc w:val="center"/>
              <w:rPr>
                <w:sz w:val="18"/>
                <w:szCs w:val="18"/>
              </w:rPr>
            </w:pPr>
            <w:r>
              <w:rPr>
                <w:color w:val="000000"/>
                <w:sz w:val="18"/>
                <w:szCs w:val="18"/>
              </w:rPr>
              <w:t xml:space="preserve">14.6 </w:t>
            </w:r>
          </w:p>
        </w:tc>
        <w:tc>
          <w:tcPr>
            <w:tcW w:w="881" w:type="dxa"/>
            <w:noWrap/>
            <w:vAlign w:val="center"/>
          </w:tcPr>
          <w:p w14:paraId="5CB002AD">
            <w:pPr>
              <w:widowControl/>
              <w:adjustRightInd/>
              <w:snapToGrid/>
              <w:spacing w:line="240" w:lineRule="auto"/>
              <w:jc w:val="center"/>
              <w:rPr>
                <w:sz w:val="18"/>
                <w:szCs w:val="18"/>
              </w:rPr>
            </w:pPr>
            <w:r>
              <w:rPr>
                <w:color w:val="000000"/>
                <w:sz w:val="18"/>
                <w:szCs w:val="18"/>
              </w:rPr>
              <w:t xml:space="preserve">6.6 </w:t>
            </w:r>
          </w:p>
        </w:tc>
      </w:tr>
      <w:tr w14:paraId="476EFD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1DC141F">
            <w:pPr>
              <w:widowControl/>
              <w:adjustRightInd/>
              <w:snapToGrid/>
              <w:spacing w:line="240" w:lineRule="auto"/>
              <w:jc w:val="center"/>
              <w:rPr>
                <w:sz w:val="18"/>
                <w:szCs w:val="18"/>
              </w:rPr>
            </w:pPr>
            <w:r>
              <w:rPr>
                <w:rFonts w:hint="eastAsia"/>
                <w:sz w:val="18"/>
                <w:szCs w:val="18"/>
              </w:rPr>
              <w:t>66</w:t>
            </w:r>
          </w:p>
        </w:tc>
        <w:tc>
          <w:tcPr>
            <w:tcW w:w="673" w:type="dxa"/>
            <w:vMerge w:val="continue"/>
            <w:vAlign w:val="center"/>
          </w:tcPr>
          <w:p w14:paraId="22FCD622">
            <w:pPr>
              <w:widowControl/>
              <w:adjustRightInd/>
              <w:snapToGrid/>
              <w:spacing w:line="240" w:lineRule="auto"/>
              <w:jc w:val="left"/>
              <w:rPr>
                <w:kern w:val="0"/>
                <w:sz w:val="18"/>
                <w:szCs w:val="18"/>
              </w:rPr>
            </w:pPr>
          </w:p>
        </w:tc>
        <w:tc>
          <w:tcPr>
            <w:tcW w:w="595" w:type="dxa"/>
            <w:vMerge w:val="continue"/>
            <w:vAlign w:val="center"/>
          </w:tcPr>
          <w:p w14:paraId="58AFAD58">
            <w:pPr>
              <w:widowControl/>
              <w:adjustRightInd/>
              <w:snapToGrid/>
              <w:spacing w:line="240" w:lineRule="auto"/>
              <w:jc w:val="center"/>
              <w:rPr>
                <w:kern w:val="0"/>
                <w:sz w:val="18"/>
                <w:szCs w:val="18"/>
              </w:rPr>
            </w:pPr>
          </w:p>
        </w:tc>
        <w:tc>
          <w:tcPr>
            <w:tcW w:w="567" w:type="dxa"/>
            <w:vMerge w:val="continue"/>
            <w:vAlign w:val="center"/>
          </w:tcPr>
          <w:p w14:paraId="6699DE63">
            <w:pPr>
              <w:widowControl/>
              <w:adjustRightInd/>
              <w:snapToGrid/>
              <w:spacing w:line="240" w:lineRule="auto"/>
              <w:jc w:val="left"/>
              <w:rPr>
                <w:kern w:val="0"/>
                <w:sz w:val="18"/>
                <w:szCs w:val="18"/>
              </w:rPr>
            </w:pPr>
          </w:p>
        </w:tc>
        <w:tc>
          <w:tcPr>
            <w:tcW w:w="426" w:type="dxa"/>
            <w:noWrap/>
            <w:vAlign w:val="center"/>
          </w:tcPr>
          <w:p w14:paraId="37F55881">
            <w:pPr>
              <w:widowControl/>
              <w:adjustRightInd/>
              <w:snapToGrid/>
              <w:spacing w:line="240" w:lineRule="auto"/>
              <w:jc w:val="center"/>
              <w:rPr>
                <w:sz w:val="18"/>
                <w:szCs w:val="18"/>
              </w:rPr>
            </w:pPr>
            <w:r>
              <w:rPr>
                <w:sz w:val="18"/>
                <w:szCs w:val="18"/>
              </w:rPr>
              <w:t>夜间</w:t>
            </w:r>
          </w:p>
        </w:tc>
        <w:tc>
          <w:tcPr>
            <w:tcW w:w="708" w:type="dxa"/>
            <w:noWrap/>
            <w:vAlign w:val="center"/>
          </w:tcPr>
          <w:p w14:paraId="5A510CDA">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7266E5AD">
            <w:pPr>
              <w:widowControl/>
              <w:adjustRightInd/>
              <w:snapToGrid/>
              <w:spacing w:line="240" w:lineRule="auto"/>
              <w:jc w:val="center"/>
              <w:rPr>
                <w:sz w:val="18"/>
                <w:szCs w:val="18"/>
              </w:rPr>
            </w:pPr>
          </w:p>
        </w:tc>
        <w:tc>
          <w:tcPr>
            <w:tcW w:w="709" w:type="dxa"/>
            <w:vMerge w:val="continue"/>
            <w:noWrap/>
            <w:vAlign w:val="center"/>
          </w:tcPr>
          <w:p w14:paraId="70861FEC">
            <w:pPr>
              <w:widowControl/>
              <w:adjustRightInd/>
              <w:snapToGrid/>
              <w:spacing w:line="240" w:lineRule="auto"/>
              <w:jc w:val="center"/>
              <w:rPr>
                <w:sz w:val="18"/>
                <w:szCs w:val="18"/>
              </w:rPr>
            </w:pPr>
          </w:p>
        </w:tc>
        <w:tc>
          <w:tcPr>
            <w:tcW w:w="880" w:type="dxa"/>
          </w:tcPr>
          <w:p w14:paraId="7EC30AAE">
            <w:pPr>
              <w:widowControl/>
              <w:adjustRightInd/>
              <w:snapToGrid/>
              <w:spacing w:line="240" w:lineRule="auto"/>
              <w:jc w:val="center"/>
              <w:rPr>
                <w:kern w:val="0"/>
                <w:sz w:val="18"/>
                <w:szCs w:val="18"/>
              </w:rPr>
            </w:pPr>
            <w:r>
              <w:rPr>
                <w:rFonts w:hint="eastAsia"/>
                <w:color w:val="000000"/>
                <w:sz w:val="18"/>
                <w:szCs w:val="18"/>
              </w:rPr>
              <w:t>51.8</w:t>
            </w:r>
          </w:p>
        </w:tc>
        <w:tc>
          <w:tcPr>
            <w:tcW w:w="880" w:type="dxa"/>
            <w:vAlign w:val="center"/>
          </w:tcPr>
          <w:p w14:paraId="23A4E293">
            <w:pPr>
              <w:widowControl/>
              <w:adjustRightInd/>
              <w:snapToGrid/>
              <w:spacing w:line="240" w:lineRule="auto"/>
              <w:jc w:val="center"/>
              <w:rPr>
                <w:kern w:val="0"/>
                <w:sz w:val="18"/>
                <w:szCs w:val="18"/>
              </w:rPr>
            </w:pPr>
            <w:r>
              <w:rPr>
                <w:color w:val="000000"/>
                <w:sz w:val="18"/>
                <w:szCs w:val="18"/>
              </w:rPr>
              <w:t xml:space="preserve">52.3 </w:t>
            </w:r>
          </w:p>
        </w:tc>
        <w:tc>
          <w:tcPr>
            <w:tcW w:w="881" w:type="dxa"/>
            <w:vAlign w:val="center"/>
          </w:tcPr>
          <w:p w14:paraId="468BDC6F">
            <w:pPr>
              <w:widowControl/>
              <w:adjustRightInd/>
              <w:snapToGrid/>
              <w:spacing w:line="240" w:lineRule="auto"/>
              <w:jc w:val="center"/>
              <w:rPr>
                <w:kern w:val="0"/>
                <w:sz w:val="18"/>
                <w:szCs w:val="18"/>
              </w:rPr>
            </w:pPr>
            <w:r>
              <w:rPr>
                <w:rFonts w:hint="eastAsia"/>
                <w:color w:val="000000"/>
                <w:sz w:val="18"/>
                <w:szCs w:val="18"/>
              </w:rPr>
              <w:t xml:space="preserve">9.3 </w:t>
            </w:r>
          </w:p>
        </w:tc>
        <w:tc>
          <w:tcPr>
            <w:tcW w:w="880" w:type="dxa"/>
            <w:vAlign w:val="center"/>
          </w:tcPr>
          <w:p w14:paraId="15FABC56">
            <w:pPr>
              <w:widowControl/>
              <w:adjustRightInd/>
              <w:snapToGrid/>
              <w:spacing w:line="240" w:lineRule="auto"/>
              <w:jc w:val="center"/>
              <w:rPr>
                <w:kern w:val="0"/>
                <w:sz w:val="18"/>
                <w:szCs w:val="18"/>
              </w:rPr>
            </w:pPr>
            <w:r>
              <w:rPr>
                <w:rFonts w:hint="eastAsia"/>
                <w:color w:val="000000"/>
                <w:sz w:val="18"/>
                <w:szCs w:val="18"/>
              </w:rPr>
              <w:t xml:space="preserve">2.3 </w:t>
            </w:r>
          </w:p>
        </w:tc>
        <w:tc>
          <w:tcPr>
            <w:tcW w:w="880" w:type="dxa"/>
            <w:noWrap/>
            <w:vAlign w:val="center"/>
          </w:tcPr>
          <w:p w14:paraId="56B62BE7">
            <w:pPr>
              <w:widowControl/>
              <w:adjustRightInd/>
              <w:snapToGrid/>
              <w:spacing w:line="240" w:lineRule="auto"/>
              <w:jc w:val="center"/>
              <w:rPr>
                <w:kern w:val="0"/>
                <w:sz w:val="18"/>
                <w:szCs w:val="18"/>
              </w:rPr>
            </w:pPr>
            <w:r>
              <w:rPr>
                <w:kern w:val="0"/>
                <w:sz w:val="18"/>
                <w:szCs w:val="18"/>
              </w:rPr>
              <w:t>52.7</w:t>
            </w:r>
          </w:p>
        </w:tc>
        <w:tc>
          <w:tcPr>
            <w:tcW w:w="881" w:type="dxa"/>
            <w:noWrap/>
            <w:vAlign w:val="center"/>
          </w:tcPr>
          <w:p w14:paraId="25BF22BF">
            <w:pPr>
              <w:widowControl/>
              <w:adjustRightInd/>
              <w:snapToGrid/>
              <w:spacing w:line="240" w:lineRule="auto"/>
              <w:jc w:val="center"/>
              <w:rPr>
                <w:sz w:val="18"/>
                <w:szCs w:val="18"/>
              </w:rPr>
            </w:pPr>
            <w:r>
              <w:rPr>
                <w:color w:val="000000"/>
                <w:sz w:val="18"/>
                <w:szCs w:val="18"/>
              </w:rPr>
              <w:t xml:space="preserve">53.1 </w:t>
            </w:r>
          </w:p>
        </w:tc>
        <w:tc>
          <w:tcPr>
            <w:tcW w:w="880" w:type="dxa"/>
            <w:noWrap/>
            <w:vAlign w:val="center"/>
          </w:tcPr>
          <w:p w14:paraId="30A4CD75">
            <w:pPr>
              <w:widowControl/>
              <w:adjustRightInd/>
              <w:snapToGrid/>
              <w:spacing w:line="240" w:lineRule="auto"/>
              <w:jc w:val="center"/>
              <w:rPr>
                <w:sz w:val="18"/>
                <w:szCs w:val="18"/>
              </w:rPr>
            </w:pPr>
            <w:r>
              <w:rPr>
                <w:color w:val="000000"/>
                <w:sz w:val="18"/>
                <w:szCs w:val="18"/>
              </w:rPr>
              <w:t xml:space="preserve">10.1 </w:t>
            </w:r>
          </w:p>
        </w:tc>
        <w:tc>
          <w:tcPr>
            <w:tcW w:w="880" w:type="dxa"/>
            <w:noWrap/>
            <w:vAlign w:val="center"/>
          </w:tcPr>
          <w:p w14:paraId="3D6AD3B3">
            <w:pPr>
              <w:widowControl/>
              <w:adjustRightInd/>
              <w:snapToGrid/>
              <w:spacing w:line="240" w:lineRule="auto"/>
              <w:jc w:val="center"/>
              <w:rPr>
                <w:sz w:val="18"/>
                <w:szCs w:val="18"/>
              </w:rPr>
            </w:pPr>
            <w:r>
              <w:rPr>
                <w:color w:val="000000"/>
                <w:sz w:val="18"/>
                <w:szCs w:val="18"/>
              </w:rPr>
              <w:t xml:space="preserve">3.1 </w:t>
            </w:r>
          </w:p>
        </w:tc>
        <w:tc>
          <w:tcPr>
            <w:tcW w:w="881" w:type="dxa"/>
            <w:noWrap/>
            <w:vAlign w:val="center"/>
          </w:tcPr>
          <w:p w14:paraId="46485DD5">
            <w:pPr>
              <w:widowControl/>
              <w:adjustRightInd/>
              <w:snapToGrid/>
              <w:spacing w:line="240" w:lineRule="auto"/>
              <w:jc w:val="center"/>
              <w:rPr>
                <w:sz w:val="18"/>
                <w:szCs w:val="18"/>
              </w:rPr>
            </w:pPr>
            <w:r>
              <w:rPr>
                <w:rFonts w:hint="eastAsia"/>
                <w:color w:val="000000"/>
                <w:sz w:val="18"/>
                <w:szCs w:val="18"/>
              </w:rPr>
              <w:t>53.7</w:t>
            </w:r>
          </w:p>
        </w:tc>
        <w:tc>
          <w:tcPr>
            <w:tcW w:w="880" w:type="dxa"/>
            <w:noWrap/>
            <w:vAlign w:val="center"/>
          </w:tcPr>
          <w:p w14:paraId="61448C1E">
            <w:pPr>
              <w:widowControl/>
              <w:adjustRightInd/>
              <w:snapToGrid/>
              <w:spacing w:line="240" w:lineRule="auto"/>
              <w:jc w:val="center"/>
              <w:rPr>
                <w:sz w:val="18"/>
                <w:szCs w:val="18"/>
              </w:rPr>
            </w:pPr>
            <w:r>
              <w:rPr>
                <w:color w:val="000000"/>
                <w:sz w:val="18"/>
                <w:szCs w:val="18"/>
              </w:rPr>
              <w:t xml:space="preserve">54.1 </w:t>
            </w:r>
          </w:p>
        </w:tc>
        <w:tc>
          <w:tcPr>
            <w:tcW w:w="880" w:type="dxa"/>
            <w:noWrap/>
            <w:vAlign w:val="center"/>
          </w:tcPr>
          <w:p w14:paraId="1DC04FA4">
            <w:pPr>
              <w:widowControl/>
              <w:adjustRightInd/>
              <w:snapToGrid/>
              <w:spacing w:line="240" w:lineRule="auto"/>
              <w:jc w:val="center"/>
              <w:rPr>
                <w:sz w:val="18"/>
                <w:szCs w:val="18"/>
              </w:rPr>
            </w:pPr>
            <w:r>
              <w:rPr>
                <w:color w:val="000000"/>
                <w:sz w:val="18"/>
                <w:szCs w:val="18"/>
              </w:rPr>
              <w:t xml:space="preserve">11.1 </w:t>
            </w:r>
          </w:p>
        </w:tc>
        <w:tc>
          <w:tcPr>
            <w:tcW w:w="881" w:type="dxa"/>
            <w:noWrap/>
            <w:vAlign w:val="center"/>
          </w:tcPr>
          <w:p w14:paraId="75BBF9E7">
            <w:pPr>
              <w:widowControl/>
              <w:adjustRightInd/>
              <w:snapToGrid/>
              <w:spacing w:line="240" w:lineRule="auto"/>
              <w:jc w:val="center"/>
              <w:rPr>
                <w:sz w:val="18"/>
                <w:szCs w:val="18"/>
              </w:rPr>
            </w:pPr>
            <w:r>
              <w:rPr>
                <w:color w:val="000000"/>
                <w:sz w:val="18"/>
                <w:szCs w:val="18"/>
              </w:rPr>
              <w:t xml:space="preserve">4.1 </w:t>
            </w:r>
          </w:p>
        </w:tc>
      </w:tr>
      <w:tr w14:paraId="7E5358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7ED6417">
            <w:pPr>
              <w:widowControl/>
              <w:adjustRightInd/>
              <w:snapToGrid/>
              <w:spacing w:line="240" w:lineRule="auto"/>
              <w:jc w:val="center"/>
              <w:rPr>
                <w:sz w:val="18"/>
                <w:szCs w:val="18"/>
              </w:rPr>
            </w:pPr>
            <w:r>
              <w:rPr>
                <w:rFonts w:hint="eastAsia"/>
                <w:sz w:val="18"/>
                <w:szCs w:val="18"/>
              </w:rPr>
              <w:t>67</w:t>
            </w:r>
          </w:p>
        </w:tc>
        <w:tc>
          <w:tcPr>
            <w:tcW w:w="673" w:type="dxa"/>
            <w:vMerge w:val="continue"/>
            <w:vAlign w:val="center"/>
          </w:tcPr>
          <w:p w14:paraId="39256D78">
            <w:pPr>
              <w:widowControl/>
              <w:adjustRightInd/>
              <w:snapToGrid/>
              <w:spacing w:line="240" w:lineRule="auto"/>
              <w:jc w:val="left"/>
              <w:rPr>
                <w:kern w:val="0"/>
                <w:sz w:val="18"/>
                <w:szCs w:val="18"/>
              </w:rPr>
            </w:pPr>
          </w:p>
        </w:tc>
        <w:tc>
          <w:tcPr>
            <w:tcW w:w="595" w:type="dxa"/>
            <w:vMerge w:val="restart"/>
            <w:vAlign w:val="center"/>
          </w:tcPr>
          <w:p w14:paraId="6BE56763">
            <w:pPr>
              <w:widowControl/>
              <w:adjustRightInd/>
              <w:snapToGrid/>
              <w:spacing w:line="240" w:lineRule="auto"/>
              <w:jc w:val="center"/>
              <w:rPr>
                <w:kern w:val="0"/>
                <w:sz w:val="18"/>
                <w:szCs w:val="18"/>
              </w:rPr>
            </w:pPr>
            <w:r>
              <w:rPr>
                <w:kern w:val="0"/>
                <w:sz w:val="18"/>
                <w:szCs w:val="18"/>
              </w:rPr>
              <w:t>46.2</w:t>
            </w:r>
          </w:p>
        </w:tc>
        <w:tc>
          <w:tcPr>
            <w:tcW w:w="567" w:type="dxa"/>
            <w:vMerge w:val="continue"/>
            <w:vAlign w:val="center"/>
          </w:tcPr>
          <w:p w14:paraId="5ABC3627">
            <w:pPr>
              <w:widowControl/>
              <w:adjustRightInd/>
              <w:snapToGrid/>
              <w:spacing w:line="240" w:lineRule="auto"/>
              <w:jc w:val="left"/>
              <w:rPr>
                <w:kern w:val="0"/>
                <w:sz w:val="18"/>
                <w:szCs w:val="18"/>
              </w:rPr>
            </w:pPr>
          </w:p>
        </w:tc>
        <w:tc>
          <w:tcPr>
            <w:tcW w:w="426" w:type="dxa"/>
            <w:noWrap/>
            <w:vAlign w:val="center"/>
          </w:tcPr>
          <w:p w14:paraId="0176534F">
            <w:pPr>
              <w:widowControl/>
              <w:adjustRightInd/>
              <w:snapToGrid/>
              <w:spacing w:line="240" w:lineRule="auto"/>
              <w:jc w:val="center"/>
              <w:rPr>
                <w:sz w:val="18"/>
                <w:szCs w:val="18"/>
              </w:rPr>
            </w:pPr>
            <w:r>
              <w:rPr>
                <w:sz w:val="18"/>
                <w:szCs w:val="18"/>
              </w:rPr>
              <w:t>昼间</w:t>
            </w:r>
          </w:p>
        </w:tc>
        <w:tc>
          <w:tcPr>
            <w:tcW w:w="708" w:type="dxa"/>
            <w:noWrap/>
            <w:vAlign w:val="center"/>
          </w:tcPr>
          <w:p w14:paraId="3366A8B6">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04630BA3">
            <w:pPr>
              <w:widowControl/>
              <w:adjustRightInd/>
              <w:snapToGrid/>
              <w:spacing w:line="240" w:lineRule="auto"/>
              <w:jc w:val="center"/>
              <w:rPr>
                <w:sz w:val="18"/>
                <w:szCs w:val="18"/>
              </w:rPr>
            </w:pPr>
          </w:p>
        </w:tc>
        <w:tc>
          <w:tcPr>
            <w:tcW w:w="709" w:type="dxa"/>
            <w:vMerge w:val="continue"/>
            <w:noWrap/>
            <w:vAlign w:val="center"/>
          </w:tcPr>
          <w:p w14:paraId="66C2300F">
            <w:pPr>
              <w:widowControl/>
              <w:adjustRightInd/>
              <w:snapToGrid/>
              <w:spacing w:line="240" w:lineRule="auto"/>
              <w:jc w:val="center"/>
              <w:rPr>
                <w:sz w:val="18"/>
                <w:szCs w:val="18"/>
              </w:rPr>
            </w:pPr>
          </w:p>
        </w:tc>
        <w:tc>
          <w:tcPr>
            <w:tcW w:w="880" w:type="dxa"/>
          </w:tcPr>
          <w:p w14:paraId="3ED3CA35">
            <w:pPr>
              <w:widowControl/>
              <w:adjustRightInd/>
              <w:snapToGrid/>
              <w:spacing w:line="240" w:lineRule="auto"/>
              <w:jc w:val="center"/>
              <w:rPr>
                <w:kern w:val="0"/>
                <w:sz w:val="18"/>
                <w:szCs w:val="18"/>
              </w:rPr>
            </w:pPr>
            <w:r>
              <w:rPr>
                <w:rFonts w:hint="eastAsia"/>
                <w:color w:val="000000"/>
                <w:sz w:val="18"/>
                <w:szCs w:val="18"/>
              </w:rPr>
              <w:t>63.4</w:t>
            </w:r>
          </w:p>
        </w:tc>
        <w:tc>
          <w:tcPr>
            <w:tcW w:w="880" w:type="dxa"/>
            <w:vAlign w:val="center"/>
          </w:tcPr>
          <w:p w14:paraId="76F927E7">
            <w:pPr>
              <w:widowControl/>
              <w:adjustRightInd/>
              <w:snapToGrid/>
              <w:spacing w:line="240" w:lineRule="auto"/>
              <w:jc w:val="center"/>
              <w:rPr>
                <w:kern w:val="0"/>
                <w:sz w:val="18"/>
                <w:szCs w:val="18"/>
              </w:rPr>
            </w:pPr>
            <w:r>
              <w:rPr>
                <w:color w:val="000000"/>
                <w:sz w:val="18"/>
                <w:szCs w:val="18"/>
              </w:rPr>
              <w:t xml:space="preserve">63.7 </w:t>
            </w:r>
          </w:p>
        </w:tc>
        <w:tc>
          <w:tcPr>
            <w:tcW w:w="881" w:type="dxa"/>
            <w:vAlign w:val="center"/>
          </w:tcPr>
          <w:p w14:paraId="1E47869D">
            <w:pPr>
              <w:widowControl/>
              <w:adjustRightInd/>
              <w:snapToGrid/>
              <w:spacing w:line="240" w:lineRule="auto"/>
              <w:jc w:val="center"/>
              <w:rPr>
                <w:kern w:val="0"/>
                <w:sz w:val="18"/>
                <w:szCs w:val="18"/>
              </w:rPr>
            </w:pPr>
            <w:r>
              <w:rPr>
                <w:rFonts w:hint="eastAsia"/>
                <w:color w:val="000000"/>
                <w:sz w:val="18"/>
                <w:szCs w:val="18"/>
              </w:rPr>
              <w:t xml:space="preserve">11.7 </w:t>
            </w:r>
          </w:p>
        </w:tc>
        <w:tc>
          <w:tcPr>
            <w:tcW w:w="880" w:type="dxa"/>
            <w:vAlign w:val="center"/>
          </w:tcPr>
          <w:p w14:paraId="63A09029">
            <w:pPr>
              <w:widowControl/>
              <w:adjustRightInd/>
              <w:snapToGrid/>
              <w:spacing w:line="240" w:lineRule="auto"/>
              <w:jc w:val="center"/>
              <w:rPr>
                <w:kern w:val="0"/>
                <w:sz w:val="18"/>
                <w:szCs w:val="18"/>
              </w:rPr>
            </w:pPr>
            <w:r>
              <w:rPr>
                <w:rFonts w:hint="eastAsia"/>
                <w:color w:val="000000"/>
                <w:sz w:val="18"/>
                <w:szCs w:val="18"/>
              </w:rPr>
              <w:t xml:space="preserve">3.7 </w:t>
            </w:r>
          </w:p>
        </w:tc>
        <w:tc>
          <w:tcPr>
            <w:tcW w:w="880" w:type="dxa"/>
            <w:noWrap/>
            <w:vAlign w:val="center"/>
          </w:tcPr>
          <w:p w14:paraId="16958B2E">
            <w:pPr>
              <w:widowControl/>
              <w:adjustRightInd/>
              <w:snapToGrid/>
              <w:spacing w:line="240" w:lineRule="auto"/>
              <w:jc w:val="center"/>
              <w:rPr>
                <w:kern w:val="0"/>
                <w:sz w:val="18"/>
                <w:szCs w:val="18"/>
              </w:rPr>
            </w:pPr>
            <w:r>
              <w:rPr>
                <w:kern w:val="0"/>
                <w:sz w:val="18"/>
                <w:szCs w:val="18"/>
              </w:rPr>
              <w:t>64.3</w:t>
            </w:r>
          </w:p>
        </w:tc>
        <w:tc>
          <w:tcPr>
            <w:tcW w:w="881" w:type="dxa"/>
            <w:noWrap/>
            <w:vAlign w:val="center"/>
          </w:tcPr>
          <w:p w14:paraId="02091DB6">
            <w:pPr>
              <w:widowControl/>
              <w:adjustRightInd/>
              <w:snapToGrid/>
              <w:spacing w:line="240" w:lineRule="auto"/>
              <w:jc w:val="center"/>
              <w:rPr>
                <w:sz w:val="18"/>
                <w:szCs w:val="18"/>
              </w:rPr>
            </w:pPr>
            <w:r>
              <w:rPr>
                <w:color w:val="000000"/>
                <w:sz w:val="18"/>
                <w:szCs w:val="18"/>
              </w:rPr>
              <w:t xml:space="preserve">64.5 </w:t>
            </w:r>
          </w:p>
        </w:tc>
        <w:tc>
          <w:tcPr>
            <w:tcW w:w="880" w:type="dxa"/>
            <w:noWrap/>
            <w:vAlign w:val="center"/>
          </w:tcPr>
          <w:p w14:paraId="32C572DC">
            <w:pPr>
              <w:widowControl/>
              <w:adjustRightInd/>
              <w:snapToGrid/>
              <w:spacing w:line="240" w:lineRule="auto"/>
              <w:jc w:val="center"/>
              <w:rPr>
                <w:sz w:val="18"/>
                <w:szCs w:val="18"/>
              </w:rPr>
            </w:pPr>
            <w:r>
              <w:rPr>
                <w:color w:val="000000"/>
                <w:sz w:val="18"/>
                <w:szCs w:val="18"/>
              </w:rPr>
              <w:t xml:space="preserve">12.5 </w:t>
            </w:r>
          </w:p>
        </w:tc>
        <w:tc>
          <w:tcPr>
            <w:tcW w:w="880" w:type="dxa"/>
            <w:noWrap/>
            <w:vAlign w:val="center"/>
          </w:tcPr>
          <w:p w14:paraId="5BD42E0D">
            <w:pPr>
              <w:widowControl/>
              <w:adjustRightInd/>
              <w:snapToGrid/>
              <w:spacing w:line="240" w:lineRule="auto"/>
              <w:jc w:val="center"/>
              <w:rPr>
                <w:sz w:val="18"/>
                <w:szCs w:val="18"/>
              </w:rPr>
            </w:pPr>
            <w:r>
              <w:rPr>
                <w:color w:val="000000"/>
                <w:sz w:val="18"/>
                <w:szCs w:val="18"/>
              </w:rPr>
              <w:t xml:space="preserve">4.5 </w:t>
            </w:r>
          </w:p>
        </w:tc>
        <w:tc>
          <w:tcPr>
            <w:tcW w:w="881" w:type="dxa"/>
            <w:noWrap/>
            <w:vAlign w:val="center"/>
          </w:tcPr>
          <w:p w14:paraId="75F7882E">
            <w:pPr>
              <w:widowControl/>
              <w:adjustRightInd/>
              <w:snapToGrid/>
              <w:spacing w:line="240" w:lineRule="auto"/>
              <w:jc w:val="center"/>
              <w:rPr>
                <w:sz w:val="18"/>
                <w:szCs w:val="18"/>
              </w:rPr>
            </w:pPr>
            <w:r>
              <w:rPr>
                <w:rFonts w:hint="eastAsia"/>
                <w:color w:val="000000"/>
                <w:sz w:val="18"/>
                <w:szCs w:val="18"/>
              </w:rPr>
              <w:t>65.2</w:t>
            </w:r>
          </w:p>
        </w:tc>
        <w:tc>
          <w:tcPr>
            <w:tcW w:w="880" w:type="dxa"/>
            <w:noWrap/>
            <w:vAlign w:val="center"/>
          </w:tcPr>
          <w:p w14:paraId="34303649">
            <w:pPr>
              <w:widowControl/>
              <w:adjustRightInd/>
              <w:snapToGrid/>
              <w:spacing w:line="240" w:lineRule="auto"/>
              <w:jc w:val="center"/>
              <w:rPr>
                <w:sz w:val="18"/>
                <w:szCs w:val="18"/>
              </w:rPr>
            </w:pPr>
            <w:r>
              <w:rPr>
                <w:color w:val="000000"/>
                <w:sz w:val="18"/>
                <w:szCs w:val="18"/>
              </w:rPr>
              <w:t xml:space="preserve">65.4 </w:t>
            </w:r>
          </w:p>
        </w:tc>
        <w:tc>
          <w:tcPr>
            <w:tcW w:w="880" w:type="dxa"/>
            <w:noWrap/>
            <w:vAlign w:val="center"/>
          </w:tcPr>
          <w:p w14:paraId="389F65D0">
            <w:pPr>
              <w:widowControl/>
              <w:adjustRightInd/>
              <w:snapToGrid/>
              <w:spacing w:line="240" w:lineRule="auto"/>
              <w:jc w:val="center"/>
              <w:rPr>
                <w:sz w:val="18"/>
                <w:szCs w:val="18"/>
              </w:rPr>
            </w:pPr>
            <w:r>
              <w:rPr>
                <w:color w:val="000000"/>
                <w:sz w:val="18"/>
                <w:szCs w:val="18"/>
              </w:rPr>
              <w:t xml:space="preserve">13.4 </w:t>
            </w:r>
          </w:p>
        </w:tc>
        <w:tc>
          <w:tcPr>
            <w:tcW w:w="881" w:type="dxa"/>
            <w:noWrap/>
            <w:vAlign w:val="center"/>
          </w:tcPr>
          <w:p w14:paraId="5611A77D">
            <w:pPr>
              <w:widowControl/>
              <w:adjustRightInd/>
              <w:snapToGrid/>
              <w:spacing w:line="240" w:lineRule="auto"/>
              <w:jc w:val="center"/>
              <w:rPr>
                <w:sz w:val="18"/>
                <w:szCs w:val="18"/>
              </w:rPr>
            </w:pPr>
            <w:r>
              <w:rPr>
                <w:color w:val="000000"/>
                <w:sz w:val="18"/>
                <w:szCs w:val="18"/>
              </w:rPr>
              <w:t xml:space="preserve">5.4 </w:t>
            </w:r>
          </w:p>
        </w:tc>
      </w:tr>
      <w:tr w14:paraId="39E091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5E837E80">
            <w:pPr>
              <w:widowControl/>
              <w:adjustRightInd/>
              <w:snapToGrid/>
              <w:spacing w:line="240" w:lineRule="auto"/>
              <w:jc w:val="center"/>
              <w:rPr>
                <w:sz w:val="18"/>
                <w:szCs w:val="18"/>
              </w:rPr>
            </w:pPr>
            <w:r>
              <w:rPr>
                <w:rFonts w:hint="eastAsia"/>
                <w:sz w:val="18"/>
                <w:szCs w:val="18"/>
              </w:rPr>
              <w:t>68</w:t>
            </w:r>
          </w:p>
        </w:tc>
        <w:tc>
          <w:tcPr>
            <w:tcW w:w="673" w:type="dxa"/>
            <w:vMerge w:val="continue"/>
            <w:vAlign w:val="center"/>
          </w:tcPr>
          <w:p w14:paraId="7598EB69">
            <w:pPr>
              <w:widowControl/>
              <w:adjustRightInd/>
              <w:snapToGrid/>
              <w:spacing w:line="240" w:lineRule="auto"/>
              <w:jc w:val="left"/>
              <w:rPr>
                <w:kern w:val="0"/>
                <w:sz w:val="18"/>
                <w:szCs w:val="18"/>
              </w:rPr>
            </w:pPr>
          </w:p>
        </w:tc>
        <w:tc>
          <w:tcPr>
            <w:tcW w:w="595" w:type="dxa"/>
            <w:vMerge w:val="continue"/>
            <w:vAlign w:val="center"/>
          </w:tcPr>
          <w:p w14:paraId="068BFF1A">
            <w:pPr>
              <w:widowControl/>
              <w:adjustRightInd/>
              <w:snapToGrid/>
              <w:spacing w:line="240" w:lineRule="auto"/>
              <w:jc w:val="center"/>
              <w:rPr>
                <w:kern w:val="0"/>
                <w:sz w:val="18"/>
                <w:szCs w:val="18"/>
              </w:rPr>
            </w:pPr>
          </w:p>
        </w:tc>
        <w:tc>
          <w:tcPr>
            <w:tcW w:w="567" w:type="dxa"/>
            <w:vMerge w:val="continue"/>
            <w:vAlign w:val="center"/>
          </w:tcPr>
          <w:p w14:paraId="43C647E9">
            <w:pPr>
              <w:widowControl/>
              <w:adjustRightInd/>
              <w:snapToGrid/>
              <w:spacing w:line="240" w:lineRule="auto"/>
              <w:jc w:val="left"/>
              <w:rPr>
                <w:kern w:val="0"/>
                <w:sz w:val="18"/>
                <w:szCs w:val="18"/>
              </w:rPr>
            </w:pPr>
          </w:p>
        </w:tc>
        <w:tc>
          <w:tcPr>
            <w:tcW w:w="426" w:type="dxa"/>
            <w:noWrap/>
            <w:vAlign w:val="center"/>
          </w:tcPr>
          <w:p w14:paraId="28C189B7">
            <w:pPr>
              <w:widowControl/>
              <w:adjustRightInd/>
              <w:snapToGrid/>
              <w:spacing w:line="240" w:lineRule="auto"/>
              <w:jc w:val="center"/>
              <w:rPr>
                <w:sz w:val="18"/>
                <w:szCs w:val="18"/>
              </w:rPr>
            </w:pPr>
            <w:r>
              <w:rPr>
                <w:sz w:val="18"/>
                <w:szCs w:val="18"/>
              </w:rPr>
              <w:t>夜间</w:t>
            </w:r>
          </w:p>
        </w:tc>
        <w:tc>
          <w:tcPr>
            <w:tcW w:w="708" w:type="dxa"/>
            <w:noWrap/>
            <w:vAlign w:val="center"/>
          </w:tcPr>
          <w:p w14:paraId="23CD03AE">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0B12E7A8">
            <w:pPr>
              <w:widowControl/>
              <w:adjustRightInd/>
              <w:snapToGrid/>
              <w:spacing w:line="240" w:lineRule="auto"/>
              <w:jc w:val="center"/>
              <w:rPr>
                <w:sz w:val="18"/>
                <w:szCs w:val="18"/>
              </w:rPr>
            </w:pPr>
          </w:p>
        </w:tc>
        <w:tc>
          <w:tcPr>
            <w:tcW w:w="709" w:type="dxa"/>
            <w:vMerge w:val="continue"/>
            <w:noWrap/>
            <w:vAlign w:val="center"/>
          </w:tcPr>
          <w:p w14:paraId="6F4DC968">
            <w:pPr>
              <w:widowControl/>
              <w:adjustRightInd/>
              <w:snapToGrid/>
              <w:spacing w:line="240" w:lineRule="auto"/>
              <w:jc w:val="center"/>
              <w:rPr>
                <w:sz w:val="18"/>
                <w:szCs w:val="18"/>
              </w:rPr>
            </w:pPr>
          </w:p>
        </w:tc>
        <w:tc>
          <w:tcPr>
            <w:tcW w:w="880" w:type="dxa"/>
          </w:tcPr>
          <w:p w14:paraId="6BB63FB6">
            <w:pPr>
              <w:widowControl/>
              <w:adjustRightInd/>
              <w:snapToGrid/>
              <w:spacing w:line="240" w:lineRule="auto"/>
              <w:jc w:val="center"/>
              <w:rPr>
                <w:kern w:val="0"/>
                <w:sz w:val="18"/>
                <w:szCs w:val="18"/>
              </w:rPr>
            </w:pPr>
            <w:r>
              <w:rPr>
                <w:rFonts w:hint="eastAsia"/>
                <w:color w:val="000000"/>
                <w:sz w:val="18"/>
                <w:szCs w:val="18"/>
              </w:rPr>
              <w:t>50</w:t>
            </w:r>
          </w:p>
        </w:tc>
        <w:tc>
          <w:tcPr>
            <w:tcW w:w="880" w:type="dxa"/>
            <w:vAlign w:val="center"/>
          </w:tcPr>
          <w:p w14:paraId="004B06E0">
            <w:pPr>
              <w:widowControl/>
              <w:adjustRightInd/>
              <w:snapToGrid/>
              <w:spacing w:line="240" w:lineRule="auto"/>
              <w:jc w:val="center"/>
              <w:rPr>
                <w:kern w:val="0"/>
                <w:sz w:val="18"/>
                <w:szCs w:val="18"/>
              </w:rPr>
            </w:pPr>
            <w:r>
              <w:rPr>
                <w:color w:val="000000"/>
                <w:sz w:val="18"/>
                <w:szCs w:val="18"/>
              </w:rPr>
              <w:t xml:space="preserve">50.8 </w:t>
            </w:r>
          </w:p>
        </w:tc>
        <w:tc>
          <w:tcPr>
            <w:tcW w:w="881" w:type="dxa"/>
            <w:vAlign w:val="center"/>
          </w:tcPr>
          <w:p w14:paraId="6834E1A7">
            <w:pPr>
              <w:widowControl/>
              <w:adjustRightInd/>
              <w:snapToGrid/>
              <w:spacing w:line="240" w:lineRule="auto"/>
              <w:jc w:val="center"/>
              <w:rPr>
                <w:kern w:val="0"/>
                <w:sz w:val="18"/>
                <w:szCs w:val="18"/>
              </w:rPr>
            </w:pPr>
            <w:r>
              <w:rPr>
                <w:rFonts w:hint="eastAsia"/>
                <w:color w:val="000000"/>
                <w:sz w:val="18"/>
                <w:szCs w:val="18"/>
              </w:rPr>
              <w:t xml:space="preserve">7.8 </w:t>
            </w:r>
          </w:p>
        </w:tc>
        <w:tc>
          <w:tcPr>
            <w:tcW w:w="880" w:type="dxa"/>
            <w:vAlign w:val="center"/>
          </w:tcPr>
          <w:p w14:paraId="76832FB3">
            <w:pPr>
              <w:widowControl/>
              <w:adjustRightInd/>
              <w:snapToGrid/>
              <w:spacing w:line="240" w:lineRule="auto"/>
              <w:jc w:val="center"/>
              <w:rPr>
                <w:kern w:val="0"/>
                <w:sz w:val="18"/>
                <w:szCs w:val="18"/>
              </w:rPr>
            </w:pPr>
            <w:r>
              <w:rPr>
                <w:rFonts w:hint="eastAsia"/>
                <w:color w:val="000000"/>
                <w:sz w:val="18"/>
                <w:szCs w:val="18"/>
              </w:rPr>
              <w:t xml:space="preserve">0.8 </w:t>
            </w:r>
          </w:p>
        </w:tc>
        <w:tc>
          <w:tcPr>
            <w:tcW w:w="880" w:type="dxa"/>
            <w:noWrap/>
            <w:vAlign w:val="center"/>
          </w:tcPr>
          <w:p w14:paraId="799FE31F">
            <w:pPr>
              <w:widowControl/>
              <w:adjustRightInd/>
              <w:snapToGrid/>
              <w:spacing w:line="240" w:lineRule="auto"/>
              <w:jc w:val="center"/>
              <w:rPr>
                <w:kern w:val="0"/>
                <w:sz w:val="18"/>
                <w:szCs w:val="18"/>
              </w:rPr>
            </w:pPr>
            <w:r>
              <w:rPr>
                <w:kern w:val="0"/>
                <w:sz w:val="18"/>
                <w:szCs w:val="18"/>
              </w:rPr>
              <w:t>50.9</w:t>
            </w:r>
          </w:p>
        </w:tc>
        <w:tc>
          <w:tcPr>
            <w:tcW w:w="881" w:type="dxa"/>
            <w:noWrap/>
            <w:vAlign w:val="center"/>
          </w:tcPr>
          <w:p w14:paraId="05D90624">
            <w:pPr>
              <w:widowControl/>
              <w:adjustRightInd/>
              <w:snapToGrid/>
              <w:spacing w:line="240" w:lineRule="auto"/>
              <w:jc w:val="center"/>
              <w:rPr>
                <w:sz w:val="18"/>
                <w:szCs w:val="18"/>
              </w:rPr>
            </w:pPr>
            <w:r>
              <w:rPr>
                <w:color w:val="000000"/>
                <w:sz w:val="18"/>
                <w:szCs w:val="18"/>
              </w:rPr>
              <w:t xml:space="preserve">51.6 </w:t>
            </w:r>
          </w:p>
        </w:tc>
        <w:tc>
          <w:tcPr>
            <w:tcW w:w="880" w:type="dxa"/>
            <w:noWrap/>
            <w:vAlign w:val="center"/>
          </w:tcPr>
          <w:p w14:paraId="71CD3983">
            <w:pPr>
              <w:widowControl/>
              <w:adjustRightInd/>
              <w:snapToGrid/>
              <w:spacing w:line="240" w:lineRule="auto"/>
              <w:jc w:val="center"/>
              <w:rPr>
                <w:sz w:val="18"/>
                <w:szCs w:val="18"/>
              </w:rPr>
            </w:pPr>
            <w:r>
              <w:rPr>
                <w:color w:val="000000"/>
                <w:sz w:val="18"/>
                <w:szCs w:val="18"/>
              </w:rPr>
              <w:t xml:space="preserve">8.6 </w:t>
            </w:r>
          </w:p>
        </w:tc>
        <w:tc>
          <w:tcPr>
            <w:tcW w:w="880" w:type="dxa"/>
            <w:noWrap/>
            <w:vAlign w:val="center"/>
          </w:tcPr>
          <w:p w14:paraId="69245DC2">
            <w:pPr>
              <w:widowControl/>
              <w:adjustRightInd/>
              <w:snapToGrid/>
              <w:spacing w:line="240" w:lineRule="auto"/>
              <w:jc w:val="center"/>
              <w:rPr>
                <w:sz w:val="18"/>
                <w:szCs w:val="18"/>
              </w:rPr>
            </w:pPr>
            <w:r>
              <w:rPr>
                <w:color w:val="000000"/>
                <w:sz w:val="18"/>
                <w:szCs w:val="18"/>
              </w:rPr>
              <w:t xml:space="preserve">1.6 </w:t>
            </w:r>
          </w:p>
        </w:tc>
        <w:tc>
          <w:tcPr>
            <w:tcW w:w="881" w:type="dxa"/>
            <w:noWrap/>
            <w:vAlign w:val="center"/>
          </w:tcPr>
          <w:p w14:paraId="332DCF64">
            <w:pPr>
              <w:widowControl/>
              <w:adjustRightInd/>
              <w:snapToGrid/>
              <w:spacing w:line="240" w:lineRule="auto"/>
              <w:jc w:val="center"/>
              <w:rPr>
                <w:sz w:val="18"/>
                <w:szCs w:val="18"/>
              </w:rPr>
            </w:pPr>
            <w:r>
              <w:rPr>
                <w:rFonts w:hint="eastAsia"/>
                <w:color w:val="000000"/>
                <w:sz w:val="18"/>
                <w:szCs w:val="18"/>
              </w:rPr>
              <w:t>51.9</w:t>
            </w:r>
          </w:p>
        </w:tc>
        <w:tc>
          <w:tcPr>
            <w:tcW w:w="880" w:type="dxa"/>
            <w:noWrap/>
            <w:vAlign w:val="center"/>
          </w:tcPr>
          <w:p w14:paraId="7F7A0917">
            <w:pPr>
              <w:widowControl/>
              <w:adjustRightInd/>
              <w:snapToGrid/>
              <w:spacing w:line="240" w:lineRule="auto"/>
              <w:jc w:val="center"/>
              <w:rPr>
                <w:sz w:val="18"/>
                <w:szCs w:val="18"/>
              </w:rPr>
            </w:pPr>
            <w:r>
              <w:rPr>
                <w:color w:val="000000"/>
                <w:sz w:val="18"/>
                <w:szCs w:val="18"/>
              </w:rPr>
              <w:t xml:space="preserve">52.4 </w:t>
            </w:r>
          </w:p>
        </w:tc>
        <w:tc>
          <w:tcPr>
            <w:tcW w:w="880" w:type="dxa"/>
            <w:noWrap/>
            <w:vAlign w:val="center"/>
          </w:tcPr>
          <w:p w14:paraId="07BBA86D">
            <w:pPr>
              <w:widowControl/>
              <w:adjustRightInd/>
              <w:snapToGrid/>
              <w:spacing w:line="240" w:lineRule="auto"/>
              <w:jc w:val="center"/>
              <w:rPr>
                <w:sz w:val="18"/>
                <w:szCs w:val="18"/>
              </w:rPr>
            </w:pPr>
            <w:r>
              <w:rPr>
                <w:color w:val="000000"/>
                <w:sz w:val="18"/>
                <w:szCs w:val="18"/>
              </w:rPr>
              <w:t xml:space="preserve">9.4 </w:t>
            </w:r>
          </w:p>
        </w:tc>
        <w:tc>
          <w:tcPr>
            <w:tcW w:w="881" w:type="dxa"/>
            <w:noWrap/>
            <w:vAlign w:val="center"/>
          </w:tcPr>
          <w:p w14:paraId="453914D2">
            <w:pPr>
              <w:widowControl/>
              <w:adjustRightInd/>
              <w:snapToGrid/>
              <w:spacing w:line="240" w:lineRule="auto"/>
              <w:jc w:val="center"/>
              <w:rPr>
                <w:sz w:val="18"/>
                <w:szCs w:val="18"/>
              </w:rPr>
            </w:pPr>
            <w:r>
              <w:rPr>
                <w:color w:val="000000"/>
                <w:sz w:val="18"/>
                <w:szCs w:val="18"/>
              </w:rPr>
              <w:t xml:space="preserve">2.4 </w:t>
            </w:r>
          </w:p>
        </w:tc>
      </w:tr>
      <w:tr w14:paraId="61C1DE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72BAA52">
            <w:pPr>
              <w:widowControl/>
              <w:adjustRightInd/>
              <w:snapToGrid/>
              <w:spacing w:line="240" w:lineRule="auto"/>
              <w:jc w:val="center"/>
              <w:rPr>
                <w:sz w:val="18"/>
                <w:szCs w:val="18"/>
              </w:rPr>
            </w:pPr>
            <w:r>
              <w:rPr>
                <w:rFonts w:hint="eastAsia"/>
                <w:sz w:val="18"/>
                <w:szCs w:val="18"/>
              </w:rPr>
              <w:t>69</w:t>
            </w:r>
          </w:p>
        </w:tc>
        <w:tc>
          <w:tcPr>
            <w:tcW w:w="673" w:type="dxa"/>
            <w:vMerge w:val="continue"/>
            <w:vAlign w:val="center"/>
          </w:tcPr>
          <w:p w14:paraId="6132131C">
            <w:pPr>
              <w:widowControl/>
              <w:adjustRightInd/>
              <w:snapToGrid/>
              <w:spacing w:line="240" w:lineRule="auto"/>
              <w:jc w:val="left"/>
              <w:rPr>
                <w:kern w:val="0"/>
                <w:sz w:val="18"/>
                <w:szCs w:val="18"/>
              </w:rPr>
            </w:pPr>
          </w:p>
        </w:tc>
        <w:tc>
          <w:tcPr>
            <w:tcW w:w="595" w:type="dxa"/>
            <w:vMerge w:val="restart"/>
            <w:vAlign w:val="center"/>
          </w:tcPr>
          <w:p w14:paraId="5913F4CF">
            <w:pPr>
              <w:widowControl/>
              <w:adjustRightInd/>
              <w:snapToGrid/>
              <w:spacing w:line="240" w:lineRule="auto"/>
              <w:jc w:val="center"/>
              <w:rPr>
                <w:kern w:val="0"/>
                <w:sz w:val="18"/>
                <w:szCs w:val="18"/>
              </w:rPr>
            </w:pPr>
            <w:r>
              <w:rPr>
                <w:kern w:val="0"/>
                <w:sz w:val="18"/>
                <w:szCs w:val="18"/>
              </w:rPr>
              <w:t>61.2</w:t>
            </w:r>
          </w:p>
        </w:tc>
        <w:tc>
          <w:tcPr>
            <w:tcW w:w="567" w:type="dxa"/>
            <w:vMerge w:val="continue"/>
            <w:vAlign w:val="center"/>
          </w:tcPr>
          <w:p w14:paraId="6DA388A8">
            <w:pPr>
              <w:widowControl/>
              <w:adjustRightInd/>
              <w:snapToGrid/>
              <w:spacing w:line="240" w:lineRule="auto"/>
              <w:jc w:val="left"/>
              <w:rPr>
                <w:kern w:val="0"/>
                <w:sz w:val="18"/>
                <w:szCs w:val="18"/>
              </w:rPr>
            </w:pPr>
          </w:p>
        </w:tc>
        <w:tc>
          <w:tcPr>
            <w:tcW w:w="426" w:type="dxa"/>
            <w:noWrap/>
            <w:vAlign w:val="center"/>
          </w:tcPr>
          <w:p w14:paraId="35BE7E9B">
            <w:pPr>
              <w:widowControl/>
              <w:adjustRightInd/>
              <w:snapToGrid/>
              <w:spacing w:line="240" w:lineRule="auto"/>
              <w:jc w:val="center"/>
              <w:rPr>
                <w:sz w:val="18"/>
                <w:szCs w:val="18"/>
              </w:rPr>
            </w:pPr>
            <w:r>
              <w:rPr>
                <w:sz w:val="18"/>
                <w:szCs w:val="18"/>
              </w:rPr>
              <w:t>昼间</w:t>
            </w:r>
          </w:p>
        </w:tc>
        <w:tc>
          <w:tcPr>
            <w:tcW w:w="708" w:type="dxa"/>
            <w:noWrap/>
            <w:vAlign w:val="center"/>
          </w:tcPr>
          <w:p w14:paraId="680BD799">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295AF9E0">
            <w:pPr>
              <w:widowControl/>
              <w:adjustRightInd/>
              <w:snapToGrid/>
              <w:spacing w:line="240" w:lineRule="auto"/>
              <w:jc w:val="center"/>
              <w:rPr>
                <w:sz w:val="18"/>
                <w:szCs w:val="18"/>
              </w:rPr>
            </w:pPr>
          </w:p>
        </w:tc>
        <w:tc>
          <w:tcPr>
            <w:tcW w:w="709" w:type="dxa"/>
            <w:vMerge w:val="continue"/>
            <w:noWrap/>
            <w:vAlign w:val="center"/>
          </w:tcPr>
          <w:p w14:paraId="2230D26E">
            <w:pPr>
              <w:widowControl/>
              <w:adjustRightInd/>
              <w:snapToGrid/>
              <w:spacing w:line="240" w:lineRule="auto"/>
              <w:jc w:val="center"/>
              <w:rPr>
                <w:sz w:val="18"/>
                <w:szCs w:val="18"/>
              </w:rPr>
            </w:pPr>
          </w:p>
        </w:tc>
        <w:tc>
          <w:tcPr>
            <w:tcW w:w="880" w:type="dxa"/>
          </w:tcPr>
          <w:p w14:paraId="0FED40D1">
            <w:pPr>
              <w:widowControl/>
              <w:adjustRightInd/>
              <w:snapToGrid/>
              <w:spacing w:line="240" w:lineRule="auto"/>
              <w:jc w:val="center"/>
              <w:rPr>
                <w:kern w:val="0"/>
                <w:sz w:val="18"/>
                <w:szCs w:val="18"/>
              </w:rPr>
            </w:pPr>
            <w:r>
              <w:rPr>
                <w:rFonts w:hint="eastAsia"/>
                <w:color w:val="000000"/>
                <w:sz w:val="18"/>
                <w:szCs w:val="18"/>
              </w:rPr>
              <w:t>62.4</w:t>
            </w:r>
          </w:p>
        </w:tc>
        <w:tc>
          <w:tcPr>
            <w:tcW w:w="880" w:type="dxa"/>
            <w:vAlign w:val="center"/>
          </w:tcPr>
          <w:p w14:paraId="72867A10">
            <w:pPr>
              <w:widowControl/>
              <w:adjustRightInd/>
              <w:snapToGrid/>
              <w:spacing w:line="240" w:lineRule="auto"/>
              <w:jc w:val="center"/>
              <w:rPr>
                <w:kern w:val="0"/>
                <w:sz w:val="18"/>
                <w:szCs w:val="18"/>
              </w:rPr>
            </w:pPr>
            <w:r>
              <w:rPr>
                <w:color w:val="000000"/>
                <w:sz w:val="18"/>
                <w:szCs w:val="18"/>
              </w:rPr>
              <w:t xml:space="preserve">62.8 </w:t>
            </w:r>
          </w:p>
        </w:tc>
        <w:tc>
          <w:tcPr>
            <w:tcW w:w="881" w:type="dxa"/>
            <w:vAlign w:val="center"/>
          </w:tcPr>
          <w:p w14:paraId="55E6264E">
            <w:pPr>
              <w:widowControl/>
              <w:adjustRightInd/>
              <w:snapToGrid/>
              <w:spacing w:line="240" w:lineRule="auto"/>
              <w:jc w:val="center"/>
              <w:rPr>
                <w:kern w:val="0"/>
                <w:sz w:val="18"/>
                <w:szCs w:val="18"/>
              </w:rPr>
            </w:pPr>
            <w:r>
              <w:rPr>
                <w:rFonts w:hint="eastAsia"/>
                <w:color w:val="000000"/>
                <w:sz w:val="18"/>
                <w:szCs w:val="18"/>
              </w:rPr>
              <w:t xml:space="preserve">10.8 </w:t>
            </w:r>
          </w:p>
        </w:tc>
        <w:tc>
          <w:tcPr>
            <w:tcW w:w="880" w:type="dxa"/>
            <w:vAlign w:val="center"/>
          </w:tcPr>
          <w:p w14:paraId="565EFC1D">
            <w:pPr>
              <w:widowControl/>
              <w:adjustRightInd/>
              <w:snapToGrid/>
              <w:spacing w:line="240" w:lineRule="auto"/>
              <w:jc w:val="center"/>
              <w:rPr>
                <w:kern w:val="0"/>
                <w:sz w:val="18"/>
                <w:szCs w:val="18"/>
              </w:rPr>
            </w:pPr>
            <w:r>
              <w:rPr>
                <w:rFonts w:hint="eastAsia"/>
                <w:color w:val="000000"/>
                <w:sz w:val="18"/>
                <w:szCs w:val="18"/>
              </w:rPr>
              <w:t xml:space="preserve">2.8 </w:t>
            </w:r>
          </w:p>
        </w:tc>
        <w:tc>
          <w:tcPr>
            <w:tcW w:w="880" w:type="dxa"/>
            <w:noWrap/>
            <w:vAlign w:val="center"/>
          </w:tcPr>
          <w:p w14:paraId="3C25D523">
            <w:pPr>
              <w:widowControl/>
              <w:adjustRightInd/>
              <w:snapToGrid/>
              <w:spacing w:line="240" w:lineRule="auto"/>
              <w:jc w:val="center"/>
              <w:rPr>
                <w:kern w:val="0"/>
                <w:sz w:val="18"/>
                <w:szCs w:val="18"/>
              </w:rPr>
            </w:pPr>
            <w:r>
              <w:rPr>
                <w:kern w:val="0"/>
                <w:sz w:val="18"/>
                <w:szCs w:val="18"/>
              </w:rPr>
              <w:t>63.2</w:t>
            </w:r>
          </w:p>
        </w:tc>
        <w:tc>
          <w:tcPr>
            <w:tcW w:w="881" w:type="dxa"/>
            <w:noWrap/>
            <w:vAlign w:val="center"/>
          </w:tcPr>
          <w:p w14:paraId="126E8133">
            <w:pPr>
              <w:widowControl/>
              <w:adjustRightInd/>
              <w:snapToGrid/>
              <w:spacing w:line="240" w:lineRule="auto"/>
              <w:jc w:val="center"/>
              <w:rPr>
                <w:sz w:val="18"/>
                <w:szCs w:val="18"/>
              </w:rPr>
            </w:pPr>
            <w:r>
              <w:rPr>
                <w:color w:val="000000"/>
                <w:sz w:val="18"/>
                <w:szCs w:val="18"/>
              </w:rPr>
              <w:t xml:space="preserve">63.5 </w:t>
            </w:r>
          </w:p>
        </w:tc>
        <w:tc>
          <w:tcPr>
            <w:tcW w:w="880" w:type="dxa"/>
            <w:noWrap/>
            <w:vAlign w:val="center"/>
          </w:tcPr>
          <w:p w14:paraId="345F4111">
            <w:pPr>
              <w:widowControl/>
              <w:adjustRightInd/>
              <w:snapToGrid/>
              <w:spacing w:line="240" w:lineRule="auto"/>
              <w:jc w:val="center"/>
              <w:rPr>
                <w:sz w:val="18"/>
                <w:szCs w:val="18"/>
              </w:rPr>
            </w:pPr>
            <w:r>
              <w:rPr>
                <w:color w:val="000000"/>
                <w:sz w:val="18"/>
                <w:szCs w:val="18"/>
              </w:rPr>
              <w:t xml:space="preserve">11.5 </w:t>
            </w:r>
          </w:p>
        </w:tc>
        <w:tc>
          <w:tcPr>
            <w:tcW w:w="880" w:type="dxa"/>
            <w:noWrap/>
            <w:vAlign w:val="center"/>
          </w:tcPr>
          <w:p w14:paraId="45500437">
            <w:pPr>
              <w:widowControl/>
              <w:adjustRightInd/>
              <w:snapToGrid/>
              <w:spacing w:line="240" w:lineRule="auto"/>
              <w:jc w:val="center"/>
              <w:rPr>
                <w:sz w:val="18"/>
                <w:szCs w:val="18"/>
              </w:rPr>
            </w:pPr>
            <w:r>
              <w:rPr>
                <w:color w:val="000000"/>
                <w:sz w:val="18"/>
                <w:szCs w:val="18"/>
              </w:rPr>
              <w:t xml:space="preserve">3.5 </w:t>
            </w:r>
          </w:p>
        </w:tc>
        <w:tc>
          <w:tcPr>
            <w:tcW w:w="881" w:type="dxa"/>
            <w:noWrap/>
            <w:vAlign w:val="center"/>
          </w:tcPr>
          <w:p w14:paraId="29BE800F">
            <w:pPr>
              <w:widowControl/>
              <w:adjustRightInd/>
              <w:snapToGrid/>
              <w:spacing w:line="240" w:lineRule="auto"/>
              <w:jc w:val="center"/>
              <w:rPr>
                <w:sz w:val="18"/>
                <w:szCs w:val="18"/>
              </w:rPr>
            </w:pPr>
            <w:r>
              <w:rPr>
                <w:rFonts w:hint="eastAsia"/>
                <w:color w:val="000000"/>
                <w:sz w:val="18"/>
                <w:szCs w:val="18"/>
              </w:rPr>
              <w:t>64.1</w:t>
            </w:r>
          </w:p>
        </w:tc>
        <w:tc>
          <w:tcPr>
            <w:tcW w:w="880" w:type="dxa"/>
            <w:noWrap/>
            <w:vAlign w:val="center"/>
          </w:tcPr>
          <w:p w14:paraId="0C437D45">
            <w:pPr>
              <w:widowControl/>
              <w:adjustRightInd/>
              <w:snapToGrid/>
              <w:spacing w:line="240" w:lineRule="auto"/>
              <w:jc w:val="center"/>
              <w:rPr>
                <w:sz w:val="18"/>
                <w:szCs w:val="18"/>
              </w:rPr>
            </w:pPr>
            <w:r>
              <w:rPr>
                <w:color w:val="000000"/>
                <w:sz w:val="18"/>
                <w:szCs w:val="18"/>
              </w:rPr>
              <w:t xml:space="preserve">64.4 </w:t>
            </w:r>
          </w:p>
        </w:tc>
        <w:tc>
          <w:tcPr>
            <w:tcW w:w="880" w:type="dxa"/>
            <w:noWrap/>
            <w:vAlign w:val="center"/>
          </w:tcPr>
          <w:p w14:paraId="14296DED">
            <w:pPr>
              <w:widowControl/>
              <w:adjustRightInd/>
              <w:snapToGrid/>
              <w:spacing w:line="240" w:lineRule="auto"/>
              <w:jc w:val="center"/>
              <w:rPr>
                <w:sz w:val="18"/>
                <w:szCs w:val="18"/>
              </w:rPr>
            </w:pPr>
            <w:r>
              <w:rPr>
                <w:color w:val="000000"/>
                <w:sz w:val="18"/>
                <w:szCs w:val="18"/>
              </w:rPr>
              <w:t xml:space="preserve">12.4 </w:t>
            </w:r>
          </w:p>
        </w:tc>
        <w:tc>
          <w:tcPr>
            <w:tcW w:w="881" w:type="dxa"/>
            <w:noWrap/>
            <w:vAlign w:val="center"/>
          </w:tcPr>
          <w:p w14:paraId="146AD6DF">
            <w:pPr>
              <w:widowControl/>
              <w:adjustRightInd/>
              <w:snapToGrid/>
              <w:spacing w:line="240" w:lineRule="auto"/>
              <w:jc w:val="center"/>
              <w:rPr>
                <w:sz w:val="18"/>
                <w:szCs w:val="18"/>
              </w:rPr>
            </w:pPr>
            <w:r>
              <w:rPr>
                <w:color w:val="000000"/>
                <w:sz w:val="18"/>
                <w:szCs w:val="18"/>
              </w:rPr>
              <w:t xml:space="preserve">4.4 </w:t>
            </w:r>
          </w:p>
        </w:tc>
      </w:tr>
      <w:tr w14:paraId="27D9B1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6576961B">
            <w:pPr>
              <w:widowControl/>
              <w:adjustRightInd/>
              <w:snapToGrid/>
              <w:spacing w:line="240" w:lineRule="auto"/>
              <w:jc w:val="center"/>
              <w:rPr>
                <w:sz w:val="18"/>
                <w:szCs w:val="18"/>
              </w:rPr>
            </w:pPr>
            <w:r>
              <w:rPr>
                <w:rFonts w:hint="eastAsia"/>
                <w:sz w:val="18"/>
                <w:szCs w:val="18"/>
              </w:rPr>
              <w:t>70</w:t>
            </w:r>
          </w:p>
        </w:tc>
        <w:tc>
          <w:tcPr>
            <w:tcW w:w="673" w:type="dxa"/>
            <w:vMerge w:val="continue"/>
            <w:vAlign w:val="center"/>
          </w:tcPr>
          <w:p w14:paraId="11697782">
            <w:pPr>
              <w:widowControl/>
              <w:adjustRightInd/>
              <w:snapToGrid/>
              <w:spacing w:line="240" w:lineRule="auto"/>
              <w:jc w:val="left"/>
              <w:rPr>
                <w:kern w:val="0"/>
                <w:sz w:val="18"/>
                <w:szCs w:val="18"/>
              </w:rPr>
            </w:pPr>
          </w:p>
        </w:tc>
        <w:tc>
          <w:tcPr>
            <w:tcW w:w="595" w:type="dxa"/>
            <w:vMerge w:val="continue"/>
            <w:vAlign w:val="center"/>
          </w:tcPr>
          <w:p w14:paraId="161A66B5">
            <w:pPr>
              <w:widowControl/>
              <w:adjustRightInd/>
              <w:snapToGrid/>
              <w:spacing w:line="240" w:lineRule="auto"/>
              <w:jc w:val="left"/>
              <w:rPr>
                <w:kern w:val="0"/>
                <w:sz w:val="18"/>
                <w:szCs w:val="18"/>
              </w:rPr>
            </w:pPr>
          </w:p>
        </w:tc>
        <w:tc>
          <w:tcPr>
            <w:tcW w:w="567" w:type="dxa"/>
            <w:vMerge w:val="continue"/>
            <w:vAlign w:val="center"/>
          </w:tcPr>
          <w:p w14:paraId="0DE2F53D">
            <w:pPr>
              <w:widowControl/>
              <w:adjustRightInd/>
              <w:snapToGrid/>
              <w:spacing w:line="240" w:lineRule="auto"/>
              <w:jc w:val="left"/>
              <w:rPr>
                <w:kern w:val="0"/>
                <w:sz w:val="18"/>
                <w:szCs w:val="18"/>
              </w:rPr>
            </w:pPr>
          </w:p>
        </w:tc>
        <w:tc>
          <w:tcPr>
            <w:tcW w:w="426" w:type="dxa"/>
            <w:noWrap/>
            <w:vAlign w:val="center"/>
          </w:tcPr>
          <w:p w14:paraId="56E6E393">
            <w:pPr>
              <w:widowControl/>
              <w:adjustRightInd/>
              <w:snapToGrid/>
              <w:spacing w:line="240" w:lineRule="auto"/>
              <w:jc w:val="center"/>
              <w:rPr>
                <w:sz w:val="18"/>
                <w:szCs w:val="18"/>
              </w:rPr>
            </w:pPr>
            <w:r>
              <w:rPr>
                <w:sz w:val="18"/>
                <w:szCs w:val="18"/>
              </w:rPr>
              <w:t>夜间</w:t>
            </w:r>
          </w:p>
        </w:tc>
        <w:tc>
          <w:tcPr>
            <w:tcW w:w="708" w:type="dxa"/>
            <w:noWrap/>
            <w:vAlign w:val="center"/>
          </w:tcPr>
          <w:p w14:paraId="72B56401">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33CA5FE4">
            <w:pPr>
              <w:widowControl/>
              <w:adjustRightInd/>
              <w:snapToGrid/>
              <w:spacing w:line="240" w:lineRule="auto"/>
              <w:jc w:val="center"/>
              <w:rPr>
                <w:sz w:val="18"/>
                <w:szCs w:val="18"/>
              </w:rPr>
            </w:pPr>
          </w:p>
        </w:tc>
        <w:tc>
          <w:tcPr>
            <w:tcW w:w="709" w:type="dxa"/>
            <w:vMerge w:val="continue"/>
            <w:noWrap/>
            <w:vAlign w:val="center"/>
          </w:tcPr>
          <w:p w14:paraId="75CD8C76">
            <w:pPr>
              <w:widowControl/>
              <w:adjustRightInd/>
              <w:snapToGrid/>
              <w:spacing w:line="240" w:lineRule="auto"/>
              <w:jc w:val="center"/>
              <w:rPr>
                <w:sz w:val="18"/>
                <w:szCs w:val="18"/>
              </w:rPr>
            </w:pPr>
          </w:p>
        </w:tc>
        <w:tc>
          <w:tcPr>
            <w:tcW w:w="880" w:type="dxa"/>
          </w:tcPr>
          <w:p w14:paraId="6CF1EB7E">
            <w:pPr>
              <w:widowControl/>
              <w:adjustRightInd/>
              <w:snapToGrid/>
              <w:spacing w:line="240" w:lineRule="auto"/>
              <w:jc w:val="center"/>
              <w:rPr>
                <w:kern w:val="0"/>
                <w:sz w:val="18"/>
                <w:szCs w:val="18"/>
              </w:rPr>
            </w:pPr>
            <w:r>
              <w:rPr>
                <w:rFonts w:hint="eastAsia"/>
                <w:color w:val="000000"/>
                <w:sz w:val="18"/>
                <w:szCs w:val="18"/>
              </w:rPr>
              <w:t>48.5</w:t>
            </w:r>
          </w:p>
        </w:tc>
        <w:tc>
          <w:tcPr>
            <w:tcW w:w="880" w:type="dxa"/>
            <w:vAlign w:val="center"/>
          </w:tcPr>
          <w:p w14:paraId="70E1B519">
            <w:pPr>
              <w:widowControl/>
              <w:adjustRightInd/>
              <w:snapToGrid/>
              <w:spacing w:line="240" w:lineRule="auto"/>
              <w:jc w:val="center"/>
              <w:rPr>
                <w:kern w:val="0"/>
                <w:sz w:val="18"/>
                <w:szCs w:val="18"/>
              </w:rPr>
            </w:pPr>
            <w:r>
              <w:rPr>
                <w:color w:val="000000"/>
                <w:sz w:val="18"/>
                <w:szCs w:val="18"/>
              </w:rPr>
              <w:t xml:space="preserve">49.6 </w:t>
            </w:r>
          </w:p>
        </w:tc>
        <w:tc>
          <w:tcPr>
            <w:tcW w:w="881" w:type="dxa"/>
            <w:vAlign w:val="center"/>
          </w:tcPr>
          <w:p w14:paraId="4FDC29C2">
            <w:pPr>
              <w:widowControl/>
              <w:adjustRightInd/>
              <w:snapToGrid/>
              <w:spacing w:line="240" w:lineRule="auto"/>
              <w:jc w:val="center"/>
              <w:rPr>
                <w:kern w:val="0"/>
                <w:sz w:val="18"/>
                <w:szCs w:val="18"/>
              </w:rPr>
            </w:pPr>
            <w:r>
              <w:rPr>
                <w:rFonts w:hint="eastAsia"/>
                <w:color w:val="000000"/>
                <w:sz w:val="18"/>
                <w:szCs w:val="18"/>
              </w:rPr>
              <w:t xml:space="preserve">6.6 </w:t>
            </w:r>
          </w:p>
        </w:tc>
        <w:tc>
          <w:tcPr>
            <w:tcW w:w="880" w:type="dxa"/>
            <w:vAlign w:val="center"/>
          </w:tcPr>
          <w:p w14:paraId="72355CBE">
            <w:pPr>
              <w:widowControl/>
              <w:adjustRightInd/>
              <w:snapToGrid/>
              <w:spacing w:line="240" w:lineRule="auto"/>
              <w:jc w:val="center"/>
              <w:rPr>
                <w:kern w:val="0"/>
                <w:sz w:val="18"/>
                <w:szCs w:val="18"/>
              </w:rPr>
            </w:pPr>
            <w:r>
              <w:rPr>
                <w:rFonts w:hint="eastAsia"/>
                <w:color w:val="000000"/>
                <w:sz w:val="18"/>
                <w:szCs w:val="18"/>
              </w:rPr>
              <w:t xml:space="preserve">-0.4 </w:t>
            </w:r>
          </w:p>
        </w:tc>
        <w:tc>
          <w:tcPr>
            <w:tcW w:w="880" w:type="dxa"/>
            <w:noWrap/>
            <w:vAlign w:val="center"/>
          </w:tcPr>
          <w:p w14:paraId="1DA77CBC">
            <w:pPr>
              <w:widowControl/>
              <w:adjustRightInd/>
              <w:snapToGrid/>
              <w:spacing w:line="240" w:lineRule="auto"/>
              <w:jc w:val="center"/>
              <w:rPr>
                <w:kern w:val="0"/>
                <w:sz w:val="18"/>
                <w:szCs w:val="18"/>
              </w:rPr>
            </w:pPr>
            <w:r>
              <w:rPr>
                <w:kern w:val="0"/>
                <w:sz w:val="18"/>
                <w:szCs w:val="18"/>
              </w:rPr>
              <w:t>49.4</w:t>
            </w:r>
          </w:p>
        </w:tc>
        <w:tc>
          <w:tcPr>
            <w:tcW w:w="881" w:type="dxa"/>
            <w:noWrap/>
            <w:vAlign w:val="center"/>
          </w:tcPr>
          <w:p w14:paraId="3D68F092">
            <w:pPr>
              <w:widowControl/>
              <w:adjustRightInd/>
              <w:snapToGrid/>
              <w:spacing w:line="240" w:lineRule="auto"/>
              <w:jc w:val="center"/>
              <w:rPr>
                <w:sz w:val="18"/>
                <w:szCs w:val="18"/>
              </w:rPr>
            </w:pPr>
            <w:r>
              <w:rPr>
                <w:color w:val="000000"/>
                <w:sz w:val="18"/>
                <w:szCs w:val="18"/>
              </w:rPr>
              <w:t xml:space="preserve">50.3 </w:t>
            </w:r>
          </w:p>
        </w:tc>
        <w:tc>
          <w:tcPr>
            <w:tcW w:w="880" w:type="dxa"/>
            <w:noWrap/>
            <w:vAlign w:val="center"/>
          </w:tcPr>
          <w:p w14:paraId="7DE1D452">
            <w:pPr>
              <w:widowControl/>
              <w:adjustRightInd/>
              <w:snapToGrid/>
              <w:spacing w:line="240" w:lineRule="auto"/>
              <w:jc w:val="center"/>
              <w:rPr>
                <w:sz w:val="18"/>
                <w:szCs w:val="18"/>
              </w:rPr>
            </w:pPr>
            <w:r>
              <w:rPr>
                <w:color w:val="000000"/>
                <w:sz w:val="18"/>
                <w:szCs w:val="18"/>
              </w:rPr>
              <w:t xml:space="preserve">7.3 </w:t>
            </w:r>
          </w:p>
        </w:tc>
        <w:tc>
          <w:tcPr>
            <w:tcW w:w="880" w:type="dxa"/>
            <w:noWrap/>
            <w:vAlign w:val="center"/>
          </w:tcPr>
          <w:p w14:paraId="5B9B5256">
            <w:pPr>
              <w:widowControl/>
              <w:adjustRightInd/>
              <w:snapToGrid/>
              <w:spacing w:line="240" w:lineRule="auto"/>
              <w:jc w:val="center"/>
              <w:rPr>
                <w:sz w:val="18"/>
                <w:szCs w:val="18"/>
              </w:rPr>
            </w:pPr>
            <w:r>
              <w:rPr>
                <w:color w:val="000000"/>
                <w:sz w:val="18"/>
                <w:szCs w:val="18"/>
              </w:rPr>
              <w:t xml:space="preserve">0.3 </w:t>
            </w:r>
          </w:p>
        </w:tc>
        <w:tc>
          <w:tcPr>
            <w:tcW w:w="881" w:type="dxa"/>
            <w:noWrap/>
            <w:vAlign w:val="center"/>
          </w:tcPr>
          <w:p w14:paraId="70B29384">
            <w:pPr>
              <w:widowControl/>
              <w:adjustRightInd/>
              <w:snapToGrid/>
              <w:spacing w:line="240" w:lineRule="auto"/>
              <w:jc w:val="center"/>
              <w:rPr>
                <w:sz w:val="18"/>
                <w:szCs w:val="18"/>
              </w:rPr>
            </w:pPr>
            <w:r>
              <w:rPr>
                <w:rFonts w:hint="eastAsia"/>
                <w:color w:val="000000"/>
                <w:sz w:val="18"/>
                <w:szCs w:val="18"/>
              </w:rPr>
              <w:t>50.3</w:t>
            </w:r>
          </w:p>
        </w:tc>
        <w:tc>
          <w:tcPr>
            <w:tcW w:w="880" w:type="dxa"/>
            <w:noWrap/>
            <w:vAlign w:val="center"/>
          </w:tcPr>
          <w:p w14:paraId="0DD22CD6">
            <w:pPr>
              <w:widowControl/>
              <w:adjustRightInd/>
              <w:snapToGrid/>
              <w:spacing w:line="240" w:lineRule="auto"/>
              <w:jc w:val="center"/>
              <w:rPr>
                <w:sz w:val="18"/>
                <w:szCs w:val="18"/>
              </w:rPr>
            </w:pPr>
            <w:r>
              <w:rPr>
                <w:color w:val="000000"/>
                <w:sz w:val="18"/>
                <w:szCs w:val="18"/>
              </w:rPr>
              <w:t xml:space="preserve">51.0 </w:t>
            </w:r>
          </w:p>
        </w:tc>
        <w:tc>
          <w:tcPr>
            <w:tcW w:w="880" w:type="dxa"/>
            <w:noWrap/>
            <w:vAlign w:val="center"/>
          </w:tcPr>
          <w:p w14:paraId="530EC736">
            <w:pPr>
              <w:widowControl/>
              <w:adjustRightInd/>
              <w:snapToGrid/>
              <w:spacing w:line="240" w:lineRule="auto"/>
              <w:jc w:val="center"/>
              <w:rPr>
                <w:sz w:val="18"/>
                <w:szCs w:val="18"/>
              </w:rPr>
            </w:pPr>
            <w:r>
              <w:rPr>
                <w:color w:val="000000"/>
                <w:sz w:val="18"/>
                <w:szCs w:val="18"/>
              </w:rPr>
              <w:t xml:space="preserve">8.0 </w:t>
            </w:r>
          </w:p>
        </w:tc>
        <w:tc>
          <w:tcPr>
            <w:tcW w:w="881" w:type="dxa"/>
            <w:noWrap/>
            <w:vAlign w:val="center"/>
          </w:tcPr>
          <w:p w14:paraId="78FD48AB">
            <w:pPr>
              <w:widowControl/>
              <w:adjustRightInd/>
              <w:snapToGrid/>
              <w:spacing w:line="240" w:lineRule="auto"/>
              <w:jc w:val="center"/>
              <w:rPr>
                <w:sz w:val="18"/>
                <w:szCs w:val="18"/>
              </w:rPr>
            </w:pPr>
            <w:r>
              <w:rPr>
                <w:color w:val="000000"/>
                <w:sz w:val="18"/>
                <w:szCs w:val="18"/>
              </w:rPr>
              <w:t xml:space="preserve">1.0 </w:t>
            </w:r>
          </w:p>
        </w:tc>
      </w:tr>
      <w:tr w14:paraId="770C2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656BD1FD">
            <w:pPr>
              <w:widowControl/>
              <w:adjustRightInd/>
              <w:snapToGrid/>
              <w:spacing w:line="240" w:lineRule="auto"/>
              <w:jc w:val="center"/>
              <w:rPr>
                <w:sz w:val="18"/>
                <w:szCs w:val="18"/>
              </w:rPr>
            </w:pPr>
            <w:r>
              <w:rPr>
                <w:rFonts w:hint="eastAsia"/>
                <w:sz w:val="18"/>
                <w:szCs w:val="18"/>
              </w:rPr>
              <w:t>71</w:t>
            </w:r>
          </w:p>
        </w:tc>
        <w:tc>
          <w:tcPr>
            <w:tcW w:w="673" w:type="dxa"/>
            <w:vMerge w:val="restart"/>
            <w:vAlign w:val="center"/>
          </w:tcPr>
          <w:p w14:paraId="7463C2CE">
            <w:pPr>
              <w:widowControl/>
              <w:adjustRightInd/>
              <w:snapToGrid/>
              <w:spacing w:line="240" w:lineRule="auto"/>
              <w:jc w:val="center"/>
              <w:rPr>
                <w:kern w:val="0"/>
                <w:sz w:val="18"/>
                <w:szCs w:val="18"/>
              </w:rPr>
            </w:pPr>
            <w:r>
              <w:rPr>
                <w:kern w:val="0"/>
                <w:sz w:val="18"/>
                <w:szCs w:val="18"/>
              </w:rPr>
              <w:t>规划住宅</w:t>
            </w:r>
            <w:r>
              <w:rPr>
                <w:rFonts w:hint="eastAsia"/>
                <w:kern w:val="0"/>
                <w:sz w:val="18"/>
                <w:szCs w:val="18"/>
              </w:rPr>
              <w:t>8</w:t>
            </w:r>
          </w:p>
        </w:tc>
        <w:tc>
          <w:tcPr>
            <w:tcW w:w="595" w:type="dxa"/>
            <w:vMerge w:val="restart"/>
            <w:vAlign w:val="center"/>
          </w:tcPr>
          <w:p w14:paraId="32354841">
            <w:pPr>
              <w:widowControl/>
              <w:adjustRightInd/>
              <w:snapToGrid/>
              <w:spacing w:line="240" w:lineRule="auto"/>
              <w:jc w:val="center"/>
              <w:rPr>
                <w:kern w:val="0"/>
                <w:sz w:val="18"/>
                <w:szCs w:val="18"/>
              </w:rPr>
            </w:pPr>
            <w:r>
              <w:rPr>
                <w:kern w:val="0"/>
                <w:sz w:val="18"/>
                <w:szCs w:val="18"/>
              </w:rPr>
              <w:t>1.2</w:t>
            </w:r>
          </w:p>
        </w:tc>
        <w:tc>
          <w:tcPr>
            <w:tcW w:w="567" w:type="dxa"/>
            <w:vMerge w:val="restart"/>
            <w:vAlign w:val="center"/>
          </w:tcPr>
          <w:p w14:paraId="4121C359">
            <w:pPr>
              <w:widowControl/>
              <w:adjustRightInd/>
              <w:snapToGrid/>
              <w:spacing w:line="240" w:lineRule="auto"/>
              <w:jc w:val="center"/>
              <w:rPr>
                <w:kern w:val="0"/>
                <w:sz w:val="18"/>
                <w:szCs w:val="18"/>
              </w:rPr>
            </w:pPr>
            <w:r>
              <w:rPr>
                <w:rFonts w:hint="eastAsia"/>
                <w:kern w:val="0"/>
                <w:sz w:val="18"/>
                <w:szCs w:val="18"/>
              </w:rPr>
              <w:t>2</w:t>
            </w:r>
            <w:r>
              <w:rPr>
                <w:kern w:val="0"/>
                <w:sz w:val="18"/>
                <w:szCs w:val="18"/>
              </w:rPr>
              <w:t>类</w:t>
            </w:r>
          </w:p>
        </w:tc>
        <w:tc>
          <w:tcPr>
            <w:tcW w:w="426" w:type="dxa"/>
            <w:noWrap/>
            <w:vAlign w:val="center"/>
          </w:tcPr>
          <w:p w14:paraId="47501016">
            <w:pPr>
              <w:widowControl/>
              <w:adjustRightInd/>
              <w:snapToGrid/>
              <w:spacing w:line="240" w:lineRule="auto"/>
              <w:jc w:val="center"/>
              <w:rPr>
                <w:sz w:val="18"/>
                <w:szCs w:val="18"/>
              </w:rPr>
            </w:pPr>
            <w:r>
              <w:rPr>
                <w:sz w:val="18"/>
                <w:szCs w:val="18"/>
              </w:rPr>
              <w:t>昼间</w:t>
            </w:r>
          </w:p>
        </w:tc>
        <w:tc>
          <w:tcPr>
            <w:tcW w:w="708" w:type="dxa"/>
            <w:noWrap/>
            <w:vAlign w:val="center"/>
          </w:tcPr>
          <w:p w14:paraId="65860544">
            <w:pPr>
              <w:widowControl/>
              <w:adjustRightInd/>
              <w:snapToGrid/>
              <w:spacing w:line="240" w:lineRule="auto"/>
              <w:jc w:val="center"/>
              <w:rPr>
                <w:sz w:val="18"/>
                <w:szCs w:val="18"/>
              </w:rPr>
            </w:pPr>
            <w:r>
              <w:rPr>
                <w:sz w:val="18"/>
                <w:szCs w:val="18"/>
              </w:rPr>
              <w:t>60</w:t>
            </w:r>
          </w:p>
        </w:tc>
        <w:tc>
          <w:tcPr>
            <w:tcW w:w="709" w:type="dxa"/>
            <w:vMerge w:val="restart"/>
            <w:noWrap/>
            <w:vAlign w:val="center"/>
          </w:tcPr>
          <w:p w14:paraId="55D1DC20">
            <w:pPr>
              <w:widowControl/>
              <w:adjustRightInd/>
              <w:snapToGrid/>
              <w:spacing w:line="240" w:lineRule="auto"/>
              <w:jc w:val="center"/>
              <w:rPr>
                <w:kern w:val="0"/>
                <w:sz w:val="18"/>
                <w:szCs w:val="18"/>
              </w:rPr>
            </w:pPr>
            <w:r>
              <w:rPr>
                <w:rFonts w:hint="eastAsia"/>
                <w:kern w:val="0"/>
                <w:sz w:val="18"/>
                <w:szCs w:val="18"/>
              </w:rPr>
              <w:t>52（昼）</w:t>
            </w:r>
          </w:p>
          <w:p w14:paraId="6184E368">
            <w:pPr>
              <w:widowControl/>
              <w:adjustRightInd/>
              <w:snapToGrid/>
              <w:spacing w:line="240" w:lineRule="auto"/>
              <w:jc w:val="center"/>
              <w:rPr>
                <w:sz w:val="18"/>
                <w:szCs w:val="18"/>
              </w:rPr>
            </w:pPr>
            <w:r>
              <w:rPr>
                <w:rFonts w:hint="eastAsia"/>
                <w:kern w:val="0"/>
                <w:sz w:val="18"/>
                <w:szCs w:val="18"/>
              </w:rPr>
              <w:t>43（夜）</w:t>
            </w:r>
          </w:p>
        </w:tc>
        <w:tc>
          <w:tcPr>
            <w:tcW w:w="709" w:type="dxa"/>
            <w:vMerge w:val="restart"/>
            <w:noWrap/>
            <w:vAlign w:val="center"/>
          </w:tcPr>
          <w:p w14:paraId="080B87CE">
            <w:pPr>
              <w:widowControl/>
              <w:adjustRightInd/>
              <w:snapToGrid/>
              <w:spacing w:line="240" w:lineRule="auto"/>
              <w:jc w:val="center"/>
              <w:rPr>
                <w:kern w:val="0"/>
                <w:sz w:val="18"/>
                <w:szCs w:val="18"/>
              </w:rPr>
            </w:pPr>
            <w:r>
              <w:rPr>
                <w:rFonts w:hint="eastAsia"/>
                <w:kern w:val="0"/>
                <w:sz w:val="18"/>
                <w:szCs w:val="18"/>
              </w:rPr>
              <w:t>52（昼）</w:t>
            </w:r>
          </w:p>
          <w:p w14:paraId="42150797">
            <w:pPr>
              <w:widowControl/>
              <w:adjustRightInd/>
              <w:snapToGrid/>
              <w:spacing w:line="240" w:lineRule="auto"/>
              <w:jc w:val="center"/>
              <w:rPr>
                <w:sz w:val="18"/>
                <w:szCs w:val="18"/>
              </w:rPr>
            </w:pPr>
            <w:r>
              <w:rPr>
                <w:rFonts w:hint="eastAsia"/>
                <w:kern w:val="0"/>
                <w:sz w:val="18"/>
                <w:szCs w:val="18"/>
              </w:rPr>
              <w:t>43（夜）</w:t>
            </w:r>
          </w:p>
        </w:tc>
        <w:tc>
          <w:tcPr>
            <w:tcW w:w="880" w:type="dxa"/>
          </w:tcPr>
          <w:p w14:paraId="27CC08F4">
            <w:pPr>
              <w:widowControl/>
              <w:adjustRightInd/>
              <w:snapToGrid/>
              <w:spacing w:line="240" w:lineRule="auto"/>
              <w:jc w:val="center"/>
              <w:rPr>
                <w:kern w:val="0"/>
                <w:sz w:val="18"/>
                <w:szCs w:val="18"/>
              </w:rPr>
            </w:pPr>
            <w:r>
              <w:rPr>
                <w:rFonts w:hint="eastAsia"/>
                <w:color w:val="000000"/>
                <w:sz w:val="18"/>
                <w:szCs w:val="18"/>
              </w:rPr>
              <w:t>63.9</w:t>
            </w:r>
          </w:p>
        </w:tc>
        <w:tc>
          <w:tcPr>
            <w:tcW w:w="880" w:type="dxa"/>
            <w:vAlign w:val="center"/>
          </w:tcPr>
          <w:p w14:paraId="3AE967A5">
            <w:pPr>
              <w:widowControl/>
              <w:adjustRightInd/>
              <w:snapToGrid/>
              <w:spacing w:line="240" w:lineRule="auto"/>
              <w:jc w:val="center"/>
              <w:rPr>
                <w:kern w:val="0"/>
                <w:sz w:val="18"/>
                <w:szCs w:val="18"/>
              </w:rPr>
            </w:pPr>
            <w:r>
              <w:rPr>
                <w:color w:val="000000"/>
                <w:sz w:val="18"/>
                <w:szCs w:val="18"/>
              </w:rPr>
              <w:t xml:space="preserve">64.2 </w:t>
            </w:r>
          </w:p>
        </w:tc>
        <w:tc>
          <w:tcPr>
            <w:tcW w:w="881" w:type="dxa"/>
            <w:vAlign w:val="center"/>
          </w:tcPr>
          <w:p w14:paraId="06A26BEE">
            <w:pPr>
              <w:widowControl/>
              <w:adjustRightInd/>
              <w:snapToGrid/>
              <w:spacing w:line="240" w:lineRule="auto"/>
              <w:jc w:val="center"/>
              <w:rPr>
                <w:kern w:val="0"/>
                <w:sz w:val="18"/>
                <w:szCs w:val="18"/>
              </w:rPr>
            </w:pPr>
            <w:r>
              <w:rPr>
                <w:rFonts w:hint="eastAsia"/>
                <w:color w:val="000000"/>
                <w:sz w:val="18"/>
                <w:szCs w:val="18"/>
              </w:rPr>
              <w:t xml:space="preserve">12.2 </w:t>
            </w:r>
          </w:p>
        </w:tc>
        <w:tc>
          <w:tcPr>
            <w:tcW w:w="880" w:type="dxa"/>
            <w:vAlign w:val="center"/>
          </w:tcPr>
          <w:p w14:paraId="54DCA007">
            <w:pPr>
              <w:widowControl/>
              <w:adjustRightInd/>
              <w:snapToGrid/>
              <w:spacing w:line="240" w:lineRule="auto"/>
              <w:jc w:val="center"/>
              <w:rPr>
                <w:kern w:val="0"/>
                <w:sz w:val="18"/>
                <w:szCs w:val="18"/>
              </w:rPr>
            </w:pPr>
            <w:r>
              <w:rPr>
                <w:rFonts w:hint="eastAsia"/>
                <w:color w:val="000000"/>
                <w:sz w:val="18"/>
                <w:szCs w:val="18"/>
              </w:rPr>
              <w:t xml:space="preserve">4.2 </w:t>
            </w:r>
          </w:p>
        </w:tc>
        <w:tc>
          <w:tcPr>
            <w:tcW w:w="880" w:type="dxa"/>
            <w:noWrap/>
            <w:vAlign w:val="center"/>
          </w:tcPr>
          <w:p w14:paraId="72E73909">
            <w:pPr>
              <w:widowControl/>
              <w:adjustRightInd/>
              <w:snapToGrid/>
              <w:spacing w:line="240" w:lineRule="auto"/>
              <w:jc w:val="center"/>
              <w:rPr>
                <w:kern w:val="0"/>
                <w:sz w:val="18"/>
                <w:szCs w:val="18"/>
              </w:rPr>
            </w:pPr>
            <w:r>
              <w:rPr>
                <w:kern w:val="0"/>
                <w:sz w:val="18"/>
                <w:szCs w:val="18"/>
              </w:rPr>
              <w:t>64.7</w:t>
            </w:r>
          </w:p>
        </w:tc>
        <w:tc>
          <w:tcPr>
            <w:tcW w:w="881" w:type="dxa"/>
            <w:noWrap/>
            <w:vAlign w:val="center"/>
          </w:tcPr>
          <w:p w14:paraId="2B8401E3">
            <w:pPr>
              <w:widowControl/>
              <w:adjustRightInd/>
              <w:snapToGrid/>
              <w:spacing w:line="240" w:lineRule="auto"/>
              <w:jc w:val="center"/>
              <w:rPr>
                <w:sz w:val="18"/>
                <w:szCs w:val="18"/>
              </w:rPr>
            </w:pPr>
            <w:r>
              <w:rPr>
                <w:color w:val="000000"/>
                <w:sz w:val="18"/>
                <w:szCs w:val="18"/>
              </w:rPr>
              <w:t xml:space="preserve">64.9 </w:t>
            </w:r>
          </w:p>
        </w:tc>
        <w:tc>
          <w:tcPr>
            <w:tcW w:w="880" w:type="dxa"/>
            <w:noWrap/>
            <w:vAlign w:val="center"/>
          </w:tcPr>
          <w:p w14:paraId="02491F6F">
            <w:pPr>
              <w:widowControl/>
              <w:adjustRightInd/>
              <w:snapToGrid/>
              <w:spacing w:line="240" w:lineRule="auto"/>
              <w:jc w:val="center"/>
              <w:rPr>
                <w:sz w:val="18"/>
                <w:szCs w:val="18"/>
              </w:rPr>
            </w:pPr>
            <w:r>
              <w:rPr>
                <w:color w:val="000000"/>
                <w:sz w:val="18"/>
                <w:szCs w:val="18"/>
              </w:rPr>
              <w:t xml:space="preserve">12.9 </w:t>
            </w:r>
          </w:p>
        </w:tc>
        <w:tc>
          <w:tcPr>
            <w:tcW w:w="880" w:type="dxa"/>
            <w:noWrap/>
            <w:vAlign w:val="center"/>
          </w:tcPr>
          <w:p w14:paraId="4A47A11E">
            <w:pPr>
              <w:widowControl/>
              <w:adjustRightInd/>
              <w:snapToGrid/>
              <w:spacing w:line="240" w:lineRule="auto"/>
              <w:jc w:val="center"/>
              <w:rPr>
                <w:sz w:val="18"/>
                <w:szCs w:val="18"/>
              </w:rPr>
            </w:pPr>
            <w:r>
              <w:rPr>
                <w:color w:val="000000"/>
                <w:sz w:val="18"/>
                <w:szCs w:val="18"/>
              </w:rPr>
              <w:t xml:space="preserve">4.9 </w:t>
            </w:r>
          </w:p>
        </w:tc>
        <w:tc>
          <w:tcPr>
            <w:tcW w:w="881" w:type="dxa"/>
            <w:noWrap/>
            <w:vAlign w:val="center"/>
          </w:tcPr>
          <w:p w14:paraId="38FCD3CB">
            <w:pPr>
              <w:widowControl/>
              <w:adjustRightInd/>
              <w:snapToGrid/>
              <w:spacing w:line="240" w:lineRule="auto"/>
              <w:jc w:val="center"/>
              <w:rPr>
                <w:sz w:val="18"/>
                <w:szCs w:val="18"/>
              </w:rPr>
            </w:pPr>
            <w:r>
              <w:rPr>
                <w:rFonts w:hint="eastAsia"/>
                <w:color w:val="000000"/>
                <w:sz w:val="18"/>
                <w:szCs w:val="18"/>
              </w:rPr>
              <w:t>65.6</w:t>
            </w:r>
          </w:p>
        </w:tc>
        <w:tc>
          <w:tcPr>
            <w:tcW w:w="880" w:type="dxa"/>
            <w:noWrap/>
            <w:vAlign w:val="center"/>
          </w:tcPr>
          <w:p w14:paraId="5655DFB2">
            <w:pPr>
              <w:widowControl/>
              <w:adjustRightInd/>
              <w:snapToGrid/>
              <w:spacing w:line="240" w:lineRule="auto"/>
              <w:jc w:val="center"/>
              <w:rPr>
                <w:sz w:val="18"/>
                <w:szCs w:val="18"/>
              </w:rPr>
            </w:pPr>
            <w:r>
              <w:rPr>
                <w:color w:val="000000"/>
                <w:sz w:val="18"/>
                <w:szCs w:val="18"/>
              </w:rPr>
              <w:t xml:space="preserve">65.8 </w:t>
            </w:r>
          </w:p>
        </w:tc>
        <w:tc>
          <w:tcPr>
            <w:tcW w:w="880" w:type="dxa"/>
            <w:noWrap/>
            <w:vAlign w:val="center"/>
          </w:tcPr>
          <w:p w14:paraId="37739E69">
            <w:pPr>
              <w:widowControl/>
              <w:adjustRightInd/>
              <w:snapToGrid/>
              <w:spacing w:line="240" w:lineRule="auto"/>
              <w:jc w:val="center"/>
              <w:rPr>
                <w:sz w:val="18"/>
                <w:szCs w:val="18"/>
              </w:rPr>
            </w:pPr>
            <w:r>
              <w:rPr>
                <w:color w:val="000000"/>
                <w:sz w:val="18"/>
                <w:szCs w:val="18"/>
              </w:rPr>
              <w:t xml:space="preserve">13.8 </w:t>
            </w:r>
          </w:p>
        </w:tc>
        <w:tc>
          <w:tcPr>
            <w:tcW w:w="881" w:type="dxa"/>
            <w:noWrap/>
            <w:vAlign w:val="center"/>
          </w:tcPr>
          <w:p w14:paraId="6990E773">
            <w:pPr>
              <w:widowControl/>
              <w:adjustRightInd/>
              <w:snapToGrid/>
              <w:spacing w:line="240" w:lineRule="auto"/>
              <w:jc w:val="center"/>
              <w:rPr>
                <w:sz w:val="18"/>
                <w:szCs w:val="18"/>
              </w:rPr>
            </w:pPr>
            <w:r>
              <w:rPr>
                <w:color w:val="000000"/>
                <w:sz w:val="18"/>
                <w:szCs w:val="18"/>
              </w:rPr>
              <w:t xml:space="preserve">5.8 </w:t>
            </w:r>
          </w:p>
        </w:tc>
      </w:tr>
      <w:tr w14:paraId="757E19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285A1BB1">
            <w:pPr>
              <w:widowControl/>
              <w:adjustRightInd/>
              <w:snapToGrid/>
              <w:spacing w:line="240" w:lineRule="auto"/>
              <w:jc w:val="center"/>
              <w:rPr>
                <w:sz w:val="18"/>
                <w:szCs w:val="18"/>
              </w:rPr>
            </w:pPr>
            <w:r>
              <w:rPr>
                <w:rFonts w:hint="eastAsia"/>
                <w:sz w:val="18"/>
                <w:szCs w:val="18"/>
              </w:rPr>
              <w:t>72</w:t>
            </w:r>
          </w:p>
        </w:tc>
        <w:tc>
          <w:tcPr>
            <w:tcW w:w="673" w:type="dxa"/>
            <w:vMerge w:val="continue"/>
            <w:vAlign w:val="center"/>
          </w:tcPr>
          <w:p w14:paraId="23E5300A">
            <w:pPr>
              <w:widowControl/>
              <w:adjustRightInd/>
              <w:snapToGrid/>
              <w:spacing w:line="240" w:lineRule="auto"/>
              <w:jc w:val="left"/>
              <w:rPr>
                <w:kern w:val="0"/>
                <w:sz w:val="18"/>
                <w:szCs w:val="18"/>
              </w:rPr>
            </w:pPr>
          </w:p>
        </w:tc>
        <w:tc>
          <w:tcPr>
            <w:tcW w:w="595" w:type="dxa"/>
            <w:vMerge w:val="continue"/>
            <w:vAlign w:val="center"/>
          </w:tcPr>
          <w:p w14:paraId="2A70C833">
            <w:pPr>
              <w:widowControl/>
              <w:adjustRightInd/>
              <w:snapToGrid/>
              <w:spacing w:line="240" w:lineRule="auto"/>
              <w:jc w:val="center"/>
              <w:rPr>
                <w:kern w:val="0"/>
                <w:sz w:val="18"/>
                <w:szCs w:val="18"/>
              </w:rPr>
            </w:pPr>
          </w:p>
        </w:tc>
        <w:tc>
          <w:tcPr>
            <w:tcW w:w="567" w:type="dxa"/>
            <w:vMerge w:val="continue"/>
            <w:vAlign w:val="center"/>
          </w:tcPr>
          <w:p w14:paraId="43BD1AD4">
            <w:pPr>
              <w:widowControl/>
              <w:adjustRightInd/>
              <w:snapToGrid/>
              <w:spacing w:line="240" w:lineRule="auto"/>
              <w:jc w:val="left"/>
              <w:rPr>
                <w:kern w:val="0"/>
                <w:sz w:val="18"/>
                <w:szCs w:val="18"/>
              </w:rPr>
            </w:pPr>
          </w:p>
        </w:tc>
        <w:tc>
          <w:tcPr>
            <w:tcW w:w="426" w:type="dxa"/>
            <w:noWrap/>
            <w:vAlign w:val="center"/>
          </w:tcPr>
          <w:p w14:paraId="48BB09BC">
            <w:pPr>
              <w:widowControl/>
              <w:adjustRightInd/>
              <w:snapToGrid/>
              <w:spacing w:line="240" w:lineRule="auto"/>
              <w:jc w:val="center"/>
              <w:rPr>
                <w:sz w:val="18"/>
                <w:szCs w:val="18"/>
              </w:rPr>
            </w:pPr>
            <w:r>
              <w:rPr>
                <w:sz w:val="18"/>
                <w:szCs w:val="18"/>
              </w:rPr>
              <w:t>夜间</w:t>
            </w:r>
          </w:p>
        </w:tc>
        <w:tc>
          <w:tcPr>
            <w:tcW w:w="708" w:type="dxa"/>
            <w:noWrap/>
            <w:vAlign w:val="center"/>
          </w:tcPr>
          <w:p w14:paraId="4A715F84">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7A6A2C35">
            <w:pPr>
              <w:widowControl/>
              <w:adjustRightInd/>
              <w:snapToGrid/>
              <w:spacing w:line="240" w:lineRule="auto"/>
              <w:jc w:val="center"/>
              <w:rPr>
                <w:sz w:val="18"/>
                <w:szCs w:val="18"/>
              </w:rPr>
            </w:pPr>
          </w:p>
        </w:tc>
        <w:tc>
          <w:tcPr>
            <w:tcW w:w="709" w:type="dxa"/>
            <w:vMerge w:val="continue"/>
            <w:noWrap/>
            <w:vAlign w:val="center"/>
          </w:tcPr>
          <w:p w14:paraId="562EE49D">
            <w:pPr>
              <w:widowControl/>
              <w:adjustRightInd/>
              <w:snapToGrid/>
              <w:spacing w:line="240" w:lineRule="auto"/>
              <w:jc w:val="center"/>
              <w:rPr>
                <w:sz w:val="18"/>
                <w:szCs w:val="18"/>
              </w:rPr>
            </w:pPr>
          </w:p>
        </w:tc>
        <w:tc>
          <w:tcPr>
            <w:tcW w:w="880" w:type="dxa"/>
          </w:tcPr>
          <w:p w14:paraId="2AA12D97">
            <w:pPr>
              <w:widowControl/>
              <w:adjustRightInd/>
              <w:snapToGrid/>
              <w:spacing w:line="240" w:lineRule="auto"/>
              <w:jc w:val="center"/>
              <w:rPr>
                <w:kern w:val="0"/>
                <w:sz w:val="18"/>
                <w:szCs w:val="18"/>
              </w:rPr>
            </w:pPr>
            <w:r>
              <w:rPr>
                <w:rFonts w:hint="eastAsia"/>
                <w:color w:val="000000"/>
                <w:sz w:val="18"/>
                <w:szCs w:val="18"/>
              </w:rPr>
              <w:t>52.3</w:t>
            </w:r>
          </w:p>
        </w:tc>
        <w:tc>
          <w:tcPr>
            <w:tcW w:w="880" w:type="dxa"/>
            <w:vAlign w:val="center"/>
          </w:tcPr>
          <w:p w14:paraId="7588C07E">
            <w:pPr>
              <w:widowControl/>
              <w:adjustRightInd/>
              <w:snapToGrid/>
              <w:spacing w:line="240" w:lineRule="auto"/>
              <w:jc w:val="center"/>
              <w:rPr>
                <w:kern w:val="0"/>
                <w:sz w:val="18"/>
                <w:szCs w:val="18"/>
              </w:rPr>
            </w:pPr>
            <w:r>
              <w:rPr>
                <w:color w:val="000000"/>
                <w:sz w:val="18"/>
                <w:szCs w:val="18"/>
              </w:rPr>
              <w:t xml:space="preserve">52.8 </w:t>
            </w:r>
          </w:p>
        </w:tc>
        <w:tc>
          <w:tcPr>
            <w:tcW w:w="881" w:type="dxa"/>
            <w:vAlign w:val="center"/>
          </w:tcPr>
          <w:p w14:paraId="1DF5CAC6">
            <w:pPr>
              <w:widowControl/>
              <w:adjustRightInd/>
              <w:snapToGrid/>
              <w:spacing w:line="240" w:lineRule="auto"/>
              <w:jc w:val="center"/>
              <w:rPr>
                <w:kern w:val="0"/>
                <w:sz w:val="18"/>
                <w:szCs w:val="18"/>
              </w:rPr>
            </w:pPr>
            <w:r>
              <w:rPr>
                <w:rFonts w:hint="eastAsia"/>
                <w:color w:val="000000"/>
                <w:sz w:val="18"/>
                <w:szCs w:val="18"/>
              </w:rPr>
              <w:t xml:space="preserve">9.8 </w:t>
            </w:r>
          </w:p>
        </w:tc>
        <w:tc>
          <w:tcPr>
            <w:tcW w:w="880" w:type="dxa"/>
            <w:vAlign w:val="center"/>
          </w:tcPr>
          <w:p w14:paraId="63C24278">
            <w:pPr>
              <w:widowControl/>
              <w:adjustRightInd/>
              <w:snapToGrid/>
              <w:spacing w:line="240" w:lineRule="auto"/>
              <w:jc w:val="center"/>
              <w:rPr>
                <w:kern w:val="0"/>
                <w:sz w:val="18"/>
                <w:szCs w:val="18"/>
              </w:rPr>
            </w:pPr>
            <w:r>
              <w:rPr>
                <w:rFonts w:hint="eastAsia"/>
                <w:color w:val="000000"/>
                <w:sz w:val="18"/>
                <w:szCs w:val="18"/>
              </w:rPr>
              <w:t xml:space="preserve">2.8 </w:t>
            </w:r>
          </w:p>
        </w:tc>
        <w:tc>
          <w:tcPr>
            <w:tcW w:w="880" w:type="dxa"/>
            <w:noWrap/>
            <w:vAlign w:val="center"/>
          </w:tcPr>
          <w:p w14:paraId="5F33B6BA">
            <w:pPr>
              <w:widowControl/>
              <w:adjustRightInd/>
              <w:snapToGrid/>
              <w:spacing w:line="240" w:lineRule="auto"/>
              <w:jc w:val="center"/>
              <w:rPr>
                <w:kern w:val="0"/>
                <w:sz w:val="18"/>
                <w:szCs w:val="18"/>
              </w:rPr>
            </w:pPr>
            <w:r>
              <w:rPr>
                <w:kern w:val="0"/>
                <w:sz w:val="18"/>
                <w:szCs w:val="18"/>
              </w:rPr>
              <w:t>53.2</w:t>
            </w:r>
          </w:p>
        </w:tc>
        <w:tc>
          <w:tcPr>
            <w:tcW w:w="881" w:type="dxa"/>
            <w:noWrap/>
            <w:vAlign w:val="center"/>
          </w:tcPr>
          <w:p w14:paraId="5DF5F95A">
            <w:pPr>
              <w:widowControl/>
              <w:adjustRightInd/>
              <w:snapToGrid/>
              <w:spacing w:line="240" w:lineRule="auto"/>
              <w:jc w:val="center"/>
              <w:rPr>
                <w:sz w:val="18"/>
                <w:szCs w:val="18"/>
              </w:rPr>
            </w:pPr>
            <w:r>
              <w:rPr>
                <w:color w:val="000000"/>
                <w:sz w:val="18"/>
                <w:szCs w:val="18"/>
              </w:rPr>
              <w:t xml:space="preserve">53.6 </w:t>
            </w:r>
          </w:p>
        </w:tc>
        <w:tc>
          <w:tcPr>
            <w:tcW w:w="880" w:type="dxa"/>
            <w:noWrap/>
            <w:vAlign w:val="center"/>
          </w:tcPr>
          <w:p w14:paraId="406BCE3B">
            <w:pPr>
              <w:widowControl/>
              <w:adjustRightInd/>
              <w:snapToGrid/>
              <w:spacing w:line="240" w:lineRule="auto"/>
              <w:jc w:val="center"/>
              <w:rPr>
                <w:sz w:val="18"/>
                <w:szCs w:val="18"/>
              </w:rPr>
            </w:pPr>
            <w:r>
              <w:rPr>
                <w:color w:val="000000"/>
                <w:sz w:val="18"/>
                <w:szCs w:val="18"/>
              </w:rPr>
              <w:t xml:space="preserve">10.6 </w:t>
            </w:r>
          </w:p>
        </w:tc>
        <w:tc>
          <w:tcPr>
            <w:tcW w:w="880" w:type="dxa"/>
            <w:noWrap/>
            <w:vAlign w:val="center"/>
          </w:tcPr>
          <w:p w14:paraId="02D393CA">
            <w:pPr>
              <w:widowControl/>
              <w:adjustRightInd/>
              <w:snapToGrid/>
              <w:spacing w:line="240" w:lineRule="auto"/>
              <w:jc w:val="center"/>
              <w:rPr>
                <w:sz w:val="18"/>
                <w:szCs w:val="18"/>
              </w:rPr>
            </w:pPr>
            <w:r>
              <w:rPr>
                <w:color w:val="000000"/>
                <w:sz w:val="18"/>
                <w:szCs w:val="18"/>
              </w:rPr>
              <w:t xml:space="preserve">3.6 </w:t>
            </w:r>
          </w:p>
        </w:tc>
        <w:tc>
          <w:tcPr>
            <w:tcW w:w="881" w:type="dxa"/>
            <w:noWrap/>
            <w:vAlign w:val="center"/>
          </w:tcPr>
          <w:p w14:paraId="09D96482">
            <w:pPr>
              <w:widowControl/>
              <w:adjustRightInd/>
              <w:snapToGrid/>
              <w:spacing w:line="240" w:lineRule="auto"/>
              <w:jc w:val="center"/>
              <w:rPr>
                <w:sz w:val="18"/>
                <w:szCs w:val="18"/>
              </w:rPr>
            </w:pPr>
            <w:r>
              <w:rPr>
                <w:rFonts w:hint="eastAsia"/>
                <w:color w:val="000000"/>
                <w:sz w:val="18"/>
                <w:szCs w:val="18"/>
              </w:rPr>
              <w:t>54.1</w:t>
            </w:r>
          </w:p>
        </w:tc>
        <w:tc>
          <w:tcPr>
            <w:tcW w:w="880" w:type="dxa"/>
            <w:noWrap/>
            <w:vAlign w:val="center"/>
          </w:tcPr>
          <w:p w14:paraId="73F18493">
            <w:pPr>
              <w:widowControl/>
              <w:adjustRightInd/>
              <w:snapToGrid/>
              <w:spacing w:line="240" w:lineRule="auto"/>
              <w:jc w:val="center"/>
              <w:rPr>
                <w:sz w:val="18"/>
                <w:szCs w:val="18"/>
              </w:rPr>
            </w:pPr>
            <w:r>
              <w:rPr>
                <w:color w:val="000000"/>
                <w:sz w:val="18"/>
                <w:szCs w:val="18"/>
              </w:rPr>
              <w:t xml:space="preserve">54.4 </w:t>
            </w:r>
          </w:p>
        </w:tc>
        <w:tc>
          <w:tcPr>
            <w:tcW w:w="880" w:type="dxa"/>
            <w:noWrap/>
            <w:vAlign w:val="center"/>
          </w:tcPr>
          <w:p w14:paraId="1377F8D3">
            <w:pPr>
              <w:widowControl/>
              <w:adjustRightInd/>
              <w:snapToGrid/>
              <w:spacing w:line="240" w:lineRule="auto"/>
              <w:jc w:val="center"/>
              <w:rPr>
                <w:sz w:val="18"/>
                <w:szCs w:val="18"/>
              </w:rPr>
            </w:pPr>
            <w:r>
              <w:rPr>
                <w:color w:val="000000"/>
                <w:sz w:val="18"/>
                <w:szCs w:val="18"/>
              </w:rPr>
              <w:t xml:space="preserve">11.4 </w:t>
            </w:r>
          </w:p>
        </w:tc>
        <w:tc>
          <w:tcPr>
            <w:tcW w:w="881" w:type="dxa"/>
            <w:noWrap/>
            <w:vAlign w:val="center"/>
          </w:tcPr>
          <w:p w14:paraId="7C9183E6">
            <w:pPr>
              <w:widowControl/>
              <w:adjustRightInd/>
              <w:snapToGrid/>
              <w:spacing w:line="240" w:lineRule="auto"/>
              <w:jc w:val="center"/>
              <w:rPr>
                <w:sz w:val="18"/>
                <w:szCs w:val="18"/>
              </w:rPr>
            </w:pPr>
            <w:r>
              <w:rPr>
                <w:color w:val="000000"/>
                <w:sz w:val="18"/>
                <w:szCs w:val="18"/>
              </w:rPr>
              <w:t xml:space="preserve">4.4 </w:t>
            </w:r>
          </w:p>
        </w:tc>
      </w:tr>
      <w:tr w14:paraId="6AC247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1988853">
            <w:pPr>
              <w:widowControl/>
              <w:adjustRightInd/>
              <w:snapToGrid/>
              <w:spacing w:line="240" w:lineRule="auto"/>
              <w:jc w:val="center"/>
              <w:rPr>
                <w:sz w:val="18"/>
                <w:szCs w:val="18"/>
              </w:rPr>
            </w:pPr>
            <w:r>
              <w:rPr>
                <w:rFonts w:hint="eastAsia"/>
                <w:sz w:val="18"/>
                <w:szCs w:val="18"/>
              </w:rPr>
              <w:t>73</w:t>
            </w:r>
          </w:p>
        </w:tc>
        <w:tc>
          <w:tcPr>
            <w:tcW w:w="673" w:type="dxa"/>
            <w:vMerge w:val="continue"/>
            <w:vAlign w:val="center"/>
          </w:tcPr>
          <w:p w14:paraId="53B29BD0">
            <w:pPr>
              <w:widowControl/>
              <w:adjustRightInd/>
              <w:snapToGrid/>
              <w:spacing w:line="240" w:lineRule="auto"/>
              <w:jc w:val="left"/>
              <w:rPr>
                <w:kern w:val="0"/>
                <w:sz w:val="18"/>
                <w:szCs w:val="18"/>
              </w:rPr>
            </w:pPr>
          </w:p>
        </w:tc>
        <w:tc>
          <w:tcPr>
            <w:tcW w:w="595" w:type="dxa"/>
            <w:vMerge w:val="restart"/>
            <w:vAlign w:val="center"/>
          </w:tcPr>
          <w:p w14:paraId="0610553B">
            <w:pPr>
              <w:widowControl/>
              <w:adjustRightInd/>
              <w:snapToGrid/>
              <w:spacing w:line="240" w:lineRule="auto"/>
              <w:jc w:val="center"/>
              <w:rPr>
                <w:kern w:val="0"/>
                <w:sz w:val="18"/>
                <w:szCs w:val="18"/>
              </w:rPr>
            </w:pPr>
            <w:r>
              <w:rPr>
                <w:kern w:val="0"/>
                <w:sz w:val="18"/>
                <w:szCs w:val="18"/>
              </w:rPr>
              <w:t>16.2</w:t>
            </w:r>
          </w:p>
        </w:tc>
        <w:tc>
          <w:tcPr>
            <w:tcW w:w="567" w:type="dxa"/>
            <w:vMerge w:val="continue"/>
            <w:vAlign w:val="center"/>
          </w:tcPr>
          <w:p w14:paraId="3BA26F22">
            <w:pPr>
              <w:widowControl/>
              <w:adjustRightInd/>
              <w:snapToGrid/>
              <w:spacing w:line="240" w:lineRule="auto"/>
              <w:jc w:val="left"/>
              <w:rPr>
                <w:kern w:val="0"/>
                <w:sz w:val="18"/>
                <w:szCs w:val="18"/>
              </w:rPr>
            </w:pPr>
          </w:p>
        </w:tc>
        <w:tc>
          <w:tcPr>
            <w:tcW w:w="426" w:type="dxa"/>
            <w:noWrap/>
            <w:vAlign w:val="center"/>
          </w:tcPr>
          <w:p w14:paraId="618E35C1">
            <w:pPr>
              <w:widowControl/>
              <w:adjustRightInd/>
              <w:snapToGrid/>
              <w:spacing w:line="240" w:lineRule="auto"/>
              <w:jc w:val="center"/>
              <w:rPr>
                <w:sz w:val="18"/>
                <w:szCs w:val="18"/>
              </w:rPr>
            </w:pPr>
            <w:r>
              <w:rPr>
                <w:sz w:val="18"/>
                <w:szCs w:val="18"/>
              </w:rPr>
              <w:t>昼间</w:t>
            </w:r>
          </w:p>
        </w:tc>
        <w:tc>
          <w:tcPr>
            <w:tcW w:w="708" w:type="dxa"/>
            <w:noWrap/>
            <w:vAlign w:val="center"/>
          </w:tcPr>
          <w:p w14:paraId="27B1151E">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4F83D7DF">
            <w:pPr>
              <w:widowControl/>
              <w:adjustRightInd/>
              <w:snapToGrid/>
              <w:spacing w:line="240" w:lineRule="auto"/>
              <w:jc w:val="center"/>
              <w:rPr>
                <w:sz w:val="18"/>
                <w:szCs w:val="18"/>
              </w:rPr>
            </w:pPr>
          </w:p>
        </w:tc>
        <w:tc>
          <w:tcPr>
            <w:tcW w:w="709" w:type="dxa"/>
            <w:vMerge w:val="continue"/>
            <w:noWrap/>
            <w:vAlign w:val="center"/>
          </w:tcPr>
          <w:p w14:paraId="0FFD53CA">
            <w:pPr>
              <w:widowControl/>
              <w:adjustRightInd/>
              <w:snapToGrid/>
              <w:spacing w:line="240" w:lineRule="auto"/>
              <w:jc w:val="center"/>
              <w:rPr>
                <w:sz w:val="18"/>
                <w:szCs w:val="18"/>
              </w:rPr>
            </w:pPr>
          </w:p>
        </w:tc>
        <w:tc>
          <w:tcPr>
            <w:tcW w:w="880" w:type="dxa"/>
          </w:tcPr>
          <w:p w14:paraId="430C1AEF">
            <w:pPr>
              <w:widowControl/>
              <w:adjustRightInd/>
              <w:snapToGrid/>
              <w:spacing w:line="240" w:lineRule="auto"/>
              <w:jc w:val="center"/>
              <w:rPr>
                <w:kern w:val="0"/>
                <w:sz w:val="18"/>
                <w:szCs w:val="18"/>
              </w:rPr>
            </w:pPr>
            <w:r>
              <w:rPr>
                <w:rFonts w:hint="eastAsia"/>
                <w:color w:val="000000"/>
                <w:sz w:val="18"/>
                <w:szCs w:val="18"/>
              </w:rPr>
              <w:t>66.1</w:t>
            </w:r>
          </w:p>
        </w:tc>
        <w:tc>
          <w:tcPr>
            <w:tcW w:w="880" w:type="dxa"/>
            <w:vAlign w:val="center"/>
          </w:tcPr>
          <w:p w14:paraId="2BF04C2A">
            <w:pPr>
              <w:widowControl/>
              <w:adjustRightInd/>
              <w:snapToGrid/>
              <w:spacing w:line="240" w:lineRule="auto"/>
              <w:jc w:val="center"/>
              <w:rPr>
                <w:kern w:val="0"/>
                <w:sz w:val="18"/>
                <w:szCs w:val="18"/>
              </w:rPr>
            </w:pPr>
            <w:r>
              <w:rPr>
                <w:color w:val="000000"/>
                <w:sz w:val="18"/>
                <w:szCs w:val="18"/>
              </w:rPr>
              <w:t xml:space="preserve">66.3 </w:t>
            </w:r>
          </w:p>
        </w:tc>
        <w:tc>
          <w:tcPr>
            <w:tcW w:w="881" w:type="dxa"/>
            <w:vAlign w:val="center"/>
          </w:tcPr>
          <w:p w14:paraId="79395C1A">
            <w:pPr>
              <w:widowControl/>
              <w:adjustRightInd/>
              <w:snapToGrid/>
              <w:spacing w:line="240" w:lineRule="auto"/>
              <w:jc w:val="center"/>
              <w:rPr>
                <w:kern w:val="0"/>
                <w:sz w:val="18"/>
                <w:szCs w:val="18"/>
              </w:rPr>
            </w:pPr>
            <w:r>
              <w:rPr>
                <w:rFonts w:hint="eastAsia"/>
                <w:color w:val="000000"/>
                <w:sz w:val="18"/>
                <w:szCs w:val="18"/>
              </w:rPr>
              <w:t xml:space="preserve">14.3 </w:t>
            </w:r>
          </w:p>
        </w:tc>
        <w:tc>
          <w:tcPr>
            <w:tcW w:w="880" w:type="dxa"/>
            <w:vAlign w:val="center"/>
          </w:tcPr>
          <w:p w14:paraId="0736EF98">
            <w:pPr>
              <w:widowControl/>
              <w:adjustRightInd/>
              <w:snapToGrid/>
              <w:spacing w:line="240" w:lineRule="auto"/>
              <w:jc w:val="center"/>
              <w:rPr>
                <w:kern w:val="0"/>
                <w:sz w:val="18"/>
                <w:szCs w:val="18"/>
              </w:rPr>
            </w:pPr>
            <w:r>
              <w:rPr>
                <w:rFonts w:hint="eastAsia"/>
                <w:color w:val="000000"/>
                <w:sz w:val="18"/>
                <w:szCs w:val="18"/>
              </w:rPr>
              <w:t xml:space="preserve">6.3 </w:t>
            </w:r>
          </w:p>
        </w:tc>
        <w:tc>
          <w:tcPr>
            <w:tcW w:w="880" w:type="dxa"/>
            <w:noWrap/>
            <w:vAlign w:val="center"/>
          </w:tcPr>
          <w:p w14:paraId="352DB5E4">
            <w:pPr>
              <w:widowControl/>
              <w:adjustRightInd/>
              <w:snapToGrid/>
              <w:spacing w:line="240" w:lineRule="auto"/>
              <w:jc w:val="center"/>
              <w:rPr>
                <w:kern w:val="0"/>
                <w:sz w:val="18"/>
                <w:szCs w:val="18"/>
              </w:rPr>
            </w:pPr>
            <w:r>
              <w:rPr>
                <w:kern w:val="0"/>
                <w:sz w:val="18"/>
                <w:szCs w:val="18"/>
              </w:rPr>
              <w:t>67</w:t>
            </w:r>
          </w:p>
        </w:tc>
        <w:tc>
          <w:tcPr>
            <w:tcW w:w="881" w:type="dxa"/>
            <w:noWrap/>
            <w:vAlign w:val="center"/>
          </w:tcPr>
          <w:p w14:paraId="35A7ABAB">
            <w:pPr>
              <w:widowControl/>
              <w:adjustRightInd/>
              <w:snapToGrid/>
              <w:spacing w:line="240" w:lineRule="auto"/>
              <w:jc w:val="center"/>
              <w:rPr>
                <w:sz w:val="18"/>
                <w:szCs w:val="18"/>
              </w:rPr>
            </w:pPr>
            <w:r>
              <w:rPr>
                <w:color w:val="000000"/>
                <w:sz w:val="18"/>
                <w:szCs w:val="18"/>
              </w:rPr>
              <w:t xml:space="preserve">67.1 </w:t>
            </w:r>
          </w:p>
        </w:tc>
        <w:tc>
          <w:tcPr>
            <w:tcW w:w="880" w:type="dxa"/>
            <w:noWrap/>
            <w:vAlign w:val="center"/>
          </w:tcPr>
          <w:p w14:paraId="7C718FAA">
            <w:pPr>
              <w:widowControl/>
              <w:adjustRightInd/>
              <w:snapToGrid/>
              <w:spacing w:line="240" w:lineRule="auto"/>
              <w:jc w:val="center"/>
              <w:rPr>
                <w:sz w:val="18"/>
                <w:szCs w:val="18"/>
              </w:rPr>
            </w:pPr>
            <w:r>
              <w:rPr>
                <w:color w:val="000000"/>
                <w:sz w:val="18"/>
                <w:szCs w:val="18"/>
              </w:rPr>
              <w:t xml:space="preserve">15.1 </w:t>
            </w:r>
          </w:p>
        </w:tc>
        <w:tc>
          <w:tcPr>
            <w:tcW w:w="880" w:type="dxa"/>
            <w:noWrap/>
            <w:vAlign w:val="center"/>
          </w:tcPr>
          <w:p w14:paraId="2BA17714">
            <w:pPr>
              <w:widowControl/>
              <w:adjustRightInd/>
              <w:snapToGrid/>
              <w:spacing w:line="240" w:lineRule="auto"/>
              <w:jc w:val="center"/>
              <w:rPr>
                <w:sz w:val="18"/>
                <w:szCs w:val="18"/>
              </w:rPr>
            </w:pPr>
            <w:r>
              <w:rPr>
                <w:color w:val="000000"/>
                <w:sz w:val="18"/>
                <w:szCs w:val="18"/>
              </w:rPr>
              <w:t xml:space="preserve">7.1 </w:t>
            </w:r>
          </w:p>
        </w:tc>
        <w:tc>
          <w:tcPr>
            <w:tcW w:w="881" w:type="dxa"/>
            <w:noWrap/>
            <w:vAlign w:val="center"/>
          </w:tcPr>
          <w:p w14:paraId="6C61F9BA">
            <w:pPr>
              <w:widowControl/>
              <w:adjustRightInd/>
              <w:snapToGrid/>
              <w:spacing w:line="240" w:lineRule="auto"/>
              <w:jc w:val="center"/>
              <w:rPr>
                <w:sz w:val="18"/>
                <w:szCs w:val="18"/>
              </w:rPr>
            </w:pPr>
            <w:r>
              <w:rPr>
                <w:rFonts w:hint="eastAsia"/>
                <w:color w:val="000000"/>
                <w:sz w:val="18"/>
                <w:szCs w:val="18"/>
              </w:rPr>
              <w:t>67.9</w:t>
            </w:r>
          </w:p>
        </w:tc>
        <w:tc>
          <w:tcPr>
            <w:tcW w:w="880" w:type="dxa"/>
            <w:noWrap/>
            <w:vAlign w:val="center"/>
          </w:tcPr>
          <w:p w14:paraId="05B64F02">
            <w:pPr>
              <w:widowControl/>
              <w:adjustRightInd/>
              <w:snapToGrid/>
              <w:spacing w:line="240" w:lineRule="auto"/>
              <w:jc w:val="center"/>
              <w:rPr>
                <w:sz w:val="18"/>
                <w:szCs w:val="18"/>
              </w:rPr>
            </w:pPr>
            <w:r>
              <w:rPr>
                <w:color w:val="000000"/>
                <w:sz w:val="18"/>
                <w:szCs w:val="18"/>
              </w:rPr>
              <w:t xml:space="preserve">68.0 </w:t>
            </w:r>
          </w:p>
        </w:tc>
        <w:tc>
          <w:tcPr>
            <w:tcW w:w="880" w:type="dxa"/>
            <w:noWrap/>
            <w:vAlign w:val="center"/>
          </w:tcPr>
          <w:p w14:paraId="3E01ABB6">
            <w:pPr>
              <w:widowControl/>
              <w:adjustRightInd/>
              <w:snapToGrid/>
              <w:spacing w:line="240" w:lineRule="auto"/>
              <w:jc w:val="center"/>
              <w:rPr>
                <w:sz w:val="18"/>
                <w:szCs w:val="18"/>
              </w:rPr>
            </w:pPr>
            <w:r>
              <w:rPr>
                <w:color w:val="000000"/>
                <w:sz w:val="18"/>
                <w:szCs w:val="18"/>
              </w:rPr>
              <w:t xml:space="preserve">16.0 </w:t>
            </w:r>
          </w:p>
        </w:tc>
        <w:tc>
          <w:tcPr>
            <w:tcW w:w="881" w:type="dxa"/>
            <w:noWrap/>
            <w:vAlign w:val="center"/>
          </w:tcPr>
          <w:p w14:paraId="6125307E">
            <w:pPr>
              <w:widowControl/>
              <w:adjustRightInd/>
              <w:snapToGrid/>
              <w:spacing w:line="240" w:lineRule="auto"/>
              <w:jc w:val="center"/>
              <w:rPr>
                <w:sz w:val="18"/>
                <w:szCs w:val="18"/>
              </w:rPr>
            </w:pPr>
            <w:r>
              <w:rPr>
                <w:color w:val="000000"/>
                <w:sz w:val="18"/>
                <w:szCs w:val="18"/>
              </w:rPr>
              <w:t xml:space="preserve">8.0 </w:t>
            </w:r>
          </w:p>
        </w:tc>
      </w:tr>
      <w:tr w14:paraId="10CC4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A430757">
            <w:pPr>
              <w:widowControl/>
              <w:adjustRightInd/>
              <w:snapToGrid/>
              <w:spacing w:line="240" w:lineRule="auto"/>
              <w:jc w:val="center"/>
              <w:rPr>
                <w:sz w:val="18"/>
                <w:szCs w:val="18"/>
              </w:rPr>
            </w:pPr>
            <w:r>
              <w:rPr>
                <w:rFonts w:hint="eastAsia"/>
                <w:sz w:val="18"/>
                <w:szCs w:val="18"/>
              </w:rPr>
              <w:t>74</w:t>
            </w:r>
          </w:p>
        </w:tc>
        <w:tc>
          <w:tcPr>
            <w:tcW w:w="673" w:type="dxa"/>
            <w:vMerge w:val="continue"/>
            <w:vAlign w:val="center"/>
          </w:tcPr>
          <w:p w14:paraId="387D6741">
            <w:pPr>
              <w:widowControl/>
              <w:adjustRightInd/>
              <w:snapToGrid/>
              <w:spacing w:line="240" w:lineRule="auto"/>
              <w:jc w:val="left"/>
              <w:rPr>
                <w:kern w:val="0"/>
                <w:sz w:val="18"/>
                <w:szCs w:val="18"/>
              </w:rPr>
            </w:pPr>
          </w:p>
        </w:tc>
        <w:tc>
          <w:tcPr>
            <w:tcW w:w="595" w:type="dxa"/>
            <w:vMerge w:val="continue"/>
            <w:vAlign w:val="center"/>
          </w:tcPr>
          <w:p w14:paraId="3DEEE980">
            <w:pPr>
              <w:widowControl/>
              <w:adjustRightInd/>
              <w:snapToGrid/>
              <w:spacing w:line="240" w:lineRule="auto"/>
              <w:jc w:val="center"/>
              <w:rPr>
                <w:kern w:val="0"/>
                <w:sz w:val="18"/>
                <w:szCs w:val="18"/>
              </w:rPr>
            </w:pPr>
          </w:p>
        </w:tc>
        <w:tc>
          <w:tcPr>
            <w:tcW w:w="567" w:type="dxa"/>
            <w:vMerge w:val="continue"/>
            <w:vAlign w:val="center"/>
          </w:tcPr>
          <w:p w14:paraId="1180B8E2">
            <w:pPr>
              <w:widowControl/>
              <w:adjustRightInd/>
              <w:snapToGrid/>
              <w:spacing w:line="240" w:lineRule="auto"/>
              <w:jc w:val="left"/>
              <w:rPr>
                <w:kern w:val="0"/>
                <w:sz w:val="18"/>
                <w:szCs w:val="18"/>
              </w:rPr>
            </w:pPr>
          </w:p>
        </w:tc>
        <w:tc>
          <w:tcPr>
            <w:tcW w:w="426" w:type="dxa"/>
            <w:noWrap/>
            <w:vAlign w:val="center"/>
          </w:tcPr>
          <w:p w14:paraId="1241605D">
            <w:pPr>
              <w:widowControl/>
              <w:adjustRightInd/>
              <w:snapToGrid/>
              <w:spacing w:line="240" w:lineRule="auto"/>
              <w:jc w:val="center"/>
              <w:rPr>
                <w:sz w:val="18"/>
                <w:szCs w:val="18"/>
              </w:rPr>
            </w:pPr>
            <w:r>
              <w:rPr>
                <w:sz w:val="18"/>
                <w:szCs w:val="18"/>
              </w:rPr>
              <w:t>夜间</w:t>
            </w:r>
          </w:p>
        </w:tc>
        <w:tc>
          <w:tcPr>
            <w:tcW w:w="708" w:type="dxa"/>
            <w:noWrap/>
            <w:vAlign w:val="center"/>
          </w:tcPr>
          <w:p w14:paraId="711A9458">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23B9D587">
            <w:pPr>
              <w:widowControl/>
              <w:adjustRightInd/>
              <w:snapToGrid/>
              <w:spacing w:line="240" w:lineRule="auto"/>
              <w:jc w:val="center"/>
              <w:rPr>
                <w:sz w:val="18"/>
                <w:szCs w:val="18"/>
              </w:rPr>
            </w:pPr>
          </w:p>
        </w:tc>
        <w:tc>
          <w:tcPr>
            <w:tcW w:w="709" w:type="dxa"/>
            <w:vMerge w:val="continue"/>
            <w:noWrap/>
            <w:vAlign w:val="center"/>
          </w:tcPr>
          <w:p w14:paraId="2B4162B4">
            <w:pPr>
              <w:widowControl/>
              <w:adjustRightInd/>
              <w:snapToGrid/>
              <w:spacing w:line="240" w:lineRule="auto"/>
              <w:jc w:val="center"/>
              <w:rPr>
                <w:sz w:val="18"/>
                <w:szCs w:val="18"/>
              </w:rPr>
            </w:pPr>
          </w:p>
        </w:tc>
        <w:tc>
          <w:tcPr>
            <w:tcW w:w="880" w:type="dxa"/>
          </w:tcPr>
          <w:p w14:paraId="2E581C37">
            <w:pPr>
              <w:widowControl/>
              <w:adjustRightInd/>
              <w:snapToGrid/>
              <w:spacing w:line="240" w:lineRule="auto"/>
              <w:jc w:val="center"/>
              <w:rPr>
                <w:kern w:val="0"/>
                <w:sz w:val="18"/>
                <w:szCs w:val="18"/>
              </w:rPr>
            </w:pPr>
            <w:r>
              <w:rPr>
                <w:rFonts w:hint="eastAsia"/>
                <w:color w:val="000000"/>
                <w:sz w:val="18"/>
                <w:szCs w:val="18"/>
              </w:rPr>
              <w:t>54</w:t>
            </w:r>
          </w:p>
        </w:tc>
        <w:tc>
          <w:tcPr>
            <w:tcW w:w="880" w:type="dxa"/>
            <w:vAlign w:val="center"/>
          </w:tcPr>
          <w:p w14:paraId="5F2908DB">
            <w:pPr>
              <w:widowControl/>
              <w:adjustRightInd/>
              <w:snapToGrid/>
              <w:spacing w:line="240" w:lineRule="auto"/>
              <w:jc w:val="center"/>
              <w:rPr>
                <w:kern w:val="0"/>
                <w:sz w:val="18"/>
                <w:szCs w:val="18"/>
              </w:rPr>
            </w:pPr>
            <w:r>
              <w:rPr>
                <w:color w:val="000000"/>
                <w:sz w:val="18"/>
                <w:szCs w:val="18"/>
              </w:rPr>
              <w:t xml:space="preserve">54.3 </w:t>
            </w:r>
          </w:p>
        </w:tc>
        <w:tc>
          <w:tcPr>
            <w:tcW w:w="881" w:type="dxa"/>
            <w:vAlign w:val="center"/>
          </w:tcPr>
          <w:p w14:paraId="1A39C1B7">
            <w:pPr>
              <w:widowControl/>
              <w:adjustRightInd/>
              <w:snapToGrid/>
              <w:spacing w:line="240" w:lineRule="auto"/>
              <w:jc w:val="center"/>
              <w:rPr>
                <w:kern w:val="0"/>
                <w:sz w:val="18"/>
                <w:szCs w:val="18"/>
              </w:rPr>
            </w:pPr>
            <w:r>
              <w:rPr>
                <w:rFonts w:hint="eastAsia"/>
                <w:color w:val="000000"/>
                <w:sz w:val="18"/>
                <w:szCs w:val="18"/>
              </w:rPr>
              <w:t xml:space="preserve">11.3 </w:t>
            </w:r>
          </w:p>
        </w:tc>
        <w:tc>
          <w:tcPr>
            <w:tcW w:w="880" w:type="dxa"/>
            <w:vAlign w:val="center"/>
          </w:tcPr>
          <w:p w14:paraId="421DB578">
            <w:pPr>
              <w:widowControl/>
              <w:adjustRightInd/>
              <w:snapToGrid/>
              <w:spacing w:line="240" w:lineRule="auto"/>
              <w:jc w:val="center"/>
              <w:rPr>
                <w:kern w:val="0"/>
                <w:sz w:val="18"/>
                <w:szCs w:val="18"/>
              </w:rPr>
            </w:pPr>
            <w:r>
              <w:rPr>
                <w:rFonts w:hint="eastAsia"/>
                <w:color w:val="000000"/>
                <w:sz w:val="18"/>
                <w:szCs w:val="18"/>
              </w:rPr>
              <w:t xml:space="preserve">4.3 </w:t>
            </w:r>
          </w:p>
        </w:tc>
        <w:tc>
          <w:tcPr>
            <w:tcW w:w="880" w:type="dxa"/>
            <w:noWrap/>
            <w:vAlign w:val="center"/>
          </w:tcPr>
          <w:p w14:paraId="16E1272F">
            <w:pPr>
              <w:widowControl/>
              <w:adjustRightInd/>
              <w:snapToGrid/>
              <w:spacing w:line="240" w:lineRule="auto"/>
              <w:jc w:val="center"/>
              <w:rPr>
                <w:kern w:val="0"/>
                <w:sz w:val="18"/>
                <w:szCs w:val="18"/>
              </w:rPr>
            </w:pPr>
            <w:r>
              <w:rPr>
                <w:kern w:val="0"/>
                <w:sz w:val="18"/>
                <w:szCs w:val="18"/>
              </w:rPr>
              <w:t>54.9</w:t>
            </w:r>
          </w:p>
        </w:tc>
        <w:tc>
          <w:tcPr>
            <w:tcW w:w="881" w:type="dxa"/>
            <w:noWrap/>
            <w:vAlign w:val="center"/>
          </w:tcPr>
          <w:p w14:paraId="56A903C6">
            <w:pPr>
              <w:widowControl/>
              <w:adjustRightInd/>
              <w:snapToGrid/>
              <w:spacing w:line="240" w:lineRule="auto"/>
              <w:jc w:val="center"/>
              <w:rPr>
                <w:sz w:val="18"/>
                <w:szCs w:val="18"/>
              </w:rPr>
            </w:pPr>
            <w:r>
              <w:rPr>
                <w:color w:val="000000"/>
                <w:sz w:val="18"/>
                <w:szCs w:val="18"/>
              </w:rPr>
              <w:t xml:space="preserve">55.2 </w:t>
            </w:r>
          </w:p>
        </w:tc>
        <w:tc>
          <w:tcPr>
            <w:tcW w:w="880" w:type="dxa"/>
            <w:noWrap/>
            <w:vAlign w:val="center"/>
          </w:tcPr>
          <w:p w14:paraId="2D02AAA2">
            <w:pPr>
              <w:widowControl/>
              <w:adjustRightInd/>
              <w:snapToGrid/>
              <w:spacing w:line="240" w:lineRule="auto"/>
              <w:jc w:val="center"/>
              <w:rPr>
                <w:sz w:val="18"/>
                <w:szCs w:val="18"/>
              </w:rPr>
            </w:pPr>
            <w:r>
              <w:rPr>
                <w:color w:val="000000"/>
                <w:sz w:val="18"/>
                <w:szCs w:val="18"/>
              </w:rPr>
              <w:t xml:space="preserve">12.2 </w:t>
            </w:r>
          </w:p>
        </w:tc>
        <w:tc>
          <w:tcPr>
            <w:tcW w:w="880" w:type="dxa"/>
            <w:noWrap/>
            <w:vAlign w:val="center"/>
          </w:tcPr>
          <w:p w14:paraId="5A58CB50">
            <w:pPr>
              <w:widowControl/>
              <w:adjustRightInd/>
              <w:snapToGrid/>
              <w:spacing w:line="240" w:lineRule="auto"/>
              <w:jc w:val="center"/>
              <w:rPr>
                <w:sz w:val="18"/>
                <w:szCs w:val="18"/>
              </w:rPr>
            </w:pPr>
            <w:r>
              <w:rPr>
                <w:color w:val="000000"/>
                <w:sz w:val="18"/>
                <w:szCs w:val="18"/>
              </w:rPr>
              <w:t xml:space="preserve">5.2 </w:t>
            </w:r>
          </w:p>
        </w:tc>
        <w:tc>
          <w:tcPr>
            <w:tcW w:w="881" w:type="dxa"/>
            <w:noWrap/>
            <w:vAlign w:val="center"/>
          </w:tcPr>
          <w:p w14:paraId="1B7C9A53">
            <w:pPr>
              <w:widowControl/>
              <w:adjustRightInd/>
              <w:snapToGrid/>
              <w:spacing w:line="240" w:lineRule="auto"/>
              <w:jc w:val="center"/>
              <w:rPr>
                <w:sz w:val="18"/>
                <w:szCs w:val="18"/>
              </w:rPr>
            </w:pPr>
            <w:r>
              <w:rPr>
                <w:rFonts w:hint="eastAsia"/>
                <w:color w:val="000000"/>
                <w:sz w:val="18"/>
                <w:szCs w:val="18"/>
              </w:rPr>
              <w:t>55.8</w:t>
            </w:r>
          </w:p>
        </w:tc>
        <w:tc>
          <w:tcPr>
            <w:tcW w:w="880" w:type="dxa"/>
            <w:noWrap/>
            <w:vAlign w:val="center"/>
          </w:tcPr>
          <w:p w14:paraId="163928F6">
            <w:pPr>
              <w:widowControl/>
              <w:adjustRightInd/>
              <w:snapToGrid/>
              <w:spacing w:line="240" w:lineRule="auto"/>
              <w:jc w:val="center"/>
              <w:rPr>
                <w:sz w:val="18"/>
                <w:szCs w:val="18"/>
              </w:rPr>
            </w:pPr>
            <w:r>
              <w:rPr>
                <w:color w:val="000000"/>
                <w:sz w:val="18"/>
                <w:szCs w:val="18"/>
              </w:rPr>
              <w:t xml:space="preserve">56.0 </w:t>
            </w:r>
          </w:p>
        </w:tc>
        <w:tc>
          <w:tcPr>
            <w:tcW w:w="880" w:type="dxa"/>
            <w:noWrap/>
            <w:vAlign w:val="center"/>
          </w:tcPr>
          <w:p w14:paraId="29E531CC">
            <w:pPr>
              <w:widowControl/>
              <w:adjustRightInd/>
              <w:snapToGrid/>
              <w:spacing w:line="240" w:lineRule="auto"/>
              <w:jc w:val="center"/>
              <w:rPr>
                <w:sz w:val="18"/>
                <w:szCs w:val="18"/>
              </w:rPr>
            </w:pPr>
            <w:r>
              <w:rPr>
                <w:color w:val="000000"/>
                <w:sz w:val="18"/>
                <w:szCs w:val="18"/>
              </w:rPr>
              <w:t xml:space="preserve">13.0 </w:t>
            </w:r>
          </w:p>
        </w:tc>
        <w:tc>
          <w:tcPr>
            <w:tcW w:w="881" w:type="dxa"/>
            <w:noWrap/>
            <w:vAlign w:val="center"/>
          </w:tcPr>
          <w:p w14:paraId="58B41D13">
            <w:pPr>
              <w:widowControl/>
              <w:adjustRightInd/>
              <w:snapToGrid/>
              <w:spacing w:line="240" w:lineRule="auto"/>
              <w:jc w:val="center"/>
              <w:rPr>
                <w:sz w:val="18"/>
                <w:szCs w:val="18"/>
              </w:rPr>
            </w:pPr>
            <w:r>
              <w:rPr>
                <w:color w:val="000000"/>
                <w:sz w:val="18"/>
                <w:szCs w:val="18"/>
              </w:rPr>
              <w:t xml:space="preserve">6.0 </w:t>
            </w:r>
          </w:p>
        </w:tc>
      </w:tr>
      <w:tr w14:paraId="49EEB7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075BCB58">
            <w:pPr>
              <w:widowControl/>
              <w:adjustRightInd/>
              <w:snapToGrid/>
              <w:spacing w:line="240" w:lineRule="auto"/>
              <w:jc w:val="center"/>
              <w:rPr>
                <w:sz w:val="18"/>
                <w:szCs w:val="18"/>
              </w:rPr>
            </w:pPr>
            <w:r>
              <w:rPr>
                <w:rFonts w:hint="eastAsia"/>
                <w:sz w:val="18"/>
                <w:szCs w:val="18"/>
              </w:rPr>
              <w:t>75</w:t>
            </w:r>
          </w:p>
        </w:tc>
        <w:tc>
          <w:tcPr>
            <w:tcW w:w="673" w:type="dxa"/>
            <w:vMerge w:val="continue"/>
            <w:vAlign w:val="center"/>
          </w:tcPr>
          <w:p w14:paraId="6794A4EA">
            <w:pPr>
              <w:widowControl/>
              <w:adjustRightInd/>
              <w:snapToGrid/>
              <w:spacing w:line="240" w:lineRule="auto"/>
              <w:jc w:val="left"/>
              <w:rPr>
                <w:kern w:val="0"/>
                <w:sz w:val="18"/>
                <w:szCs w:val="18"/>
              </w:rPr>
            </w:pPr>
          </w:p>
        </w:tc>
        <w:tc>
          <w:tcPr>
            <w:tcW w:w="595" w:type="dxa"/>
            <w:vMerge w:val="restart"/>
            <w:vAlign w:val="center"/>
          </w:tcPr>
          <w:p w14:paraId="4C879CD1">
            <w:pPr>
              <w:widowControl/>
              <w:adjustRightInd/>
              <w:snapToGrid/>
              <w:spacing w:line="240" w:lineRule="auto"/>
              <w:jc w:val="center"/>
              <w:rPr>
                <w:kern w:val="0"/>
                <w:sz w:val="18"/>
                <w:szCs w:val="18"/>
              </w:rPr>
            </w:pPr>
            <w:r>
              <w:rPr>
                <w:kern w:val="0"/>
                <w:sz w:val="18"/>
                <w:szCs w:val="18"/>
              </w:rPr>
              <w:t>31.2</w:t>
            </w:r>
          </w:p>
        </w:tc>
        <w:tc>
          <w:tcPr>
            <w:tcW w:w="567" w:type="dxa"/>
            <w:vMerge w:val="continue"/>
            <w:vAlign w:val="center"/>
          </w:tcPr>
          <w:p w14:paraId="0997E8C7">
            <w:pPr>
              <w:widowControl/>
              <w:adjustRightInd/>
              <w:snapToGrid/>
              <w:spacing w:line="240" w:lineRule="auto"/>
              <w:jc w:val="left"/>
              <w:rPr>
                <w:kern w:val="0"/>
                <w:sz w:val="18"/>
                <w:szCs w:val="18"/>
              </w:rPr>
            </w:pPr>
          </w:p>
        </w:tc>
        <w:tc>
          <w:tcPr>
            <w:tcW w:w="426" w:type="dxa"/>
            <w:noWrap/>
            <w:vAlign w:val="center"/>
          </w:tcPr>
          <w:p w14:paraId="23C9CE85">
            <w:pPr>
              <w:widowControl/>
              <w:adjustRightInd/>
              <w:snapToGrid/>
              <w:spacing w:line="240" w:lineRule="auto"/>
              <w:jc w:val="center"/>
              <w:rPr>
                <w:sz w:val="18"/>
                <w:szCs w:val="18"/>
              </w:rPr>
            </w:pPr>
            <w:r>
              <w:rPr>
                <w:sz w:val="18"/>
                <w:szCs w:val="18"/>
              </w:rPr>
              <w:t>昼间</w:t>
            </w:r>
          </w:p>
        </w:tc>
        <w:tc>
          <w:tcPr>
            <w:tcW w:w="708" w:type="dxa"/>
            <w:noWrap/>
            <w:vAlign w:val="center"/>
          </w:tcPr>
          <w:p w14:paraId="10048EF3">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19ECB075">
            <w:pPr>
              <w:widowControl/>
              <w:adjustRightInd/>
              <w:snapToGrid/>
              <w:spacing w:line="240" w:lineRule="auto"/>
              <w:jc w:val="center"/>
              <w:rPr>
                <w:sz w:val="18"/>
                <w:szCs w:val="18"/>
              </w:rPr>
            </w:pPr>
          </w:p>
        </w:tc>
        <w:tc>
          <w:tcPr>
            <w:tcW w:w="709" w:type="dxa"/>
            <w:vMerge w:val="continue"/>
            <w:noWrap/>
            <w:vAlign w:val="center"/>
          </w:tcPr>
          <w:p w14:paraId="283A4A7A">
            <w:pPr>
              <w:widowControl/>
              <w:adjustRightInd/>
              <w:snapToGrid/>
              <w:spacing w:line="240" w:lineRule="auto"/>
              <w:jc w:val="center"/>
              <w:rPr>
                <w:sz w:val="18"/>
                <w:szCs w:val="18"/>
              </w:rPr>
            </w:pPr>
          </w:p>
        </w:tc>
        <w:tc>
          <w:tcPr>
            <w:tcW w:w="880" w:type="dxa"/>
          </w:tcPr>
          <w:p w14:paraId="66E3036B">
            <w:pPr>
              <w:widowControl/>
              <w:adjustRightInd/>
              <w:snapToGrid/>
              <w:spacing w:line="240" w:lineRule="auto"/>
              <w:jc w:val="center"/>
              <w:rPr>
                <w:kern w:val="0"/>
                <w:sz w:val="18"/>
                <w:szCs w:val="18"/>
              </w:rPr>
            </w:pPr>
            <w:r>
              <w:rPr>
                <w:rFonts w:hint="eastAsia"/>
                <w:color w:val="000000"/>
                <w:sz w:val="18"/>
                <w:szCs w:val="18"/>
              </w:rPr>
              <w:t>64.7</w:t>
            </w:r>
          </w:p>
        </w:tc>
        <w:tc>
          <w:tcPr>
            <w:tcW w:w="880" w:type="dxa"/>
            <w:vAlign w:val="center"/>
          </w:tcPr>
          <w:p w14:paraId="3CAA5C6D">
            <w:pPr>
              <w:widowControl/>
              <w:adjustRightInd/>
              <w:snapToGrid/>
              <w:spacing w:line="240" w:lineRule="auto"/>
              <w:jc w:val="center"/>
              <w:rPr>
                <w:kern w:val="0"/>
                <w:sz w:val="18"/>
                <w:szCs w:val="18"/>
              </w:rPr>
            </w:pPr>
            <w:r>
              <w:rPr>
                <w:color w:val="000000"/>
                <w:sz w:val="18"/>
                <w:szCs w:val="18"/>
              </w:rPr>
              <w:t xml:space="preserve">64.9 </w:t>
            </w:r>
          </w:p>
        </w:tc>
        <w:tc>
          <w:tcPr>
            <w:tcW w:w="881" w:type="dxa"/>
            <w:vAlign w:val="center"/>
          </w:tcPr>
          <w:p w14:paraId="26F7F765">
            <w:pPr>
              <w:widowControl/>
              <w:adjustRightInd/>
              <w:snapToGrid/>
              <w:spacing w:line="240" w:lineRule="auto"/>
              <w:jc w:val="center"/>
              <w:rPr>
                <w:kern w:val="0"/>
                <w:sz w:val="18"/>
                <w:szCs w:val="18"/>
              </w:rPr>
            </w:pPr>
            <w:r>
              <w:rPr>
                <w:rFonts w:hint="eastAsia"/>
                <w:color w:val="000000"/>
                <w:sz w:val="18"/>
                <w:szCs w:val="18"/>
              </w:rPr>
              <w:t xml:space="preserve">12.9 </w:t>
            </w:r>
          </w:p>
        </w:tc>
        <w:tc>
          <w:tcPr>
            <w:tcW w:w="880" w:type="dxa"/>
            <w:vAlign w:val="center"/>
          </w:tcPr>
          <w:p w14:paraId="6BFCD0D4">
            <w:pPr>
              <w:widowControl/>
              <w:adjustRightInd/>
              <w:snapToGrid/>
              <w:spacing w:line="240" w:lineRule="auto"/>
              <w:jc w:val="center"/>
              <w:rPr>
                <w:kern w:val="0"/>
                <w:sz w:val="18"/>
                <w:szCs w:val="18"/>
              </w:rPr>
            </w:pPr>
            <w:r>
              <w:rPr>
                <w:rFonts w:hint="eastAsia"/>
                <w:color w:val="000000"/>
                <w:sz w:val="18"/>
                <w:szCs w:val="18"/>
              </w:rPr>
              <w:t xml:space="preserve">4.9 </w:t>
            </w:r>
          </w:p>
        </w:tc>
        <w:tc>
          <w:tcPr>
            <w:tcW w:w="880" w:type="dxa"/>
            <w:noWrap/>
            <w:vAlign w:val="center"/>
          </w:tcPr>
          <w:p w14:paraId="0DB15F4D">
            <w:pPr>
              <w:widowControl/>
              <w:adjustRightInd/>
              <w:snapToGrid/>
              <w:spacing w:line="240" w:lineRule="auto"/>
              <w:jc w:val="center"/>
              <w:rPr>
                <w:kern w:val="0"/>
                <w:sz w:val="18"/>
                <w:szCs w:val="18"/>
              </w:rPr>
            </w:pPr>
            <w:r>
              <w:rPr>
                <w:kern w:val="0"/>
                <w:sz w:val="18"/>
                <w:szCs w:val="18"/>
              </w:rPr>
              <w:t>65.6</w:t>
            </w:r>
          </w:p>
        </w:tc>
        <w:tc>
          <w:tcPr>
            <w:tcW w:w="881" w:type="dxa"/>
            <w:noWrap/>
            <w:vAlign w:val="center"/>
          </w:tcPr>
          <w:p w14:paraId="68A1C2B2">
            <w:pPr>
              <w:widowControl/>
              <w:adjustRightInd/>
              <w:snapToGrid/>
              <w:spacing w:line="240" w:lineRule="auto"/>
              <w:jc w:val="center"/>
              <w:rPr>
                <w:sz w:val="18"/>
                <w:szCs w:val="18"/>
              </w:rPr>
            </w:pPr>
            <w:r>
              <w:rPr>
                <w:color w:val="000000"/>
                <w:sz w:val="18"/>
                <w:szCs w:val="18"/>
              </w:rPr>
              <w:t xml:space="preserve">65.8 </w:t>
            </w:r>
          </w:p>
        </w:tc>
        <w:tc>
          <w:tcPr>
            <w:tcW w:w="880" w:type="dxa"/>
            <w:noWrap/>
            <w:vAlign w:val="center"/>
          </w:tcPr>
          <w:p w14:paraId="20B70992">
            <w:pPr>
              <w:widowControl/>
              <w:adjustRightInd/>
              <w:snapToGrid/>
              <w:spacing w:line="240" w:lineRule="auto"/>
              <w:jc w:val="center"/>
              <w:rPr>
                <w:sz w:val="18"/>
                <w:szCs w:val="18"/>
              </w:rPr>
            </w:pPr>
            <w:r>
              <w:rPr>
                <w:color w:val="000000"/>
                <w:sz w:val="18"/>
                <w:szCs w:val="18"/>
              </w:rPr>
              <w:t xml:space="preserve">13.8 </w:t>
            </w:r>
          </w:p>
        </w:tc>
        <w:tc>
          <w:tcPr>
            <w:tcW w:w="880" w:type="dxa"/>
            <w:noWrap/>
            <w:vAlign w:val="center"/>
          </w:tcPr>
          <w:p w14:paraId="28F6F6E3">
            <w:pPr>
              <w:widowControl/>
              <w:adjustRightInd/>
              <w:snapToGrid/>
              <w:spacing w:line="240" w:lineRule="auto"/>
              <w:jc w:val="center"/>
              <w:rPr>
                <w:sz w:val="18"/>
                <w:szCs w:val="18"/>
              </w:rPr>
            </w:pPr>
            <w:r>
              <w:rPr>
                <w:color w:val="000000"/>
                <w:sz w:val="18"/>
                <w:szCs w:val="18"/>
              </w:rPr>
              <w:t xml:space="preserve">5.8 </w:t>
            </w:r>
          </w:p>
        </w:tc>
        <w:tc>
          <w:tcPr>
            <w:tcW w:w="881" w:type="dxa"/>
            <w:noWrap/>
            <w:vAlign w:val="center"/>
          </w:tcPr>
          <w:p w14:paraId="256A3BEE">
            <w:pPr>
              <w:widowControl/>
              <w:adjustRightInd/>
              <w:snapToGrid/>
              <w:spacing w:line="240" w:lineRule="auto"/>
              <w:jc w:val="center"/>
              <w:rPr>
                <w:sz w:val="18"/>
                <w:szCs w:val="18"/>
              </w:rPr>
            </w:pPr>
            <w:r>
              <w:rPr>
                <w:rFonts w:hint="eastAsia"/>
                <w:color w:val="000000"/>
                <w:sz w:val="18"/>
                <w:szCs w:val="18"/>
              </w:rPr>
              <w:t>66.5</w:t>
            </w:r>
          </w:p>
        </w:tc>
        <w:tc>
          <w:tcPr>
            <w:tcW w:w="880" w:type="dxa"/>
            <w:noWrap/>
            <w:vAlign w:val="center"/>
          </w:tcPr>
          <w:p w14:paraId="7789EEA7">
            <w:pPr>
              <w:widowControl/>
              <w:adjustRightInd/>
              <w:snapToGrid/>
              <w:spacing w:line="240" w:lineRule="auto"/>
              <w:jc w:val="center"/>
              <w:rPr>
                <w:sz w:val="18"/>
                <w:szCs w:val="18"/>
              </w:rPr>
            </w:pPr>
            <w:r>
              <w:rPr>
                <w:color w:val="000000"/>
                <w:sz w:val="18"/>
                <w:szCs w:val="18"/>
              </w:rPr>
              <w:t xml:space="preserve">66.7 </w:t>
            </w:r>
          </w:p>
        </w:tc>
        <w:tc>
          <w:tcPr>
            <w:tcW w:w="880" w:type="dxa"/>
            <w:noWrap/>
            <w:vAlign w:val="center"/>
          </w:tcPr>
          <w:p w14:paraId="01956AAB">
            <w:pPr>
              <w:widowControl/>
              <w:adjustRightInd/>
              <w:snapToGrid/>
              <w:spacing w:line="240" w:lineRule="auto"/>
              <w:jc w:val="center"/>
              <w:rPr>
                <w:sz w:val="18"/>
                <w:szCs w:val="18"/>
              </w:rPr>
            </w:pPr>
            <w:r>
              <w:rPr>
                <w:color w:val="000000"/>
                <w:sz w:val="18"/>
                <w:szCs w:val="18"/>
              </w:rPr>
              <w:t xml:space="preserve">14.7 </w:t>
            </w:r>
          </w:p>
        </w:tc>
        <w:tc>
          <w:tcPr>
            <w:tcW w:w="881" w:type="dxa"/>
            <w:noWrap/>
            <w:vAlign w:val="center"/>
          </w:tcPr>
          <w:p w14:paraId="5C29C81C">
            <w:pPr>
              <w:widowControl/>
              <w:adjustRightInd/>
              <w:snapToGrid/>
              <w:spacing w:line="240" w:lineRule="auto"/>
              <w:jc w:val="center"/>
              <w:rPr>
                <w:sz w:val="18"/>
                <w:szCs w:val="18"/>
              </w:rPr>
            </w:pPr>
            <w:r>
              <w:rPr>
                <w:color w:val="000000"/>
                <w:sz w:val="18"/>
                <w:szCs w:val="18"/>
              </w:rPr>
              <w:t xml:space="preserve">6.7 </w:t>
            </w:r>
          </w:p>
        </w:tc>
      </w:tr>
      <w:tr w14:paraId="2B6AD1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6603CE25">
            <w:pPr>
              <w:widowControl/>
              <w:adjustRightInd/>
              <w:snapToGrid/>
              <w:spacing w:line="240" w:lineRule="auto"/>
              <w:jc w:val="center"/>
              <w:rPr>
                <w:sz w:val="18"/>
                <w:szCs w:val="18"/>
              </w:rPr>
            </w:pPr>
            <w:r>
              <w:rPr>
                <w:rFonts w:hint="eastAsia"/>
                <w:sz w:val="18"/>
                <w:szCs w:val="18"/>
              </w:rPr>
              <w:t>76</w:t>
            </w:r>
          </w:p>
        </w:tc>
        <w:tc>
          <w:tcPr>
            <w:tcW w:w="673" w:type="dxa"/>
            <w:vMerge w:val="continue"/>
            <w:vAlign w:val="center"/>
          </w:tcPr>
          <w:p w14:paraId="3B08574E">
            <w:pPr>
              <w:widowControl/>
              <w:adjustRightInd/>
              <w:snapToGrid/>
              <w:spacing w:line="240" w:lineRule="auto"/>
              <w:jc w:val="left"/>
              <w:rPr>
                <w:kern w:val="0"/>
                <w:sz w:val="18"/>
                <w:szCs w:val="18"/>
              </w:rPr>
            </w:pPr>
          </w:p>
        </w:tc>
        <w:tc>
          <w:tcPr>
            <w:tcW w:w="595" w:type="dxa"/>
            <w:vMerge w:val="continue"/>
            <w:vAlign w:val="center"/>
          </w:tcPr>
          <w:p w14:paraId="4A0A1A76">
            <w:pPr>
              <w:widowControl/>
              <w:adjustRightInd/>
              <w:snapToGrid/>
              <w:spacing w:line="240" w:lineRule="auto"/>
              <w:jc w:val="center"/>
              <w:rPr>
                <w:kern w:val="0"/>
                <w:sz w:val="18"/>
                <w:szCs w:val="18"/>
              </w:rPr>
            </w:pPr>
          </w:p>
        </w:tc>
        <w:tc>
          <w:tcPr>
            <w:tcW w:w="567" w:type="dxa"/>
            <w:vMerge w:val="continue"/>
            <w:vAlign w:val="center"/>
          </w:tcPr>
          <w:p w14:paraId="00A5F384">
            <w:pPr>
              <w:widowControl/>
              <w:adjustRightInd/>
              <w:snapToGrid/>
              <w:spacing w:line="240" w:lineRule="auto"/>
              <w:jc w:val="left"/>
              <w:rPr>
                <w:kern w:val="0"/>
                <w:sz w:val="18"/>
                <w:szCs w:val="18"/>
              </w:rPr>
            </w:pPr>
          </w:p>
        </w:tc>
        <w:tc>
          <w:tcPr>
            <w:tcW w:w="426" w:type="dxa"/>
            <w:noWrap/>
            <w:vAlign w:val="center"/>
          </w:tcPr>
          <w:p w14:paraId="797BCFD6">
            <w:pPr>
              <w:widowControl/>
              <w:adjustRightInd/>
              <w:snapToGrid/>
              <w:spacing w:line="240" w:lineRule="auto"/>
              <w:jc w:val="center"/>
              <w:rPr>
                <w:sz w:val="18"/>
                <w:szCs w:val="18"/>
              </w:rPr>
            </w:pPr>
            <w:r>
              <w:rPr>
                <w:sz w:val="18"/>
                <w:szCs w:val="18"/>
              </w:rPr>
              <w:t>夜间</w:t>
            </w:r>
          </w:p>
        </w:tc>
        <w:tc>
          <w:tcPr>
            <w:tcW w:w="708" w:type="dxa"/>
            <w:noWrap/>
            <w:vAlign w:val="center"/>
          </w:tcPr>
          <w:p w14:paraId="1DE1507D">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67D98148">
            <w:pPr>
              <w:widowControl/>
              <w:adjustRightInd/>
              <w:snapToGrid/>
              <w:spacing w:line="240" w:lineRule="auto"/>
              <w:jc w:val="center"/>
              <w:rPr>
                <w:sz w:val="18"/>
                <w:szCs w:val="18"/>
              </w:rPr>
            </w:pPr>
          </w:p>
        </w:tc>
        <w:tc>
          <w:tcPr>
            <w:tcW w:w="709" w:type="dxa"/>
            <w:vMerge w:val="continue"/>
            <w:noWrap/>
            <w:vAlign w:val="center"/>
          </w:tcPr>
          <w:p w14:paraId="1E419800">
            <w:pPr>
              <w:widowControl/>
              <w:adjustRightInd/>
              <w:snapToGrid/>
              <w:spacing w:line="240" w:lineRule="auto"/>
              <w:jc w:val="center"/>
              <w:rPr>
                <w:sz w:val="18"/>
                <w:szCs w:val="18"/>
              </w:rPr>
            </w:pPr>
          </w:p>
        </w:tc>
        <w:tc>
          <w:tcPr>
            <w:tcW w:w="880" w:type="dxa"/>
          </w:tcPr>
          <w:p w14:paraId="5CD1AAD9">
            <w:pPr>
              <w:widowControl/>
              <w:adjustRightInd/>
              <w:snapToGrid/>
              <w:spacing w:line="240" w:lineRule="auto"/>
              <w:jc w:val="center"/>
              <w:rPr>
                <w:kern w:val="0"/>
                <w:sz w:val="18"/>
                <w:szCs w:val="18"/>
              </w:rPr>
            </w:pPr>
            <w:r>
              <w:rPr>
                <w:rFonts w:hint="eastAsia"/>
                <w:color w:val="000000"/>
                <w:sz w:val="18"/>
                <w:szCs w:val="18"/>
              </w:rPr>
              <w:t>51.9</w:t>
            </w:r>
          </w:p>
        </w:tc>
        <w:tc>
          <w:tcPr>
            <w:tcW w:w="880" w:type="dxa"/>
            <w:vAlign w:val="center"/>
          </w:tcPr>
          <w:p w14:paraId="52FBA4E8">
            <w:pPr>
              <w:widowControl/>
              <w:adjustRightInd/>
              <w:snapToGrid/>
              <w:spacing w:line="240" w:lineRule="auto"/>
              <w:jc w:val="center"/>
              <w:rPr>
                <w:kern w:val="0"/>
                <w:sz w:val="18"/>
                <w:szCs w:val="18"/>
              </w:rPr>
            </w:pPr>
            <w:r>
              <w:rPr>
                <w:color w:val="000000"/>
                <w:sz w:val="18"/>
                <w:szCs w:val="18"/>
              </w:rPr>
              <w:t xml:space="preserve">52.4 </w:t>
            </w:r>
          </w:p>
        </w:tc>
        <w:tc>
          <w:tcPr>
            <w:tcW w:w="881" w:type="dxa"/>
            <w:vAlign w:val="center"/>
          </w:tcPr>
          <w:p w14:paraId="0A674021">
            <w:pPr>
              <w:widowControl/>
              <w:adjustRightInd/>
              <w:snapToGrid/>
              <w:spacing w:line="240" w:lineRule="auto"/>
              <w:jc w:val="center"/>
              <w:rPr>
                <w:kern w:val="0"/>
                <w:sz w:val="18"/>
                <w:szCs w:val="18"/>
              </w:rPr>
            </w:pPr>
            <w:r>
              <w:rPr>
                <w:rFonts w:hint="eastAsia"/>
                <w:color w:val="000000"/>
                <w:sz w:val="18"/>
                <w:szCs w:val="18"/>
              </w:rPr>
              <w:t xml:space="preserve">9.4 </w:t>
            </w:r>
          </w:p>
        </w:tc>
        <w:tc>
          <w:tcPr>
            <w:tcW w:w="880" w:type="dxa"/>
            <w:vAlign w:val="center"/>
          </w:tcPr>
          <w:p w14:paraId="3EC5B5BE">
            <w:pPr>
              <w:widowControl/>
              <w:adjustRightInd/>
              <w:snapToGrid/>
              <w:spacing w:line="240" w:lineRule="auto"/>
              <w:jc w:val="center"/>
              <w:rPr>
                <w:kern w:val="0"/>
                <w:sz w:val="18"/>
                <w:szCs w:val="18"/>
              </w:rPr>
            </w:pPr>
            <w:r>
              <w:rPr>
                <w:rFonts w:hint="eastAsia"/>
                <w:color w:val="000000"/>
                <w:sz w:val="18"/>
                <w:szCs w:val="18"/>
              </w:rPr>
              <w:t xml:space="preserve">2.4 </w:t>
            </w:r>
          </w:p>
        </w:tc>
        <w:tc>
          <w:tcPr>
            <w:tcW w:w="880" w:type="dxa"/>
            <w:noWrap/>
            <w:vAlign w:val="center"/>
          </w:tcPr>
          <w:p w14:paraId="39B2C13A">
            <w:pPr>
              <w:widowControl/>
              <w:adjustRightInd/>
              <w:snapToGrid/>
              <w:spacing w:line="240" w:lineRule="auto"/>
              <w:jc w:val="center"/>
              <w:rPr>
                <w:kern w:val="0"/>
                <w:sz w:val="18"/>
                <w:szCs w:val="18"/>
              </w:rPr>
            </w:pPr>
            <w:r>
              <w:rPr>
                <w:kern w:val="0"/>
                <w:sz w:val="18"/>
                <w:szCs w:val="18"/>
              </w:rPr>
              <w:t>52.8</w:t>
            </w:r>
          </w:p>
        </w:tc>
        <w:tc>
          <w:tcPr>
            <w:tcW w:w="881" w:type="dxa"/>
            <w:noWrap/>
            <w:vAlign w:val="center"/>
          </w:tcPr>
          <w:p w14:paraId="19ABAA76">
            <w:pPr>
              <w:widowControl/>
              <w:adjustRightInd/>
              <w:snapToGrid/>
              <w:spacing w:line="240" w:lineRule="auto"/>
              <w:jc w:val="center"/>
              <w:rPr>
                <w:sz w:val="18"/>
                <w:szCs w:val="18"/>
              </w:rPr>
            </w:pPr>
            <w:r>
              <w:rPr>
                <w:color w:val="000000"/>
                <w:sz w:val="18"/>
                <w:szCs w:val="18"/>
              </w:rPr>
              <w:t xml:space="preserve">53.2 </w:t>
            </w:r>
          </w:p>
        </w:tc>
        <w:tc>
          <w:tcPr>
            <w:tcW w:w="880" w:type="dxa"/>
            <w:noWrap/>
            <w:vAlign w:val="center"/>
          </w:tcPr>
          <w:p w14:paraId="69B722EB">
            <w:pPr>
              <w:widowControl/>
              <w:adjustRightInd/>
              <w:snapToGrid/>
              <w:spacing w:line="240" w:lineRule="auto"/>
              <w:jc w:val="center"/>
              <w:rPr>
                <w:sz w:val="18"/>
                <w:szCs w:val="18"/>
              </w:rPr>
            </w:pPr>
            <w:r>
              <w:rPr>
                <w:color w:val="000000"/>
                <w:sz w:val="18"/>
                <w:szCs w:val="18"/>
              </w:rPr>
              <w:t xml:space="preserve">10.2 </w:t>
            </w:r>
          </w:p>
        </w:tc>
        <w:tc>
          <w:tcPr>
            <w:tcW w:w="880" w:type="dxa"/>
            <w:noWrap/>
            <w:vAlign w:val="center"/>
          </w:tcPr>
          <w:p w14:paraId="31C37819">
            <w:pPr>
              <w:widowControl/>
              <w:adjustRightInd/>
              <w:snapToGrid/>
              <w:spacing w:line="240" w:lineRule="auto"/>
              <w:jc w:val="center"/>
              <w:rPr>
                <w:sz w:val="18"/>
                <w:szCs w:val="18"/>
              </w:rPr>
            </w:pPr>
            <w:r>
              <w:rPr>
                <w:color w:val="000000"/>
                <w:sz w:val="18"/>
                <w:szCs w:val="18"/>
              </w:rPr>
              <w:t xml:space="preserve">3.2 </w:t>
            </w:r>
          </w:p>
        </w:tc>
        <w:tc>
          <w:tcPr>
            <w:tcW w:w="881" w:type="dxa"/>
            <w:noWrap/>
            <w:vAlign w:val="center"/>
          </w:tcPr>
          <w:p w14:paraId="32E3320C">
            <w:pPr>
              <w:widowControl/>
              <w:adjustRightInd/>
              <w:snapToGrid/>
              <w:spacing w:line="240" w:lineRule="auto"/>
              <w:jc w:val="center"/>
              <w:rPr>
                <w:sz w:val="18"/>
                <w:szCs w:val="18"/>
              </w:rPr>
            </w:pPr>
            <w:r>
              <w:rPr>
                <w:rFonts w:hint="eastAsia"/>
                <w:color w:val="000000"/>
                <w:sz w:val="18"/>
                <w:szCs w:val="18"/>
              </w:rPr>
              <w:t>53.7</w:t>
            </w:r>
          </w:p>
        </w:tc>
        <w:tc>
          <w:tcPr>
            <w:tcW w:w="880" w:type="dxa"/>
            <w:noWrap/>
            <w:vAlign w:val="center"/>
          </w:tcPr>
          <w:p w14:paraId="5103BD77">
            <w:pPr>
              <w:widowControl/>
              <w:adjustRightInd/>
              <w:snapToGrid/>
              <w:spacing w:line="240" w:lineRule="auto"/>
              <w:jc w:val="center"/>
              <w:rPr>
                <w:sz w:val="18"/>
                <w:szCs w:val="18"/>
              </w:rPr>
            </w:pPr>
            <w:r>
              <w:rPr>
                <w:color w:val="000000"/>
                <w:sz w:val="18"/>
                <w:szCs w:val="18"/>
              </w:rPr>
              <w:t xml:space="preserve">54.1 </w:t>
            </w:r>
          </w:p>
        </w:tc>
        <w:tc>
          <w:tcPr>
            <w:tcW w:w="880" w:type="dxa"/>
            <w:noWrap/>
            <w:vAlign w:val="center"/>
          </w:tcPr>
          <w:p w14:paraId="17886689">
            <w:pPr>
              <w:widowControl/>
              <w:adjustRightInd/>
              <w:snapToGrid/>
              <w:spacing w:line="240" w:lineRule="auto"/>
              <w:jc w:val="center"/>
              <w:rPr>
                <w:sz w:val="18"/>
                <w:szCs w:val="18"/>
              </w:rPr>
            </w:pPr>
            <w:r>
              <w:rPr>
                <w:color w:val="000000"/>
                <w:sz w:val="18"/>
                <w:szCs w:val="18"/>
              </w:rPr>
              <w:t xml:space="preserve">11.1 </w:t>
            </w:r>
          </w:p>
        </w:tc>
        <w:tc>
          <w:tcPr>
            <w:tcW w:w="881" w:type="dxa"/>
            <w:noWrap/>
            <w:vAlign w:val="center"/>
          </w:tcPr>
          <w:p w14:paraId="66D24340">
            <w:pPr>
              <w:widowControl/>
              <w:adjustRightInd/>
              <w:snapToGrid/>
              <w:spacing w:line="240" w:lineRule="auto"/>
              <w:jc w:val="center"/>
              <w:rPr>
                <w:sz w:val="18"/>
                <w:szCs w:val="18"/>
              </w:rPr>
            </w:pPr>
            <w:r>
              <w:rPr>
                <w:color w:val="000000"/>
                <w:sz w:val="18"/>
                <w:szCs w:val="18"/>
              </w:rPr>
              <w:t xml:space="preserve">4.1 </w:t>
            </w:r>
          </w:p>
        </w:tc>
      </w:tr>
      <w:tr w14:paraId="38ADA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C037B16">
            <w:pPr>
              <w:widowControl/>
              <w:adjustRightInd/>
              <w:snapToGrid/>
              <w:spacing w:line="240" w:lineRule="auto"/>
              <w:jc w:val="center"/>
              <w:rPr>
                <w:sz w:val="18"/>
                <w:szCs w:val="18"/>
              </w:rPr>
            </w:pPr>
            <w:r>
              <w:rPr>
                <w:rFonts w:hint="eastAsia"/>
                <w:sz w:val="18"/>
                <w:szCs w:val="18"/>
              </w:rPr>
              <w:t>77</w:t>
            </w:r>
          </w:p>
        </w:tc>
        <w:tc>
          <w:tcPr>
            <w:tcW w:w="673" w:type="dxa"/>
            <w:vMerge w:val="continue"/>
            <w:vAlign w:val="center"/>
          </w:tcPr>
          <w:p w14:paraId="6C95D19B">
            <w:pPr>
              <w:widowControl/>
              <w:adjustRightInd/>
              <w:snapToGrid/>
              <w:spacing w:line="240" w:lineRule="auto"/>
              <w:jc w:val="left"/>
              <w:rPr>
                <w:kern w:val="0"/>
                <w:sz w:val="18"/>
                <w:szCs w:val="18"/>
              </w:rPr>
            </w:pPr>
          </w:p>
        </w:tc>
        <w:tc>
          <w:tcPr>
            <w:tcW w:w="595" w:type="dxa"/>
            <w:vMerge w:val="restart"/>
            <w:vAlign w:val="center"/>
          </w:tcPr>
          <w:p w14:paraId="4A97269D">
            <w:pPr>
              <w:widowControl/>
              <w:adjustRightInd/>
              <w:snapToGrid/>
              <w:spacing w:line="240" w:lineRule="auto"/>
              <w:jc w:val="center"/>
              <w:rPr>
                <w:kern w:val="0"/>
                <w:sz w:val="18"/>
                <w:szCs w:val="18"/>
              </w:rPr>
            </w:pPr>
            <w:r>
              <w:rPr>
                <w:kern w:val="0"/>
                <w:sz w:val="18"/>
                <w:szCs w:val="18"/>
              </w:rPr>
              <w:t>46.2</w:t>
            </w:r>
          </w:p>
        </w:tc>
        <w:tc>
          <w:tcPr>
            <w:tcW w:w="567" w:type="dxa"/>
            <w:vMerge w:val="continue"/>
            <w:vAlign w:val="center"/>
          </w:tcPr>
          <w:p w14:paraId="23B11FE4">
            <w:pPr>
              <w:widowControl/>
              <w:adjustRightInd/>
              <w:snapToGrid/>
              <w:spacing w:line="240" w:lineRule="auto"/>
              <w:jc w:val="left"/>
              <w:rPr>
                <w:kern w:val="0"/>
                <w:sz w:val="18"/>
                <w:szCs w:val="18"/>
              </w:rPr>
            </w:pPr>
          </w:p>
        </w:tc>
        <w:tc>
          <w:tcPr>
            <w:tcW w:w="426" w:type="dxa"/>
            <w:noWrap/>
            <w:vAlign w:val="center"/>
          </w:tcPr>
          <w:p w14:paraId="5D2132E9">
            <w:pPr>
              <w:widowControl/>
              <w:adjustRightInd/>
              <w:snapToGrid/>
              <w:spacing w:line="240" w:lineRule="auto"/>
              <w:jc w:val="center"/>
              <w:rPr>
                <w:sz w:val="18"/>
                <w:szCs w:val="18"/>
              </w:rPr>
            </w:pPr>
            <w:r>
              <w:rPr>
                <w:sz w:val="18"/>
                <w:szCs w:val="18"/>
              </w:rPr>
              <w:t>昼间</w:t>
            </w:r>
          </w:p>
        </w:tc>
        <w:tc>
          <w:tcPr>
            <w:tcW w:w="708" w:type="dxa"/>
            <w:noWrap/>
            <w:vAlign w:val="center"/>
          </w:tcPr>
          <w:p w14:paraId="5DAB009D">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04437D6D">
            <w:pPr>
              <w:widowControl/>
              <w:adjustRightInd/>
              <w:snapToGrid/>
              <w:spacing w:line="240" w:lineRule="auto"/>
              <w:jc w:val="center"/>
              <w:rPr>
                <w:sz w:val="18"/>
                <w:szCs w:val="18"/>
              </w:rPr>
            </w:pPr>
          </w:p>
        </w:tc>
        <w:tc>
          <w:tcPr>
            <w:tcW w:w="709" w:type="dxa"/>
            <w:vMerge w:val="continue"/>
            <w:noWrap/>
            <w:vAlign w:val="center"/>
          </w:tcPr>
          <w:p w14:paraId="2C2F71C6">
            <w:pPr>
              <w:widowControl/>
              <w:adjustRightInd/>
              <w:snapToGrid/>
              <w:spacing w:line="240" w:lineRule="auto"/>
              <w:jc w:val="center"/>
              <w:rPr>
                <w:sz w:val="18"/>
                <w:szCs w:val="18"/>
              </w:rPr>
            </w:pPr>
          </w:p>
        </w:tc>
        <w:tc>
          <w:tcPr>
            <w:tcW w:w="880" w:type="dxa"/>
          </w:tcPr>
          <w:p w14:paraId="39E0FF32">
            <w:pPr>
              <w:widowControl/>
              <w:adjustRightInd/>
              <w:snapToGrid/>
              <w:spacing w:line="240" w:lineRule="auto"/>
              <w:jc w:val="center"/>
              <w:rPr>
                <w:kern w:val="0"/>
                <w:sz w:val="18"/>
                <w:szCs w:val="18"/>
              </w:rPr>
            </w:pPr>
            <w:r>
              <w:rPr>
                <w:rFonts w:hint="eastAsia"/>
                <w:color w:val="000000"/>
                <w:sz w:val="18"/>
                <w:szCs w:val="18"/>
              </w:rPr>
              <w:t>63.4</w:t>
            </w:r>
          </w:p>
        </w:tc>
        <w:tc>
          <w:tcPr>
            <w:tcW w:w="880" w:type="dxa"/>
            <w:vAlign w:val="center"/>
          </w:tcPr>
          <w:p w14:paraId="57BBE978">
            <w:pPr>
              <w:widowControl/>
              <w:adjustRightInd/>
              <w:snapToGrid/>
              <w:spacing w:line="240" w:lineRule="auto"/>
              <w:jc w:val="center"/>
              <w:rPr>
                <w:kern w:val="0"/>
                <w:sz w:val="18"/>
                <w:szCs w:val="18"/>
              </w:rPr>
            </w:pPr>
            <w:r>
              <w:rPr>
                <w:color w:val="000000"/>
                <w:sz w:val="18"/>
                <w:szCs w:val="18"/>
              </w:rPr>
              <w:t xml:space="preserve">63.7 </w:t>
            </w:r>
          </w:p>
        </w:tc>
        <w:tc>
          <w:tcPr>
            <w:tcW w:w="881" w:type="dxa"/>
            <w:vAlign w:val="center"/>
          </w:tcPr>
          <w:p w14:paraId="378FD2C9">
            <w:pPr>
              <w:widowControl/>
              <w:adjustRightInd/>
              <w:snapToGrid/>
              <w:spacing w:line="240" w:lineRule="auto"/>
              <w:jc w:val="center"/>
              <w:rPr>
                <w:kern w:val="0"/>
                <w:sz w:val="18"/>
                <w:szCs w:val="18"/>
              </w:rPr>
            </w:pPr>
            <w:r>
              <w:rPr>
                <w:rFonts w:hint="eastAsia"/>
                <w:color w:val="000000"/>
                <w:sz w:val="18"/>
                <w:szCs w:val="18"/>
              </w:rPr>
              <w:t xml:space="preserve">11.7 </w:t>
            </w:r>
          </w:p>
        </w:tc>
        <w:tc>
          <w:tcPr>
            <w:tcW w:w="880" w:type="dxa"/>
            <w:vAlign w:val="center"/>
          </w:tcPr>
          <w:p w14:paraId="6732EBB4">
            <w:pPr>
              <w:widowControl/>
              <w:adjustRightInd/>
              <w:snapToGrid/>
              <w:spacing w:line="240" w:lineRule="auto"/>
              <w:jc w:val="center"/>
              <w:rPr>
                <w:kern w:val="0"/>
                <w:sz w:val="18"/>
                <w:szCs w:val="18"/>
              </w:rPr>
            </w:pPr>
            <w:r>
              <w:rPr>
                <w:rFonts w:hint="eastAsia"/>
                <w:color w:val="000000"/>
                <w:sz w:val="18"/>
                <w:szCs w:val="18"/>
              </w:rPr>
              <w:t xml:space="preserve">3.7 </w:t>
            </w:r>
          </w:p>
        </w:tc>
        <w:tc>
          <w:tcPr>
            <w:tcW w:w="880" w:type="dxa"/>
            <w:noWrap/>
            <w:vAlign w:val="center"/>
          </w:tcPr>
          <w:p w14:paraId="575F78F8">
            <w:pPr>
              <w:widowControl/>
              <w:adjustRightInd/>
              <w:snapToGrid/>
              <w:spacing w:line="240" w:lineRule="auto"/>
              <w:jc w:val="center"/>
              <w:rPr>
                <w:kern w:val="0"/>
                <w:sz w:val="18"/>
                <w:szCs w:val="18"/>
              </w:rPr>
            </w:pPr>
            <w:r>
              <w:rPr>
                <w:kern w:val="0"/>
                <w:sz w:val="18"/>
                <w:szCs w:val="18"/>
              </w:rPr>
              <w:t>64.3</w:t>
            </w:r>
          </w:p>
        </w:tc>
        <w:tc>
          <w:tcPr>
            <w:tcW w:w="881" w:type="dxa"/>
            <w:noWrap/>
            <w:vAlign w:val="center"/>
          </w:tcPr>
          <w:p w14:paraId="04B09B7D">
            <w:pPr>
              <w:widowControl/>
              <w:adjustRightInd/>
              <w:snapToGrid/>
              <w:spacing w:line="240" w:lineRule="auto"/>
              <w:jc w:val="center"/>
              <w:rPr>
                <w:sz w:val="18"/>
                <w:szCs w:val="18"/>
              </w:rPr>
            </w:pPr>
            <w:r>
              <w:rPr>
                <w:color w:val="000000"/>
                <w:sz w:val="18"/>
                <w:szCs w:val="18"/>
              </w:rPr>
              <w:t xml:space="preserve">64.5 </w:t>
            </w:r>
          </w:p>
        </w:tc>
        <w:tc>
          <w:tcPr>
            <w:tcW w:w="880" w:type="dxa"/>
            <w:noWrap/>
            <w:vAlign w:val="center"/>
          </w:tcPr>
          <w:p w14:paraId="0649B247">
            <w:pPr>
              <w:widowControl/>
              <w:adjustRightInd/>
              <w:snapToGrid/>
              <w:spacing w:line="240" w:lineRule="auto"/>
              <w:jc w:val="center"/>
              <w:rPr>
                <w:sz w:val="18"/>
                <w:szCs w:val="18"/>
              </w:rPr>
            </w:pPr>
            <w:r>
              <w:rPr>
                <w:color w:val="000000"/>
                <w:sz w:val="18"/>
                <w:szCs w:val="18"/>
              </w:rPr>
              <w:t xml:space="preserve">12.5 </w:t>
            </w:r>
          </w:p>
        </w:tc>
        <w:tc>
          <w:tcPr>
            <w:tcW w:w="880" w:type="dxa"/>
            <w:noWrap/>
            <w:vAlign w:val="center"/>
          </w:tcPr>
          <w:p w14:paraId="5448F32E">
            <w:pPr>
              <w:widowControl/>
              <w:adjustRightInd/>
              <w:snapToGrid/>
              <w:spacing w:line="240" w:lineRule="auto"/>
              <w:jc w:val="center"/>
              <w:rPr>
                <w:sz w:val="18"/>
                <w:szCs w:val="18"/>
              </w:rPr>
            </w:pPr>
            <w:r>
              <w:rPr>
                <w:color w:val="000000"/>
                <w:sz w:val="18"/>
                <w:szCs w:val="18"/>
              </w:rPr>
              <w:t xml:space="preserve">4.5 </w:t>
            </w:r>
          </w:p>
        </w:tc>
        <w:tc>
          <w:tcPr>
            <w:tcW w:w="881" w:type="dxa"/>
            <w:noWrap/>
            <w:vAlign w:val="center"/>
          </w:tcPr>
          <w:p w14:paraId="0DA61E0E">
            <w:pPr>
              <w:widowControl/>
              <w:adjustRightInd/>
              <w:snapToGrid/>
              <w:spacing w:line="240" w:lineRule="auto"/>
              <w:jc w:val="center"/>
              <w:rPr>
                <w:sz w:val="18"/>
                <w:szCs w:val="18"/>
              </w:rPr>
            </w:pPr>
            <w:r>
              <w:rPr>
                <w:rFonts w:hint="eastAsia"/>
                <w:color w:val="000000"/>
                <w:sz w:val="18"/>
                <w:szCs w:val="18"/>
              </w:rPr>
              <w:t>65.2</w:t>
            </w:r>
          </w:p>
        </w:tc>
        <w:tc>
          <w:tcPr>
            <w:tcW w:w="880" w:type="dxa"/>
            <w:noWrap/>
            <w:vAlign w:val="center"/>
          </w:tcPr>
          <w:p w14:paraId="38DBB99B">
            <w:pPr>
              <w:widowControl/>
              <w:adjustRightInd/>
              <w:snapToGrid/>
              <w:spacing w:line="240" w:lineRule="auto"/>
              <w:jc w:val="center"/>
              <w:rPr>
                <w:sz w:val="18"/>
                <w:szCs w:val="18"/>
              </w:rPr>
            </w:pPr>
            <w:r>
              <w:rPr>
                <w:color w:val="000000"/>
                <w:sz w:val="18"/>
                <w:szCs w:val="18"/>
              </w:rPr>
              <w:t xml:space="preserve">65.4 </w:t>
            </w:r>
          </w:p>
        </w:tc>
        <w:tc>
          <w:tcPr>
            <w:tcW w:w="880" w:type="dxa"/>
            <w:noWrap/>
            <w:vAlign w:val="center"/>
          </w:tcPr>
          <w:p w14:paraId="606C43D3">
            <w:pPr>
              <w:widowControl/>
              <w:adjustRightInd/>
              <w:snapToGrid/>
              <w:spacing w:line="240" w:lineRule="auto"/>
              <w:jc w:val="center"/>
              <w:rPr>
                <w:sz w:val="18"/>
                <w:szCs w:val="18"/>
              </w:rPr>
            </w:pPr>
            <w:r>
              <w:rPr>
                <w:color w:val="000000"/>
                <w:sz w:val="18"/>
                <w:szCs w:val="18"/>
              </w:rPr>
              <w:t xml:space="preserve">13.4 </w:t>
            </w:r>
          </w:p>
        </w:tc>
        <w:tc>
          <w:tcPr>
            <w:tcW w:w="881" w:type="dxa"/>
            <w:noWrap/>
            <w:vAlign w:val="center"/>
          </w:tcPr>
          <w:p w14:paraId="3472F1A9">
            <w:pPr>
              <w:widowControl/>
              <w:adjustRightInd/>
              <w:snapToGrid/>
              <w:spacing w:line="240" w:lineRule="auto"/>
              <w:jc w:val="center"/>
              <w:rPr>
                <w:sz w:val="18"/>
                <w:szCs w:val="18"/>
              </w:rPr>
            </w:pPr>
            <w:r>
              <w:rPr>
                <w:color w:val="000000"/>
                <w:sz w:val="18"/>
                <w:szCs w:val="18"/>
              </w:rPr>
              <w:t xml:space="preserve">5.4 </w:t>
            </w:r>
          </w:p>
        </w:tc>
      </w:tr>
      <w:tr w14:paraId="554DBF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79981AF1">
            <w:pPr>
              <w:widowControl/>
              <w:adjustRightInd/>
              <w:snapToGrid/>
              <w:spacing w:line="240" w:lineRule="auto"/>
              <w:jc w:val="center"/>
              <w:rPr>
                <w:sz w:val="18"/>
                <w:szCs w:val="18"/>
              </w:rPr>
            </w:pPr>
            <w:r>
              <w:rPr>
                <w:rFonts w:hint="eastAsia"/>
                <w:sz w:val="18"/>
                <w:szCs w:val="18"/>
              </w:rPr>
              <w:t>78</w:t>
            </w:r>
          </w:p>
        </w:tc>
        <w:tc>
          <w:tcPr>
            <w:tcW w:w="673" w:type="dxa"/>
            <w:vMerge w:val="continue"/>
            <w:vAlign w:val="center"/>
          </w:tcPr>
          <w:p w14:paraId="5B4E9585">
            <w:pPr>
              <w:widowControl/>
              <w:adjustRightInd/>
              <w:snapToGrid/>
              <w:spacing w:line="240" w:lineRule="auto"/>
              <w:jc w:val="left"/>
              <w:rPr>
                <w:kern w:val="0"/>
                <w:sz w:val="18"/>
                <w:szCs w:val="18"/>
              </w:rPr>
            </w:pPr>
          </w:p>
        </w:tc>
        <w:tc>
          <w:tcPr>
            <w:tcW w:w="595" w:type="dxa"/>
            <w:vMerge w:val="continue"/>
            <w:vAlign w:val="center"/>
          </w:tcPr>
          <w:p w14:paraId="70CB06D3">
            <w:pPr>
              <w:widowControl/>
              <w:adjustRightInd/>
              <w:snapToGrid/>
              <w:spacing w:line="240" w:lineRule="auto"/>
              <w:jc w:val="center"/>
              <w:rPr>
                <w:kern w:val="0"/>
                <w:sz w:val="18"/>
                <w:szCs w:val="18"/>
              </w:rPr>
            </w:pPr>
          </w:p>
        </w:tc>
        <w:tc>
          <w:tcPr>
            <w:tcW w:w="567" w:type="dxa"/>
            <w:vMerge w:val="continue"/>
            <w:vAlign w:val="center"/>
          </w:tcPr>
          <w:p w14:paraId="37D1C1FE">
            <w:pPr>
              <w:widowControl/>
              <w:adjustRightInd/>
              <w:snapToGrid/>
              <w:spacing w:line="240" w:lineRule="auto"/>
              <w:jc w:val="left"/>
              <w:rPr>
                <w:kern w:val="0"/>
                <w:sz w:val="18"/>
                <w:szCs w:val="18"/>
              </w:rPr>
            </w:pPr>
          </w:p>
        </w:tc>
        <w:tc>
          <w:tcPr>
            <w:tcW w:w="426" w:type="dxa"/>
            <w:noWrap/>
            <w:vAlign w:val="center"/>
          </w:tcPr>
          <w:p w14:paraId="050BF223">
            <w:pPr>
              <w:widowControl/>
              <w:adjustRightInd/>
              <w:snapToGrid/>
              <w:spacing w:line="240" w:lineRule="auto"/>
              <w:jc w:val="center"/>
              <w:rPr>
                <w:sz w:val="18"/>
                <w:szCs w:val="18"/>
              </w:rPr>
            </w:pPr>
            <w:r>
              <w:rPr>
                <w:sz w:val="18"/>
                <w:szCs w:val="18"/>
              </w:rPr>
              <w:t>夜间</w:t>
            </w:r>
          </w:p>
        </w:tc>
        <w:tc>
          <w:tcPr>
            <w:tcW w:w="708" w:type="dxa"/>
            <w:noWrap/>
            <w:vAlign w:val="center"/>
          </w:tcPr>
          <w:p w14:paraId="3654D96B">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7025BA41">
            <w:pPr>
              <w:widowControl/>
              <w:adjustRightInd/>
              <w:snapToGrid/>
              <w:spacing w:line="240" w:lineRule="auto"/>
              <w:jc w:val="center"/>
              <w:rPr>
                <w:sz w:val="18"/>
                <w:szCs w:val="18"/>
              </w:rPr>
            </w:pPr>
          </w:p>
        </w:tc>
        <w:tc>
          <w:tcPr>
            <w:tcW w:w="709" w:type="dxa"/>
            <w:vMerge w:val="continue"/>
            <w:noWrap/>
            <w:vAlign w:val="center"/>
          </w:tcPr>
          <w:p w14:paraId="72674E64">
            <w:pPr>
              <w:widowControl/>
              <w:adjustRightInd/>
              <w:snapToGrid/>
              <w:spacing w:line="240" w:lineRule="auto"/>
              <w:jc w:val="center"/>
              <w:rPr>
                <w:sz w:val="18"/>
                <w:szCs w:val="18"/>
              </w:rPr>
            </w:pPr>
          </w:p>
        </w:tc>
        <w:tc>
          <w:tcPr>
            <w:tcW w:w="880" w:type="dxa"/>
          </w:tcPr>
          <w:p w14:paraId="46E795F7">
            <w:pPr>
              <w:widowControl/>
              <w:adjustRightInd/>
              <w:snapToGrid/>
              <w:spacing w:line="240" w:lineRule="auto"/>
              <w:jc w:val="center"/>
              <w:rPr>
                <w:kern w:val="0"/>
                <w:sz w:val="18"/>
                <w:szCs w:val="18"/>
              </w:rPr>
            </w:pPr>
            <w:r>
              <w:rPr>
                <w:rFonts w:hint="eastAsia"/>
                <w:color w:val="000000"/>
                <w:sz w:val="18"/>
                <w:szCs w:val="18"/>
              </w:rPr>
              <w:t>50</w:t>
            </w:r>
          </w:p>
        </w:tc>
        <w:tc>
          <w:tcPr>
            <w:tcW w:w="880" w:type="dxa"/>
            <w:vAlign w:val="center"/>
          </w:tcPr>
          <w:p w14:paraId="7DF0C0D2">
            <w:pPr>
              <w:widowControl/>
              <w:adjustRightInd/>
              <w:snapToGrid/>
              <w:spacing w:line="240" w:lineRule="auto"/>
              <w:jc w:val="center"/>
              <w:rPr>
                <w:kern w:val="0"/>
                <w:sz w:val="18"/>
                <w:szCs w:val="18"/>
              </w:rPr>
            </w:pPr>
            <w:r>
              <w:rPr>
                <w:color w:val="000000"/>
                <w:sz w:val="18"/>
                <w:szCs w:val="18"/>
              </w:rPr>
              <w:t xml:space="preserve">50.8 </w:t>
            </w:r>
          </w:p>
        </w:tc>
        <w:tc>
          <w:tcPr>
            <w:tcW w:w="881" w:type="dxa"/>
            <w:vAlign w:val="center"/>
          </w:tcPr>
          <w:p w14:paraId="5778991E">
            <w:pPr>
              <w:widowControl/>
              <w:adjustRightInd/>
              <w:snapToGrid/>
              <w:spacing w:line="240" w:lineRule="auto"/>
              <w:jc w:val="center"/>
              <w:rPr>
                <w:kern w:val="0"/>
                <w:sz w:val="18"/>
                <w:szCs w:val="18"/>
              </w:rPr>
            </w:pPr>
            <w:r>
              <w:rPr>
                <w:rFonts w:hint="eastAsia"/>
                <w:color w:val="000000"/>
                <w:sz w:val="18"/>
                <w:szCs w:val="18"/>
              </w:rPr>
              <w:t xml:space="preserve">7.8 </w:t>
            </w:r>
          </w:p>
        </w:tc>
        <w:tc>
          <w:tcPr>
            <w:tcW w:w="880" w:type="dxa"/>
            <w:vAlign w:val="center"/>
          </w:tcPr>
          <w:p w14:paraId="590A888E">
            <w:pPr>
              <w:widowControl/>
              <w:adjustRightInd/>
              <w:snapToGrid/>
              <w:spacing w:line="240" w:lineRule="auto"/>
              <w:jc w:val="center"/>
              <w:rPr>
                <w:kern w:val="0"/>
                <w:sz w:val="18"/>
                <w:szCs w:val="18"/>
              </w:rPr>
            </w:pPr>
            <w:r>
              <w:rPr>
                <w:rFonts w:hint="eastAsia"/>
                <w:color w:val="000000"/>
                <w:sz w:val="18"/>
                <w:szCs w:val="18"/>
              </w:rPr>
              <w:t xml:space="preserve">0.8 </w:t>
            </w:r>
          </w:p>
        </w:tc>
        <w:tc>
          <w:tcPr>
            <w:tcW w:w="880" w:type="dxa"/>
            <w:noWrap/>
            <w:vAlign w:val="center"/>
          </w:tcPr>
          <w:p w14:paraId="1C8995A5">
            <w:pPr>
              <w:widowControl/>
              <w:adjustRightInd/>
              <w:snapToGrid/>
              <w:spacing w:line="240" w:lineRule="auto"/>
              <w:jc w:val="center"/>
              <w:rPr>
                <w:kern w:val="0"/>
                <w:sz w:val="18"/>
                <w:szCs w:val="18"/>
              </w:rPr>
            </w:pPr>
            <w:r>
              <w:rPr>
                <w:kern w:val="0"/>
                <w:sz w:val="18"/>
                <w:szCs w:val="18"/>
              </w:rPr>
              <w:t>50.9</w:t>
            </w:r>
          </w:p>
        </w:tc>
        <w:tc>
          <w:tcPr>
            <w:tcW w:w="881" w:type="dxa"/>
            <w:noWrap/>
            <w:vAlign w:val="center"/>
          </w:tcPr>
          <w:p w14:paraId="653EA319">
            <w:pPr>
              <w:widowControl/>
              <w:adjustRightInd/>
              <w:snapToGrid/>
              <w:spacing w:line="240" w:lineRule="auto"/>
              <w:jc w:val="center"/>
              <w:rPr>
                <w:sz w:val="18"/>
                <w:szCs w:val="18"/>
              </w:rPr>
            </w:pPr>
            <w:r>
              <w:rPr>
                <w:color w:val="000000"/>
                <w:sz w:val="18"/>
                <w:szCs w:val="18"/>
              </w:rPr>
              <w:t xml:space="preserve">51.6 </w:t>
            </w:r>
          </w:p>
        </w:tc>
        <w:tc>
          <w:tcPr>
            <w:tcW w:w="880" w:type="dxa"/>
            <w:noWrap/>
            <w:vAlign w:val="center"/>
          </w:tcPr>
          <w:p w14:paraId="2F03E3DA">
            <w:pPr>
              <w:widowControl/>
              <w:adjustRightInd/>
              <w:snapToGrid/>
              <w:spacing w:line="240" w:lineRule="auto"/>
              <w:jc w:val="center"/>
              <w:rPr>
                <w:sz w:val="18"/>
                <w:szCs w:val="18"/>
              </w:rPr>
            </w:pPr>
            <w:r>
              <w:rPr>
                <w:color w:val="000000"/>
                <w:sz w:val="18"/>
                <w:szCs w:val="18"/>
              </w:rPr>
              <w:t xml:space="preserve">8.6 </w:t>
            </w:r>
          </w:p>
        </w:tc>
        <w:tc>
          <w:tcPr>
            <w:tcW w:w="880" w:type="dxa"/>
            <w:noWrap/>
            <w:vAlign w:val="center"/>
          </w:tcPr>
          <w:p w14:paraId="43490001">
            <w:pPr>
              <w:widowControl/>
              <w:adjustRightInd/>
              <w:snapToGrid/>
              <w:spacing w:line="240" w:lineRule="auto"/>
              <w:jc w:val="center"/>
              <w:rPr>
                <w:sz w:val="18"/>
                <w:szCs w:val="18"/>
              </w:rPr>
            </w:pPr>
            <w:r>
              <w:rPr>
                <w:color w:val="000000"/>
                <w:sz w:val="18"/>
                <w:szCs w:val="18"/>
              </w:rPr>
              <w:t xml:space="preserve">1.6 </w:t>
            </w:r>
          </w:p>
        </w:tc>
        <w:tc>
          <w:tcPr>
            <w:tcW w:w="881" w:type="dxa"/>
            <w:noWrap/>
            <w:vAlign w:val="center"/>
          </w:tcPr>
          <w:p w14:paraId="62921016">
            <w:pPr>
              <w:widowControl/>
              <w:adjustRightInd/>
              <w:snapToGrid/>
              <w:spacing w:line="240" w:lineRule="auto"/>
              <w:jc w:val="center"/>
              <w:rPr>
                <w:sz w:val="18"/>
                <w:szCs w:val="18"/>
              </w:rPr>
            </w:pPr>
            <w:r>
              <w:rPr>
                <w:rFonts w:hint="eastAsia"/>
                <w:color w:val="000000"/>
                <w:sz w:val="18"/>
                <w:szCs w:val="18"/>
              </w:rPr>
              <w:t>51.8</w:t>
            </w:r>
          </w:p>
        </w:tc>
        <w:tc>
          <w:tcPr>
            <w:tcW w:w="880" w:type="dxa"/>
            <w:noWrap/>
            <w:vAlign w:val="center"/>
          </w:tcPr>
          <w:p w14:paraId="18800126">
            <w:pPr>
              <w:widowControl/>
              <w:adjustRightInd/>
              <w:snapToGrid/>
              <w:spacing w:line="240" w:lineRule="auto"/>
              <w:jc w:val="center"/>
              <w:rPr>
                <w:sz w:val="18"/>
                <w:szCs w:val="18"/>
              </w:rPr>
            </w:pPr>
            <w:r>
              <w:rPr>
                <w:color w:val="000000"/>
                <w:sz w:val="18"/>
                <w:szCs w:val="18"/>
              </w:rPr>
              <w:t xml:space="preserve">52.3 </w:t>
            </w:r>
          </w:p>
        </w:tc>
        <w:tc>
          <w:tcPr>
            <w:tcW w:w="880" w:type="dxa"/>
            <w:noWrap/>
            <w:vAlign w:val="center"/>
          </w:tcPr>
          <w:p w14:paraId="01B8CA87">
            <w:pPr>
              <w:widowControl/>
              <w:adjustRightInd/>
              <w:snapToGrid/>
              <w:spacing w:line="240" w:lineRule="auto"/>
              <w:jc w:val="center"/>
              <w:rPr>
                <w:sz w:val="18"/>
                <w:szCs w:val="18"/>
              </w:rPr>
            </w:pPr>
            <w:r>
              <w:rPr>
                <w:color w:val="000000"/>
                <w:sz w:val="18"/>
                <w:szCs w:val="18"/>
              </w:rPr>
              <w:t xml:space="preserve">9.3 </w:t>
            </w:r>
          </w:p>
        </w:tc>
        <w:tc>
          <w:tcPr>
            <w:tcW w:w="881" w:type="dxa"/>
            <w:noWrap/>
            <w:vAlign w:val="center"/>
          </w:tcPr>
          <w:p w14:paraId="293E479B">
            <w:pPr>
              <w:widowControl/>
              <w:adjustRightInd/>
              <w:snapToGrid/>
              <w:spacing w:line="240" w:lineRule="auto"/>
              <w:jc w:val="center"/>
              <w:rPr>
                <w:sz w:val="18"/>
                <w:szCs w:val="18"/>
              </w:rPr>
            </w:pPr>
            <w:r>
              <w:rPr>
                <w:color w:val="000000"/>
                <w:sz w:val="18"/>
                <w:szCs w:val="18"/>
              </w:rPr>
              <w:t xml:space="preserve">2.3 </w:t>
            </w:r>
          </w:p>
        </w:tc>
      </w:tr>
      <w:tr w14:paraId="51908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22B3D451">
            <w:pPr>
              <w:widowControl/>
              <w:adjustRightInd/>
              <w:snapToGrid/>
              <w:spacing w:line="240" w:lineRule="auto"/>
              <w:jc w:val="center"/>
              <w:rPr>
                <w:sz w:val="18"/>
                <w:szCs w:val="18"/>
              </w:rPr>
            </w:pPr>
            <w:r>
              <w:rPr>
                <w:rFonts w:hint="eastAsia"/>
                <w:sz w:val="18"/>
                <w:szCs w:val="18"/>
              </w:rPr>
              <w:t>79</w:t>
            </w:r>
          </w:p>
        </w:tc>
        <w:tc>
          <w:tcPr>
            <w:tcW w:w="673" w:type="dxa"/>
            <w:vMerge w:val="continue"/>
            <w:vAlign w:val="center"/>
          </w:tcPr>
          <w:p w14:paraId="67E4E65D">
            <w:pPr>
              <w:widowControl/>
              <w:adjustRightInd/>
              <w:snapToGrid/>
              <w:spacing w:line="240" w:lineRule="auto"/>
              <w:jc w:val="left"/>
              <w:rPr>
                <w:kern w:val="0"/>
                <w:sz w:val="18"/>
                <w:szCs w:val="18"/>
              </w:rPr>
            </w:pPr>
          </w:p>
        </w:tc>
        <w:tc>
          <w:tcPr>
            <w:tcW w:w="595" w:type="dxa"/>
            <w:vMerge w:val="restart"/>
            <w:vAlign w:val="center"/>
          </w:tcPr>
          <w:p w14:paraId="53666DCD">
            <w:pPr>
              <w:widowControl/>
              <w:adjustRightInd/>
              <w:snapToGrid/>
              <w:spacing w:line="240" w:lineRule="auto"/>
              <w:jc w:val="center"/>
              <w:rPr>
                <w:kern w:val="0"/>
                <w:sz w:val="18"/>
                <w:szCs w:val="18"/>
              </w:rPr>
            </w:pPr>
            <w:r>
              <w:rPr>
                <w:kern w:val="0"/>
                <w:sz w:val="18"/>
                <w:szCs w:val="18"/>
              </w:rPr>
              <w:t>61.2</w:t>
            </w:r>
          </w:p>
        </w:tc>
        <w:tc>
          <w:tcPr>
            <w:tcW w:w="567" w:type="dxa"/>
            <w:vMerge w:val="continue"/>
            <w:vAlign w:val="center"/>
          </w:tcPr>
          <w:p w14:paraId="1B8F4085">
            <w:pPr>
              <w:widowControl/>
              <w:adjustRightInd/>
              <w:snapToGrid/>
              <w:spacing w:line="240" w:lineRule="auto"/>
              <w:jc w:val="left"/>
              <w:rPr>
                <w:kern w:val="0"/>
                <w:sz w:val="18"/>
                <w:szCs w:val="18"/>
              </w:rPr>
            </w:pPr>
          </w:p>
        </w:tc>
        <w:tc>
          <w:tcPr>
            <w:tcW w:w="426" w:type="dxa"/>
            <w:noWrap/>
            <w:vAlign w:val="center"/>
          </w:tcPr>
          <w:p w14:paraId="61AAE922">
            <w:pPr>
              <w:widowControl/>
              <w:adjustRightInd/>
              <w:snapToGrid/>
              <w:spacing w:line="240" w:lineRule="auto"/>
              <w:jc w:val="center"/>
              <w:rPr>
                <w:sz w:val="18"/>
                <w:szCs w:val="18"/>
              </w:rPr>
            </w:pPr>
            <w:r>
              <w:rPr>
                <w:sz w:val="18"/>
                <w:szCs w:val="18"/>
              </w:rPr>
              <w:t>昼间</w:t>
            </w:r>
          </w:p>
        </w:tc>
        <w:tc>
          <w:tcPr>
            <w:tcW w:w="708" w:type="dxa"/>
            <w:noWrap/>
            <w:vAlign w:val="center"/>
          </w:tcPr>
          <w:p w14:paraId="74BEADBE">
            <w:pPr>
              <w:widowControl/>
              <w:adjustRightInd/>
              <w:snapToGrid/>
              <w:spacing w:line="240" w:lineRule="auto"/>
              <w:jc w:val="center"/>
              <w:rPr>
                <w:sz w:val="18"/>
                <w:szCs w:val="18"/>
              </w:rPr>
            </w:pPr>
            <w:r>
              <w:rPr>
                <w:sz w:val="18"/>
                <w:szCs w:val="18"/>
              </w:rPr>
              <w:t>60</w:t>
            </w:r>
          </w:p>
        </w:tc>
        <w:tc>
          <w:tcPr>
            <w:tcW w:w="709" w:type="dxa"/>
            <w:vMerge w:val="continue"/>
            <w:noWrap/>
            <w:vAlign w:val="center"/>
          </w:tcPr>
          <w:p w14:paraId="521C3D8B">
            <w:pPr>
              <w:widowControl/>
              <w:adjustRightInd/>
              <w:snapToGrid/>
              <w:spacing w:line="240" w:lineRule="auto"/>
              <w:jc w:val="center"/>
              <w:rPr>
                <w:sz w:val="18"/>
                <w:szCs w:val="18"/>
              </w:rPr>
            </w:pPr>
          </w:p>
        </w:tc>
        <w:tc>
          <w:tcPr>
            <w:tcW w:w="709" w:type="dxa"/>
            <w:vMerge w:val="continue"/>
            <w:noWrap/>
            <w:vAlign w:val="center"/>
          </w:tcPr>
          <w:p w14:paraId="2071F083">
            <w:pPr>
              <w:widowControl/>
              <w:adjustRightInd/>
              <w:snapToGrid/>
              <w:spacing w:line="240" w:lineRule="auto"/>
              <w:jc w:val="center"/>
              <w:rPr>
                <w:sz w:val="18"/>
                <w:szCs w:val="18"/>
              </w:rPr>
            </w:pPr>
          </w:p>
        </w:tc>
        <w:tc>
          <w:tcPr>
            <w:tcW w:w="880" w:type="dxa"/>
          </w:tcPr>
          <w:p w14:paraId="31C94563">
            <w:pPr>
              <w:widowControl/>
              <w:adjustRightInd/>
              <w:snapToGrid/>
              <w:spacing w:line="240" w:lineRule="auto"/>
              <w:jc w:val="center"/>
              <w:rPr>
                <w:kern w:val="0"/>
                <w:sz w:val="18"/>
                <w:szCs w:val="18"/>
              </w:rPr>
            </w:pPr>
            <w:r>
              <w:rPr>
                <w:rFonts w:hint="eastAsia"/>
                <w:color w:val="000000"/>
                <w:sz w:val="18"/>
                <w:szCs w:val="18"/>
              </w:rPr>
              <w:t>62.3</w:t>
            </w:r>
          </w:p>
        </w:tc>
        <w:tc>
          <w:tcPr>
            <w:tcW w:w="880" w:type="dxa"/>
            <w:vAlign w:val="center"/>
          </w:tcPr>
          <w:p w14:paraId="7217DFF3">
            <w:pPr>
              <w:widowControl/>
              <w:adjustRightInd/>
              <w:snapToGrid/>
              <w:spacing w:line="240" w:lineRule="auto"/>
              <w:jc w:val="center"/>
              <w:rPr>
                <w:kern w:val="0"/>
                <w:sz w:val="18"/>
                <w:szCs w:val="18"/>
              </w:rPr>
            </w:pPr>
            <w:r>
              <w:rPr>
                <w:color w:val="000000"/>
                <w:sz w:val="18"/>
                <w:szCs w:val="18"/>
              </w:rPr>
              <w:t xml:space="preserve">62.7 </w:t>
            </w:r>
          </w:p>
        </w:tc>
        <w:tc>
          <w:tcPr>
            <w:tcW w:w="881" w:type="dxa"/>
            <w:vAlign w:val="center"/>
          </w:tcPr>
          <w:p w14:paraId="62D1CA52">
            <w:pPr>
              <w:widowControl/>
              <w:adjustRightInd/>
              <w:snapToGrid/>
              <w:spacing w:line="240" w:lineRule="auto"/>
              <w:jc w:val="center"/>
              <w:rPr>
                <w:kern w:val="0"/>
                <w:sz w:val="18"/>
                <w:szCs w:val="18"/>
              </w:rPr>
            </w:pPr>
            <w:r>
              <w:rPr>
                <w:rFonts w:hint="eastAsia"/>
                <w:color w:val="000000"/>
                <w:sz w:val="18"/>
                <w:szCs w:val="18"/>
              </w:rPr>
              <w:t xml:space="preserve">10.7 </w:t>
            </w:r>
          </w:p>
        </w:tc>
        <w:tc>
          <w:tcPr>
            <w:tcW w:w="880" w:type="dxa"/>
            <w:vAlign w:val="center"/>
          </w:tcPr>
          <w:p w14:paraId="32CD6177">
            <w:pPr>
              <w:widowControl/>
              <w:adjustRightInd/>
              <w:snapToGrid/>
              <w:spacing w:line="240" w:lineRule="auto"/>
              <w:jc w:val="center"/>
              <w:rPr>
                <w:kern w:val="0"/>
                <w:sz w:val="18"/>
                <w:szCs w:val="18"/>
              </w:rPr>
            </w:pPr>
            <w:r>
              <w:rPr>
                <w:rFonts w:hint="eastAsia"/>
                <w:color w:val="000000"/>
                <w:sz w:val="18"/>
                <w:szCs w:val="18"/>
              </w:rPr>
              <w:t xml:space="preserve">2.7 </w:t>
            </w:r>
          </w:p>
        </w:tc>
        <w:tc>
          <w:tcPr>
            <w:tcW w:w="880" w:type="dxa"/>
            <w:noWrap/>
            <w:vAlign w:val="center"/>
          </w:tcPr>
          <w:p w14:paraId="398F4830">
            <w:pPr>
              <w:widowControl/>
              <w:adjustRightInd/>
              <w:snapToGrid/>
              <w:spacing w:line="240" w:lineRule="auto"/>
              <w:jc w:val="center"/>
              <w:rPr>
                <w:sz w:val="18"/>
                <w:szCs w:val="18"/>
              </w:rPr>
            </w:pPr>
            <w:r>
              <w:rPr>
                <w:kern w:val="0"/>
                <w:sz w:val="18"/>
                <w:szCs w:val="18"/>
              </w:rPr>
              <w:t>63.1</w:t>
            </w:r>
          </w:p>
        </w:tc>
        <w:tc>
          <w:tcPr>
            <w:tcW w:w="881" w:type="dxa"/>
            <w:noWrap/>
            <w:vAlign w:val="center"/>
          </w:tcPr>
          <w:p w14:paraId="48D1238B">
            <w:pPr>
              <w:widowControl/>
              <w:adjustRightInd/>
              <w:snapToGrid/>
              <w:spacing w:line="240" w:lineRule="auto"/>
              <w:jc w:val="center"/>
              <w:rPr>
                <w:sz w:val="18"/>
                <w:szCs w:val="18"/>
              </w:rPr>
            </w:pPr>
            <w:r>
              <w:rPr>
                <w:color w:val="000000"/>
                <w:sz w:val="18"/>
                <w:szCs w:val="18"/>
              </w:rPr>
              <w:t xml:space="preserve">63.4 </w:t>
            </w:r>
          </w:p>
        </w:tc>
        <w:tc>
          <w:tcPr>
            <w:tcW w:w="880" w:type="dxa"/>
            <w:noWrap/>
            <w:vAlign w:val="center"/>
          </w:tcPr>
          <w:p w14:paraId="1A4D57A0">
            <w:pPr>
              <w:widowControl/>
              <w:adjustRightInd/>
              <w:snapToGrid/>
              <w:spacing w:line="240" w:lineRule="auto"/>
              <w:jc w:val="center"/>
              <w:rPr>
                <w:sz w:val="18"/>
                <w:szCs w:val="18"/>
              </w:rPr>
            </w:pPr>
            <w:r>
              <w:rPr>
                <w:color w:val="000000"/>
                <w:sz w:val="18"/>
                <w:szCs w:val="18"/>
              </w:rPr>
              <w:t xml:space="preserve">11.4 </w:t>
            </w:r>
          </w:p>
        </w:tc>
        <w:tc>
          <w:tcPr>
            <w:tcW w:w="880" w:type="dxa"/>
            <w:noWrap/>
            <w:vAlign w:val="center"/>
          </w:tcPr>
          <w:p w14:paraId="24275D95">
            <w:pPr>
              <w:widowControl/>
              <w:adjustRightInd/>
              <w:snapToGrid/>
              <w:spacing w:line="240" w:lineRule="auto"/>
              <w:jc w:val="center"/>
              <w:rPr>
                <w:sz w:val="18"/>
                <w:szCs w:val="18"/>
              </w:rPr>
            </w:pPr>
            <w:r>
              <w:rPr>
                <w:color w:val="000000"/>
                <w:sz w:val="18"/>
                <w:szCs w:val="18"/>
              </w:rPr>
              <w:t xml:space="preserve">3.4 </w:t>
            </w:r>
          </w:p>
        </w:tc>
        <w:tc>
          <w:tcPr>
            <w:tcW w:w="881" w:type="dxa"/>
            <w:noWrap/>
            <w:vAlign w:val="center"/>
          </w:tcPr>
          <w:p w14:paraId="153DE969">
            <w:pPr>
              <w:widowControl/>
              <w:adjustRightInd/>
              <w:snapToGrid/>
              <w:spacing w:line="240" w:lineRule="auto"/>
              <w:jc w:val="center"/>
              <w:rPr>
                <w:sz w:val="18"/>
                <w:szCs w:val="18"/>
              </w:rPr>
            </w:pPr>
            <w:r>
              <w:rPr>
                <w:rFonts w:hint="eastAsia"/>
                <w:color w:val="000000"/>
                <w:sz w:val="18"/>
                <w:szCs w:val="18"/>
              </w:rPr>
              <w:t>64.1</w:t>
            </w:r>
          </w:p>
        </w:tc>
        <w:tc>
          <w:tcPr>
            <w:tcW w:w="880" w:type="dxa"/>
            <w:noWrap/>
            <w:vAlign w:val="center"/>
          </w:tcPr>
          <w:p w14:paraId="0330112D">
            <w:pPr>
              <w:widowControl/>
              <w:adjustRightInd/>
              <w:snapToGrid/>
              <w:spacing w:line="240" w:lineRule="auto"/>
              <w:jc w:val="center"/>
              <w:rPr>
                <w:sz w:val="18"/>
                <w:szCs w:val="18"/>
              </w:rPr>
            </w:pPr>
            <w:r>
              <w:rPr>
                <w:color w:val="000000"/>
                <w:sz w:val="18"/>
                <w:szCs w:val="18"/>
              </w:rPr>
              <w:t xml:space="preserve">64.4 </w:t>
            </w:r>
          </w:p>
        </w:tc>
        <w:tc>
          <w:tcPr>
            <w:tcW w:w="880" w:type="dxa"/>
            <w:noWrap/>
            <w:vAlign w:val="center"/>
          </w:tcPr>
          <w:p w14:paraId="660FAF61">
            <w:pPr>
              <w:widowControl/>
              <w:adjustRightInd/>
              <w:snapToGrid/>
              <w:spacing w:line="240" w:lineRule="auto"/>
              <w:jc w:val="center"/>
              <w:rPr>
                <w:sz w:val="18"/>
                <w:szCs w:val="18"/>
              </w:rPr>
            </w:pPr>
            <w:r>
              <w:rPr>
                <w:color w:val="000000"/>
                <w:sz w:val="18"/>
                <w:szCs w:val="18"/>
              </w:rPr>
              <w:t xml:space="preserve">12.4 </w:t>
            </w:r>
          </w:p>
        </w:tc>
        <w:tc>
          <w:tcPr>
            <w:tcW w:w="881" w:type="dxa"/>
            <w:noWrap/>
            <w:vAlign w:val="center"/>
          </w:tcPr>
          <w:p w14:paraId="02C819C0">
            <w:pPr>
              <w:widowControl/>
              <w:adjustRightInd/>
              <w:snapToGrid/>
              <w:spacing w:line="240" w:lineRule="auto"/>
              <w:jc w:val="center"/>
              <w:rPr>
                <w:sz w:val="18"/>
                <w:szCs w:val="18"/>
              </w:rPr>
            </w:pPr>
            <w:r>
              <w:rPr>
                <w:color w:val="000000"/>
                <w:sz w:val="18"/>
                <w:szCs w:val="18"/>
              </w:rPr>
              <w:t xml:space="preserve">4.4 </w:t>
            </w:r>
          </w:p>
        </w:tc>
      </w:tr>
      <w:tr w14:paraId="704F81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84" w:hRule="atLeast"/>
        </w:trPr>
        <w:tc>
          <w:tcPr>
            <w:tcW w:w="418" w:type="dxa"/>
            <w:noWrap/>
            <w:vAlign w:val="center"/>
          </w:tcPr>
          <w:p w14:paraId="30CCE2D5">
            <w:pPr>
              <w:widowControl/>
              <w:adjustRightInd/>
              <w:snapToGrid/>
              <w:spacing w:line="240" w:lineRule="auto"/>
              <w:jc w:val="center"/>
              <w:rPr>
                <w:sz w:val="18"/>
                <w:szCs w:val="18"/>
              </w:rPr>
            </w:pPr>
            <w:r>
              <w:rPr>
                <w:rFonts w:hint="eastAsia"/>
                <w:sz w:val="18"/>
                <w:szCs w:val="18"/>
              </w:rPr>
              <w:t>80</w:t>
            </w:r>
          </w:p>
        </w:tc>
        <w:tc>
          <w:tcPr>
            <w:tcW w:w="673" w:type="dxa"/>
            <w:vMerge w:val="continue"/>
            <w:vAlign w:val="center"/>
          </w:tcPr>
          <w:p w14:paraId="3F26DDF2">
            <w:pPr>
              <w:widowControl/>
              <w:adjustRightInd/>
              <w:snapToGrid/>
              <w:spacing w:line="240" w:lineRule="auto"/>
              <w:jc w:val="left"/>
              <w:rPr>
                <w:kern w:val="0"/>
                <w:sz w:val="18"/>
                <w:szCs w:val="18"/>
              </w:rPr>
            </w:pPr>
          </w:p>
        </w:tc>
        <w:tc>
          <w:tcPr>
            <w:tcW w:w="595" w:type="dxa"/>
            <w:vMerge w:val="continue"/>
            <w:vAlign w:val="center"/>
          </w:tcPr>
          <w:p w14:paraId="511D5B37">
            <w:pPr>
              <w:widowControl/>
              <w:adjustRightInd/>
              <w:snapToGrid/>
              <w:spacing w:line="240" w:lineRule="auto"/>
              <w:jc w:val="center"/>
              <w:rPr>
                <w:kern w:val="0"/>
                <w:sz w:val="18"/>
                <w:szCs w:val="18"/>
              </w:rPr>
            </w:pPr>
          </w:p>
        </w:tc>
        <w:tc>
          <w:tcPr>
            <w:tcW w:w="567" w:type="dxa"/>
            <w:vMerge w:val="continue"/>
            <w:vAlign w:val="center"/>
          </w:tcPr>
          <w:p w14:paraId="6E411FB3">
            <w:pPr>
              <w:widowControl/>
              <w:adjustRightInd/>
              <w:snapToGrid/>
              <w:spacing w:line="240" w:lineRule="auto"/>
              <w:jc w:val="left"/>
              <w:rPr>
                <w:kern w:val="0"/>
                <w:sz w:val="18"/>
                <w:szCs w:val="18"/>
              </w:rPr>
            </w:pPr>
          </w:p>
        </w:tc>
        <w:tc>
          <w:tcPr>
            <w:tcW w:w="426" w:type="dxa"/>
            <w:noWrap/>
            <w:vAlign w:val="center"/>
          </w:tcPr>
          <w:p w14:paraId="536A043F">
            <w:pPr>
              <w:widowControl/>
              <w:adjustRightInd/>
              <w:snapToGrid/>
              <w:spacing w:line="240" w:lineRule="auto"/>
              <w:jc w:val="center"/>
              <w:rPr>
                <w:sz w:val="18"/>
                <w:szCs w:val="18"/>
              </w:rPr>
            </w:pPr>
            <w:r>
              <w:rPr>
                <w:sz w:val="18"/>
                <w:szCs w:val="18"/>
              </w:rPr>
              <w:t>夜间</w:t>
            </w:r>
          </w:p>
        </w:tc>
        <w:tc>
          <w:tcPr>
            <w:tcW w:w="708" w:type="dxa"/>
            <w:noWrap/>
            <w:vAlign w:val="center"/>
          </w:tcPr>
          <w:p w14:paraId="2531C638">
            <w:pPr>
              <w:widowControl/>
              <w:adjustRightInd/>
              <w:snapToGrid/>
              <w:spacing w:line="240" w:lineRule="auto"/>
              <w:jc w:val="center"/>
              <w:rPr>
                <w:sz w:val="18"/>
                <w:szCs w:val="18"/>
              </w:rPr>
            </w:pPr>
            <w:r>
              <w:rPr>
                <w:sz w:val="18"/>
                <w:szCs w:val="18"/>
              </w:rPr>
              <w:t>50</w:t>
            </w:r>
          </w:p>
        </w:tc>
        <w:tc>
          <w:tcPr>
            <w:tcW w:w="709" w:type="dxa"/>
            <w:vMerge w:val="continue"/>
            <w:noWrap/>
            <w:vAlign w:val="center"/>
          </w:tcPr>
          <w:p w14:paraId="018E2A50">
            <w:pPr>
              <w:widowControl/>
              <w:adjustRightInd/>
              <w:snapToGrid/>
              <w:spacing w:line="240" w:lineRule="auto"/>
              <w:jc w:val="center"/>
              <w:rPr>
                <w:sz w:val="18"/>
                <w:szCs w:val="18"/>
              </w:rPr>
            </w:pPr>
          </w:p>
        </w:tc>
        <w:tc>
          <w:tcPr>
            <w:tcW w:w="709" w:type="dxa"/>
            <w:vMerge w:val="continue"/>
            <w:noWrap/>
            <w:vAlign w:val="center"/>
          </w:tcPr>
          <w:p w14:paraId="45F9FBFB">
            <w:pPr>
              <w:widowControl/>
              <w:adjustRightInd/>
              <w:snapToGrid/>
              <w:spacing w:line="240" w:lineRule="auto"/>
              <w:jc w:val="center"/>
              <w:rPr>
                <w:sz w:val="18"/>
                <w:szCs w:val="18"/>
              </w:rPr>
            </w:pPr>
          </w:p>
        </w:tc>
        <w:tc>
          <w:tcPr>
            <w:tcW w:w="880" w:type="dxa"/>
          </w:tcPr>
          <w:p w14:paraId="37639095">
            <w:pPr>
              <w:widowControl/>
              <w:adjustRightInd/>
              <w:snapToGrid/>
              <w:spacing w:line="240" w:lineRule="auto"/>
              <w:jc w:val="center"/>
              <w:rPr>
                <w:kern w:val="0"/>
                <w:sz w:val="18"/>
                <w:szCs w:val="18"/>
              </w:rPr>
            </w:pPr>
            <w:r>
              <w:rPr>
                <w:rFonts w:hint="eastAsia"/>
                <w:color w:val="000000"/>
                <w:sz w:val="18"/>
                <w:szCs w:val="18"/>
              </w:rPr>
              <w:t>48.4</w:t>
            </w:r>
          </w:p>
        </w:tc>
        <w:tc>
          <w:tcPr>
            <w:tcW w:w="880" w:type="dxa"/>
            <w:vAlign w:val="center"/>
          </w:tcPr>
          <w:p w14:paraId="6801AFEA">
            <w:pPr>
              <w:widowControl/>
              <w:adjustRightInd/>
              <w:snapToGrid/>
              <w:spacing w:line="240" w:lineRule="auto"/>
              <w:jc w:val="center"/>
              <w:rPr>
                <w:kern w:val="0"/>
                <w:sz w:val="18"/>
                <w:szCs w:val="18"/>
              </w:rPr>
            </w:pPr>
            <w:r>
              <w:rPr>
                <w:color w:val="000000"/>
                <w:sz w:val="18"/>
                <w:szCs w:val="18"/>
              </w:rPr>
              <w:t xml:space="preserve">49.5 </w:t>
            </w:r>
          </w:p>
        </w:tc>
        <w:tc>
          <w:tcPr>
            <w:tcW w:w="881" w:type="dxa"/>
            <w:vAlign w:val="center"/>
          </w:tcPr>
          <w:p w14:paraId="5E749619">
            <w:pPr>
              <w:widowControl/>
              <w:adjustRightInd/>
              <w:snapToGrid/>
              <w:spacing w:line="240" w:lineRule="auto"/>
              <w:jc w:val="center"/>
              <w:rPr>
                <w:kern w:val="0"/>
                <w:sz w:val="18"/>
                <w:szCs w:val="18"/>
              </w:rPr>
            </w:pPr>
            <w:r>
              <w:rPr>
                <w:rFonts w:hint="eastAsia"/>
                <w:color w:val="000000"/>
                <w:sz w:val="18"/>
                <w:szCs w:val="18"/>
              </w:rPr>
              <w:t xml:space="preserve">6.5 </w:t>
            </w:r>
          </w:p>
        </w:tc>
        <w:tc>
          <w:tcPr>
            <w:tcW w:w="880" w:type="dxa"/>
            <w:vAlign w:val="center"/>
          </w:tcPr>
          <w:p w14:paraId="62C8C5D8">
            <w:pPr>
              <w:widowControl/>
              <w:adjustRightInd/>
              <w:snapToGrid/>
              <w:spacing w:line="240" w:lineRule="auto"/>
              <w:jc w:val="center"/>
              <w:rPr>
                <w:kern w:val="0"/>
                <w:sz w:val="18"/>
                <w:szCs w:val="18"/>
              </w:rPr>
            </w:pPr>
            <w:r>
              <w:rPr>
                <w:rFonts w:hint="eastAsia"/>
                <w:color w:val="000000"/>
                <w:sz w:val="18"/>
                <w:szCs w:val="18"/>
              </w:rPr>
              <w:t xml:space="preserve">-0.5 </w:t>
            </w:r>
          </w:p>
        </w:tc>
        <w:tc>
          <w:tcPr>
            <w:tcW w:w="880" w:type="dxa"/>
            <w:noWrap/>
            <w:vAlign w:val="center"/>
          </w:tcPr>
          <w:p w14:paraId="329BB426">
            <w:pPr>
              <w:widowControl/>
              <w:adjustRightInd/>
              <w:snapToGrid/>
              <w:spacing w:line="240" w:lineRule="auto"/>
              <w:jc w:val="center"/>
              <w:rPr>
                <w:sz w:val="18"/>
                <w:szCs w:val="18"/>
              </w:rPr>
            </w:pPr>
            <w:r>
              <w:rPr>
                <w:kern w:val="0"/>
                <w:sz w:val="18"/>
                <w:szCs w:val="18"/>
              </w:rPr>
              <w:t>49.3</w:t>
            </w:r>
          </w:p>
        </w:tc>
        <w:tc>
          <w:tcPr>
            <w:tcW w:w="881" w:type="dxa"/>
            <w:noWrap/>
            <w:vAlign w:val="center"/>
          </w:tcPr>
          <w:p w14:paraId="1A5AE262">
            <w:pPr>
              <w:widowControl/>
              <w:adjustRightInd/>
              <w:snapToGrid/>
              <w:spacing w:line="240" w:lineRule="auto"/>
              <w:jc w:val="center"/>
              <w:rPr>
                <w:sz w:val="18"/>
                <w:szCs w:val="18"/>
              </w:rPr>
            </w:pPr>
            <w:r>
              <w:rPr>
                <w:color w:val="000000"/>
                <w:sz w:val="18"/>
                <w:szCs w:val="18"/>
              </w:rPr>
              <w:t xml:space="preserve">50.2 </w:t>
            </w:r>
          </w:p>
        </w:tc>
        <w:tc>
          <w:tcPr>
            <w:tcW w:w="880" w:type="dxa"/>
            <w:noWrap/>
            <w:vAlign w:val="center"/>
          </w:tcPr>
          <w:p w14:paraId="2BAB9581">
            <w:pPr>
              <w:widowControl/>
              <w:adjustRightInd/>
              <w:snapToGrid/>
              <w:spacing w:line="240" w:lineRule="auto"/>
              <w:jc w:val="center"/>
              <w:rPr>
                <w:sz w:val="18"/>
                <w:szCs w:val="18"/>
              </w:rPr>
            </w:pPr>
            <w:r>
              <w:rPr>
                <w:color w:val="000000"/>
                <w:sz w:val="18"/>
                <w:szCs w:val="18"/>
              </w:rPr>
              <w:t xml:space="preserve">7.2 </w:t>
            </w:r>
          </w:p>
        </w:tc>
        <w:tc>
          <w:tcPr>
            <w:tcW w:w="880" w:type="dxa"/>
            <w:noWrap/>
            <w:vAlign w:val="center"/>
          </w:tcPr>
          <w:p w14:paraId="70934FC6">
            <w:pPr>
              <w:widowControl/>
              <w:adjustRightInd/>
              <w:snapToGrid/>
              <w:spacing w:line="240" w:lineRule="auto"/>
              <w:jc w:val="center"/>
              <w:rPr>
                <w:sz w:val="18"/>
                <w:szCs w:val="18"/>
              </w:rPr>
            </w:pPr>
            <w:r>
              <w:rPr>
                <w:color w:val="000000"/>
                <w:sz w:val="18"/>
                <w:szCs w:val="18"/>
              </w:rPr>
              <w:t xml:space="preserve">0.2 </w:t>
            </w:r>
          </w:p>
        </w:tc>
        <w:tc>
          <w:tcPr>
            <w:tcW w:w="881" w:type="dxa"/>
            <w:noWrap/>
            <w:vAlign w:val="center"/>
          </w:tcPr>
          <w:p w14:paraId="5E685DEE">
            <w:pPr>
              <w:widowControl/>
              <w:adjustRightInd/>
              <w:snapToGrid/>
              <w:spacing w:line="240" w:lineRule="auto"/>
              <w:jc w:val="center"/>
              <w:rPr>
                <w:sz w:val="18"/>
                <w:szCs w:val="18"/>
              </w:rPr>
            </w:pPr>
            <w:r>
              <w:rPr>
                <w:rFonts w:hint="eastAsia"/>
                <w:color w:val="000000"/>
                <w:sz w:val="18"/>
                <w:szCs w:val="18"/>
              </w:rPr>
              <w:t>50.2</w:t>
            </w:r>
          </w:p>
        </w:tc>
        <w:tc>
          <w:tcPr>
            <w:tcW w:w="880" w:type="dxa"/>
            <w:noWrap/>
            <w:vAlign w:val="center"/>
          </w:tcPr>
          <w:p w14:paraId="64E86F2A">
            <w:pPr>
              <w:widowControl/>
              <w:adjustRightInd/>
              <w:snapToGrid/>
              <w:spacing w:line="240" w:lineRule="auto"/>
              <w:jc w:val="center"/>
              <w:rPr>
                <w:sz w:val="18"/>
                <w:szCs w:val="18"/>
              </w:rPr>
            </w:pPr>
            <w:r>
              <w:rPr>
                <w:color w:val="000000"/>
                <w:sz w:val="18"/>
                <w:szCs w:val="18"/>
              </w:rPr>
              <w:t xml:space="preserve">51.0 </w:t>
            </w:r>
          </w:p>
        </w:tc>
        <w:tc>
          <w:tcPr>
            <w:tcW w:w="880" w:type="dxa"/>
            <w:noWrap/>
            <w:vAlign w:val="center"/>
          </w:tcPr>
          <w:p w14:paraId="43FD9A30">
            <w:pPr>
              <w:widowControl/>
              <w:adjustRightInd/>
              <w:snapToGrid/>
              <w:spacing w:line="240" w:lineRule="auto"/>
              <w:jc w:val="center"/>
              <w:rPr>
                <w:sz w:val="18"/>
                <w:szCs w:val="18"/>
              </w:rPr>
            </w:pPr>
            <w:r>
              <w:rPr>
                <w:color w:val="000000"/>
                <w:sz w:val="18"/>
                <w:szCs w:val="18"/>
              </w:rPr>
              <w:t xml:space="preserve">8.0 </w:t>
            </w:r>
          </w:p>
        </w:tc>
        <w:tc>
          <w:tcPr>
            <w:tcW w:w="881" w:type="dxa"/>
            <w:noWrap/>
            <w:vAlign w:val="center"/>
          </w:tcPr>
          <w:p w14:paraId="73110DE8">
            <w:pPr>
              <w:widowControl/>
              <w:adjustRightInd/>
              <w:snapToGrid/>
              <w:spacing w:line="240" w:lineRule="auto"/>
              <w:jc w:val="center"/>
              <w:rPr>
                <w:sz w:val="18"/>
                <w:szCs w:val="18"/>
              </w:rPr>
            </w:pPr>
            <w:r>
              <w:rPr>
                <w:color w:val="000000"/>
                <w:sz w:val="18"/>
                <w:szCs w:val="18"/>
              </w:rPr>
              <w:t xml:space="preserve">1.0 </w:t>
            </w:r>
          </w:p>
        </w:tc>
      </w:tr>
    </w:tbl>
    <w:p w14:paraId="71016C84">
      <w:pPr>
        <w:widowControl/>
        <w:kinsoku w:val="0"/>
        <w:autoSpaceDE w:val="0"/>
        <w:autoSpaceDN w:val="0"/>
        <w:ind w:firstLine="420" w:firstLineChars="200"/>
        <w:textAlignment w:val="baseline"/>
        <w:rPr>
          <w:rFonts w:hint="eastAsia" w:ascii="宋体" w:hAnsi="宋体"/>
          <w:color w:val="000000"/>
          <w:kern w:val="0"/>
          <w:szCs w:val="21"/>
          <w:highlight w:val="yellow"/>
        </w:rPr>
        <w:sectPr>
          <w:pgSz w:w="16839" w:h="11907" w:orient="landscape"/>
          <w:pgMar w:top="720" w:right="720" w:bottom="720" w:left="720" w:header="851" w:footer="967" w:gutter="0"/>
          <w:cols w:space="720" w:num="1"/>
          <w:docGrid w:type="lines" w:linePitch="312" w:charSpace="0"/>
        </w:sectPr>
      </w:pPr>
    </w:p>
    <w:p w14:paraId="20EC1949">
      <w:pPr>
        <w:keepNext/>
        <w:widowControl/>
        <w:kinsoku w:val="0"/>
        <w:autoSpaceDE w:val="0"/>
        <w:autoSpaceDN w:val="0"/>
        <w:spacing w:line="240" w:lineRule="auto"/>
        <w:jc w:val="center"/>
        <w:textAlignment w:val="baseline"/>
      </w:pPr>
      <w:r>
        <w:drawing>
          <wp:anchor distT="0" distB="0" distL="114300" distR="114300" simplePos="0" relativeHeight="251664384" behindDoc="0" locked="0" layoutInCell="1" allowOverlap="1">
            <wp:simplePos x="0" y="0"/>
            <wp:positionH relativeFrom="column">
              <wp:posOffset>8030210</wp:posOffset>
            </wp:positionH>
            <wp:positionV relativeFrom="paragraph">
              <wp:posOffset>4010660</wp:posOffset>
            </wp:positionV>
            <wp:extent cx="991870" cy="1830070"/>
            <wp:effectExtent l="0" t="0" r="0" b="0"/>
            <wp:wrapNone/>
            <wp:docPr id="19883239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23977" name="图片 4"/>
                    <pic:cNvPicPr>
                      <a:picLocks noChangeAspect="1" noChangeArrowheads="1"/>
                    </pic:cNvPicPr>
                  </pic:nvPicPr>
                  <pic:blipFill>
                    <a:blip r:embed="rId45"/>
                    <a:srcRect/>
                    <a:stretch>
                      <a:fillRect/>
                    </a:stretch>
                  </pic:blipFill>
                  <pic:spPr>
                    <a:xfrm>
                      <a:off x="0" y="0"/>
                      <a:ext cx="992038" cy="1830175"/>
                    </a:xfrm>
                    <a:prstGeom prst="rect">
                      <a:avLst/>
                    </a:prstGeom>
                    <a:noFill/>
                  </pic:spPr>
                </pic:pic>
              </a:graphicData>
            </a:graphic>
          </wp:anchor>
        </w:drawing>
      </w:r>
      <w:r>
        <w:drawing>
          <wp:inline distT="0" distB="0" distL="0" distR="0">
            <wp:extent cx="8538210" cy="5908675"/>
            <wp:effectExtent l="0" t="0" r="0" b="0"/>
            <wp:docPr id="2320040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04023" name="图片 1"/>
                    <pic:cNvPicPr>
                      <a:picLocks noChangeAspect="1"/>
                    </pic:cNvPicPr>
                  </pic:nvPicPr>
                  <pic:blipFill>
                    <a:blip r:embed="rId46"/>
                    <a:stretch>
                      <a:fillRect/>
                    </a:stretch>
                  </pic:blipFill>
                  <pic:spPr>
                    <a:xfrm>
                      <a:off x="0" y="0"/>
                      <a:ext cx="8572206" cy="5932542"/>
                    </a:xfrm>
                    <a:prstGeom prst="rect">
                      <a:avLst/>
                    </a:prstGeom>
                  </pic:spPr>
                </pic:pic>
              </a:graphicData>
            </a:graphic>
          </wp:inline>
        </w:drawing>
      </w:r>
    </w:p>
    <w:p w14:paraId="616A8868">
      <w:pPr>
        <w:pStyle w:val="9"/>
        <w:spacing w:before="156"/>
      </w:pPr>
      <w:commentRangeStart w:id="101"/>
      <w:commentRangeStart w:id="102"/>
      <w:r>
        <w:rPr>
          <w:rFonts w:hint="eastAsia"/>
        </w:rPr>
        <w:t xml:space="preserve">专项图 </w:t>
      </w:r>
      <w:r>
        <w:fldChar w:fldCharType="begin"/>
      </w:r>
      <w:r>
        <w:instrText xml:space="preserve"> </w:instrText>
      </w:r>
      <w:r>
        <w:rPr>
          <w:rFonts w:hint="eastAsia"/>
        </w:rPr>
        <w:instrText xml:space="preserve">SEQ 专项图 \* ARABIC</w:instrText>
      </w:r>
      <w:r>
        <w:instrText xml:space="preserve"> </w:instrText>
      </w:r>
      <w:r>
        <w:fldChar w:fldCharType="separate"/>
      </w:r>
      <w:r>
        <w:t>3</w:t>
      </w:r>
      <w:r>
        <w:fldChar w:fldCharType="end"/>
      </w:r>
      <w:r>
        <w:t>道路</w:t>
      </w:r>
      <w:r>
        <w:rPr>
          <w:rFonts w:hint="eastAsia"/>
        </w:rPr>
        <w:t>近</w:t>
      </w:r>
      <w:r>
        <w:t>期昼间模拟等声线图</w:t>
      </w:r>
      <w:commentRangeEnd w:id="101"/>
      <w:r>
        <w:rPr>
          <w:rStyle w:val="38"/>
        </w:rPr>
        <w:commentReference w:id="101"/>
      </w:r>
      <w:commentRangeEnd w:id="102"/>
      <w:r>
        <w:rPr>
          <w:rStyle w:val="38"/>
        </w:rPr>
        <w:commentReference w:id="102"/>
      </w:r>
    </w:p>
    <w:p w14:paraId="18A0C83F">
      <w:pPr>
        <w:keepNext/>
        <w:widowControl/>
        <w:kinsoku w:val="0"/>
        <w:autoSpaceDE w:val="0"/>
        <w:autoSpaceDN w:val="0"/>
        <w:jc w:val="center"/>
        <w:textAlignment w:val="baseline"/>
        <w:sectPr>
          <w:pgSz w:w="16839" w:h="11907" w:orient="landscape"/>
          <w:pgMar w:top="720" w:right="720" w:bottom="720" w:left="720" w:header="851" w:footer="967" w:gutter="0"/>
          <w:cols w:space="720" w:num="1"/>
          <w:docGrid w:type="lines" w:linePitch="312" w:charSpace="0"/>
        </w:sectPr>
      </w:pPr>
    </w:p>
    <w:p w14:paraId="081AEE1A">
      <w:pPr>
        <w:keepNext/>
        <w:widowControl/>
        <w:kinsoku w:val="0"/>
        <w:autoSpaceDE w:val="0"/>
        <w:autoSpaceDN w:val="0"/>
        <w:spacing w:line="240" w:lineRule="auto"/>
        <w:jc w:val="center"/>
        <w:textAlignment w:val="baseline"/>
      </w:pPr>
      <w:r>
        <w:drawing>
          <wp:anchor distT="0" distB="0" distL="114300" distR="114300" simplePos="0" relativeHeight="251663360" behindDoc="0" locked="0" layoutInCell="1" allowOverlap="1">
            <wp:simplePos x="0" y="0"/>
            <wp:positionH relativeFrom="column">
              <wp:posOffset>8021955</wp:posOffset>
            </wp:positionH>
            <wp:positionV relativeFrom="paragraph">
              <wp:posOffset>4229100</wp:posOffset>
            </wp:positionV>
            <wp:extent cx="908685" cy="1676400"/>
            <wp:effectExtent l="0" t="0" r="5715" b="0"/>
            <wp:wrapNone/>
            <wp:docPr id="20996099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09975" name="图片 3"/>
                    <pic:cNvPicPr>
                      <a:picLocks noChangeAspect="1" noChangeArrowheads="1"/>
                    </pic:cNvPicPr>
                  </pic:nvPicPr>
                  <pic:blipFill>
                    <a:blip r:embed="rId45"/>
                    <a:srcRect/>
                    <a:stretch>
                      <a:fillRect/>
                    </a:stretch>
                  </pic:blipFill>
                  <pic:spPr>
                    <a:xfrm>
                      <a:off x="0" y="0"/>
                      <a:ext cx="908685" cy="1676400"/>
                    </a:xfrm>
                    <a:prstGeom prst="rect">
                      <a:avLst/>
                    </a:prstGeom>
                    <a:noFill/>
                  </pic:spPr>
                </pic:pic>
              </a:graphicData>
            </a:graphic>
          </wp:anchor>
        </w:drawing>
      </w:r>
      <w:r>
        <w:drawing>
          <wp:inline distT="0" distB="0" distL="0" distR="0">
            <wp:extent cx="8240395" cy="5960745"/>
            <wp:effectExtent l="0" t="0" r="8255" b="1905"/>
            <wp:docPr id="15877307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30765" name="图片 1"/>
                    <pic:cNvPicPr>
                      <a:picLocks noChangeAspect="1"/>
                    </pic:cNvPicPr>
                  </pic:nvPicPr>
                  <pic:blipFill>
                    <a:blip r:embed="rId47"/>
                    <a:stretch>
                      <a:fillRect/>
                    </a:stretch>
                  </pic:blipFill>
                  <pic:spPr>
                    <a:xfrm>
                      <a:off x="0" y="0"/>
                      <a:ext cx="8276806" cy="5986849"/>
                    </a:xfrm>
                    <a:prstGeom prst="rect">
                      <a:avLst/>
                    </a:prstGeom>
                  </pic:spPr>
                </pic:pic>
              </a:graphicData>
            </a:graphic>
          </wp:inline>
        </w:drawing>
      </w:r>
    </w:p>
    <w:p w14:paraId="42797102">
      <w:pPr>
        <w:pStyle w:val="9"/>
        <w:spacing w:before="156"/>
      </w:pPr>
      <w:r>
        <w:t xml:space="preserve">专项图 </w:t>
      </w:r>
      <w:r>
        <w:fldChar w:fldCharType="begin"/>
      </w:r>
      <w:r>
        <w:instrText xml:space="preserve"> SEQ 专项图 \* ARABIC </w:instrText>
      </w:r>
      <w:r>
        <w:fldChar w:fldCharType="separate"/>
      </w:r>
      <w:r>
        <w:t>4</w:t>
      </w:r>
      <w:r>
        <w:fldChar w:fldCharType="end"/>
      </w:r>
      <w:r>
        <w:t>道路</w:t>
      </w:r>
      <w:r>
        <w:rPr>
          <w:rFonts w:hint="eastAsia"/>
        </w:rPr>
        <w:t>近</w:t>
      </w:r>
      <w:r>
        <w:t>期夜间模拟等声线图</w:t>
      </w:r>
    </w:p>
    <w:p w14:paraId="37758243">
      <w:pPr>
        <w:widowControl/>
        <w:adjustRightInd/>
        <w:snapToGrid/>
        <w:spacing w:beforeAutospacing="1"/>
        <w:jc w:val="left"/>
        <w:rPr>
          <w:b/>
          <w:color w:val="000000"/>
          <w:kern w:val="0"/>
          <w:szCs w:val="21"/>
          <w:highlight w:val="yellow"/>
        </w:rPr>
        <w:sectPr>
          <w:pgSz w:w="16839" w:h="11907" w:orient="landscape"/>
          <w:pgMar w:top="720" w:right="720" w:bottom="720" w:left="720" w:header="851" w:footer="967" w:gutter="0"/>
          <w:cols w:space="720" w:num="1"/>
          <w:docGrid w:type="lines" w:linePitch="312" w:charSpace="0"/>
        </w:sectPr>
      </w:pPr>
    </w:p>
    <w:p w14:paraId="65A8E930">
      <w:pPr>
        <w:keepNext/>
        <w:widowControl/>
        <w:kinsoku w:val="0"/>
        <w:autoSpaceDE w:val="0"/>
        <w:autoSpaceDN w:val="0"/>
        <w:jc w:val="center"/>
        <w:textAlignment w:val="baseline"/>
      </w:pPr>
      <w:r>
        <w:drawing>
          <wp:anchor distT="0" distB="0" distL="114300" distR="114300" simplePos="0" relativeHeight="251671552" behindDoc="0" locked="0" layoutInCell="1" allowOverlap="1">
            <wp:simplePos x="0" y="0"/>
            <wp:positionH relativeFrom="column">
              <wp:posOffset>7258685</wp:posOffset>
            </wp:positionH>
            <wp:positionV relativeFrom="paragraph">
              <wp:posOffset>3588385</wp:posOffset>
            </wp:positionV>
            <wp:extent cx="908685" cy="1682750"/>
            <wp:effectExtent l="0" t="0" r="5715" b="0"/>
            <wp:wrapNone/>
            <wp:docPr id="103188856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88561" name="图片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908685" cy="1682750"/>
                    </a:xfrm>
                    <a:prstGeom prst="rect">
                      <a:avLst/>
                    </a:prstGeom>
                    <a:noFill/>
                  </pic:spPr>
                </pic:pic>
              </a:graphicData>
            </a:graphic>
          </wp:anchor>
        </w:drawing>
      </w:r>
      <w:r>
        <w:drawing>
          <wp:inline distT="0" distB="0" distL="0" distR="0">
            <wp:extent cx="8086090" cy="5339715"/>
            <wp:effectExtent l="0" t="0" r="0" b="0"/>
            <wp:docPr id="10227523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752304" name="图片 1"/>
                    <pic:cNvPicPr>
                      <a:picLocks noChangeAspect="1"/>
                    </pic:cNvPicPr>
                  </pic:nvPicPr>
                  <pic:blipFill>
                    <a:blip r:embed="rId49"/>
                    <a:srcRect t="2937" b="593"/>
                    <a:stretch>
                      <a:fillRect/>
                    </a:stretch>
                  </pic:blipFill>
                  <pic:spPr>
                    <a:xfrm>
                      <a:off x="0" y="0"/>
                      <a:ext cx="8096443" cy="5346582"/>
                    </a:xfrm>
                    <a:prstGeom prst="rect">
                      <a:avLst/>
                    </a:prstGeom>
                    <a:ln>
                      <a:noFill/>
                    </a:ln>
                  </pic:spPr>
                </pic:pic>
              </a:graphicData>
            </a:graphic>
          </wp:inline>
        </w:drawing>
      </w:r>
    </w:p>
    <w:p w14:paraId="1C06CF4D">
      <w:pPr>
        <w:pStyle w:val="9"/>
        <w:spacing w:before="156"/>
      </w:pPr>
      <w:r>
        <w:rPr>
          <w:rFonts w:hint="eastAsia"/>
        </w:rPr>
        <w:t xml:space="preserve">专项图 </w:t>
      </w:r>
      <w:r>
        <w:fldChar w:fldCharType="begin"/>
      </w:r>
      <w:r>
        <w:instrText xml:space="preserve"> </w:instrText>
      </w:r>
      <w:r>
        <w:rPr>
          <w:rFonts w:hint="eastAsia"/>
        </w:rPr>
        <w:instrText xml:space="preserve">SEQ 专项图 \* ARABIC</w:instrText>
      </w:r>
      <w:r>
        <w:instrText xml:space="preserve"> </w:instrText>
      </w:r>
      <w:r>
        <w:fldChar w:fldCharType="separate"/>
      </w:r>
      <w:r>
        <w:t>5</w:t>
      </w:r>
      <w:r>
        <w:fldChar w:fldCharType="end"/>
      </w:r>
      <w:r>
        <w:t>道路</w:t>
      </w:r>
      <w:r>
        <w:rPr>
          <w:rFonts w:hint="eastAsia"/>
        </w:rPr>
        <w:t>中</w:t>
      </w:r>
      <w:r>
        <w:t>期昼间模拟等声线图</w:t>
      </w:r>
    </w:p>
    <w:p w14:paraId="6197F626">
      <w:pPr>
        <w:keepNext/>
        <w:widowControl/>
        <w:kinsoku w:val="0"/>
        <w:autoSpaceDE w:val="0"/>
        <w:autoSpaceDN w:val="0"/>
        <w:jc w:val="center"/>
        <w:textAlignment w:val="baseline"/>
        <w:sectPr>
          <w:pgSz w:w="16839" w:h="11907" w:orient="landscape"/>
          <w:pgMar w:top="1440" w:right="1800" w:bottom="1440" w:left="1800" w:header="851" w:footer="967" w:gutter="0"/>
          <w:cols w:space="720" w:num="1"/>
          <w:docGrid w:type="lines" w:linePitch="312" w:charSpace="0"/>
        </w:sectPr>
      </w:pPr>
      <w:r>
        <w:rPr>
          <w:rFonts w:ascii="Arial" w:hAnsi="Arial" w:cs="宋体"/>
          <w:color w:val="000000"/>
          <w:kern w:val="0"/>
          <w:szCs w:val="21"/>
          <w:highlight w:val="yellow"/>
        </w:rPr>
        <w:drawing>
          <wp:anchor distT="0" distB="0" distL="114300" distR="114300" simplePos="0" relativeHeight="251661312" behindDoc="0" locked="0" layoutInCell="1" allowOverlap="1">
            <wp:simplePos x="0" y="0"/>
            <wp:positionH relativeFrom="column">
              <wp:posOffset>7149465</wp:posOffset>
            </wp:positionH>
            <wp:positionV relativeFrom="paragraph">
              <wp:posOffset>3502025</wp:posOffset>
            </wp:positionV>
            <wp:extent cx="927735" cy="1724025"/>
            <wp:effectExtent l="0" t="0" r="5715" b="0"/>
            <wp:wrapNone/>
            <wp:docPr id="134017239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72395" name="图片 7"/>
                    <pic:cNvPicPr>
                      <a:picLocks noChangeAspect="1" noChangeArrowheads="1"/>
                    </pic:cNvPicPr>
                  </pic:nvPicPr>
                  <pic:blipFill>
                    <a:blip r:embed="rId50"/>
                    <a:srcRect/>
                    <a:stretch>
                      <a:fillRect/>
                    </a:stretch>
                  </pic:blipFill>
                  <pic:spPr>
                    <a:xfrm>
                      <a:off x="0" y="0"/>
                      <a:ext cx="933433" cy="1733996"/>
                    </a:xfrm>
                    <a:prstGeom prst="rect">
                      <a:avLst/>
                    </a:prstGeom>
                    <a:noFill/>
                  </pic:spPr>
                </pic:pic>
              </a:graphicData>
            </a:graphic>
          </wp:anchor>
        </w:drawing>
      </w:r>
    </w:p>
    <w:p w14:paraId="4A4A080A">
      <w:pPr>
        <w:keepNext/>
        <w:widowControl/>
        <w:kinsoku w:val="0"/>
        <w:autoSpaceDE w:val="0"/>
        <w:autoSpaceDN w:val="0"/>
        <w:spacing w:line="240" w:lineRule="auto"/>
        <w:jc w:val="center"/>
        <w:textAlignment w:val="baseline"/>
      </w:pPr>
      <w:r>
        <w:drawing>
          <wp:anchor distT="0" distB="0" distL="114300" distR="114300" simplePos="0" relativeHeight="251670528" behindDoc="0" locked="0" layoutInCell="1" allowOverlap="1">
            <wp:simplePos x="0" y="0"/>
            <wp:positionH relativeFrom="column">
              <wp:posOffset>7098665</wp:posOffset>
            </wp:positionH>
            <wp:positionV relativeFrom="paragraph">
              <wp:posOffset>3255645</wp:posOffset>
            </wp:positionV>
            <wp:extent cx="908685" cy="1682750"/>
            <wp:effectExtent l="0" t="0" r="5715" b="0"/>
            <wp:wrapNone/>
            <wp:docPr id="7030244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024449" name="图片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908685" cy="1682750"/>
                    </a:xfrm>
                    <a:prstGeom prst="rect">
                      <a:avLst/>
                    </a:prstGeom>
                    <a:noFill/>
                  </pic:spPr>
                </pic:pic>
              </a:graphicData>
            </a:graphic>
          </wp:anchor>
        </w:drawing>
      </w:r>
      <w:r>
        <w:drawing>
          <wp:inline distT="0" distB="0" distL="0" distR="0">
            <wp:extent cx="7065010" cy="4997450"/>
            <wp:effectExtent l="0" t="0" r="2540" b="0"/>
            <wp:docPr id="3307266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26651" name="图片 1"/>
                    <pic:cNvPicPr>
                      <a:picLocks noChangeAspect="1"/>
                    </pic:cNvPicPr>
                  </pic:nvPicPr>
                  <pic:blipFill>
                    <a:blip r:embed="rId51"/>
                    <a:stretch>
                      <a:fillRect/>
                    </a:stretch>
                  </pic:blipFill>
                  <pic:spPr>
                    <a:xfrm>
                      <a:off x="0" y="0"/>
                      <a:ext cx="7081799" cy="5009428"/>
                    </a:xfrm>
                    <a:prstGeom prst="rect">
                      <a:avLst/>
                    </a:prstGeom>
                  </pic:spPr>
                </pic:pic>
              </a:graphicData>
            </a:graphic>
          </wp:inline>
        </w:drawing>
      </w:r>
    </w:p>
    <w:p w14:paraId="152341C6">
      <w:pPr>
        <w:pStyle w:val="9"/>
        <w:spacing w:before="156"/>
      </w:pPr>
      <w:r>
        <w:rPr>
          <w:rFonts w:hint="eastAsia"/>
        </w:rPr>
        <w:t xml:space="preserve">专项图 </w:t>
      </w:r>
      <w:r>
        <w:fldChar w:fldCharType="begin"/>
      </w:r>
      <w:r>
        <w:instrText xml:space="preserve"> </w:instrText>
      </w:r>
      <w:r>
        <w:rPr>
          <w:rFonts w:hint="eastAsia"/>
        </w:rPr>
        <w:instrText xml:space="preserve">SEQ 专项图 \* ARABIC</w:instrText>
      </w:r>
      <w:r>
        <w:instrText xml:space="preserve"> </w:instrText>
      </w:r>
      <w:r>
        <w:fldChar w:fldCharType="separate"/>
      </w:r>
      <w:r>
        <w:t>6</w:t>
      </w:r>
      <w:r>
        <w:fldChar w:fldCharType="end"/>
      </w:r>
      <w:r>
        <w:t>道路</w:t>
      </w:r>
      <w:r>
        <w:rPr>
          <w:rFonts w:hint="eastAsia"/>
        </w:rPr>
        <w:t>中</w:t>
      </w:r>
      <w:r>
        <w:t>期夜间模拟等声线图</w:t>
      </w:r>
    </w:p>
    <w:p w14:paraId="04AEE384">
      <w:pPr>
        <w:keepNext/>
        <w:widowControl/>
        <w:adjustRightInd/>
        <w:snapToGrid/>
        <w:spacing w:line="240" w:lineRule="auto"/>
        <w:jc w:val="center"/>
      </w:pPr>
      <w:r>
        <w:br w:type="page"/>
      </w:r>
      <w:r>
        <w:drawing>
          <wp:anchor distT="0" distB="0" distL="114300" distR="114300" simplePos="0" relativeHeight="251669504" behindDoc="0" locked="0" layoutInCell="1" allowOverlap="1">
            <wp:simplePos x="0" y="0"/>
            <wp:positionH relativeFrom="column">
              <wp:posOffset>7038340</wp:posOffset>
            </wp:positionH>
            <wp:positionV relativeFrom="paragraph">
              <wp:posOffset>3220720</wp:posOffset>
            </wp:positionV>
            <wp:extent cx="908685" cy="1682750"/>
            <wp:effectExtent l="0" t="0" r="5715" b="0"/>
            <wp:wrapNone/>
            <wp:docPr id="210915300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53008" name="图片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908685" cy="1682750"/>
                    </a:xfrm>
                    <a:prstGeom prst="rect">
                      <a:avLst/>
                    </a:prstGeom>
                    <a:noFill/>
                  </pic:spPr>
                </pic:pic>
              </a:graphicData>
            </a:graphic>
          </wp:anchor>
        </w:drawing>
      </w:r>
      <w:r>
        <w:drawing>
          <wp:inline distT="0" distB="0" distL="0" distR="0">
            <wp:extent cx="7099300" cy="4916170"/>
            <wp:effectExtent l="0" t="0" r="6350" b="0"/>
            <wp:docPr id="119094467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944678" name="图片 6"/>
                    <pic:cNvPicPr>
                      <a:picLocks noChangeAspect="1"/>
                    </pic:cNvPicPr>
                  </pic:nvPicPr>
                  <pic:blipFill>
                    <a:blip r:embed="rId52"/>
                    <a:srcRect t="818" b="1"/>
                    <a:stretch>
                      <a:fillRect/>
                    </a:stretch>
                  </pic:blipFill>
                  <pic:spPr>
                    <a:xfrm>
                      <a:off x="0" y="0"/>
                      <a:ext cx="7101393" cy="4917771"/>
                    </a:xfrm>
                    <a:prstGeom prst="rect">
                      <a:avLst/>
                    </a:prstGeom>
                    <a:ln>
                      <a:noFill/>
                    </a:ln>
                  </pic:spPr>
                </pic:pic>
              </a:graphicData>
            </a:graphic>
          </wp:inline>
        </w:drawing>
      </w:r>
    </w:p>
    <w:p w14:paraId="07EEC902">
      <w:pPr>
        <w:pStyle w:val="9"/>
        <w:spacing w:before="156"/>
      </w:pPr>
      <w:r>
        <w:rPr>
          <w:rFonts w:hint="eastAsia"/>
        </w:rPr>
        <w:t xml:space="preserve">专项图 </w:t>
      </w:r>
      <w:r>
        <w:fldChar w:fldCharType="begin"/>
      </w:r>
      <w:r>
        <w:instrText xml:space="preserve"> </w:instrText>
      </w:r>
      <w:r>
        <w:rPr>
          <w:rFonts w:hint="eastAsia"/>
        </w:rPr>
        <w:instrText xml:space="preserve">SEQ 专项图 \* ARABIC</w:instrText>
      </w:r>
      <w:r>
        <w:instrText xml:space="preserve"> </w:instrText>
      </w:r>
      <w:r>
        <w:fldChar w:fldCharType="separate"/>
      </w:r>
      <w:r>
        <w:t>7</w:t>
      </w:r>
      <w:r>
        <w:fldChar w:fldCharType="end"/>
      </w:r>
      <w:r>
        <w:t>道路</w:t>
      </w:r>
      <w:r>
        <w:rPr>
          <w:rFonts w:hint="eastAsia"/>
        </w:rPr>
        <w:t>远</w:t>
      </w:r>
      <w:r>
        <w:t>期</w:t>
      </w:r>
      <w:r>
        <w:rPr>
          <w:rFonts w:hint="eastAsia"/>
        </w:rPr>
        <w:t>昼</w:t>
      </w:r>
      <w:r>
        <w:t>间模拟等声线图</w:t>
      </w:r>
    </w:p>
    <w:p w14:paraId="03DB3C91">
      <w:pPr>
        <w:keepNext/>
        <w:widowControl/>
        <w:adjustRightInd/>
        <w:snapToGrid/>
        <w:spacing w:line="240" w:lineRule="auto"/>
        <w:jc w:val="center"/>
      </w:pPr>
      <w:r>
        <w:br w:type="page"/>
      </w:r>
      <w:r>
        <w:drawing>
          <wp:anchor distT="0" distB="0" distL="114300" distR="114300" simplePos="0" relativeHeight="251668480" behindDoc="0" locked="0" layoutInCell="1" allowOverlap="1">
            <wp:simplePos x="0" y="0"/>
            <wp:positionH relativeFrom="column">
              <wp:posOffset>7288530</wp:posOffset>
            </wp:positionH>
            <wp:positionV relativeFrom="paragraph">
              <wp:posOffset>3229610</wp:posOffset>
            </wp:positionV>
            <wp:extent cx="908685" cy="1682750"/>
            <wp:effectExtent l="0" t="0" r="5715" b="0"/>
            <wp:wrapNone/>
            <wp:docPr id="8250449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44937" name="图片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908685" cy="1682750"/>
                    </a:xfrm>
                    <a:prstGeom prst="rect">
                      <a:avLst/>
                    </a:prstGeom>
                    <a:noFill/>
                  </pic:spPr>
                </pic:pic>
              </a:graphicData>
            </a:graphic>
          </wp:anchor>
        </w:drawing>
      </w:r>
      <w:r>
        <w:drawing>
          <wp:inline distT="0" distB="0" distL="0" distR="0">
            <wp:extent cx="6598920" cy="4942205"/>
            <wp:effectExtent l="0" t="0" r="0" b="0"/>
            <wp:docPr id="186046458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464580" name="图片 7"/>
                    <pic:cNvPicPr>
                      <a:picLocks noChangeAspect="1"/>
                    </pic:cNvPicPr>
                  </pic:nvPicPr>
                  <pic:blipFill>
                    <a:blip r:embed="rId53"/>
                    <a:srcRect t="1309"/>
                    <a:stretch>
                      <a:fillRect/>
                    </a:stretch>
                  </pic:blipFill>
                  <pic:spPr>
                    <a:xfrm>
                      <a:off x="0" y="0"/>
                      <a:ext cx="6623310" cy="4961021"/>
                    </a:xfrm>
                    <a:prstGeom prst="rect">
                      <a:avLst/>
                    </a:prstGeom>
                    <a:ln>
                      <a:noFill/>
                    </a:ln>
                  </pic:spPr>
                </pic:pic>
              </a:graphicData>
            </a:graphic>
          </wp:inline>
        </w:drawing>
      </w:r>
    </w:p>
    <w:p w14:paraId="7920850F">
      <w:pPr>
        <w:pStyle w:val="9"/>
        <w:spacing w:before="156"/>
      </w:pPr>
      <w:r>
        <w:rPr>
          <w:rFonts w:hint="eastAsia"/>
        </w:rPr>
        <w:t xml:space="preserve">专项图 </w:t>
      </w:r>
      <w:r>
        <w:fldChar w:fldCharType="begin"/>
      </w:r>
      <w:r>
        <w:instrText xml:space="preserve"> </w:instrText>
      </w:r>
      <w:r>
        <w:rPr>
          <w:rFonts w:hint="eastAsia"/>
        </w:rPr>
        <w:instrText xml:space="preserve">SEQ 专项图 \* ARABIC</w:instrText>
      </w:r>
      <w:r>
        <w:instrText xml:space="preserve"> </w:instrText>
      </w:r>
      <w:r>
        <w:fldChar w:fldCharType="separate"/>
      </w:r>
      <w:r>
        <w:t>8</w:t>
      </w:r>
      <w:r>
        <w:fldChar w:fldCharType="end"/>
      </w:r>
      <w:r>
        <w:t>道路远期</w:t>
      </w:r>
      <w:r>
        <w:rPr>
          <w:rFonts w:hint="eastAsia"/>
        </w:rPr>
        <w:t>夜</w:t>
      </w:r>
      <w:r>
        <w:t>间模拟等声线图</w:t>
      </w:r>
    </w:p>
    <w:p w14:paraId="4EDF7928">
      <w:pPr>
        <w:keepNext/>
        <w:widowControl/>
        <w:kinsoku w:val="0"/>
        <w:autoSpaceDE w:val="0"/>
        <w:autoSpaceDN w:val="0"/>
        <w:textAlignment w:val="baseline"/>
        <w:sectPr>
          <w:pgSz w:w="16838" w:h="11906" w:orient="landscape"/>
          <w:pgMar w:top="1800" w:right="1440" w:bottom="1800" w:left="1440" w:header="851" w:footer="1077" w:gutter="0"/>
          <w:cols w:space="720" w:num="1"/>
          <w:docGrid w:type="lines" w:linePitch="312" w:charSpace="0"/>
        </w:sectPr>
      </w:pPr>
    </w:p>
    <w:p w14:paraId="6E37DEC0">
      <w:commentRangeStart w:id="103"/>
      <w:commentRangeStart w:id="104"/>
      <w:r>
        <w:t>（3）</w:t>
      </w:r>
      <w:r>
        <w:rPr>
          <w:rFonts w:hint="eastAsia"/>
        </w:rPr>
        <w:t>声</w:t>
      </w:r>
      <w:r>
        <w:t>环境影响评价结论</w:t>
      </w:r>
      <w:commentRangeEnd w:id="103"/>
      <w:r>
        <w:rPr>
          <w:rStyle w:val="38"/>
        </w:rPr>
        <w:commentReference w:id="103"/>
      </w:r>
      <w:commentRangeEnd w:id="104"/>
      <w:r>
        <w:rPr>
          <w:rStyle w:val="38"/>
        </w:rPr>
        <w:commentReference w:id="104"/>
      </w:r>
    </w:p>
    <w:p w14:paraId="4E9B37B1">
      <w:pPr>
        <w:ind w:firstLine="420" w:firstLineChars="200"/>
      </w:pPr>
      <w:r>
        <w:t>由</w:t>
      </w:r>
      <w:r>
        <w:fldChar w:fldCharType="begin"/>
      </w:r>
      <w:r>
        <w:instrText xml:space="preserve"> REF _Ref233708641 \h  \* MERGEFORMAT </w:instrText>
      </w:r>
      <w:r>
        <w:fldChar w:fldCharType="separate"/>
      </w:r>
      <w:r>
        <w:t>专项表 15</w:t>
      </w:r>
      <w:r>
        <w:fldChar w:fldCharType="end"/>
      </w:r>
      <w:r>
        <w:rPr>
          <w:rFonts w:hint="eastAsia"/>
        </w:rPr>
        <w:t>道路</w:t>
      </w:r>
      <w:r>
        <w:t>空旷条件下</w:t>
      </w:r>
      <w:r>
        <w:rPr>
          <w:rFonts w:hint="eastAsia"/>
        </w:rPr>
        <w:t>噪声水平衰减情况可知</w:t>
      </w:r>
      <w:r>
        <w:t>：本项目</w:t>
      </w:r>
      <w:r>
        <w:rPr>
          <w:rFonts w:hint="eastAsia"/>
        </w:rPr>
        <w:t>运营期近期、中期、远期噪声在一定距离内均存在超标，其中近期2类声环境功能区内昼间在距道路中心线50m范围内存在超标，最大超标量9dB；夜间在距道路中心线35m范围内均存在超标，最大超标量9.1dB；4a类声环境功能区内昼间不超标，仅在夜间</w:t>
      </w:r>
      <w:r>
        <w:t>距道路中心线</w:t>
      </w:r>
      <w:r>
        <w:rPr>
          <w:rFonts w:hint="eastAsia"/>
        </w:rPr>
        <w:t>约25</w:t>
      </w:r>
      <w:r>
        <w:t>m范围内超标，最大超标量</w:t>
      </w:r>
      <w:r>
        <w:rPr>
          <w:rFonts w:hint="eastAsia"/>
        </w:rPr>
        <w:t>4.1</w:t>
      </w:r>
      <w:r>
        <w:t>dB</w:t>
      </w:r>
      <w:r>
        <w:rPr>
          <w:rFonts w:hint="eastAsia"/>
        </w:rPr>
        <w:t>。</w:t>
      </w:r>
      <w:r>
        <w:rPr>
          <w:rFonts w:hint="eastAsia" w:ascii="宋体" w:hAnsi="宋体"/>
          <w:color w:val="000000"/>
          <w:kern w:val="0"/>
          <w:szCs w:val="21"/>
        </w:rPr>
        <w:t>中期</w:t>
      </w:r>
      <w:r>
        <w:rPr>
          <w:rFonts w:hint="eastAsia"/>
        </w:rPr>
        <w:t>2类声环境功能区内昼间在距道路中心线约60m范围内存在超标，最大超标量9.8dB；夜间在距道路中心线约40m范围内存在超标，最大超标量10dB。4</w:t>
      </w:r>
      <w:r>
        <w:t>a类声环境功能区内仅夜间距道路中心线</w:t>
      </w:r>
      <w:r>
        <w:rPr>
          <w:rFonts w:hint="eastAsia"/>
        </w:rPr>
        <w:t>25</w:t>
      </w:r>
      <w:r>
        <w:t>m范围内存在超标，最大超标量</w:t>
      </w:r>
      <w:r>
        <w:rPr>
          <w:rFonts w:hint="eastAsia"/>
        </w:rPr>
        <w:t>5</w:t>
      </w:r>
      <w:r>
        <w:t>dB</w:t>
      </w:r>
      <w:r>
        <w:rPr>
          <w:rFonts w:hint="eastAsia"/>
        </w:rPr>
        <w:t>。</w:t>
      </w:r>
      <w:r>
        <w:rPr>
          <w:rFonts w:hint="eastAsia" w:ascii="宋体" w:hAnsi="宋体"/>
          <w:color w:val="000000"/>
          <w:kern w:val="0"/>
          <w:szCs w:val="21"/>
        </w:rPr>
        <w:t>远期</w:t>
      </w:r>
      <w:r>
        <w:t>2类声环境功能区内昼间在距道路中心线</w:t>
      </w:r>
      <w:r>
        <w:rPr>
          <w:rFonts w:hint="eastAsia"/>
        </w:rPr>
        <w:t>70</w:t>
      </w:r>
      <w:r>
        <w:t>m范围内存在超标，最大超标量</w:t>
      </w:r>
      <w:r>
        <w:rPr>
          <w:rFonts w:hint="eastAsia"/>
        </w:rPr>
        <w:t>10.7</w:t>
      </w:r>
      <w:r>
        <w:t xml:space="preserve"> dB；夜间在距道路中心线</w:t>
      </w:r>
      <w:r>
        <w:rPr>
          <w:rFonts w:hint="eastAsia"/>
        </w:rPr>
        <w:t>45</w:t>
      </w:r>
      <w:r>
        <w:t>m范围内存在超标，最大超标量</w:t>
      </w:r>
      <w:r>
        <w:rPr>
          <w:rFonts w:hint="eastAsia"/>
        </w:rPr>
        <w:t>10.9</w:t>
      </w:r>
      <w:r>
        <w:t>dB。</w:t>
      </w:r>
      <w:r>
        <w:rPr>
          <w:rFonts w:hint="eastAsia"/>
        </w:rPr>
        <w:t>4a类声环境功能区内昼间在临近道路中心线20m范围内超标，超标0.7 dB，夜间在距离道路中心线20m范围内存在超标，超标5.9dB。</w:t>
      </w:r>
    </w:p>
    <w:p w14:paraId="477FAA93">
      <w:pPr>
        <w:ind w:firstLine="420" w:firstLineChars="200"/>
      </w:pPr>
      <w:r>
        <w:rPr>
          <w:rFonts w:hint="eastAsia"/>
        </w:rPr>
        <w:t>针对规划敏感点的噪声预测，采用所监测得到的2a类环境区现状噪声作为当前的背景值和现状值，预测结果显示，</w:t>
      </w:r>
      <w:r>
        <w:t>近期，2类声环境功能区内所有昼间预测点均超标，超标量在 1.2~6.5 dB 之间，</w:t>
      </w:r>
      <w:r>
        <w:rPr>
          <w:rFonts w:hint="eastAsia"/>
        </w:rPr>
        <w:t>在建筑的中低层区域超标最为明显</w:t>
      </w:r>
      <w:r>
        <w:t>；夜间</w:t>
      </w:r>
      <w:r>
        <w:rPr>
          <w:rFonts w:hint="eastAsia"/>
        </w:rPr>
        <w:t>除高层点位不超标以外中低层点位也存在超标</w:t>
      </w:r>
      <w:r>
        <w:t>，超标量在 0.2~4.5 dB 之间。中期</w:t>
      </w:r>
      <w:r>
        <w:rPr>
          <w:rFonts w:hint="eastAsia"/>
        </w:rPr>
        <w:t>和远期随着车流量的增加，超标量也会有所增加，中期</w:t>
      </w:r>
      <w:r>
        <w:t>昼间超标量在 2.7~7.2 dB 之间，夜间超标量在 0.3~5.4 dB 之间；远期昼间超标量在 3.4~8.2 dB 之间，夜间超标量在 0.3~6.2 dB 之间。超标</w:t>
      </w:r>
      <w:r>
        <w:rPr>
          <w:rFonts w:hint="eastAsia"/>
        </w:rPr>
        <w:t>量</w:t>
      </w:r>
      <w:r>
        <w:t>主要集中在</w:t>
      </w:r>
      <w:r>
        <w:rPr>
          <w:rFonts w:hint="eastAsia"/>
        </w:rPr>
        <w:t>中低层</w:t>
      </w:r>
      <w:r>
        <w:t>距声源</w:t>
      </w:r>
      <w:r>
        <w:rPr>
          <w:rFonts w:hint="eastAsia"/>
        </w:rPr>
        <w:t>垂直距离</w:t>
      </w:r>
      <w:r>
        <w:t>较近的敏感点，</w:t>
      </w:r>
      <w:r>
        <w:rPr>
          <w:rFonts w:hint="eastAsia"/>
        </w:rPr>
        <w:t>高层</w:t>
      </w:r>
      <w:r>
        <w:t>超标</w:t>
      </w:r>
      <w:r>
        <w:rPr>
          <w:rFonts w:hint="eastAsia"/>
        </w:rPr>
        <w:t>量较少</w:t>
      </w:r>
      <w:r>
        <w:t>。</w:t>
      </w:r>
    </w:p>
    <w:p w14:paraId="5EEEC74C">
      <w:pPr>
        <w:ind w:firstLine="420" w:firstLineChars="200"/>
      </w:pPr>
      <w:r>
        <w:t>与现状背景值比较，</w:t>
      </w:r>
      <w:r>
        <w:rPr>
          <w:rFonts w:hint="eastAsia"/>
        </w:rPr>
        <w:t>规划敏感点在</w:t>
      </w:r>
      <w:r>
        <w:t>运营近期昼间噪声增加量在 9.2~14.5 dB 之间，夜间增加量在 5.2~11.5 dB 之间；中期昼间增加量在 9.9~15.1 dB 之间，夜间增加量在 5.9~12.2 dB 之间；远期昼间增加量在 10.7~16.2 dB 之间，夜间增加量在 6.6~13.2 dB 之间。噪声增量显著，且随着车流量增大，增量呈上升趋势。</w:t>
      </w:r>
    </w:p>
    <w:p w14:paraId="796133EC">
      <w:pPr>
        <w:ind w:firstLine="420" w:firstLineChars="200"/>
      </w:pPr>
      <w:r>
        <w:t>综上所述，工程建成后交通噪声对沿线规划敏感点影响较大</w:t>
      </w:r>
      <w:r>
        <w:rPr>
          <w:rFonts w:hint="eastAsia"/>
        </w:rPr>
        <w:t>，昼间和夜间均存在超标</w:t>
      </w:r>
      <w:r>
        <w:t>。</w:t>
      </w:r>
      <w:r>
        <w:rPr>
          <w:rFonts w:hint="eastAsia"/>
        </w:rPr>
        <w:t>由于不存在现状敏感点，所以</w:t>
      </w:r>
      <w:r>
        <w:t>建议</w:t>
      </w:r>
      <w:r>
        <w:rPr>
          <w:rFonts w:hint="eastAsia"/>
        </w:rPr>
        <w:t>未来住宅开发商在进行规划设计时</w:t>
      </w:r>
      <w:r>
        <w:t>对</w:t>
      </w:r>
      <w:r>
        <w:rPr>
          <w:rFonts w:hint="eastAsia"/>
        </w:rPr>
        <w:t>规划住宅敏感点</w:t>
      </w:r>
      <w:r>
        <w:t>采取</w:t>
      </w:r>
      <w:r>
        <w:rPr>
          <w:rFonts w:hint="eastAsia"/>
        </w:rPr>
        <w:t>诸如</w:t>
      </w:r>
      <w:r>
        <w:t>设置声屏障、安装通风隔声窗等工程措施，</w:t>
      </w:r>
      <w:r>
        <w:rPr>
          <w:rFonts w:hint="eastAsia"/>
        </w:rPr>
        <w:t>通过加强建筑隔声，可以有效降低室外噪声对居民生活的影响。</w:t>
      </w:r>
      <w:r>
        <w:t>同时</w:t>
      </w:r>
      <w:r>
        <w:rPr>
          <w:rFonts w:hint="eastAsia"/>
        </w:rPr>
        <w:t>交通管理部门应</w:t>
      </w:r>
      <w:r>
        <w:t>加强交通管控（如限速、禁鸣、限制大型车通行</w:t>
      </w:r>
      <w:r>
        <w:rPr>
          <w:rFonts w:hint="eastAsia"/>
        </w:rPr>
        <w:t>等</w:t>
      </w:r>
      <w:r>
        <w:t>），</w:t>
      </w:r>
      <w:r>
        <w:rPr>
          <w:rFonts w:hint="eastAsia"/>
        </w:rPr>
        <w:t>通过限制大型车通行等措施，可以</w:t>
      </w:r>
      <w:r>
        <w:t>有效降低</w:t>
      </w:r>
      <w:r>
        <w:rPr>
          <w:rFonts w:hint="eastAsia"/>
        </w:rPr>
        <w:t>运营期的道路噪声源强，</w:t>
      </w:r>
      <w:r>
        <w:t>确保敏感点声环境质量满足《声环境质量标准》（GB 3096-2008）2类区限值要求。</w:t>
      </w:r>
    </w:p>
    <w:p w14:paraId="28F4868C">
      <w:pPr>
        <w:widowControl/>
        <w:kinsoku w:val="0"/>
        <w:autoSpaceDE w:val="0"/>
        <w:autoSpaceDN w:val="0"/>
        <w:textAlignment w:val="baseline"/>
      </w:pPr>
      <w:r>
        <w:rPr>
          <w:color w:val="000000"/>
          <w:kern w:val="0"/>
          <w:szCs w:val="21"/>
        </w:rPr>
        <w:br w:type="page"/>
      </w:r>
    </w:p>
    <w:p w14:paraId="47DA694C">
      <w:pPr>
        <w:outlineLvl w:val="1"/>
        <w:rPr>
          <w:b/>
          <w:bCs/>
          <w:szCs w:val="21"/>
        </w:rPr>
      </w:pPr>
      <w:r>
        <w:rPr>
          <w:rFonts w:ascii="宋体" w:hAnsi="宋体"/>
          <w:b/>
          <w:bCs/>
          <w:szCs w:val="21"/>
        </w:rPr>
        <w:t>五、噪声污染防治措施</w:t>
      </w:r>
    </w:p>
    <w:p w14:paraId="21066A8B">
      <w:pPr>
        <w:ind w:firstLine="422" w:firstLineChars="200"/>
        <w:outlineLvl w:val="2"/>
        <w:rPr>
          <w:b/>
          <w:bCs/>
          <w:szCs w:val="21"/>
        </w:rPr>
      </w:pPr>
      <w:r>
        <w:rPr>
          <w:b/>
          <w:bCs/>
          <w:szCs w:val="21"/>
        </w:rPr>
        <w:t>1</w:t>
      </w:r>
      <w:r>
        <w:rPr>
          <w:rFonts w:ascii="宋体" w:hAnsi="宋体"/>
          <w:b/>
          <w:bCs/>
          <w:szCs w:val="21"/>
        </w:rPr>
        <w:t>、施工期噪声污染防治措施</w:t>
      </w:r>
    </w:p>
    <w:p w14:paraId="0E32197C">
      <w:pPr>
        <w:ind w:firstLine="420" w:firstLineChars="200"/>
        <w:rPr>
          <w:rFonts w:hint="eastAsia" w:ascii="宋体" w:hAnsi="宋体"/>
          <w:kern w:val="0"/>
          <w:szCs w:val="21"/>
        </w:rPr>
      </w:pPr>
      <w:r>
        <w:rPr>
          <w:rFonts w:ascii="宋体" w:hAnsi="宋体"/>
          <w:kern w:val="0"/>
          <w:szCs w:val="21"/>
        </w:rPr>
        <w:t>（</w:t>
      </w:r>
      <w:r>
        <w:rPr>
          <w:kern w:val="0"/>
          <w:szCs w:val="21"/>
        </w:rPr>
        <w:t>1</w:t>
      </w:r>
      <w:r>
        <w:rPr>
          <w:rFonts w:ascii="宋体" w:hAnsi="宋体"/>
          <w:kern w:val="0"/>
          <w:szCs w:val="21"/>
        </w:rPr>
        <w:t>）工程指挥部和项目部根据工程特点和</w:t>
      </w:r>
      <w:r>
        <w:rPr>
          <w:rFonts w:hint="eastAsia" w:ascii="宋体" w:hAnsi="宋体"/>
          <w:kern w:val="0"/>
          <w:szCs w:val="21"/>
        </w:rPr>
        <w:t>声</w:t>
      </w:r>
      <w:r>
        <w:rPr>
          <w:rFonts w:ascii="宋体" w:hAnsi="宋体"/>
          <w:kern w:val="0"/>
          <w:szCs w:val="21"/>
        </w:rPr>
        <w:t>环境特征，制定完善的</w:t>
      </w:r>
      <w:r>
        <w:rPr>
          <w:rFonts w:hint="eastAsia" w:ascii="宋体" w:hAnsi="宋体"/>
          <w:kern w:val="0"/>
          <w:szCs w:val="21"/>
        </w:rPr>
        <w:t>声</w:t>
      </w:r>
      <w:r>
        <w:rPr>
          <w:rFonts w:ascii="宋体" w:hAnsi="宋体"/>
          <w:kern w:val="0"/>
          <w:szCs w:val="21"/>
        </w:rPr>
        <w:t>环境保护计划和管理办法等规章制度，明确施工工艺、施工工序、环境管理措施、防治责任范围等。</w:t>
      </w:r>
    </w:p>
    <w:p w14:paraId="33086C5C">
      <w:pPr>
        <w:ind w:firstLine="420" w:firstLineChars="200"/>
        <w:rPr>
          <w:rFonts w:hint="eastAsia" w:ascii="宋体" w:hAnsi="宋体"/>
          <w:kern w:val="0"/>
          <w:szCs w:val="21"/>
        </w:rPr>
      </w:pPr>
      <w:r>
        <w:rPr>
          <w:rFonts w:ascii="宋体" w:hAnsi="宋体"/>
          <w:kern w:val="0"/>
          <w:szCs w:val="21"/>
        </w:rPr>
        <w:t>（</w:t>
      </w:r>
      <w:r>
        <w:rPr>
          <w:kern w:val="0"/>
          <w:szCs w:val="21"/>
        </w:rPr>
        <w:t>2</w:t>
      </w:r>
      <w:r>
        <w:rPr>
          <w:rFonts w:ascii="宋体" w:hAnsi="宋体"/>
          <w:kern w:val="0"/>
          <w:szCs w:val="21"/>
        </w:rPr>
        <w:t>）合理施工场地布置：在布置噪声较大的机械如发电机、空压机等时，应尽量布置在偏僻处，并远离居民区等保护目标。施工场地应尽量结合既有道路设置，避免进入集中居住区，远离学校等特殊声环境保护目标。施工过程中经常对设备进行维修保养</w:t>
      </w:r>
    </w:p>
    <w:p w14:paraId="6531D5BE">
      <w:pPr>
        <w:ind w:firstLine="420" w:firstLineChars="200"/>
        <w:rPr>
          <w:rFonts w:hint="eastAsia" w:ascii="宋体" w:hAnsi="宋体"/>
          <w:kern w:val="0"/>
          <w:szCs w:val="21"/>
        </w:rPr>
      </w:pPr>
      <w:r>
        <w:rPr>
          <w:rFonts w:ascii="宋体" w:hAnsi="宋体"/>
          <w:kern w:val="0"/>
          <w:szCs w:val="21"/>
        </w:rPr>
        <w:t>（</w:t>
      </w:r>
      <w:r>
        <w:rPr>
          <w:kern w:val="0"/>
          <w:szCs w:val="21"/>
        </w:rPr>
        <w:t>3</w:t>
      </w:r>
      <w:r>
        <w:rPr>
          <w:rFonts w:ascii="宋体" w:hAnsi="宋体"/>
          <w:kern w:val="0"/>
          <w:szCs w:val="21"/>
        </w:rPr>
        <w:t>）合理安排施工车辆：协调好施工车辆通行的时间，在既有交通繁忙的情况下，工程建设方、施工方及交管部门应加强沟通、协调工作，避免交通堵塞，夜间运输要采取减速缓行、禁止鸣笛等措施；其它区段运输道路应尽量避免穿越乡镇及村庄，将噪声的影响降低到最低限度。</w:t>
      </w:r>
    </w:p>
    <w:p w14:paraId="43E1CF70">
      <w:pPr>
        <w:ind w:firstLine="420" w:firstLineChars="200"/>
        <w:rPr>
          <w:rFonts w:hint="eastAsia" w:ascii="宋体" w:hAnsi="宋体"/>
          <w:kern w:val="0"/>
          <w:szCs w:val="21"/>
        </w:rPr>
      </w:pPr>
      <w:r>
        <w:rPr>
          <w:rFonts w:ascii="宋体" w:hAnsi="宋体"/>
          <w:kern w:val="0"/>
          <w:szCs w:val="21"/>
        </w:rPr>
        <w:t>（</w:t>
      </w:r>
      <w:r>
        <w:rPr>
          <w:kern w:val="0"/>
          <w:szCs w:val="21"/>
        </w:rPr>
        <w:t>4</w:t>
      </w:r>
      <w:r>
        <w:rPr>
          <w:rFonts w:ascii="宋体" w:hAnsi="宋体"/>
          <w:kern w:val="0"/>
          <w:szCs w:val="21"/>
        </w:rPr>
        <w:t>）优化施工方案，合理安排工期：将施工环境噪声危害降到最低程度，在施工工程招投标时，将降低环境噪声污染的措施列为施工组织设计内容，并在签订的合同中予以明确。工地因地制宜安装隔音房、隔音棚、隔音罩、隔音墙等降噪设施。</w:t>
      </w:r>
    </w:p>
    <w:p w14:paraId="48DFC75D">
      <w:pPr>
        <w:ind w:firstLine="422" w:firstLineChars="200"/>
        <w:outlineLvl w:val="2"/>
        <w:rPr>
          <w:b/>
          <w:bCs/>
          <w:szCs w:val="21"/>
        </w:rPr>
      </w:pPr>
      <w:r>
        <w:rPr>
          <w:b/>
          <w:bCs/>
          <w:szCs w:val="21"/>
        </w:rPr>
        <w:t>2</w:t>
      </w:r>
      <w:r>
        <w:rPr>
          <w:rFonts w:ascii="宋体" w:hAnsi="宋体"/>
          <w:b/>
          <w:bCs/>
          <w:szCs w:val="21"/>
        </w:rPr>
        <w:t>、运营期噪声污染防治措施</w:t>
      </w:r>
    </w:p>
    <w:p w14:paraId="4BF02628">
      <w:pPr>
        <w:ind w:firstLine="420" w:firstLineChars="200"/>
        <w:rPr>
          <w:kern w:val="0"/>
          <w:szCs w:val="21"/>
        </w:rPr>
      </w:pPr>
      <w:r>
        <w:rPr>
          <w:rFonts w:ascii="宋体" w:hAnsi="宋体"/>
          <w:kern w:val="0"/>
          <w:szCs w:val="21"/>
        </w:rPr>
        <w:t>由噪声预测结果可知，随着车流量的增加，在不采取有效的降噪措施的情况下，</w:t>
      </w:r>
      <w:r>
        <w:rPr>
          <w:rFonts w:hint="eastAsia" w:ascii="宋体" w:hAnsi="宋体"/>
          <w:kern w:val="0"/>
          <w:szCs w:val="21"/>
        </w:rPr>
        <w:t>道路沿线</w:t>
      </w:r>
      <w:r>
        <w:rPr>
          <w:rFonts w:ascii="宋体" w:hAnsi="宋体"/>
          <w:kern w:val="0"/>
          <w:szCs w:val="21"/>
        </w:rPr>
        <w:t>昼间、夜间的噪声将有所增加</w:t>
      </w:r>
      <w:r>
        <w:rPr>
          <w:rFonts w:hint="eastAsia" w:ascii="宋体" w:hAnsi="宋体"/>
          <w:kern w:val="0"/>
          <w:szCs w:val="21"/>
        </w:rPr>
        <w:t>，虽然无现状敏感点，但是可能会对潜在的规划保护目标产生影响，</w:t>
      </w:r>
      <w:r>
        <w:rPr>
          <w:rFonts w:ascii="宋体" w:hAnsi="宋体"/>
          <w:kern w:val="0"/>
          <w:szCs w:val="21"/>
        </w:rPr>
        <w:t>因此，</w:t>
      </w:r>
      <w:r>
        <w:rPr>
          <w:rFonts w:hint="eastAsia" w:ascii="宋体" w:hAnsi="宋体"/>
          <w:kern w:val="0"/>
          <w:szCs w:val="21"/>
        </w:rPr>
        <w:t>未来建设规划住宅时</w:t>
      </w:r>
      <w:r>
        <w:rPr>
          <w:rFonts w:ascii="宋体" w:hAnsi="宋体"/>
          <w:kern w:val="0"/>
          <w:szCs w:val="21"/>
        </w:rPr>
        <w:t>需要通过采取声屏障、隔声窗改造等措施进一步减小交通噪声的影响</w:t>
      </w:r>
      <w:r>
        <w:rPr>
          <w:rFonts w:hint="eastAsia" w:ascii="宋体" w:hAnsi="宋体"/>
          <w:kern w:val="0"/>
          <w:szCs w:val="21"/>
        </w:rPr>
        <w:t>。</w:t>
      </w:r>
    </w:p>
    <w:p w14:paraId="56F4B189">
      <w:pPr>
        <w:ind w:firstLine="420" w:firstLineChars="200"/>
        <w:rPr>
          <w:kern w:val="0"/>
          <w:szCs w:val="21"/>
        </w:rPr>
      </w:pPr>
      <w:r>
        <w:rPr>
          <w:rFonts w:ascii="宋体" w:hAnsi="宋体"/>
          <w:kern w:val="0"/>
          <w:szCs w:val="21"/>
        </w:rPr>
        <w:t>根据《中华人民共和国噪声污染防治法》第三十七条</w:t>
      </w:r>
      <w:r>
        <w:rPr>
          <w:kern w:val="0"/>
          <w:szCs w:val="21"/>
        </w:rPr>
        <w:t>“</w:t>
      </w:r>
      <w:r>
        <w:rPr>
          <w:rFonts w:ascii="宋体" w:hAnsi="宋体"/>
          <w:kern w:val="0"/>
          <w:szCs w:val="21"/>
        </w:rPr>
        <w:t>在已有城市交通干线的两侧建设噪声敏感建筑物的，建设单位应当按照国家规定间隔一定距离，并采取减轻、避免交通噪声影响的措施。</w:t>
      </w:r>
      <w:r>
        <w:rPr>
          <w:kern w:val="0"/>
          <w:szCs w:val="21"/>
        </w:rPr>
        <w:t>”</w:t>
      </w:r>
      <w:r>
        <w:rPr>
          <w:rFonts w:ascii="宋体" w:hAnsi="宋体"/>
          <w:kern w:val="0"/>
          <w:szCs w:val="21"/>
        </w:rPr>
        <w:t>建议面向道路第一排建筑平行道路布置，如面向道路建设噪声敏感建筑物，应间隔必要的距离，且层数不宜高，更不宜两侧相对着建设，以避免回声带来更大的噪声污染。</w:t>
      </w:r>
    </w:p>
    <w:p w14:paraId="044BA8EB">
      <w:pPr>
        <w:ind w:firstLine="420" w:firstLineChars="200"/>
        <w:rPr>
          <w:kern w:val="0"/>
          <w:szCs w:val="21"/>
        </w:rPr>
      </w:pPr>
      <w:r>
        <w:rPr>
          <w:rFonts w:ascii="宋体" w:hAnsi="宋体"/>
          <w:kern w:val="0"/>
          <w:szCs w:val="21"/>
        </w:rPr>
        <w:t>根据以上治理原则和噪声防治控制目标，本项目噪声防治应从合理规划布局、噪声源控制、传声途径噪声削减、敏感建筑物噪声防护、加强交通噪声管理五个方面进行防护和治理，结合本项目的具体情况降噪措施的选择性见下表。</w:t>
      </w:r>
    </w:p>
    <w:p w14:paraId="659BF22C">
      <w:pPr>
        <w:widowControl/>
        <w:adjustRightInd/>
        <w:snapToGrid/>
        <w:jc w:val="left"/>
        <w:rPr>
          <w:rFonts w:hint="eastAsia" w:ascii="宋体" w:hAnsi="宋体" w:cs="宋体"/>
          <w:kern w:val="0"/>
          <w:szCs w:val="21"/>
          <w:highlight w:val="yellow"/>
        </w:rPr>
        <w:sectPr>
          <w:pgSz w:w="11906" w:h="16838"/>
          <w:pgMar w:top="1418" w:right="1418" w:bottom="1418" w:left="1418" w:header="851" w:footer="851" w:gutter="0"/>
          <w:cols w:space="720" w:num="1"/>
          <w:titlePg/>
          <w:docGrid w:type="lines" w:linePitch="424" w:charSpace="0"/>
        </w:sectPr>
      </w:pPr>
    </w:p>
    <w:p w14:paraId="2AA661AB">
      <w:pPr>
        <w:pStyle w:val="9"/>
        <w:keepNext/>
        <w:spacing w:before="212" w:after="212"/>
      </w:pPr>
      <w:r>
        <w:rPr>
          <w:rFonts w:hint="eastAsia"/>
        </w:rPr>
        <w:t xml:space="preserve">专项表 </w:t>
      </w:r>
      <w:r>
        <w:fldChar w:fldCharType="begin"/>
      </w:r>
      <w:r>
        <w:instrText xml:space="preserve"> </w:instrText>
      </w:r>
      <w:r>
        <w:rPr>
          <w:rFonts w:hint="eastAsia"/>
        </w:rPr>
        <w:instrText xml:space="preserve">SEQ 专项表 \* ARABIC</w:instrText>
      </w:r>
      <w:r>
        <w:instrText xml:space="preserve"> </w:instrText>
      </w:r>
      <w:r>
        <w:fldChar w:fldCharType="separate"/>
      </w:r>
      <w:r>
        <w:t>17</w:t>
      </w:r>
      <w:r>
        <w:fldChar w:fldCharType="end"/>
      </w:r>
      <w:r>
        <w:rPr>
          <w:rFonts w:ascii="宋体" w:hAnsi="宋体"/>
          <w:kern w:val="0"/>
          <w:szCs w:val="21"/>
        </w:rPr>
        <w:t>噪声污染防治总体措施</w:t>
      </w:r>
    </w:p>
    <w:tbl>
      <w:tblPr>
        <w:tblStyle w:val="30"/>
        <w:tblW w:w="5000" w:type="pct"/>
        <w:tblInd w:w="5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1032"/>
        <w:gridCol w:w="2052"/>
        <w:gridCol w:w="5478"/>
        <w:gridCol w:w="1561"/>
        <w:gridCol w:w="3993"/>
      </w:tblGrid>
      <w:tr w14:paraId="599EF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38" w:hRule="atLeast"/>
        </w:trPr>
        <w:tc>
          <w:tcPr>
            <w:tcW w:w="1022" w:type="dxa"/>
            <w:vAlign w:val="center"/>
          </w:tcPr>
          <w:p w14:paraId="4BFDB53D">
            <w:pPr>
              <w:widowControl/>
              <w:adjustRightInd/>
              <w:spacing w:line="240" w:lineRule="auto"/>
              <w:jc w:val="center"/>
              <w:rPr>
                <w:b/>
                <w:bCs/>
                <w:kern w:val="0"/>
                <w:sz w:val="18"/>
                <w:szCs w:val="18"/>
              </w:rPr>
            </w:pPr>
            <w:r>
              <w:rPr>
                <w:rFonts w:ascii="宋体" w:hAnsi="宋体"/>
                <w:b/>
                <w:bCs/>
                <w:kern w:val="0"/>
                <w:sz w:val="18"/>
                <w:szCs w:val="18"/>
              </w:rPr>
              <w:t>降噪途径</w:t>
            </w:r>
          </w:p>
        </w:tc>
        <w:tc>
          <w:tcPr>
            <w:tcW w:w="2031" w:type="dxa"/>
            <w:vAlign w:val="center"/>
          </w:tcPr>
          <w:p w14:paraId="5F1EB003">
            <w:pPr>
              <w:widowControl/>
              <w:adjustRightInd/>
              <w:spacing w:line="240" w:lineRule="auto"/>
              <w:jc w:val="center"/>
              <w:rPr>
                <w:b/>
                <w:bCs/>
                <w:kern w:val="0"/>
                <w:sz w:val="18"/>
                <w:szCs w:val="18"/>
              </w:rPr>
            </w:pPr>
            <w:r>
              <w:rPr>
                <w:rFonts w:ascii="宋体" w:hAnsi="宋体"/>
                <w:b/>
                <w:bCs/>
                <w:kern w:val="0"/>
                <w:sz w:val="18"/>
                <w:szCs w:val="18"/>
              </w:rPr>
              <w:t>降噪主题</w:t>
            </w:r>
          </w:p>
        </w:tc>
        <w:tc>
          <w:tcPr>
            <w:tcW w:w="5422" w:type="dxa"/>
            <w:vAlign w:val="center"/>
          </w:tcPr>
          <w:p w14:paraId="37534E8A">
            <w:pPr>
              <w:widowControl/>
              <w:adjustRightInd/>
              <w:spacing w:line="240" w:lineRule="auto"/>
              <w:jc w:val="center"/>
              <w:rPr>
                <w:b/>
                <w:bCs/>
                <w:kern w:val="0"/>
                <w:sz w:val="18"/>
                <w:szCs w:val="18"/>
              </w:rPr>
            </w:pPr>
            <w:r>
              <w:rPr>
                <w:rFonts w:ascii="宋体" w:hAnsi="宋体"/>
                <w:b/>
                <w:bCs/>
                <w:kern w:val="0"/>
                <w:sz w:val="18"/>
                <w:szCs w:val="18"/>
              </w:rPr>
              <w:t>具体措施</w:t>
            </w:r>
          </w:p>
        </w:tc>
        <w:tc>
          <w:tcPr>
            <w:tcW w:w="1545" w:type="dxa"/>
            <w:vAlign w:val="center"/>
          </w:tcPr>
          <w:p w14:paraId="11F8C9BF">
            <w:pPr>
              <w:widowControl/>
              <w:adjustRightInd/>
              <w:spacing w:line="240" w:lineRule="auto"/>
              <w:jc w:val="center"/>
              <w:rPr>
                <w:b/>
                <w:bCs/>
                <w:kern w:val="0"/>
                <w:sz w:val="18"/>
                <w:szCs w:val="18"/>
              </w:rPr>
            </w:pPr>
            <w:r>
              <w:rPr>
                <w:rFonts w:ascii="宋体" w:hAnsi="宋体"/>
                <w:b/>
                <w:bCs/>
                <w:kern w:val="0"/>
                <w:sz w:val="18"/>
                <w:szCs w:val="18"/>
              </w:rPr>
              <w:t>执行单位</w:t>
            </w:r>
          </w:p>
        </w:tc>
        <w:tc>
          <w:tcPr>
            <w:tcW w:w="3952" w:type="dxa"/>
            <w:vAlign w:val="center"/>
          </w:tcPr>
          <w:p w14:paraId="10604E0D">
            <w:pPr>
              <w:widowControl/>
              <w:adjustRightInd/>
              <w:spacing w:line="240" w:lineRule="auto"/>
              <w:jc w:val="center"/>
              <w:rPr>
                <w:b/>
                <w:bCs/>
                <w:kern w:val="0"/>
                <w:sz w:val="18"/>
                <w:szCs w:val="18"/>
              </w:rPr>
            </w:pPr>
            <w:r>
              <w:rPr>
                <w:rFonts w:ascii="宋体" w:hAnsi="宋体"/>
                <w:b/>
                <w:bCs/>
                <w:kern w:val="0"/>
                <w:sz w:val="18"/>
                <w:szCs w:val="18"/>
              </w:rPr>
              <w:t>本项目执行情况</w:t>
            </w:r>
          </w:p>
        </w:tc>
      </w:tr>
      <w:tr w14:paraId="576F26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22" w:hRule="atLeast"/>
        </w:trPr>
        <w:tc>
          <w:tcPr>
            <w:tcW w:w="1022" w:type="dxa"/>
            <w:vMerge w:val="restart"/>
            <w:vAlign w:val="center"/>
          </w:tcPr>
          <w:p w14:paraId="433282B7">
            <w:pPr>
              <w:widowControl/>
              <w:adjustRightInd/>
              <w:spacing w:line="240" w:lineRule="auto"/>
              <w:jc w:val="center"/>
              <w:rPr>
                <w:kern w:val="0"/>
                <w:sz w:val="18"/>
                <w:szCs w:val="18"/>
              </w:rPr>
            </w:pPr>
            <w:r>
              <w:rPr>
                <w:rFonts w:ascii="宋体" w:hAnsi="宋体"/>
                <w:kern w:val="0"/>
                <w:sz w:val="18"/>
                <w:szCs w:val="18"/>
              </w:rPr>
              <w:t>合理规划布局</w:t>
            </w:r>
          </w:p>
        </w:tc>
        <w:tc>
          <w:tcPr>
            <w:tcW w:w="2031" w:type="dxa"/>
            <w:vAlign w:val="center"/>
          </w:tcPr>
          <w:p w14:paraId="03CD905C">
            <w:pPr>
              <w:widowControl/>
              <w:adjustRightInd/>
              <w:spacing w:line="240" w:lineRule="auto"/>
              <w:jc w:val="center"/>
              <w:rPr>
                <w:kern w:val="0"/>
                <w:sz w:val="18"/>
                <w:szCs w:val="18"/>
              </w:rPr>
            </w:pPr>
            <w:r>
              <w:rPr>
                <w:rFonts w:ascii="宋体" w:hAnsi="宋体"/>
                <w:kern w:val="0"/>
                <w:sz w:val="18"/>
                <w:szCs w:val="18"/>
              </w:rPr>
              <w:t>城乡规划</w:t>
            </w:r>
          </w:p>
        </w:tc>
        <w:tc>
          <w:tcPr>
            <w:tcW w:w="5422" w:type="dxa"/>
            <w:vAlign w:val="center"/>
          </w:tcPr>
          <w:p w14:paraId="0027BFCA">
            <w:pPr>
              <w:widowControl/>
              <w:adjustRightInd/>
              <w:spacing w:line="240" w:lineRule="auto"/>
              <w:jc w:val="center"/>
              <w:rPr>
                <w:kern w:val="0"/>
                <w:sz w:val="18"/>
                <w:szCs w:val="18"/>
              </w:rPr>
            </w:pPr>
            <w:r>
              <w:rPr>
                <w:rFonts w:ascii="宋体" w:hAnsi="宋体"/>
                <w:kern w:val="0"/>
                <w:sz w:val="18"/>
                <w:szCs w:val="18"/>
              </w:rPr>
              <w:t>合理确定功能分区和建设布局</w:t>
            </w:r>
          </w:p>
        </w:tc>
        <w:tc>
          <w:tcPr>
            <w:tcW w:w="1545" w:type="dxa"/>
            <w:vMerge w:val="restart"/>
            <w:vAlign w:val="center"/>
          </w:tcPr>
          <w:p w14:paraId="0FF55BDD">
            <w:pPr>
              <w:widowControl/>
              <w:adjustRightInd/>
              <w:spacing w:line="240" w:lineRule="auto"/>
              <w:jc w:val="center"/>
              <w:rPr>
                <w:kern w:val="0"/>
                <w:sz w:val="18"/>
                <w:szCs w:val="18"/>
              </w:rPr>
            </w:pPr>
            <w:r>
              <w:rPr>
                <w:rFonts w:ascii="宋体" w:hAnsi="宋体"/>
                <w:kern w:val="0"/>
                <w:sz w:val="18"/>
                <w:szCs w:val="18"/>
              </w:rPr>
              <w:t>城市规划部门</w:t>
            </w:r>
          </w:p>
        </w:tc>
        <w:tc>
          <w:tcPr>
            <w:tcW w:w="3952" w:type="dxa"/>
            <w:vMerge w:val="restart"/>
            <w:vAlign w:val="center"/>
          </w:tcPr>
          <w:p w14:paraId="52D1D898">
            <w:pPr>
              <w:widowControl/>
              <w:adjustRightInd/>
              <w:spacing w:line="240" w:lineRule="auto"/>
              <w:jc w:val="center"/>
              <w:rPr>
                <w:kern w:val="0"/>
                <w:sz w:val="18"/>
                <w:szCs w:val="18"/>
              </w:rPr>
            </w:pPr>
            <w:r>
              <w:rPr>
                <w:rFonts w:ascii="宋体" w:hAnsi="宋体"/>
                <w:kern w:val="0"/>
                <w:sz w:val="18"/>
                <w:szCs w:val="18"/>
              </w:rPr>
              <w:t>本工程</w:t>
            </w:r>
            <w:r>
              <w:rPr>
                <w:rFonts w:hint="eastAsia" w:ascii="宋体" w:hAnsi="宋体"/>
                <w:kern w:val="0"/>
                <w:sz w:val="18"/>
                <w:szCs w:val="18"/>
              </w:rPr>
              <w:t>为新建道路</w:t>
            </w:r>
            <w:r>
              <w:rPr>
                <w:rFonts w:ascii="宋体" w:hAnsi="宋体"/>
                <w:kern w:val="0"/>
                <w:sz w:val="18"/>
                <w:szCs w:val="18"/>
              </w:rPr>
              <w:t>，在选线时已考虑尽量远离现有居民区</w:t>
            </w:r>
            <w:r>
              <w:rPr>
                <w:rFonts w:hint="eastAsia" w:ascii="宋体" w:hAnsi="宋体"/>
                <w:kern w:val="0"/>
                <w:sz w:val="18"/>
                <w:szCs w:val="18"/>
              </w:rPr>
              <w:t>，部分民居已完成搬迁工作，不存在现状敏感点</w:t>
            </w:r>
            <w:r>
              <w:rPr>
                <w:rFonts w:ascii="宋体" w:hAnsi="宋体"/>
                <w:kern w:val="0"/>
                <w:sz w:val="18"/>
                <w:szCs w:val="18"/>
              </w:rPr>
              <w:t>。沿线规划建设时规划部门及相应建设部门应及时采取建筑退让，临路建筑功能置换、绿化等隔声降噪措施，确保居住区声环境质量满足相应标准要求。</w:t>
            </w:r>
          </w:p>
        </w:tc>
      </w:tr>
      <w:tr w14:paraId="16AE2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01" w:hRule="atLeast"/>
        </w:trPr>
        <w:tc>
          <w:tcPr>
            <w:tcW w:w="1022" w:type="dxa"/>
            <w:vMerge w:val="continue"/>
            <w:vAlign w:val="center"/>
          </w:tcPr>
          <w:p w14:paraId="5E37161E">
            <w:pPr>
              <w:widowControl/>
              <w:adjustRightInd/>
              <w:snapToGrid/>
              <w:spacing w:line="240" w:lineRule="auto"/>
              <w:jc w:val="left"/>
              <w:rPr>
                <w:kern w:val="0"/>
                <w:sz w:val="18"/>
                <w:szCs w:val="18"/>
              </w:rPr>
            </w:pPr>
          </w:p>
        </w:tc>
        <w:tc>
          <w:tcPr>
            <w:tcW w:w="2031" w:type="dxa"/>
            <w:vAlign w:val="center"/>
          </w:tcPr>
          <w:p w14:paraId="025859D0">
            <w:pPr>
              <w:widowControl/>
              <w:adjustRightInd/>
              <w:spacing w:line="240" w:lineRule="auto"/>
              <w:jc w:val="center"/>
              <w:rPr>
                <w:kern w:val="0"/>
                <w:sz w:val="18"/>
                <w:szCs w:val="18"/>
              </w:rPr>
            </w:pPr>
            <w:r>
              <w:rPr>
                <w:rFonts w:ascii="宋体" w:hAnsi="宋体"/>
                <w:kern w:val="0"/>
                <w:sz w:val="18"/>
                <w:szCs w:val="18"/>
              </w:rPr>
              <w:t>交通规划</w:t>
            </w:r>
          </w:p>
        </w:tc>
        <w:tc>
          <w:tcPr>
            <w:tcW w:w="5422" w:type="dxa"/>
            <w:vAlign w:val="center"/>
          </w:tcPr>
          <w:p w14:paraId="127A3D08">
            <w:pPr>
              <w:widowControl/>
              <w:adjustRightInd/>
              <w:spacing w:line="240" w:lineRule="auto"/>
              <w:jc w:val="center"/>
              <w:rPr>
                <w:kern w:val="0"/>
                <w:sz w:val="18"/>
                <w:szCs w:val="18"/>
              </w:rPr>
            </w:pPr>
            <w:r>
              <w:rPr>
                <w:rFonts w:ascii="宋体" w:hAnsi="宋体"/>
                <w:kern w:val="0"/>
                <w:sz w:val="18"/>
                <w:szCs w:val="18"/>
              </w:rPr>
              <w:t>与声环境保护规划相协调</w:t>
            </w:r>
          </w:p>
        </w:tc>
        <w:tc>
          <w:tcPr>
            <w:tcW w:w="1545" w:type="dxa"/>
            <w:vMerge w:val="continue"/>
            <w:vAlign w:val="center"/>
          </w:tcPr>
          <w:p w14:paraId="768425C9">
            <w:pPr>
              <w:widowControl/>
              <w:adjustRightInd/>
              <w:snapToGrid/>
              <w:spacing w:line="240" w:lineRule="auto"/>
              <w:jc w:val="left"/>
              <w:rPr>
                <w:kern w:val="0"/>
                <w:sz w:val="18"/>
                <w:szCs w:val="18"/>
              </w:rPr>
            </w:pPr>
          </w:p>
        </w:tc>
        <w:tc>
          <w:tcPr>
            <w:tcW w:w="3952" w:type="dxa"/>
            <w:vMerge w:val="continue"/>
            <w:vAlign w:val="center"/>
          </w:tcPr>
          <w:p w14:paraId="46AA849C">
            <w:pPr>
              <w:widowControl/>
              <w:adjustRightInd/>
              <w:snapToGrid/>
              <w:spacing w:line="240" w:lineRule="auto"/>
              <w:jc w:val="left"/>
              <w:rPr>
                <w:kern w:val="0"/>
                <w:sz w:val="18"/>
                <w:szCs w:val="18"/>
              </w:rPr>
            </w:pPr>
          </w:p>
        </w:tc>
      </w:tr>
      <w:tr w14:paraId="1371E6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2" w:hRule="atLeast"/>
        </w:trPr>
        <w:tc>
          <w:tcPr>
            <w:tcW w:w="1022" w:type="dxa"/>
            <w:vMerge w:val="continue"/>
            <w:vAlign w:val="center"/>
          </w:tcPr>
          <w:p w14:paraId="311EC194">
            <w:pPr>
              <w:widowControl/>
              <w:adjustRightInd/>
              <w:snapToGrid/>
              <w:spacing w:line="240" w:lineRule="auto"/>
              <w:jc w:val="left"/>
              <w:rPr>
                <w:kern w:val="0"/>
                <w:sz w:val="18"/>
                <w:szCs w:val="18"/>
              </w:rPr>
            </w:pPr>
          </w:p>
        </w:tc>
        <w:tc>
          <w:tcPr>
            <w:tcW w:w="2031" w:type="dxa"/>
            <w:vAlign w:val="center"/>
          </w:tcPr>
          <w:p w14:paraId="03F5054A">
            <w:pPr>
              <w:widowControl/>
              <w:adjustRightInd/>
              <w:spacing w:line="240" w:lineRule="auto"/>
              <w:jc w:val="center"/>
              <w:rPr>
                <w:kern w:val="0"/>
                <w:sz w:val="18"/>
                <w:szCs w:val="18"/>
              </w:rPr>
            </w:pPr>
            <w:r>
              <w:rPr>
                <w:kern w:val="0"/>
                <w:sz w:val="18"/>
                <w:szCs w:val="18"/>
              </w:rPr>
              <w:t xml:space="preserve">4 </w:t>
            </w:r>
            <w:r>
              <w:rPr>
                <w:rFonts w:ascii="宋体" w:hAnsi="宋体"/>
                <w:kern w:val="0"/>
                <w:sz w:val="18"/>
                <w:szCs w:val="18"/>
              </w:rPr>
              <w:t>类声功能区建筑规划</w:t>
            </w:r>
          </w:p>
        </w:tc>
        <w:tc>
          <w:tcPr>
            <w:tcW w:w="5422" w:type="dxa"/>
            <w:vAlign w:val="center"/>
          </w:tcPr>
          <w:p w14:paraId="69D89609">
            <w:pPr>
              <w:autoSpaceDE w:val="0"/>
              <w:autoSpaceDN w:val="0"/>
              <w:spacing w:line="240" w:lineRule="auto"/>
              <w:jc w:val="center"/>
              <w:rPr>
                <w:kern w:val="0"/>
                <w:sz w:val="18"/>
                <w:szCs w:val="18"/>
              </w:rPr>
            </w:pPr>
            <w:r>
              <w:rPr>
                <w:rFonts w:ascii="宋体" w:hAnsi="宋体"/>
                <w:kern w:val="0"/>
                <w:sz w:val="18"/>
                <w:szCs w:val="18"/>
              </w:rPr>
              <w:t>布置交通设施、仓储物流等非噪声敏感性建筑</w:t>
            </w:r>
          </w:p>
        </w:tc>
        <w:tc>
          <w:tcPr>
            <w:tcW w:w="1545" w:type="dxa"/>
            <w:vMerge w:val="continue"/>
            <w:vAlign w:val="center"/>
          </w:tcPr>
          <w:p w14:paraId="3500D347">
            <w:pPr>
              <w:widowControl/>
              <w:adjustRightInd/>
              <w:snapToGrid/>
              <w:spacing w:line="240" w:lineRule="auto"/>
              <w:jc w:val="left"/>
              <w:rPr>
                <w:kern w:val="0"/>
                <w:sz w:val="18"/>
                <w:szCs w:val="18"/>
              </w:rPr>
            </w:pPr>
          </w:p>
        </w:tc>
        <w:tc>
          <w:tcPr>
            <w:tcW w:w="3952" w:type="dxa"/>
            <w:vMerge w:val="continue"/>
            <w:vAlign w:val="center"/>
          </w:tcPr>
          <w:p w14:paraId="7BB615DE">
            <w:pPr>
              <w:widowControl/>
              <w:adjustRightInd/>
              <w:snapToGrid/>
              <w:spacing w:line="240" w:lineRule="auto"/>
              <w:jc w:val="left"/>
              <w:rPr>
                <w:kern w:val="0"/>
                <w:sz w:val="18"/>
                <w:szCs w:val="18"/>
              </w:rPr>
            </w:pPr>
          </w:p>
        </w:tc>
      </w:tr>
      <w:tr w14:paraId="0229F4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1" w:hRule="atLeast"/>
        </w:trPr>
        <w:tc>
          <w:tcPr>
            <w:tcW w:w="1022" w:type="dxa"/>
            <w:vMerge w:val="continue"/>
            <w:vAlign w:val="center"/>
          </w:tcPr>
          <w:p w14:paraId="006D482A">
            <w:pPr>
              <w:widowControl/>
              <w:adjustRightInd/>
              <w:snapToGrid/>
              <w:spacing w:line="240" w:lineRule="auto"/>
              <w:jc w:val="left"/>
              <w:rPr>
                <w:kern w:val="0"/>
                <w:sz w:val="18"/>
                <w:szCs w:val="18"/>
              </w:rPr>
            </w:pPr>
          </w:p>
        </w:tc>
        <w:tc>
          <w:tcPr>
            <w:tcW w:w="2031" w:type="dxa"/>
            <w:vAlign w:val="center"/>
          </w:tcPr>
          <w:p w14:paraId="7B7624EF">
            <w:pPr>
              <w:widowControl/>
              <w:adjustRightInd/>
              <w:spacing w:line="240" w:lineRule="auto"/>
              <w:jc w:val="center"/>
              <w:rPr>
                <w:kern w:val="0"/>
                <w:sz w:val="18"/>
                <w:szCs w:val="18"/>
              </w:rPr>
            </w:pPr>
            <w:r>
              <w:rPr>
                <w:rFonts w:ascii="宋体" w:hAnsi="宋体"/>
                <w:kern w:val="0"/>
                <w:sz w:val="18"/>
                <w:szCs w:val="18"/>
              </w:rPr>
              <w:t>工程设计</w:t>
            </w:r>
          </w:p>
        </w:tc>
        <w:tc>
          <w:tcPr>
            <w:tcW w:w="5422" w:type="dxa"/>
            <w:vAlign w:val="center"/>
          </w:tcPr>
          <w:p w14:paraId="7E73CF12">
            <w:pPr>
              <w:autoSpaceDE w:val="0"/>
              <w:autoSpaceDN w:val="0"/>
              <w:spacing w:line="240" w:lineRule="auto"/>
              <w:jc w:val="center"/>
              <w:rPr>
                <w:kern w:val="0"/>
                <w:sz w:val="18"/>
                <w:szCs w:val="18"/>
              </w:rPr>
            </w:pPr>
            <w:r>
              <w:rPr>
                <w:rFonts w:ascii="宋体" w:hAnsi="宋体"/>
                <w:kern w:val="0"/>
                <w:sz w:val="18"/>
                <w:szCs w:val="18"/>
              </w:rPr>
              <w:t>在敏感点集中路段采用低噪声路面技术和材料</w:t>
            </w:r>
          </w:p>
        </w:tc>
        <w:tc>
          <w:tcPr>
            <w:tcW w:w="1545" w:type="dxa"/>
            <w:vAlign w:val="center"/>
          </w:tcPr>
          <w:p w14:paraId="3BDBE0A6">
            <w:pPr>
              <w:widowControl/>
              <w:adjustRightInd/>
              <w:spacing w:line="240" w:lineRule="auto"/>
              <w:jc w:val="center"/>
              <w:rPr>
                <w:kern w:val="0"/>
                <w:sz w:val="18"/>
                <w:szCs w:val="18"/>
              </w:rPr>
            </w:pPr>
            <w:r>
              <w:rPr>
                <w:rFonts w:ascii="宋体" w:hAnsi="宋体"/>
                <w:kern w:val="0"/>
                <w:sz w:val="18"/>
                <w:szCs w:val="18"/>
              </w:rPr>
              <w:t>道路建设单位</w:t>
            </w:r>
          </w:p>
        </w:tc>
        <w:tc>
          <w:tcPr>
            <w:tcW w:w="3952" w:type="dxa"/>
            <w:vAlign w:val="center"/>
          </w:tcPr>
          <w:p w14:paraId="7D460490">
            <w:pPr>
              <w:autoSpaceDE w:val="0"/>
              <w:autoSpaceDN w:val="0"/>
              <w:spacing w:line="240" w:lineRule="auto"/>
              <w:jc w:val="center"/>
              <w:rPr>
                <w:rFonts w:hint="eastAsia" w:ascii="宋体" w:hAnsi="宋体"/>
                <w:kern w:val="0"/>
                <w:sz w:val="18"/>
                <w:szCs w:val="18"/>
              </w:rPr>
            </w:pPr>
            <w:r>
              <w:rPr>
                <w:rFonts w:hint="eastAsia" w:ascii="宋体" w:hAnsi="宋体"/>
                <w:kern w:val="0"/>
                <w:sz w:val="18"/>
                <w:szCs w:val="18"/>
              </w:rPr>
              <w:t>本道路已</w:t>
            </w:r>
            <w:r>
              <w:rPr>
                <w:rFonts w:ascii="宋体" w:hAnsi="宋体"/>
                <w:kern w:val="0"/>
                <w:sz w:val="18"/>
                <w:szCs w:val="18"/>
              </w:rPr>
              <w:t>采用</w:t>
            </w:r>
            <w:r>
              <w:rPr>
                <w:rFonts w:hint="eastAsia"/>
                <w:kern w:val="0"/>
                <w:sz w:val="18"/>
                <w:szCs w:val="18"/>
              </w:rPr>
              <w:t>混凝土</w:t>
            </w:r>
            <w:r>
              <w:rPr>
                <w:rFonts w:ascii="宋体" w:hAnsi="宋体"/>
                <w:kern w:val="0"/>
                <w:sz w:val="18"/>
                <w:szCs w:val="18"/>
              </w:rPr>
              <w:t>路面</w:t>
            </w:r>
          </w:p>
        </w:tc>
      </w:tr>
      <w:tr w14:paraId="55EFE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c>
          <w:tcPr>
            <w:tcW w:w="1022" w:type="dxa"/>
            <w:vMerge w:val="restart"/>
            <w:vAlign w:val="center"/>
          </w:tcPr>
          <w:p w14:paraId="1E904491">
            <w:pPr>
              <w:widowControl/>
              <w:adjustRightInd/>
              <w:spacing w:line="240" w:lineRule="auto"/>
              <w:jc w:val="center"/>
              <w:rPr>
                <w:kern w:val="0"/>
                <w:sz w:val="18"/>
                <w:szCs w:val="18"/>
              </w:rPr>
            </w:pPr>
            <w:r>
              <w:rPr>
                <w:rFonts w:ascii="宋体" w:hAnsi="宋体"/>
                <w:kern w:val="0"/>
                <w:sz w:val="18"/>
                <w:szCs w:val="18"/>
              </w:rPr>
              <w:t>传声途径噪声削减</w:t>
            </w:r>
          </w:p>
        </w:tc>
        <w:tc>
          <w:tcPr>
            <w:tcW w:w="2031" w:type="dxa"/>
            <w:vAlign w:val="center"/>
          </w:tcPr>
          <w:p w14:paraId="1FA32BAC">
            <w:pPr>
              <w:widowControl/>
              <w:adjustRightInd/>
              <w:spacing w:line="240" w:lineRule="auto"/>
              <w:jc w:val="center"/>
              <w:rPr>
                <w:kern w:val="0"/>
                <w:sz w:val="18"/>
                <w:szCs w:val="18"/>
              </w:rPr>
            </w:pPr>
            <w:r>
              <w:rPr>
                <w:rFonts w:ascii="宋体" w:hAnsi="宋体"/>
                <w:kern w:val="0"/>
                <w:sz w:val="18"/>
                <w:szCs w:val="18"/>
              </w:rPr>
              <w:t>隔声降噪措施</w:t>
            </w:r>
          </w:p>
        </w:tc>
        <w:tc>
          <w:tcPr>
            <w:tcW w:w="5422" w:type="dxa"/>
            <w:vAlign w:val="center"/>
          </w:tcPr>
          <w:p w14:paraId="51CF2A6B">
            <w:pPr>
              <w:autoSpaceDE w:val="0"/>
              <w:autoSpaceDN w:val="0"/>
              <w:spacing w:line="240" w:lineRule="auto"/>
              <w:jc w:val="center"/>
              <w:rPr>
                <w:kern w:val="0"/>
                <w:sz w:val="18"/>
                <w:szCs w:val="18"/>
              </w:rPr>
            </w:pPr>
            <w:r>
              <w:rPr>
                <w:rFonts w:ascii="宋体" w:hAnsi="宋体"/>
                <w:kern w:val="0"/>
                <w:sz w:val="18"/>
                <w:szCs w:val="18"/>
              </w:rPr>
              <w:t>一般设置声屏障、道路或轨道为高层噪声敏感建筑物时，条件许可，进行线路全封闭处理</w:t>
            </w:r>
          </w:p>
        </w:tc>
        <w:tc>
          <w:tcPr>
            <w:tcW w:w="1545" w:type="dxa"/>
            <w:vAlign w:val="center"/>
          </w:tcPr>
          <w:p w14:paraId="139B28E9">
            <w:pPr>
              <w:widowControl/>
              <w:adjustRightInd/>
              <w:spacing w:line="240" w:lineRule="auto"/>
              <w:jc w:val="center"/>
              <w:rPr>
                <w:kern w:val="0"/>
                <w:sz w:val="18"/>
                <w:szCs w:val="18"/>
              </w:rPr>
            </w:pPr>
            <w:r>
              <w:rPr>
                <w:rFonts w:ascii="宋体" w:hAnsi="宋体"/>
                <w:kern w:val="0"/>
                <w:sz w:val="18"/>
                <w:szCs w:val="18"/>
              </w:rPr>
              <w:t>道路建设单位</w:t>
            </w:r>
          </w:p>
        </w:tc>
        <w:tc>
          <w:tcPr>
            <w:tcW w:w="3952" w:type="dxa"/>
            <w:vAlign w:val="center"/>
          </w:tcPr>
          <w:p w14:paraId="427D248C">
            <w:pPr>
              <w:widowControl/>
              <w:adjustRightInd/>
              <w:spacing w:line="240" w:lineRule="auto"/>
              <w:jc w:val="center"/>
              <w:rPr>
                <w:kern w:val="0"/>
                <w:sz w:val="18"/>
                <w:szCs w:val="18"/>
              </w:rPr>
            </w:pPr>
            <w:commentRangeStart w:id="105"/>
            <w:r>
              <w:rPr>
                <w:rFonts w:hint="eastAsia"/>
                <w:kern w:val="0"/>
                <w:sz w:val="18"/>
                <w:szCs w:val="18"/>
              </w:rPr>
              <w:t>隔声屏障隔音效果较好但是安装成本较高，且容易影响街道景观，阻挡行人视线，影响行人通行，作为城市次干路安装隔声屏障必要性不高。</w:t>
            </w:r>
            <w:commentRangeEnd w:id="105"/>
            <w:r>
              <w:rPr>
                <w:rStyle w:val="38"/>
                <w:kern w:val="0"/>
                <w:sz w:val="18"/>
                <w:szCs w:val="18"/>
              </w:rPr>
              <w:commentReference w:id="105"/>
            </w:r>
          </w:p>
        </w:tc>
      </w:tr>
      <w:tr w14:paraId="51F057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63" w:hRule="atLeast"/>
        </w:trPr>
        <w:tc>
          <w:tcPr>
            <w:tcW w:w="1022" w:type="dxa"/>
            <w:vMerge w:val="continue"/>
            <w:vAlign w:val="center"/>
          </w:tcPr>
          <w:p w14:paraId="6F96AE82">
            <w:pPr>
              <w:widowControl/>
              <w:adjustRightInd/>
              <w:snapToGrid/>
              <w:spacing w:line="240" w:lineRule="auto"/>
              <w:jc w:val="left"/>
              <w:rPr>
                <w:kern w:val="0"/>
                <w:sz w:val="18"/>
                <w:szCs w:val="18"/>
              </w:rPr>
            </w:pPr>
          </w:p>
        </w:tc>
        <w:tc>
          <w:tcPr>
            <w:tcW w:w="2031" w:type="dxa"/>
            <w:vAlign w:val="center"/>
          </w:tcPr>
          <w:p w14:paraId="02B19DF4">
            <w:pPr>
              <w:autoSpaceDE w:val="0"/>
              <w:autoSpaceDN w:val="0"/>
              <w:spacing w:line="240" w:lineRule="auto"/>
              <w:jc w:val="center"/>
              <w:rPr>
                <w:kern w:val="0"/>
                <w:sz w:val="18"/>
                <w:szCs w:val="18"/>
              </w:rPr>
            </w:pPr>
            <w:r>
              <w:rPr>
                <w:rFonts w:ascii="宋体" w:hAnsi="宋体"/>
                <w:kern w:val="0"/>
                <w:sz w:val="18"/>
                <w:szCs w:val="18"/>
              </w:rPr>
              <w:t>地物地貌、绿化隔声</w:t>
            </w:r>
          </w:p>
        </w:tc>
        <w:tc>
          <w:tcPr>
            <w:tcW w:w="5422" w:type="dxa"/>
            <w:vAlign w:val="center"/>
          </w:tcPr>
          <w:p w14:paraId="73053C54">
            <w:pPr>
              <w:autoSpaceDE w:val="0"/>
              <w:autoSpaceDN w:val="0"/>
              <w:spacing w:line="240" w:lineRule="auto"/>
              <w:jc w:val="center"/>
              <w:rPr>
                <w:kern w:val="0"/>
                <w:sz w:val="18"/>
                <w:szCs w:val="18"/>
              </w:rPr>
            </w:pPr>
            <w:r>
              <w:rPr>
                <w:rFonts w:ascii="宋体" w:hAnsi="宋体"/>
                <w:kern w:val="0"/>
                <w:sz w:val="18"/>
                <w:szCs w:val="18"/>
              </w:rPr>
              <w:t>绿化带，与地面交通设施同步建设</w:t>
            </w:r>
          </w:p>
        </w:tc>
        <w:tc>
          <w:tcPr>
            <w:tcW w:w="1545" w:type="dxa"/>
            <w:vAlign w:val="center"/>
          </w:tcPr>
          <w:p w14:paraId="2AE8668B">
            <w:pPr>
              <w:autoSpaceDE w:val="0"/>
              <w:autoSpaceDN w:val="0"/>
              <w:spacing w:line="240" w:lineRule="auto"/>
              <w:jc w:val="center"/>
              <w:rPr>
                <w:kern w:val="0"/>
                <w:sz w:val="18"/>
                <w:szCs w:val="18"/>
              </w:rPr>
            </w:pPr>
            <w:r>
              <w:rPr>
                <w:rFonts w:ascii="宋体" w:hAnsi="宋体"/>
                <w:kern w:val="0"/>
                <w:sz w:val="18"/>
                <w:szCs w:val="18"/>
              </w:rPr>
              <w:t>道路建设单位</w:t>
            </w:r>
          </w:p>
        </w:tc>
        <w:tc>
          <w:tcPr>
            <w:tcW w:w="3952" w:type="dxa"/>
            <w:vAlign w:val="center"/>
          </w:tcPr>
          <w:p w14:paraId="30B2AF00">
            <w:pPr>
              <w:autoSpaceDE w:val="0"/>
              <w:autoSpaceDN w:val="0"/>
              <w:spacing w:line="240" w:lineRule="auto"/>
              <w:jc w:val="center"/>
              <w:rPr>
                <w:kern w:val="0"/>
                <w:sz w:val="18"/>
                <w:szCs w:val="18"/>
              </w:rPr>
            </w:pPr>
            <w:r>
              <w:rPr>
                <w:rFonts w:hint="eastAsia" w:ascii="宋体" w:hAnsi="宋体"/>
                <w:kern w:val="0"/>
                <w:sz w:val="18"/>
                <w:szCs w:val="18"/>
              </w:rPr>
              <w:t>绿化带可以降低噪声，也可净化环境空气吸附交通颗粒物，</w:t>
            </w:r>
            <w:r>
              <w:rPr>
                <w:rFonts w:ascii="宋体" w:hAnsi="宋体"/>
                <w:kern w:val="0"/>
                <w:sz w:val="18"/>
                <w:szCs w:val="18"/>
              </w:rPr>
              <w:t>本工程</w:t>
            </w:r>
            <w:r>
              <w:rPr>
                <w:rFonts w:hint="eastAsia" w:ascii="宋体" w:hAnsi="宋体"/>
                <w:kern w:val="0"/>
                <w:sz w:val="18"/>
                <w:szCs w:val="18"/>
              </w:rPr>
              <w:t>将种植香樟作为绿化行道树。</w:t>
            </w:r>
          </w:p>
        </w:tc>
      </w:tr>
      <w:tr w14:paraId="40D1EE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10" w:hRule="atLeast"/>
        </w:trPr>
        <w:tc>
          <w:tcPr>
            <w:tcW w:w="1022" w:type="dxa"/>
            <w:vMerge w:val="restart"/>
            <w:vAlign w:val="center"/>
          </w:tcPr>
          <w:p w14:paraId="0C6A49DD">
            <w:pPr>
              <w:widowControl/>
              <w:adjustRightInd/>
              <w:spacing w:line="240" w:lineRule="auto"/>
              <w:jc w:val="center"/>
              <w:rPr>
                <w:kern w:val="0"/>
                <w:sz w:val="18"/>
                <w:szCs w:val="18"/>
              </w:rPr>
            </w:pPr>
            <w:r>
              <w:rPr>
                <w:rFonts w:ascii="宋体" w:hAnsi="宋体"/>
                <w:kern w:val="0"/>
                <w:sz w:val="18"/>
                <w:szCs w:val="18"/>
              </w:rPr>
              <w:t>敏感建筑物噪声防护</w:t>
            </w:r>
          </w:p>
        </w:tc>
        <w:tc>
          <w:tcPr>
            <w:tcW w:w="2031" w:type="dxa"/>
            <w:vAlign w:val="center"/>
          </w:tcPr>
          <w:p w14:paraId="64A0552F">
            <w:pPr>
              <w:widowControl/>
              <w:adjustRightInd/>
              <w:spacing w:line="240" w:lineRule="auto"/>
              <w:jc w:val="center"/>
              <w:rPr>
                <w:kern w:val="0"/>
                <w:sz w:val="18"/>
                <w:szCs w:val="18"/>
              </w:rPr>
            </w:pPr>
            <w:r>
              <w:rPr>
                <w:rFonts w:ascii="宋体" w:hAnsi="宋体"/>
                <w:kern w:val="0"/>
                <w:sz w:val="18"/>
                <w:szCs w:val="18"/>
              </w:rPr>
              <w:t>环保搬迁</w:t>
            </w:r>
          </w:p>
        </w:tc>
        <w:tc>
          <w:tcPr>
            <w:tcW w:w="5422" w:type="dxa"/>
            <w:vAlign w:val="center"/>
          </w:tcPr>
          <w:p w14:paraId="75F0EB39">
            <w:pPr>
              <w:widowControl/>
              <w:adjustRightInd/>
              <w:spacing w:line="240" w:lineRule="auto"/>
              <w:jc w:val="center"/>
              <w:rPr>
                <w:kern w:val="0"/>
                <w:sz w:val="18"/>
                <w:szCs w:val="18"/>
              </w:rPr>
            </w:pPr>
            <w:r>
              <w:rPr>
                <w:rFonts w:ascii="宋体" w:hAnsi="宋体"/>
                <w:kern w:val="0"/>
                <w:sz w:val="18"/>
                <w:szCs w:val="18"/>
              </w:rPr>
              <w:t>对居民住宅、学校等敏感建筑拆迁，远离噪声污染源</w:t>
            </w:r>
          </w:p>
        </w:tc>
        <w:tc>
          <w:tcPr>
            <w:tcW w:w="1545" w:type="dxa"/>
            <w:vMerge w:val="restart"/>
            <w:vAlign w:val="center"/>
          </w:tcPr>
          <w:p w14:paraId="367CF347">
            <w:pPr>
              <w:widowControl/>
              <w:adjustRightInd/>
              <w:spacing w:line="240" w:lineRule="auto"/>
              <w:jc w:val="center"/>
              <w:rPr>
                <w:kern w:val="0"/>
                <w:sz w:val="18"/>
                <w:szCs w:val="18"/>
              </w:rPr>
            </w:pPr>
            <w:r>
              <w:rPr>
                <w:rFonts w:ascii="宋体" w:hAnsi="宋体"/>
                <w:kern w:val="0"/>
                <w:sz w:val="18"/>
                <w:szCs w:val="18"/>
              </w:rPr>
              <w:t>住宅开发单位委托建筑设计单位执行</w:t>
            </w:r>
          </w:p>
        </w:tc>
        <w:tc>
          <w:tcPr>
            <w:tcW w:w="3952" w:type="dxa"/>
            <w:vAlign w:val="center"/>
          </w:tcPr>
          <w:p w14:paraId="728DB126">
            <w:pPr>
              <w:widowControl/>
              <w:adjustRightInd/>
              <w:spacing w:line="240" w:lineRule="auto"/>
              <w:jc w:val="center"/>
              <w:rPr>
                <w:kern w:val="0"/>
                <w:sz w:val="18"/>
                <w:szCs w:val="18"/>
              </w:rPr>
            </w:pPr>
            <w:r>
              <w:rPr>
                <w:rFonts w:hint="eastAsia"/>
                <w:kern w:val="0"/>
                <w:sz w:val="18"/>
                <w:szCs w:val="18"/>
              </w:rPr>
              <w:t>现场已完成拆迁工作，周边不存在声环境敏感点。</w:t>
            </w:r>
          </w:p>
        </w:tc>
      </w:tr>
      <w:tr w14:paraId="172032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c>
          <w:tcPr>
            <w:tcW w:w="1022" w:type="dxa"/>
            <w:vMerge w:val="continue"/>
            <w:vAlign w:val="center"/>
          </w:tcPr>
          <w:p w14:paraId="50A9FEA5">
            <w:pPr>
              <w:widowControl/>
              <w:adjustRightInd/>
              <w:snapToGrid/>
              <w:spacing w:line="240" w:lineRule="auto"/>
              <w:jc w:val="left"/>
              <w:rPr>
                <w:kern w:val="0"/>
                <w:sz w:val="18"/>
                <w:szCs w:val="18"/>
              </w:rPr>
            </w:pPr>
          </w:p>
        </w:tc>
        <w:tc>
          <w:tcPr>
            <w:tcW w:w="2031" w:type="dxa"/>
            <w:vAlign w:val="center"/>
          </w:tcPr>
          <w:p w14:paraId="249AEDCA">
            <w:pPr>
              <w:widowControl/>
              <w:adjustRightInd/>
              <w:spacing w:line="240" w:lineRule="auto"/>
              <w:jc w:val="center"/>
              <w:rPr>
                <w:kern w:val="0"/>
                <w:sz w:val="18"/>
                <w:szCs w:val="18"/>
              </w:rPr>
            </w:pPr>
            <w:r>
              <w:rPr>
                <w:rFonts w:ascii="宋体" w:hAnsi="宋体"/>
                <w:kern w:val="0"/>
                <w:sz w:val="18"/>
                <w:szCs w:val="18"/>
              </w:rPr>
              <w:t>建筑隔声设计</w:t>
            </w:r>
          </w:p>
        </w:tc>
        <w:tc>
          <w:tcPr>
            <w:tcW w:w="5422" w:type="dxa"/>
            <w:vAlign w:val="center"/>
          </w:tcPr>
          <w:p w14:paraId="66A11CCC">
            <w:pPr>
              <w:widowControl/>
              <w:adjustRightInd/>
              <w:spacing w:line="240" w:lineRule="auto"/>
              <w:jc w:val="center"/>
              <w:rPr>
                <w:kern w:val="0"/>
                <w:sz w:val="18"/>
                <w:szCs w:val="18"/>
              </w:rPr>
            </w:pPr>
            <w:r>
              <w:rPr>
                <w:rFonts w:ascii="宋体" w:hAnsi="宋体"/>
                <w:kern w:val="0"/>
                <w:sz w:val="18"/>
                <w:szCs w:val="18"/>
              </w:rPr>
              <w:t>对噪声建筑物进行建筑隔声设计，</w:t>
            </w:r>
            <w:r>
              <w:rPr>
                <w:rFonts w:hint="eastAsia" w:ascii="宋体" w:hAnsi="宋体"/>
                <w:kern w:val="0"/>
                <w:sz w:val="18"/>
                <w:szCs w:val="18"/>
              </w:rPr>
              <w:t>选用安装隔声窗户，</w:t>
            </w:r>
            <w:r>
              <w:rPr>
                <w:rFonts w:ascii="宋体" w:hAnsi="宋体"/>
                <w:kern w:val="0"/>
                <w:sz w:val="18"/>
                <w:szCs w:val="18"/>
              </w:rPr>
              <w:t>以使室内声环境质量符合规范</w:t>
            </w:r>
          </w:p>
        </w:tc>
        <w:tc>
          <w:tcPr>
            <w:tcW w:w="1545" w:type="dxa"/>
            <w:vMerge w:val="continue"/>
            <w:vAlign w:val="center"/>
          </w:tcPr>
          <w:p w14:paraId="4DDAA3B6">
            <w:pPr>
              <w:widowControl/>
              <w:adjustRightInd/>
              <w:snapToGrid/>
              <w:spacing w:line="240" w:lineRule="auto"/>
              <w:jc w:val="left"/>
              <w:rPr>
                <w:kern w:val="0"/>
                <w:sz w:val="18"/>
                <w:szCs w:val="18"/>
              </w:rPr>
            </w:pPr>
          </w:p>
        </w:tc>
        <w:tc>
          <w:tcPr>
            <w:tcW w:w="3952" w:type="dxa"/>
            <w:vMerge w:val="restart"/>
            <w:vAlign w:val="center"/>
          </w:tcPr>
          <w:p w14:paraId="57C762A5">
            <w:pPr>
              <w:widowControl/>
              <w:adjustRightInd/>
              <w:spacing w:line="240" w:lineRule="auto"/>
              <w:jc w:val="center"/>
              <w:rPr>
                <w:kern w:val="0"/>
                <w:sz w:val="18"/>
                <w:szCs w:val="18"/>
              </w:rPr>
            </w:pPr>
            <w:r>
              <w:rPr>
                <w:rFonts w:hint="eastAsia" w:ascii="宋体" w:hAnsi="宋体"/>
                <w:kern w:val="0"/>
                <w:sz w:val="18"/>
                <w:szCs w:val="18"/>
              </w:rPr>
              <w:t>将在规划住宅设计建设的时候由住宅开发商</w:t>
            </w:r>
            <w:r>
              <w:rPr>
                <w:rFonts w:ascii="宋体" w:hAnsi="宋体"/>
                <w:kern w:val="0"/>
                <w:sz w:val="18"/>
                <w:szCs w:val="18"/>
              </w:rPr>
              <w:t>自行考虑</w:t>
            </w:r>
          </w:p>
        </w:tc>
      </w:tr>
      <w:tr w14:paraId="15E24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97" w:hRule="atLeast"/>
        </w:trPr>
        <w:tc>
          <w:tcPr>
            <w:tcW w:w="1022" w:type="dxa"/>
            <w:vMerge w:val="continue"/>
            <w:vAlign w:val="center"/>
          </w:tcPr>
          <w:p w14:paraId="493E3B2E">
            <w:pPr>
              <w:widowControl/>
              <w:adjustRightInd/>
              <w:snapToGrid/>
              <w:spacing w:line="240" w:lineRule="auto"/>
              <w:jc w:val="left"/>
              <w:rPr>
                <w:kern w:val="0"/>
                <w:sz w:val="18"/>
                <w:szCs w:val="18"/>
              </w:rPr>
            </w:pPr>
          </w:p>
        </w:tc>
        <w:tc>
          <w:tcPr>
            <w:tcW w:w="2031" w:type="dxa"/>
            <w:vAlign w:val="center"/>
          </w:tcPr>
          <w:p w14:paraId="73713604">
            <w:pPr>
              <w:widowControl/>
              <w:adjustRightInd/>
              <w:spacing w:line="240" w:lineRule="auto"/>
              <w:jc w:val="center"/>
              <w:rPr>
                <w:kern w:val="0"/>
                <w:sz w:val="18"/>
                <w:szCs w:val="18"/>
              </w:rPr>
            </w:pPr>
            <w:r>
              <w:rPr>
                <w:rFonts w:ascii="宋体" w:hAnsi="宋体"/>
                <w:kern w:val="0"/>
                <w:sz w:val="18"/>
                <w:szCs w:val="18"/>
              </w:rPr>
              <w:t>合理房间布局</w:t>
            </w:r>
          </w:p>
        </w:tc>
        <w:tc>
          <w:tcPr>
            <w:tcW w:w="5422" w:type="dxa"/>
            <w:vAlign w:val="center"/>
          </w:tcPr>
          <w:p w14:paraId="59321D48">
            <w:pPr>
              <w:autoSpaceDE w:val="0"/>
              <w:autoSpaceDN w:val="0"/>
              <w:spacing w:line="240" w:lineRule="auto"/>
              <w:jc w:val="center"/>
              <w:rPr>
                <w:kern w:val="0"/>
                <w:sz w:val="18"/>
                <w:szCs w:val="18"/>
              </w:rPr>
            </w:pPr>
            <w:r>
              <w:rPr>
                <w:rFonts w:ascii="宋体" w:hAnsi="宋体"/>
                <w:kern w:val="0"/>
                <w:sz w:val="18"/>
                <w:szCs w:val="18"/>
              </w:rPr>
              <w:t>建筑设计案例安排房间使用功能</w:t>
            </w:r>
          </w:p>
          <w:p w14:paraId="729A274C">
            <w:pPr>
              <w:autoSpaceDE w:val="0"/>
              <w:autoSpaceDN w:val="0"/>
              <w:spacing w:line="240" w:lineRule="auto"/>
              <w:jc w:val="center"/>
              <w:rPr>
                <w:kern w:val="0"/>
                <w:sz w:val="18"/>
                <w:szCs w:val="18"/>
              </w:rPr>
            </w:pPr>
            <w:r>
              <w:rPr>
                <w:rFonts w:ascii="宋体" w:hAnsi="宋体"/>
                <w:kern w:val="0"/>
                <w:sz w:val="18"/>
                <w:szCs w:val="18"/>
              </w:rPr>
              <w:t>（如居民住宅在面向道路设计为厨房、</w:t>
            </w:r>
            <w:r>
              <w:rPr>
                <w:rFonts w:hint="eastAsia" w:ascii="宋体" w:hAnsi="宋体"/>
                <w:kern w:val="0"/>
                <w:sz w:val="18"/>
                <w:szCs w:val="18"/>
              </w:rPr>
              <w:t>卫生间</w:t>
            </w:r>
            <w:r>
              <w:rPr>
                <w:rFonts w:ascii="宋体" w:hAnsi="宋体"/>
                <w:kern w:val="0"/>
                <w:sz w:val="18"/>
                <w:szCs w:val="18"/>
              </w:rPr>
              <w:t>等非居住用房）</w:t>
            </w:r>
          </w:p>
        </w:tc>
        <w:tc>
          <w:tcPr>
            <w:tcW w:w="1545" w:type="dxa"/>
            <w:vMerge w:val="continue"/>
            <w:vAlign w:val="center"/>
          </w:tcPr>
          <w:p w14:paraId="1EE28E24">
            <w:pPr>
              <w:widowControl/>
              <w:adjustRightInd/>
              <w:snapToGrid/>
              <w:spacing w:line="240" w:lineRule="auto"/>
              <w:jc w:val="left"/>
              <w:rPr>
                <w:kern w:val="0"/>
                <w:sz w:val="18"/>
                <w:szCs w:val="18"/>
              </w:rPr>
            </w:pPr>
          </w:p>
        </w:tc>
        <w:tc>
          <w:tcPr>
            <w:tcW w:w="3952" w:type="dxa"/>
            <w:vMerge w:val="continue"/>
            <w:vAlign w:val="center"/>
          </w:tcPr>
          <w:p w14:paraId="7473B48C">
            <w:pPr>
              <w:widowControl/>
              <w:adjustRightInd/>
              <w:snapToGrid/>
              <w:spacing w:line="240" w:lineRule="auto"/>
              <w:jc w:val="left"/>
              <w:rPr>
                <w:kern w:val="0"/>
                <w:sz w:val="18"/>
                <w:szCs w:val="18"/>
              </w:rPr>
            </w:pPr>
          </w:p>
        </w:tc>
      </w:tr>
      <w:tr w14:paraId="24FDE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31" w:hRule="atLeast"/>
        </w:trPr>
        <w:tc>
          <w:tcPr>
            <w:tcW w:w="1022" w:type="dxa"/>
            <w:vMerge w:val="continue"/>
            <w:vAlign w:val="center"/>
          </w:tcPr>
          <w:p w14:paraId="247A87C5">
            <w:pPr>
              <w:widowControl/>
              <w:adjustRightInd/>
              <w:snapToGrid/>
              <w:spacing w:line="240" w:lineRule="auto"/>
              <w:jc w:val="left"/>
              <w:rPr>
                <w:kern w:val="0"/>
                <w:sz w:val="18"/>
                <w:szCs w:val="18"/>
              </w:rPr>
            </w:pPr>
          </w:p>
        </w:tc>
        <w:tc>
          <w:tcPr>
            <w:tcW w:w="2031" w:type="dxa"/>
            <w:vAlign w:val="center"/>
          </w:tcPr>
          <w:p w14:paraId="0BB76457">
            <w:pPr>
              <w:widowControl/>
              <w:adjustRightInd/>
              <w:spacing w:line="240" w:lineRule="auto"/>
              <w:jc w:val="center"/>
              <w:rPr>
                <w:kern w:val="0"/>
                <w:sz w:val="18"/>
                <w:szCs w:val="18"/>
              </w:rPr>
            </w:pPr>
            <w:r>
              <w:rPr>
                <w:rFonts w:ascii="宋体" w:hAnsi="宋体"/>
                <w:kern w:val="0"/>
                <w:sz w:val="18"/>
                <w:szCs w:val="18"/>
              </w:rPr>
              <w:t>居民住宅新建隔声围墙</w:t>
            </w:r>
            <w:r>
              <w:rPr>
                <w:rFonts w:hint="eastAsia" w:ascii="宋体" w:hAnsi="宋体"/>
                <w:kern w:val="0"/>
                <w:sz w:val="18"/>
                <w:szCs w:val="18"/>
              </w:rPr>
              <w:t>或围挡</w:t>
            </w:r>
          </w:p>
        </w:tc>
        <w:tc>
          <w:tcPr>
            <w:tcW w:w="5422" w:type="dxa"/>
            <w:vAlign w:val="center"/>
          </w:tcPr>
          <w:p w14:paraId="159113EE">
            <w:pPr>
              <w:autoSpaceDE w:val="0"/>
              <w:autoSpaceDN w:val="0"/>
              <w:spacing w:line="240" w:lineRule="auto"/>
              <w:jc w:val="center"/>
              <w:rPr>
                <w:kern w:val="0"/>
                <w:sz w:val="18"/>
                <w:szCs w:val="18"/>
              </w:rPr>
            </w:pPr>
            <w:r>
              <w:rPr>
                <w:rFonts w:hint="eastAsia"/>
                <w:kern w:val="0"/>
                <w:sz w:val="18"/>
                <w:szCs w:val="18"/>
              </w:rPr>
              <w:t>住宅区外围设置围墙，并设置隔声绿化带等</w:t>
            </w:r>
          </w:p>
        </w:tc>
        <w:tc>
          <w:tcPr>
            <w:tcW w:w="1545" w:type="dxa"/>
            <w:vAlign w:val="center"/>
          </w:tcPr>
          <w:p w14:paraId="79B65F62">
            <w:pPr>
              <w:widowControl/>
              <w:adjustRightInd/>
              <w:spacing w:line="240" w:lineRule="auto"/>
              <w:jc w:val="center"/>
              <w:rPr>
                <w:kern w:val="0"/>
                <w:sz w:val="18"/>
                <w:szCs w:val="18"/>
              </w:rPr>
            </w:pPr>
            <w:r>
              <w:rPr>
                <w:rFonts w:ascii="宋体" w:hAnsi="宋体"/>
                <w:kern w:val="0"/>
                <w:sz w:val="18"/>
                <w:szCs w:val="18"/>
              </w:rPr>
              <w:t>道路建设单位</w:t>
            </w:r>
          </w:p>
        </w:tc>
        <w:tc>
          <w:tcPr>
            <w:tcW w:w="3952" w:type="dxa"/>
            <w:vAlign w:val="center"/>
          </w:tcPr>
          <w:p w14:paraId="64762F35">
            <w:pPr>
              <w:widowControl/>
              <w:adjustRightInd/>
              <w:spacing w:line="240" w:lineRule="auto"/>
              <w:jc w:val="center"/>
              <w:rPr>
                <w:kern w:val="0"/>
                <w:sz w:val="18"/>
                <w:szCs w:val="18"/>
              </w:rPr>
            </w:pPr>
            <w:r>
              <w:rPr>
                <w:rFonts w:ascii="宋体" w:hAnsi="宋体"/>
                <w:kern w:val="0"/>
                <w:sz w:val="18"/>
                <w:szCs w:val="18"/>
              </w:rPr>
              <w:t>投资相对不高，且降噪效果明显，可以选择</w:t>
            </w:r>
          </w:p>
        </w:tc>
      </w:tr>
      <w:tr w14:paraId="203939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500" w:hRule="atLeast"/>
        </w:trPr>
        <w:tc>
          <w:tcPr>
            <w:tcW w:w="1022" w:type="dxa"/>
            <w:vMerge w:val="restart"/>
            <w:vAlign w:val="center"/>
          </w:tcPr>
          <w:p w14:paraId="2C86DE59">
            <w:pPr>
              <w:widowControl/>
              <w:adjustRightInd/>
              <w:spacing w:line="240" w:lineRule="auto"/>
              <w:jc w:val="center"/>
              <w:rPr>
                <w:kern w:val="0"/>
                <w:sz w:val="18"/>
                <w:szCs w:val="18"/>
              </w:rPr>
            </w:pPr>
            <w:r>
              <w:rPr>
                <w:rFonts w:ascii="宋体" w:hAnsi="宋体"/>
                <w:kern w:val="0"/>
                <w:sz w:val="18"/>
                <w:szCs w:val="18"/>
              </w:rPr>
              <w:t>加强交通噪声管理</w:t>
            </w:r>
          </w:p>
        </w:tc>
        <w:tc>
          <w:tcPr>
            <w:tcW w:w="2031" w:type="dxa"/>
            <w:vAlign w:val="center"/>
          </w:tcPr>
          <w:p w14:paraId="4D0CD605">
            <w:pPr>
              <w:widowControl/>
              <w:adjustRightInd/>
              <w:spacing w:line="240" w:lineRule="auto"/>
              <w:jc w:val="center"/>
              <w:rPr>
                <w:kern w:val="0"/>
                <w:sz w:val="18"/>
                <w:szCs w:val="18"/>
              </w:rPr>
            </w:pPr>
            <w:r>
              <w:rPr>
                <w:rFonts w:ascii="宋体" w:hAnsi="宋体"/>
                <w:kern w:val="0"/>
                <w:sz w:val="18"/>
                <w:szCs w:val="18"/>
              </w:rPr>
              <w:t>管理方面</w:t>
            </w:r>
          </w:p>
        </w:tc>
        <w:tc>
          <w:tcPr>
            <w:tcW w:w="5422" w:type="dxa"/>
            <w:vAlign w:val="center"/>
          </w:tcPr>
          <w:p w14:paraId="007B67EB">
            <w:pPr>
              <w:widowControl/>
              <w:adjustRightInd/>
              <w:spacing w:line="240" w:lineRule="auto"/>
              <w:jc w:val="center"/>
              <w:rPr>
                <w:kern w:val="0"/>
                <w:sz w:val="18"/>
                <w:szCs w:val="18"/>
              </w:rPr>
            </w:pPr>
            <w:r>
              <w:rPr>
                <w:rFonts w:ascii="宋体" w:hAnsi="宋体"/>
                <w:kern w:val="0"/>
                <w:sz w:val="18"/>
                <w:szCs w:val="18"/>
              </w:rPr>
              <w:t>限鸣、限行、限速、合理控制交通参数</w:t>
            </w:r>
          </w:p>
        </w:tc>
        <w:tc>
          <w:tcPr>
            <w:tcW w:w="1545" w:type="dxa"/>
            <w:vAlign w:val="center"/>
          </w:tcPr>
          <w:p w14:paraId="194E5DA4">
            <w:pPr>
              <w:widowControl/>
              <w:adjustRightInd/>
              <w:spacing w:line="240" w:lineRule="auto"/>
              <w:jc w:val="center"/>
              <w:rPr>
                <w:kern w:val="0"/>
                <w:sz w:val="18"/>
                <w:szCs w:val="18"/>
              </w:rPr>
            </w:pPr>
            <w:r>
              <w:rPr>
                <w:rFonts w:ascii="宋体" w:hAnsi="宋体"/>
                <w:kern w:val="0"/>
                <w:sz w:val="18"/>
                <w:szCs w:val="18"/>
              </w:rPr>
              <w:t>交通管理部门</w:t>
            </w:r>
          </w:p>
        </w:tc>
        <w:tc>
          <w:tcPr>
            <w:tcW w:w="3952" w:type="dxa"/>
            <w:vAlign w:val="center"/>
          </w:tcPr>
          <w:p w14:paraId="6E6B2A0D">
            <w:pPr>
              <w:widowControl/>
              <w:adjustRightInd/>
              <w:spacing w:line="240" w:lineRule="auto"/>
              <w:jc w:val="center"/>
              <w:rPr>
                <w:kern w:val="0"/>
                <w:sz w:val="18"/>
                <w:szCs w:val="18"/>
              </w:rPr>
            </w:pPr>
            <w:r>
              <w:rPr>
                <w:kern w:val="0"/>
                <w:sz w:val="18"/>
                <w:szCs w:val="18"/>
              </w:rPr>
              <w:t>/</w:t>
            </w:r>
          </w:p>
        </w:tc>
      </w:tr>
      <w:tr w14:paraId="2F76D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550" w:hRule="atLeast"/>
        </w:trPr>
        <w:tc>
          <w:tcPr>
            <w:tcW w:w="1022" w:type="dxa"/>
            <w:vMerge w:val="continue"/>
            <w:vAlign w:val="center"/>
          </w:tcPr>
          <w:p w14:paraId="4E5B4230">
            <w:pPr>
              <w:widowControl/>
              <w:adjustRightInd/>
              <w:snapToGrid/>
              <w:spacing w:line="240" w:lineRule="auto"/>
              <w:jc w:val="left"/>
              <w:rPr>
                <w:kern w:val="0"/>
                <w:sz w:val="18"/>
                <w:szCs w:val="18"/>
              </w:rPr>
            </w:pPr>
          </w:p>
        </w:tc>
        <w:tc>
          <w:tcPr>
            <w:tcW w:w="2031" w:type="dxa"/>
            <w:vAlign w:val="center"/>
          </w:tcPr>
          <w:p w14:paraId="1E070042">
            <w:pPr>
              <w:widowControl/>
              <w:adjustRightInd/>
              <w:spacing w:line="240" w:lineRule="auto"/>
              <w:jc w:val="center"/>
              <w:rPr>
                <w:kern w:val="0"/>
                <w:sz w:val="18"/>
                <w:szCs w:val="18"/>
              </w:rPr>
            </w:pPr>
            <w:r>
              <w:rPr>
                <w:rFonts w:ascii="宋体" w:hAnsi="宋体"/>
                <w:kern w:val="0"/>
                <w:sz w:val="18"/>
                <w:szCs w:val="18"/>
              </w:rPr>
              <w:t>道路维护</w:t>
            </w:r>
          </w:p>
        </w:tc>
        <w:tc>
          <w:tcPr>
            <w:tcW w:w="5422" w:type="dxa"/>
            <w:vAlign w:val="center"/>
          </w:tcPr>
          <w:p w14:paraId="0DA1AF22">
            <w:pPr>
              <w:widowControl/>
              <w:adjustRightInd/>
              <w:spacing w:line="240" w:lineRule="auto"/>
              <w:jc w:val="center"/>
              <w:rPr>
                <w:kern w:val="0"/>
                <w:sz w:val="18"/>
                <w:szCs w:val="18"/>
              </w:rPr>
            </w:pPr>
            <w:r>
              <w:rPr>
                <w:rFonts w:ascii="宋体" w:hAnsi="宋体"/>
                <w:kern w:val="0"/>
                <w:sz w:val="18"/>
                <w:szCs w:val="18"/>
              </w:rPr>
              <w:t>经常维护、提高路面平整度</w:t>
            </w:r>
          </w:p>
        </w:tc>
        <w:tc>
          <w:tcPr>
            <w:tcW w:w="1545" w:type="dxa"/>
            <w:vAlign w:val="center"/>
          </w:tcPr>
          <w:p w14:paraId="0EC865F3">
            <w:pPr>
              <w:autoSpaceDE w:val="0"/>
              <w:autoSpaceDN w:val="0"/>
              <w:spacing w:line="240" w:lineRule="auto"/>
              <w:jc w:val="center"/>
              <w:rPr>
                <w:kern w:val="0"/>
                <w:sz w:val="18"/>
                <w:szCs w:val="18"/>
              </w:rPr>
            </w:pPr>
            <w:r>
              <w:rPr>
                <w:rFonts w:ascii="宋体" w:hAnsi="宋体"/>
                <w:kern w:val="0"/>
                <w:sz w:val="18"/>
                <w:szCs w:val="18"/>
              </w:rPr>
              <w:t>路政部门</w:t>
            </w:r>
          </w:p>
        </w:tc>
        <w:tc>
          <w:tcPr>
            <w:tcW w:w="3952" w:type="dxa"/>
            <w:vAlign w:val="center"/>
          </w:tcPr>
          <w:p w14:paraId="38FBD067">
            <w:pPr>
              <w:widowControl/>
              <w:adjustRightInd/>
              <w:spacing w:line="240" w:lineRule="auto"/>
              <w:jc w:val="center"/>
              <w:rPr>
                <w:kern w:val="0"/>
                <w:sz w:val="18"/>
                <w:szCs w:val="18"/>
              </w:rPr>
            </w:pPr>
            <w:r>
              <w:rPr>
                <w:kern w:val="0"/>
                <w:sz w:val="18"/>
                <w:szCs w:val="18"/>
              </w:rPr>
              <w:t>/</w:t>
            </w:r>
          </w:p>
        </w:tc>
      </w:tr>
    </w:tbl>
    <w:p w14:paraId="7C3A7900">
      <w:pPr>
        <w:widowControl/>
        <w:adjustRightInd/>
        <w:snapToGrid/>
        <w:spacing w:line="240" w:lineRule="auto"/>
        <w:jc w:val="left"/>
        <w:rPr>
          <w:szCs w:val="21"/>
          <w:highlight w:val="yellow"/>
        </w:rPr>
        <w:sectPr>
          <w:pgSz w:w="16838" w:h="11906" w:orient="landscape"/>
          <w:pgMar w:top="1418" w:right="1418" w:bottom="1418" w:left="1418" w:header="851" w:footer="851" w:gutter="0"/>
          <w:cols w:space="720" w:num="1"/>
          <w:titlePg/>
          <w:docGrid w:type="lines" w:linePitch="424" w:charSpace="0"/>
        </w:sectPr>
      </w:pPr>
    </w:p>
    <w:p w14:paraId="6A40F1D4">
      <w:pPr>
        <w:widowControl/>
        <w:adjustRightInd/>
        <w:snapToGrid/>
        <w:spacing w:line="240" w:lineRule="auto"/>
        <w:jc w:val="left"/>
        <w:rPr>
          <w:szCs w:val="21"/>
          <w:highlight w:val="yellow"/>
        </w:rPr>
        <w:sectPr>
          <w:type w:val="continuous"/>
          <w:pgSz w:w="16838" w:h="11906" w:orient="landscape"/>
          <w:pgMar w:top="1418" w:right="1418" w:bottom="1418" w:left="1418" w:header="851" w:footer="851" w:gutter="0"/>
          <w:cols w:space="720" w:num="1"/>
          <w:titlePg/>
          <w:docGrid w:type="lines" w:linePitch="424" w:charSpace="0"/>
        </w:sectPr>
      </w:pPr>
    </w:p>
    <w:p w14:paraId="588A4388">
      <w:pPr>
        <w:ind w:firstLine="422" w:firstLineChars="200"/>
        <w:outlineLvl w:val="2"/>
        <w:rPr>
          <w:b/>
          <w:bCs/>
          <w:szCs w:val="21"/>
        </w:rPr>
      </w:pPr>
      <w:r>
        <w:rPr>
          <w:b/>
          <w:bCs/>
          <w:szCs w:val="21"/>
        </w:rPr>
        <w:t>3</w:t>
      </w:r>
      <w:r>
        <w:rPr>
          <w:rFonts w:ascii="宋体" w:hAnsi="宋体"/>
          <w:b/>
          <w:bCs/>
          <w:szCs w:val="21"/>
        </w:rPr>
        <w:t>、敏感点降噪措施</w:t>
      </w:r>
    </w:p>
    <w:p w14:paraId="4B4D995D">
      <w:pPr>
        <w:ind w:firstLine="420" w:firstLineChars="200"/>
        <w:rPr>
          <w:kern w:val="0"/>
          <w:szCs w:val="21"/>
        </w:rPr>
      </w:pPr>
      <w:r>
        <w:rPr>
          <w:rFonts w:hint="eastAsia" w:ascii="宋体" w:hAnsi="宋体"/>
          <w:kern w:val="0"/>
          <w:szCs w:val="21"/>
        </w:rPr>
        <w:t>由于本项目不存在现状敏感点，所以仅对未来规划敏感点进行降噪措施分析。</w:t>
      </w:r>
      <w:r>
        <w:rPr>
          <w:rFonts w:ascii="宋体" w:hAnsi="宋体"/>
          <w:kern w:val="0"/>
          <w:szCs w:val="21"/>
        </w:rPr>
        <w:t>针对各种治理措施的优缺点，及适用条件，结合本工程沿线的敏感点特点，本环评提出了采用设置降噪型伸缩缝、敏感点安装隔声窗</w:t>
      </w:r>
      <w:r>
        <w:rPr>
          <w:rFonts w:hint="eastAsia" w:ascii="宋体" w:hAnsi="宋体"/>
          <w:kern w:val="0"/>
          <w:szCs w:val="21"/>
        </w:rPr>
        <w:t>、绿化隔声</w:t>
      </w:r>
      <w:r>
        <w:rPr>
          <w:rFonts w:ascii="宋体" w:hAnsi="宋体"/>
          <w:kern w:val="0"/>
          <w:szCs w:val="21"/>
        </w:rPr>
        <w:t>以及规划退让</w:t>
      </w:r>
      <w:r>
        <w:rPr>
          <w:rFonts w:hint="eastAsia"/>
          <w:kern w:val="0"/>
          <w:szCs w:val="21"/>
        </w:rPr>
        <w:t>4</w:t>
      </w:r>
      <w:r>
        <w:rPr>
          <w:rFonts w:ascii="宋体" w:hAnsi="宋体"/>
          <w:kern w:val="0"/>
          <w:szCs w:val="21"/>
        </w:rPr>
        <w:t>种组合降噪措施。</w:t>
      </w:r>
    </w:p>
    <w:p w14:paraId="7B016045">
      <w:pPr>
        <w:ind w:firstLine="420" w:firstLineChars="200"/>
        <w:rPr>
          <w:kern w:val="0"/>
          <w:szCs w:val="21"/>
        </w:rPr>
      </w:pPr>
      <w:r>
        <w:rPr>
          <w:kern w:val="0"/>
          <w:szCs w:val="21"/>
        </w:rPr>
        <w:t>1.</w:t>
      </w:r>
      <w:r>
        <w:rPr>
          <w:rFonts w:ascii="宋体" w:hAnsi="宋体"/>
          <w:kern w:val="0"/>
          <w:szCs w:val="21"/>
        </w:rPr>
        <w:t>降噪型伸缩缝</w:t>
      </w:r>
    </w:p>
    <w:p w14:paraId="7ED72EF3">
      <w:pPr>
        <w:ind w:firstLine="420" w:firstLineChars="200"/>
        <w:rPr>
          <w:rFonts w:hint="eastAsia" w:ascii="宋体" w:hAnsi="宋体"/>
          <w:kern w:val="0"/>
          <w:szCs w:val="21"/>
        </w:rPr>
      </w:pPr>
      <w:r>
        <w:rPr>
          <w:rFonts w:ascii="宋体" w:hAnsi="宋体"/>
          <w:kern w:val="0"/>
          <w:szCs w:val="21"/>
        </w:rPr>
        <w:t>为减少车辆通过桥梁伸缩缝产生的噪声，要求本项目跨线桥及地面桥梁均采用降噪伸缩缝，减小桥梁伸缩缝噪</w:t>
      </w:r>
    </w:p>
    <w:p w14:paraId="20311218">
      <w:pPr>
        <w:ind w:firstLine="420" w:firstLineChars="200"/>
        <w:rPr>
          <w:kern w:val="0"/>
          <w:szCs w:val="21"/>
        </w:rPr>
      </w:pPr>
      <w:r>
        <w:rPr>
          <w:rFonts w:hint="eastAsia"/>
          <w:kern w:val="0"/>
          <w:szCs w:val="21"/>
        </w:rPr>
        <w:t>2</w:t>
      </w:r>
      <w:r>
        <w:rPr>
          <w:kern w:val="0"/>
          <w:szCs w:val="21"/>
        </w:rPr>
        <w:t>.</w:t>
      </w:r>
      <w:r>
        <w:rPr>
          <w:rFonts w:ascii="宋体" w:hAnsi="宋体"/>
          <w:kern w:val="0"/>
          <w:szCs w:val="21"/>
        </w:rPr>
        <w:t>隔声窗设置方案</w:t>
      </w:r>
    </w:p>
    <w:p w14:paraId="158FF944">
      <w:pPr>
        <w:ind w:firstLine="420" w:firstLineChars="200"/>
        <w:rPr>
          <w:rFonts w:hint="eastAsia" w:ascii="宋体" w:hAnsi="宋体"/>
          <w:szCs w:val="21"/>
        </w:rPr>
      </w:pPr>
      <w:r>
        <w:rPr>
          <w:rFonts w:ascii="宋体" w:hAnsi="宋体"/>
          <w:szCs w:val="21"/>
        </w:rPr>
        <w:t>针对各种治理措施的优缺点及适用条件，结合本工程沿线的敏感点特点，本环评提出了采用</w:t>
      </w:r>
      <w:r>
        <w:rPr>
          <w:rFonts w:hint="eastAsia" w:ascii="宋体" w:hAnsi="宋体"/>
          <w:szCs w:val="21"/>
        </w:rPr>
        <w:t>规划</w:t>
      </w:r>
      <w:r>
        <w:rPr>
          <w:rFonts w:ascii="宋体" w:hAnsi="宋体"/>
          <w:szCs w:val="21"/>
        </w:rPr>
        <w:t>敏感点安装隔声窗降噪措施。为尽量降低敏感点室外噪声级的同时，改善和保证敏感点有一个良好的室内声环境。隔声窗措施应按照《建筑环境通用规范》（</w:t>
      </w:r>
      <w:r>
        <w:rPr>
          <w:szCs w:val="21"/>
        </w:rPr>
        <w:t>GB 55016-2021</w:t>
      </w:r>
      <w:r>
        <w:rPr>
          <w:rFonts w:ascii="宋体" w:hAnsi="宋体"/>
          <w:szCs w:val="21"/>
        </w:rPr>
        <w:t>）中建筑物外部噪声源传播至主要功能房间室内的噪声限值。</w:t>
      </w:r>
    </w:p>
    <w:p w14:paraId="4F5A5150">
      <w:pPr>
        <w:pStyle w:val="9"/>
        <w:spacing w:before="156"/>
      </w:pPr>
      <w:r>
        <w:t xml:space="preserve">专项表 </w:t>
      </w:r>
      <w:r>
        <w:fldChar w:fldCharType="begin"/>
      </w:r>
      <w:r>
        <w:instrText xml:space="preserve"> SEQ 专项表 \* ARABIC </w:instrText>
      </w:r>
      <w:r>
        <w:fldChar w:fldCharType="separate"/>
      </w:r>
      <w:r>
        <w:t>18</w:t>
      </w:r>
      <w:r>
        <w:fldChar w:fldCharType="end"/>
      </w:r>
      <w:r>
        <w:t>建筑物外部噪声源传播至主要功能房间室内的噪声限值</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845"/>
        <w:gridCol w:w="2839"/>
        <w:gridCol w:w="2838"/>
      </w:tblGrid>
      <w:tr w14:paraId="473A04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940" w:type="dxa"/>
            <w:vMerge w:val="restart"/>
            <w:vAlign w:val="center"/>
          </w:tcPr>
          <w:p w14:paraId="56EE38F6">
            <w:pPr>
              <w:spacing w:line="240" w:lineRule="auto"/>
              <w:jc w:val="center"/>
              <w:rPr>
                <w:b/>
                <w:bCs/>
                <w:sz w:val="18"/>
                <w:szCs w:val="18"/>
              </w:rPr>
            </w:pPr>
            <w:r>
              <w:rPr>
                <w:rFonts w:hint="eastAsia"/>
                <w:b/>
                <w:bCs/>
                <w:sz w:val="18"/>
                <w:szCs w:val="18"/>
              </w:rPr>
              <w:t>房间使用功能</w:t>
            </w:r>
          </w:p>
        </w:tc>
        <w:tc>
          <w:tcPr>
            <w:tcW w:w="5880" w:type="dxa"/>
            <w:gridSpan w:val="2"/>
            <w:vAlign w:val="center"/>
          </w:tcPr>
          <w:p w14:paraId="0C0C197A">
            <w:pPr>
              <w:spacing w:line="240" w:lineRule="auto"/>
              <w:jc w:val="center"/>
              <w:rPr>
                <w:b/>
                <w:bCs/>
                <w:sz w:val="18"/>
                <w:szCs w:val="18"/>
              </w:rPr>
            </w:pPr>
            <w:r>
              <w:rPr>
                <w:rFonts w:hint="eastAsia"/>
                <w:b/>
                <w:bCs/>
                <w:sz w:val="18"/>
                <w:szCs w:val="18"/>
              </w:rPr>
              <w:t>噪声限值(等效声级LAeq，T，dB)</w:t>
            </w:r>
          </w:p>
        </w:tc>
      </w:tr>
      <w:tr w14:paraId="6970C3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940" w:type="dxa"/>
            <w:vMerge w:val="continue"/>
            <w:vAlign w:val="center"/>
          </w:tcPr>
          <w:p w14:paraId="17C04983">
            <w:pPr>
              <w:spacing w:line="240" w:lineRule="auto"/>
              <w:jc w:val="center"/>
              <w:rPr>
                <w:b/>
                <w:bCs/>
                <w:sz w:val="18"/>
                <w:szCs w:val="18"/>
              </w:rPr>
            </w:pPr>
          </w:p>
        </w:tc>
        <w:tc>
          <w:tcPr>
            <w:tcW w:w="2940" w:type="dxa"/>
            <w:vAlign w:val="center"/>
          </w:tcPr>
          <w:p w14:paraId="46D0DB6A">
            <w:pPr>
              <w:spacing w:line="240" w:lineRule="auto"/>
              <w:jc w:val="center"/>
              <w:rPr>
                <w:b/>
                <w:bCs/>
                <w:sz w:val="18"/>
                <w:szCs w:val="18"/>
              </w:rPr>
            </w:pPr>
            <w:r>
              <w:rPr>
                <w:rFonts w:hint="eastAsia"/>
                <w:b/>
                <w:bCs/>
                <w:sz w:val="18"/>
                <w:szCs w:val="18"/>
              </w:rPr>
              <w:t>昼间</w:t>
            </w:r>
          </w:p>
        </w:tc>
        <w:tc>
          <w:tcPr>
            <w:tcW w:w="2940" w:type="dxa"/>
            <w:vAlign w:val="center"/>
          </w:tcPr>
          <w:p w14:paraId="557E4D85">
            <w:pPr>
              <w:spacing w:line="240" w:lineRule="auto"/>
              <w:jc w:val="center"/>
              <w:rPr>
                <w:b/>
                <w:bCs/>
                <w:sz w:val="18"/>
                <w:szCs w:val="18"/>
              </w:rPr>
            </w:pPr>
            <w:r>
              <w:rPr>
                <w:rFonts w:hint="eastAsia"/>
                <w:b/>
                <w:bCs/>
                <w:sz w:val="18"/>
                <w:szCs w:val="18"/>
              </w:rPr>
              <w:t>夜间</w:t>
            </w:r>
          </w:p>
        </w:tc>
      </w:tr>
      <w:tr w14:paraId="45B0A6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940" w:type="dxa"/>
            <w:vAlign w:val="center"/>
          </w:tcPr>
          <w:p w14:paraId="25FF6995">
            <w:pPr>
              <w:spacing w:line="240" w:lineRule="auto"/>
              <w:jc w:val="center"/>
              <w:rPr>
                <w:sz w:val="18"/>
                <w:szCs w:val="18"/>
              </w:rPr>
            </w:pPr>
            <w:r>
              <w:rPr>
                <w:rFonts w:hint="eastAsia"/>
                <w:sz w:val="18"/>
                <w:szCs w:val="18"/>
              </w:rPr>
              <w:t>睡眠</w:t>
            </w:r>
          </w:p>
        </w:tc>
        <w:tc>
          <w:tcPr>
            <w:tcW w:w="2940" w:type="dxa"/>
            <w:vAlign w:val="center"/>
          </w:tcPr>
          <w:p w14:paraId="52825238">
            <w:pPr>
              <w:spacing w:line="240" w:lineRule="auto"/>
              <w:jc w:val="center"/>
              <w:rPr>
                <w:sz w:val="18"/>
                <w:szCs w:val="18"/>
              </w:rPr>
            </w:pPr>
            <w:r>
              <w:rPr>
                <w:sz w:val="18"/>
                <w:szCs w:val="18"/>
              </w:rPr>
              <w:t>40</w:t>
            </w:r>
          </w:p>
        </w:tc>
        <w:tc>
          <w:tcPr>
            <w:tcW w:w="2940" w:type="dxa"/>
            <w:vAlign w:val="center"/>
          </w:tcPr>
          <w:p w14:paraId="6C99070E">
            <w:pPr>
              <w:spacing w:line="240" w:lineRule="auto"/>
              <w:jc w:val="center"/>
              <w:rPr>
                <w:sz w:val="18"/>
                <w:szCs w:val="18"/>
              </w:rPr>
            </w:pPr>
            <w:r>
              <w:rPr>
                <w:sz w:val="18"/>
                <w:szCs w:val="18"/>
              </w:rPr>
              <w:t>30</w:t>
            </w:r>
          </w:p>
        </w:tc>
      </w:tr>
      <w:tr w14:paraId="6BC8B1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940" w:type="dxa"/>
            <w:vAlign w:val="center"/>
          </w:tcPr>
          <w:p w14:paraId="24F7787E">
            <w:pPr>
              <w:spacing w:line="240" w:lineRule="auto"/>
              <w:jc w:val="center"/>
              <w:rPr>
                <w:sz w:val="18"/>
                <w:szCs w:val="18"/>
              </w:rPr>
            </w:pPr>
            <w:r>
              <w:rPr>
                <w:rFonts w:hint="eastAsia"/>
                <w:sz w:val="18"/>
                <w:szCs w:val="18"/>
              </w:rPr>
              <w:t>日常生活</w:t>
            </w:r>
          </w:p>
        </w:tc>
        <w:tc>
          <w:tcPr>
            <w:tcW w:w="5880" w:type="dxa"/>
            <w:gridSpan w:val="2"/>
            <w:vAlign w:val="center"/>
          </w:tcPr>
          <w:p w14:paraId="44D64959">
            <w:pPr>
              <w:spacing w:line="240" w:lineRule="auto"/>
              <w:jc w:val="center"/>
              <w:rPr>
                <w:sz w:val="18"/>
                <w:szCs w:val="18"/>
              </w:rPr>
            </w:pPr>
            <w:r>
              <w:rPr>
                <w:sz w:val="18"/>
                <w:szCs w:val="18"/>
              </w:rPr>
              <w:t>40</w:t>
            </w:r>
          </w:p>
        </w:tc>
      </w:tr>
      <w:tr w14:paraId="7CFF7B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940" w:type="dxa"/>
            <w:vAlign w:val="center"/>
          </w:tcPr>
          <w:p w14:paraId="0D4B7120">
            <w:pPr>
              <w:spacing w:line="240" w:lineRule="auto"/>
              <w:jc w:val="center"/>
              <w:rPr>
                <w:sz w:val="18"/>
                <w:szCs w:val="18"/>
              </w:rPr>
            </w:pPr>
            <w:r>
              <w:rPr>
                <w:rFonts w:hint="eastAsia"/>
                <w:sz w:val="18"/>
                <w:szCs w:val="18"/>
              </w:rPr>
              <w:t>阅读、自学、思考</w:t>
            </w:r>
          </w:p>
        </w:tc>
        <w:tc>
          <w:tcPr>
            <w:tcW w:w="5880" w:type="dxa"/>
            <w:gridSpan w:val="2"/>
            <w:vAlign w:val="center"/>
          </w:tcPr>
          <w:p w14:paraId="223F99E4">
            <w:pPr>
              <w:spacing w:line="240" w:lineRule="auto"/>
              <w:jc w:val="center"/>
              <w:rPr>
                <w:sz w:val="18"/>
                <w:szCs w:val="18"/>
              </w:rPr>
            </w:pPr>
            <w:r>
              <w:rPr>
                <w:sz w:val="18"/>
                <w:szCs w:val="18"/>
              </w:rPr>
              <w:t>35</w:t>
            </w:r>
          </w:p>
        </w:tc>
      </w:tr>
      <w:tr w14:paraId="6B71D1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940" w:type="dxa"/>
            <w:vAlign w:val="center"/>
          </w:tcPr>
          <w:p w14:paraId="702ADB2B">
            <w:pPr>
              <w:spacing w:line="240" w:lineRule="auto"/>
              <w:jc w:val="center"/>
              <w:rPr>
                <w:sz w:val="18"/>
                <w:szCs w:val="18"/>
              </w:rPr>
            </w:pPr>
            <w:r>
              <w:rPr>
                <w:rFonts w:hint="eastAsia"/>
                <w:sz w:val="18"/>
                <w:szCs w:val="18"/>
              </w:rPr>
              <w:t>教学、医疗、办公、会议</w:t>
            </w:r>
          </w:p>
        </w:tc>
        <w:tc>
          <w:tcPr>
            <w:tcW w:w="5880" w:type="dxa"/>
            <w:gridSpan w:val="2"/>
            <w:vAlign w:val="center"/>
          </w:tcPr>
          <w:p w14:paraId="3726ED7E">
            <w:pPr>
              <w:spacing w:line="240" w:lineRule="auto"/>
              <w:jc w:val="center"/>
              <w:rPr>
                <w:sz w:val="18"/>
                <w:szCs w:val="18"/>
              </w:rPr>
            </w:pPr>
            <w:r>
              <w:rPr>
                <w:sz w:val="18"/>
                <w:szCs w:val="18"/>
              </w:rPr>
              <w:t>40</w:t>
            </w:r>
          </w:p>
        </w:tc>
      </w:tr>
    </w:tbl>
    <w:p w14:paraId="088921A0">
      <w:pPr>
        <w:ind w:firstLine="420" w:firstLineChars="200"/>
        <w:rPr>
          <w:szCs w:val="21"/>
        </w:rPr>
      </w:pPr>
      <w:r>
        <w:rPr>
          <w:rFonts w:hint="eastAsia"/>
          <w:szCs w:val="21"/>
        </w:rPr>
        <w:t>由于规划敏感点的建筑形式设计尚不明确，所以无法对隔声窗具体的形式作明确的建议，但是根据规划敏感点的噪声预测值，临街一侧的建筑隔声量要求至少应该在25-35dB之间，且应该着重关注对于中低层的隔声措施。</w:t>
      </w:r>
    </w:p>
    <w:p w14:paraId="0FDBAD4D">
      <w:pPr>
        <w:ind w:firstLine="420" w:firstLineChars="200"/>
        <w:rPr>
          <w:kern w:val="0"/>
          <w:szCs w:val="21"/>
        </w:rPr>
      </w:pPr>
      <w:r>
        <w:t>3.</w:t>
      </w:r>
      <w:r>
        <w:rPr>
          <w:kern w:val="0"/>
          <w:szCs w:val="21"/>
        </w:rPr>
        <w:t>绿化隔声</w:t>
      </w:r>
    </w:p>
    <w:p w14:paraId="799422F5">
      <w:pPr>
        <w:ind w:firstLine="420" w:firstLineChars="200"/>
        <w:rPr>
          <w:kern w:val="0"/>
          <w:szCs w:val="21"/>
        </w:rPr>
      </w:pPr>
      <w:r>
        <w:rPr>
          <w:rFonts w:hint="eastAsia"/>
          <w:kern w:val="0"/>
          <w:szCs w:val="21"/>
        </w:rPr>
        <w:t>为减轻规划道路营运期交通噪声对周边规划住宅区的声环境影响，本评价建议在道路与规划住宅区之间设置绿化带。绿化带作为传播途径阻隔措施，利用植物枝叶对声波的吸收、反射、散射等物理作用实现噪声衰减。绿化降噪在具备一定降噪能力的同时，还具有改善空气质量、美化环境、提升居民心理舒适度等综合生态效益。</w:t>
      </w:r>
    </w:p>
    <w:p w14:paraId="430E15DA">
      <w:pPr>
        <w:ind w:firstLine="420" w:firstLineChars="200"/>
        <w:rPr>
          <w:kern w:val="0"/>
          <w:szCs w:val="21"/>
        </w:rPr>
      </w:pPr>
      <w:r>
        <w:rPr>
          <w:rFonts w:hint="eastAsia"/>
          <w:kern w:val="0"/>
          <w:szCs w:val="21"/>
        </w:rPr>
        <w:t>绿化林带的降噪效果与其宽度密切相关。林带宽度越大，降噪效果越显著。根据工程设计方案，道路周边将设置行道树，但是行道树的隔声效果比较有限，所以建议小区在临街的一侧设计小区绿化，采用“乔木+灌木+草本”的多层次复层配置模式，靠近道路一侧：种植高大乔木（如香樟、樟树、刺桐等），形成第一道声屏障。乔木宜选择冠幅大、枝叶浓密、郁闭度高的树种。中间配置灌木层，靠近住宅区一侧铺设耐水草坪及地被植物，与乔木形成错落有致的立体结构。同时为确保绿化降噪措施的有效性，应建立绿化林带长效养护管理机制，定期对植被进行修剪、补植和更新，确保林带长期保持良好郁闭度和降噪功能。</w:t>
      </w:r>
    </w:p>
    <w:p w14:paraId="0E6927FC">
      <w:pPr>
        <w:ind w:firstLine="420" w:firstLineChars="200"/>
        <w:rPr>
          <w:kern w:val="0"/>
          <w:szCs w:val="21"/>
        </w:rPr>
      </w:pPr>
      <w:r>
        <w:rPr>
          <w:rFonts w:hint="eastAsia"/>
          <w:kern w:val="0"/>
          <w:szCs w:val="21"/>
        </w:rPr>
        <w:t>4</w:t>
      </w:r>
      <w:r>
        <w:rPr>
          <w:kern w:val="0"/>
          <w:szCs w:val="21"/>
        </w:rPr>
        <w:t>.</w:t>
      </w:r>
      <w:r>
        <w:rPr>
          <w:rFonts w:ascii="宋体" w:hAnsi="宋体"/>
          <w:kern w:val="0"/>
          <w:szCs w:val="21"/>
        </w:rPr>
        <w:t>规划退让</w:t>
      </w:r>
    </w:p>
    <w:p w14:paraId="1E3A4823">
      <w:pPr>
        <w:ind w:firstLine="420" w:firstLineChars="200"/>
        <w:rPr>
          <w:kern w:val="0"/>
          <w:szCs w:val="21"/>
        </w:rPr>
      </w:pPr>
      <w:r>
        <w:rPr>
          <w:rFonts w:ascii="宋体" w:hAnsi="宋体"/>
          <w:kern w:val="0"/>
          <w:szCs w:val="21"/>
        </w:rPr>
        <w:t>根据杭州市人民政府出具的《关于加强“两高一铁”和工业企业周边噪声等突出生态环境问</w:t>
      </w:r>
      <w:r>
        <w:rPr>
          <w:kern w:val="0"/>
          <w:szCs w:val="21"/>
        </w:rPr>
        <w:t>题综合治理的实施意见（试行）》（杭政函[2025]19 号）相关内容：将高架道路两侧各30 米、高速公路和铁路两侧各50 米的范围划定为噪声敏感建筑禁建区（以下简称禁建区），原则上不规划新增住宅用地。“两高一铁”两侧禁建区外至100 米的范围划定为噪声敏感建筑限建区（以下简称限建区），通过地块功能置换等方法，“两高一铁”两侧首排建筑优先布局非住宅</w:t>
      </w:r>
      <w:r>
        <w:rPr>
          <w:rFonts w:hint="eastAsia"/>
          <w:kern w:val="0"/>
          <w:szCs w:val="21"/>
        </w:rPr>
        <w:t>（如临街商铺、装饰性围墙、居民公共管理与公共服务建筑或景观绿地等。</w:t>
      </w:r>
    </w:p>
    <w:p w14:paraId="19692DB2">
      <w:pPr>
        <w:ind w:firstLine="420" w:firstLineChars="200"/>
        <w:rPr>
          <w:kern w:val="0"/>
          <w:szCs w:val="21"/>
        </w:rPr>
      </w:pPr>
      <w:r>
        <w:rPr>
          <w:rFonts w:hint="eastAsia"/>
          <w:kern w:val="0"/>
          <w:szCs w:val="21"/>
        </w:rPr>
        <w:t>此外</w:t>
      </w:r>
      <w:r>
        <w:rPr>
          <w:kern w:val="0"/>
          <w:szCs w:val="21"/>
        </w:rPr>
        <w:t>杭州市规划和自然资源局</w:t>
      </w:r>
      <w:r>
        <w:rPr>
          <w:rFonts w:hint="eastAsia"/>
          <w:kern w:val="0"/>
          <w:szCs w:val="21"/>
        </w:rPr>
        <w:t>于2026年</w:t>
      </w:r>
      <w:r>
        <w:rPr>
          <w:kern w:val="0"/>
          <w:szCs w:val="21"/>
        </w:rPr>
        <w:t>发布</w:t>
      </w:r>
      <w:r>
        <w:rPr>
          <w:rFonts w:hint="eastAsia"/>
          <w:kern w:val="0"/>
          <w:szCs w:val="21"/>
        </w:rPr>
        <w:t>的</w:t>
      </w:r>
      <w:r>
        <w:rPr>
          <w:kern w:val="0"/>
          <w:szCs w:val="21"/>
        </w:rPr>
        <w:t>《杭州市城市规划管理技术规定（2026版）》（杭规划资源发〔2026〕4号）</w:t>
      </w:r>
      <w:r>
        <w:rPr>
          <w:rFonts w:hint="eastAsia"/>
          <w:kern w:val="0"/>
          <w:szCs w:val="21"/>
        </w:rPr>
        <w:t>中，也对建筑退</w:t>
      </w:r>
      <w:commentRangeStart w:id="106"/>
      <w:commentRangeStart w:id="107"/>
      <w:r>
        <w:rPr>
          <w:rFonts w:hint="eastAsia"/>
          <w:kern w:val="0"/>
          <w:szCs w:val="21"/>
        </w:rPr>
        <w:t>让</w:t>
      </w:r>
      <w:commentRangeEnd w:id="106"/>
      <w:r>
        <w:rPr>
          <w:rStyle w:val="38"/>
          <w:rFonts w:hint="eastAsia"/>
          <w:kern w:val="0"/>
          <w:szCs w:val="21"/>
        </w:rPr>
        <w:commentReference w:id="106"/>
      </w:r>
      <w:commentRangeEnd w:id="107"/>
      <w:r>
        <w:rPr>
          <w:rStyle w:val="38"/>
          <w:rFonts w:hint="eastAsia"/>
          <w:kern w:val="0"/>
          <w:szCs w:val="21"/>
        </w:rPr>
        <w:commentReference w:id="107"/>
      </w:r>
      <w:r>
        <w:rPr>
          <w:rFonts w:hint="eastAsia"/>
          <w:kern w:val="0"/>
          <w:szCs w:val="21"/>
        </w:rPr>
        <w:t>距离有明确规定：1.新建建筑退让道路、公路、河道、铁路、电力线、地下管线及地界的距离，应当综合考虑安全、环保、交通、消防、卫生、城市景观、文物保护和管线布置等要求后确定。2.沿城市道路两侧新建、改建、扩建建筑物，后退道路规划红线的距离，应按道路的性质、道路宽度、交叉口视线以及建筑的高度等条件留出必要的后退距离。除经批准的详细规划另有规定外，应符合表（3-2）“建筑后退道路红线的最小距离”的规定。当城市道路上有部分桥梁时，后退桥梁的距离应适当加大，以满足市政管线布置要求</w:t>
      </w:r>
      <w:r>
        <w:rPr>
          <w:kern w:val="0"/>
          <w:szCs w:val="21"/>
        </w:rPr>
        <w:t>。</w:t>
      </w:r>
    </w:p>
    <w:p w14:paraId="732FB593">
      <w:pPr>
        <w:ind w:firstLine="420" w:firstLineChars="200"/>
        <w:rPr>
          <w:rFonts w:hint="eastAsia" w:ascii="宋体" w:hAnsi="宋体"/>
          <w:kern w:val="0"/>
          <w:szCs w:val="21"/>
        </w:rPr>
        <w:sectPr>
          <w:pgSz w:w="11906" w:h="16838"/>
          <w:pgMar w:top="1440" w:right="1800" w:bottom="1440" w:left="1800" w:header="851" w:footer="1077" w:gutter="0"/>
          <w:cols w:space="720" w:num="1"/>
          <w:docGrid w:type="lines" w:linePitch="312" w:charSpace="0"/>
        </w:sectPr>
      </w:pPr>
    </w:p>
    <w:p w14:paraId="0855D01A">
      <w:pPr>
        <w:adjustRightInd/>
        <w:outlineLvl w:val="1"/>
        <w:rPr>
          <w:b/>
          <w:bCs/>
          <w:szCs w:val="21"/>
        </w:rPr>
      </w:pPr>
      <w:r>
        <w:rPr>
          <w:rFonts w:ascii="宋体" w:hAnsi="宋体"/>
          <w:b/>
          <w:bCs/>
          <w:szCs w:val="21"/>
        </w:rPr>
        <w:t>六、结论</w:t>
      </w:r>
    </w:p>
    <w:p w14:paraId="5F1D271F">
      <w:pPr>
        <w:ind w:firstLine="420" w:firstLineChars="200"/>
        <w:rPr>
          <w:kern w:val="0"/>
          <w:szCs w:val="21"/>
        </w:rPr>
      </w:pPr>
      <w:r>
        <w:rPr>
          <w:rFonts w:hint="eastAsia" w:ascii="宋体" w:hAnsi="宋体"/>
          <w:kern w:val="0"/>
          <w:szCs w:val="21"/>
        </w:rPr>
        <w:t>由于道路建设区域不存在现状敏感点，所以施工期噪声对周边生态环境影响较小；运营期</w:t>
      </w:r>
      <w:r>
        <w:rPr>
          <w:rFonts w:ascii="宋体" w:hAnsi="宋体"/>
          <w:kern w:val="0"/>
          <w:szCs w:val="21"/>
        </w:rPr>
        <w:t>根据噪声预测，</w:t>
      </w:r>
      <w:r>
        <w:rPr>
          <w:rFonts w:hint="eastAsia" w:ascii="宋体" w:hAnsi="宋体"/>
          <w:kern w:val="0"/>
          <w:szCs w:val="21"/>
        </w:rPr>
        <w:t>道路两侧规划住宅敏感点最外侧的噪声接收点位置会有超标，但是超标量较低，通过采取</w:t>
      </w:r>
      <w:r>
        <w:rPr>
          <w:rFonts w:ascii="宋体" w:hAnsi="宋体"/>
          <w:kern w:val="0"/>
          <w:szCs w:val="21"/>
        </w:rPr>
        <w:t>一系列隔声降噪措施，</w:t>
      </w:r>
      <w:r>
        <w:rPr>
          <w:rFonts w:hint="eastAsia" w:ascii="宋体" w:hAnsi="宋体"/>
          <w:kern w:val="0"/>
          <w:szCs w:val="21"/>
        </w:rPr>
        <w:t>可以有效</w:t>
      </w:r>
      <w:r>
        <w:rPr>
          <w:rFonts w:ascii="宋体" w:hAnsi="宋体"/>
          <w:kern w:val="0"/>
          <w:szCs w:val="21"/>
        </w:rPr>
        <w:t>降低对</w:t>
      </w:r>
      <w:r>
        <w:rPr>
          <w:rFonts w:hint="eastAsia" w:ascii="宋体" w:hAnsi="宋体"/>
          <w:kern w:val="0"/>
          <w:szCs w:val="21"/>
        </w:rPr>
        <w:t>规划</w:t>
      </w:r>
      <w:r>
        <w:rPr>
          <w:rFonts w:ascii="宋体" w:hAnsi="宋体"/>
          <w:kern w:val="0"/>
          <w:szCs w:val="21"/>
        </w:rPr>
        <w:t>敏感目标的影响</w:t>
      </w:r>
      <w:r>
        <w:rPr>
          <w:rFonts w:hint="eastAsia" w:ascii="宋体" w:hAnsi="宋体"/>
          <w:kern w:val="0"/>
          <w:szCs w:val="21"/>
        </w:rPr>
        <w:t>，室内区域可以实现噪声达标</w:t>
      </w:r>
      <w:r>
        <w:rPr>
          <w:rFonts w:ascii="宋体" w:hAnsi="宋体"/>
          <w:kern w:val="0"/>
          <w:szCs w:val="21"/>
        </w:rPr>
        <w:t>。在采取本次环评提出的噪声污染防治措施的基础上，工程对沿线声环境的影响是可以接受的。</w:t>
      </w:r>
    </w:p>
    <w:p w14:paraId="7C72BA82">
      <w:pPr>
        <w:pStyle w:val="9"/>
        <w:spacing w:before="120"/>
      </w:pPr>
      <w:r>
        <w:t xml:space="preserve">专项表 </w:t>
      </w:r>
      <w:r>
        <w:fldChar w:fldCharType="begin"/>
      </w:r>
      <w:r>
        <w:instrText xml:space="preserve"> SEQ 专项表 \* ARABIC </w:instrText>
      </w:r>
      <w:r>
        <w:fldChar w:fldCharType="separate"/>
      </w:r>
      <w:r>
        <w:t>19</w:t>
      </w:r>
      <w:r>
        <w:fldChar w:fldCharType="end"/>
      </w:r>
      <w:r>
        <w:t>建设项目噪声环境影响评价自查表</w:t>
      </w:r>
    </w:p>
    <w:tbl>
      <w:tblPr>
        <w:tblStyle w:val="30"/>
        <w:tblW w:w="5000" w:type="pct"/>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15" w:type="dxa"/>
          <w:left w:w="15" w:type="dxa"/>
          <w:bottom w:w="15" w:type="dxa"/>
          <w:right w:w="15" w:type="dxa"/>
        </w:tblCellMar>
      </w:tblPr>
      <w:tblGrid>
        <w:gridCol w:w="1041"/>
        <w:gridCol w:w="1043"/>
        <w:gridCol w:w="1193"/>
        <w:gridCol w:w="992"/>
        <w:gridCol w:w="999"/>
        <w:gridCol w:w="985"/>
        <w:gridCol w:w="871"/>
        <w:gridCol w:w="263"/>
        <w:gridCol w:w="950"/>
      </w:tblGrid>
      <w:tr w14:paraId="17085A6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2069" w:type="dxa"/>
            <w:gridSpan w:val="2"/>
            <w:tcBorders>
              <w:top w:val="single" w:color="auto" w:sz="12" w:space="0"/>
              <w:left w:val="single" w:color="auto" w:sz="12" w:space="0"/>
              <w:bottom w:val="single" w:color="000000" w:sz="6" w:space="0"/>
              <w:right w:val="single" w:color="000000" w:sz="6" w:space="0"/>
            </w:tcBorders>
            <w:noWrap/>
            <w:vAlign w:val="center"/>
          </w:tcPr>
          <w:p w14:paraId="5869FCCB">
            <w:pPr>
              <w:widowControl/>
              <w:adjustRightInd/>
              <w:snapToGrid/>
              <w:spacing w:line="240" w:lineRule="auto"/>
              <w:jc w:val="center"/>
              <w:rPr>
                <w:kern w:val="0"/>
                <w:szCs w:val="21"/>
              </w:rPr>
            </w:pPr>
            <w:r>
              <w:rPr>
                <w:rFonts w:ascii="宋体" w:hAnsi="宋体"/>
                <w:kern w:val="0"/>
                <w:szCs w:val="21"/>
              </w:rPr>
              <w:t>工作内容</w:t>
            </w:r>
          </w:p>
        </w:tc>
        <w:tc>
          <w:tcPr>
            <w:tcW w:w="6208" w:type="dxa"/>
            <w:gridSpan w:val="7"/>
            <w:tcBorders>
              <w:top w:val="single" w:color="auto" w:sz="12" w:space="0"/>
              <w:left w:val="single" w:color="000000" w:sz="6" w:space="0"/>
              <w:bottom w:val="single" w:color="000000" w:sz="6" w:space="0"/>
              <w:right w:val="single" w:color="auto" w:sz="12" w:space="0"/>
            </w:tcBorders>
            <w:noWrap/>
            <w:vAlign w:val="center"/>
          </w:tcPr>
          <w:p w14:paraId="7513E36A">
            <w:pPr>
              <w:widowControl/>
              <w:adjustRightInd/>
              <w:snapToGrid/>
              <w:spacing w:line="240" w:lineRule="auto"/>
              <w:jc w:val="center"/>
              <w:rPr>
                <w:kern w:val="0"/>
                <w:szCs w:val="21"/>
              </w:rPr>
            </w:pPr>
            <w:r>
              <w:rPr>
                <w:rFonts w:ascii="宋体" w:hAnsi="宋体"/>
                <w:kern w:val="0"/>
                <w:szCs w:val="21"/>
              </w:rPr>
              <w:t>自查项目</w:t>
            </w:r>
          </w:p>
        </w:tc>
      </w:tr>
      <w:tr w14:paraId="27A558A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restart"/>
            <w:tcBorders>
              <w:top w:val="single" w:color="000000" w:sz="6" w:space="0"/>
              <w:left w:val="single" w:color="auto" w:sz="12" w:space="0"/>
              <w:bottom w:val="single" w:color="000000" w:sz="6" w:space="0"/>
              <w:right w:val="single" w:color="000000" w:sz="6" w:space="0"/>
            </w:tcBorders>
            <w:noWrap/>
            <w:vAlign w:val="center"/>
          </w:tcPr>
          <w:p w14:paraId="36804BA0">
            <w:pPr>
              <w:widowControl/>
              <w:adjustRightInd/>
              <w:snapToGrid/>
              <w:spacing w:line="240" w:lineRule="auto"/>
              <w:jc w:val="center"/>
              <w:rPr>
                <w:kern w:val="0"/>
                <w:szCs w:val="21"/>
              </w:rPr>
            </w:pPr>
            <w:r>
              <w:rPr>
                <w:rFonts w:ascii="宋体" w:hAnsi="宋体"/>
                <w:kern w:val="0"/>
                <w:szCs w:val="21"/>
              </w:rPr>
              <w:t>评价等级与范围</w:t>
            </w: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72E213C9">
            <w:pPr>
              <w:widowControl/>
              <w:adjustRightInd/>
              <w:snapToGrid/>
              <w:spacing w:line="240" w:lineRule="auto"/>
              <w:jc w:val="center"/>
              <w:rPr>
                <w:kern w:val="0"/>
                <w:szCs w:val="21"/>
              </w:rPr>
            </w:pPr>
            <w:r>
              <w:rPr>
                <w:rFonts w:ascii="宋体" w:hAnsi="宋体"/>
                <w:kern w:val="0"/>
                <w:szCs w:val="21"/>
              </w:rPr>
              <w:t>评价等级</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661DFDFA">
            <w:pPr>
              <w:widowControl/>
              <w:adjustRightInd/>
              <w:snapToGrid/>
              <w:spacing w:line="240" w:lineRule="auto"/>
              <w:jc w:val="center"/>
              <w:rPr>
                <w:kern w:val="0"/>
                <w:szCs w:val="21"/>
              </w:rPr>
            </w:pPr>
            <w:r>
              <w:rPr>
                <w:rFonts w:ascii="宋体" w:hAnsi="宋体"/>
                <w:kern w:val="0"/>
                <w:szCs w:val="21"/>
              </w:rPr>
              <w:t>一级</w:t>
            </w:r>
            <w:r>
              <w:rPr>
                <w:rFonts w:ascii="Wingdings 2" w:hAnsi="Wingdings 2"/>
                <w:kern w:val="0"/>
                <w:szCs w:val="21"/>
              </w:rPr>
              <w:sym w:font="Wingdings 2" w:char="00A3"/>
            </w:r>
            <w:r>
              <w:rPr>
                <w:kern w:val="0"/>
                <w:szCs w:val="21"/>
              </w:rPr>
              <w:t xml:space="preserve">      </w:t>
            </w:r>
            <w:r>
              <w:rPr>
                <w:rFonts w:ascii="宋体" w:hAnsi="宋体"/>
                <w:kern w:val="0"/>
                <w:szCs w:val="21"/>
              </w:rPr>
              <w:t>二级</w:t>
            </w:r>
            <w:r>
              <w:rPr>
                <w:rFonts w:ascii="Wingdings 2" w:hAnsi="Wingdings 2"/>
                <w:kern w:val="0"/>
                <w:szCs w:val="21"/>
              </w:rPr>
              <w:sym w:font="Wingdings 2" w:char="0052"/>
            </w:r>
            <w:r>
              <w:rPr>
                <w:kern w:val="0"/>
                <w:szCs w:val="21"/>
              </w:rPr>
              <w:t xml:space="preserve">     </w:t>
            </w:r>
            <w:r>
              <w:rPr>
                <w:rFonts w:ascii="宋体" w:hAnsi="宋体"/>
                <w:kern w:val="0"/>
                <w:szCs w:val="21"/>
              </w:rPr>
              <w:t>三级</w:t>
            </w:r>
            <w:r>
              <w:rPr>
                <w:rFonts w:ascii="Wingdings 2" w:hAnsi="Wingdings 2"/>
                <w:kern w:val="0"/>
                <w:szCs w:val="21"/>
              </w:rPr>
              <w:t>£</w:t>
            </w:r>
          </w:p>
        </w:tc>
      </w:tr>
      <w:tr w14:paraId="1227AB7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continue"/>
            <w:tcBorders>
              <w:top w:val="single" w:color="000000" w:sz="6" w:space="0"/>
              <w:left w:val="single" w:color="auto" w:sz="12" w:space="0"/>
              <w:bottom w:val="single" w:color="000000" w:sz="6" w:space="0"/>
              <w:right w:val="single" w:color="000000" w:sz="6" w:space="0"/>
            </w:tcBorders>
            <w:vAlign w:val="center"/>
          </w:tcPr>
          <w:p w14:paraId="0D47E487">
            <w:pPr>
              <w:widowControl/>
              <w:adjustRightInd/>
              <w:snapToGrid/>
              <w:spacing w:line="240" w:lineRule="auto"/>
              <w:jc w:val="left"/>
              <w:rPr>
                <w:kern w:val="0"/>
                <w:szCs w:val="21"/>
              </w:rPr>
            </w:pP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1A16D64D">
            <w:pPr>
              <w:widowControl/>
              <w:adjustRightInd/>
              <w:snapToGrid/>
              <w:spacing w:line="240" w:lineRule="auto"/>
              <w:jc w:val="center"/>
              <w:rPr>
                <w:kern w:val="0"/>
                <w:szCs w:val="21"/>
              </w:rPr>
            </w:pPr>
            <w:r>
              <w:rPr>
                <w:rFonts w:ascii="宋体" w:hAnsi="宋体"/>
                <w:kern w:val="0"/>
                <w:szCs w:val="21"/>
              </w:rPr>
              <w:t>评价范围</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792817D8">
            <w:pPr>
              <w:widowControl/>
              <w:adjustRightInd/>
              <w:snapToGrid/>
              <w:spacing w:line="240" w:lineRule="auto"/>
              <w:jc w:val="center"/>
              <w:rPr>
                <w:kern w:val="0"/>
                <w:szCs w:val="21"/>
              </w:rPr>
            </w:pPr>
            <w:r>
              <w:rPr>
                <w:kern w:val="0"/>
                <w:szCs w:val="21"/>
              </w:rPr>
              <w:t xml:space="preserve">200m </w:t>
            </w:r>
            <w:r>
              <w:rPr>
                <w:rFonts w:ascii="Wingdings 2" w:hAnsi="Wingdings 2"/>
                <w:kern w:val="0"/>
                <w:szCs w:val="21"/>
              </w:rPr>
              <w:sym w:font="Wingdings 2" w:char="0052"/>
            </w:r>
            <w:r>
              <w:rPr>
                <w:kern w:val="0"/>
                <w:szCs w:val="21"/>
              </w:rPr>
              <w:t xml:space="preserve">     &gt;200m</w:t>
            </w:r>
            <w:r>
              <w:rPr>
                <w:rFonts w:ascii="Wingdings 2" w:hAnsi="Wingdings 2"/>
                <w:kern w:val="0"/>
                <w:szCs w:val="21"/>
              </w:rPr>
              <w:sym w:font="Wingdings 2" w:char="00A3"/>
            </w:r>
            <w:r>
              <w:rPr>
                <w:kern w:val="0"/>
                <w:szCs w:val="21"/>
              </w:rPr>
              <w:t xml:space="preserve">     &lt;200m</w:t>
            </w:r>
            <w:r>
              <w:rPr>
                <w:rFonts w:ascii="Wingdings 2" w:hAnsi="Wingdings 2"/>
                <w:kern w:val="0"/>
                <w:szCs w:val="21"/>
              </w:rPr>
              <w:t>£</w:t>
            </w:r>
          </w:p>
        </w:tc>
      </w:tr>
      <w:tr w14:paraId="31E3904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tcBorders>
              <w:top w:val="single" w:color="000000" w:sz="6" w:space="0"/>
              <w:left w:val="single" w:color="auto" w:sz="12" w:space="0"/>
              <w:bottom w:val="single" w:color="000000" w:sz="6" w:space="0"/>
              <w:right w:val="single" w:color="000000" w:sz="6" w:space="0"/>
            </w:tcBorders>
            <w:noWrap/>
            <w:vAlign w:val="center"/>
          </w:tcPr>
          <w:p w14:paraId="16E8A5CE">
            <w:pPr>
              <w:widowControl/>
              <w:adjustRightInd/>
              <w:snapToGrid/>
              <w:spacing w:line="240" w:lineRule="auto"/>
              <w:jc w:val="center"/>
              <w:rPr>
                <w:kern w:val="0"/>
                <w:szCs w:val="21"/>
              </w:rPr>
            </w:pPr>
            <w:r>
              <w:rPr>
                <w:rFonts w:ascii="宋体" w:hAnsi="宋体"/>
                <w:kern w:val="0"/>
                <w:szCs w:val="21"/>
              </w:rPr>
              <w:t>评价因子</w:t>
            </w: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762D9990">
            <w:pPr>
              <w:widowControl/>
              <w:adjustRightInd/>
              <w:snapToGrid/>
              <w:spacing w:line="240" w:lineRule="auto"/>
              <w:jc w:val="center"/>
              <w:rPr>
                <w:kern w:val="0"/>
                <w:szCs w:val="21"/>
              </w:rPr>
            </w:pPr>
            <w:r>
              <w:rPr>
                <w:rFonts w:ascii="宋体" w:hAnsi="宋体"/>
                <w:kern w:val="0"/>
                <w:szCs w:val="21"/>
              </w:rPr>
              <w:t>评价因子</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4E691F53">
            <w:pPr>
              <w:widowControl/>
              <w:adjustRightInd/>
              <w:snapToGrid/>
              <w:spacing w:line="240" w:lineRule="auto"/>
              <w:jc w:val="center"/>
              <w:rPr>
                <w:kern w:val="0"/>
                <w:szCs w:val="21"/>
              </w:rPr>
            </w:pPr>
            <w:r>
              <w:rPr>
                <w:rFonts w:ascii="宋体" w:hAnsi="宋体"/>
                <w:kern w:val="0"/>
                <w:szCs w:val="21"/>
              </w:rPr>
              <w:t>等效连续</w:t>
            </w:r>
            <w:r>
              <w:rPr>
                <w:kern w:val="0"/>
                <w:szCs w:val="21"/>
              </w:rPr>
              <w:t>A</w:t>
            </w:r>
            <w:r>
              <w:rPr>
                <w:rFonts w:ascii="宋体" w:hAnsi="宋体"/>
                <w:kern w:val="0"/>
                <w:szCs w:val="21"/>
              </w:rPr>
              <w:t>声级</w:t>
            </w:r>
            <w:r>
              <w:rPr>
                <w:rFonts w:ascii="Wingdings 2" w:hAnsi="Wingdings 2"/>
                <w:kern w:val="0"/>
                <w:szCs w:val="21"/>
              </w:rPr>
              <w:t>R</w:t>
            </w:r>
            <w:r>
              <w:rPr>
                <w:kern w:val="0"/>
                <w:szCs w:val="21"/>
              </w:rPr>
              <w:t xml:space="preserve">   </w:t>
            </w:r>
            <w:r>
              <w:rPr>
                <w:rFonts w:ascii="宋体" w:hAnsi="宋体"/>
                <w:kern w:val="0"/>
                <w:szCs w:val="21"/>
              </w:rPr>
              <w:t>最大</w:t>
            </w:r>
            <w:r>
              <w:rPr>
                <w:kern w:val="0"/>
                <w:szCs w:val="21"/>
              </w:rPr>
              <w:t>A</w:t>
            </w:r>
            <w:r>
              <w:rPr>
                <w:rFonts w:ascii="宋体" w:hAnsi="宋体"/>
                <w:kern w:val="0"/>
                <w:szCs w:val="21"/>
              </w:rPr>
              <w:t>声级</w:t>
            </w:r>
            <w:r>
              <w:rPr>
                <w:rFonts w:ascii="Wingdings 2" w:hAnsi="Wingdings 2"/>
                <w:kern w:val="0"/>
                <w:szCs w:val="21"/>
              </w:rPr>
              <w:t>£</w:t>
            </w:r>
            <w:r>
              <w:rPr>
                <w:kern w:val="0"/>
                <w:szCs w:val="21"/>
              </w:rPr>
              <w:t xml:space="preserve">   </w:t>
            </w:r>
            <w:r>
              <w:rPr>
                <w:rFonts w:ascii="宋体" w:hAnsi="宋体"/>
                <w:kern w:val="0"/>
                <w:szCs w:val="21"/>
              </w:rPr>
              <w:t>计权等效连续感觉噪声级</w:t>
            </w:r>
            <w:r>
              <w:rPr>
                <w:rFonts w:ascii="Wingdings 2" w:hAnsi="Wingdings 2"/>
                <w:kern w:val="0"/>
                <w:szCs w:val="21"/>
              </w:rPr>
              <w:t>£</w:t>
            </w:r>
          </w:p>
        </w:tc>
      </w:tr>
      <w:tr w14:paraId="7B39B74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tcBorders>
              <w:top w:val="single" w:color="000000" w:sz="6" w:space="0"/>
              <w:left w:val="single" w:color="auto" w:sz="12" w:space="0"/>
              <w:bottom w:val="single" w:color="000000" w:sz="6" w:space="0"/>
              <w:right w:val="single" w:color="000000" w:sz="6" w:space="0"/>
            </w:tcBorders>
            <w:noWrap/>
            <w:vAlign w:val="center"/>
          </w:tcPr>
          <w:p w14:paraId="02233842">
            <w:pPr>
              <w:widowControl/>
              <w:adjustRightInd/>
              <w:snapToGrid/>
              <w:spacing w:line="240" w:lineRule="auto"/>
              <w:jc w:val="center"/>
              <w:rPr>
                <w:kern w:val="0"/>
                <w:szCs w:val="21"/>
              </w:rPr>
            </w:pPr>
            <w:r>
              <w:rPr>
                <w:rFonts w:ascii="宋体" w:hAnsi="宋体"/>
                <w:kern w:val="0"/>
                <w:szCs w:val="21"/>
              </w:rPr>
              <w:t>评价标准</w:t>
            </w: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1C31F97F">
            <w:pPr>
              <w:widowControl/>
              <w:adjustRightInd/>
              <w:snapToGrid/>
              <w:spacing w:line="240" w:lineRule="auto"/>
              <w:jc w:val="center"/>
              <w:rPr>
                <w:kern w:val="0"/>
                <w:szCs w:val="21"/>
              </w:rPr>
            </w:pPr>
            <w:r>
              <w:rPr>
                <w:rFonts w:ascii="宋体" w:hAnsi="宋体"/>
                <w:kern w:val="0"/>
                <w:szCs w:val="21"/>
              </w:rPr>
              <w:t>评价标准</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443D357C">
            <w:pPr>
              <w:widowControl/>
              <w:adjustRightInd/>
              <w:snapToGrid/>
              <w:spacing w:line="240" w:lineRule="auto"/>
              <w:jc w:val="center"/>
              <w:rPr>
                <w:kern w:val="0"/>
                <w:szCs w:val="21"/>
              </w:rPr>
            </w:pPr>
            <w:r>
              <w:rPr>
                <w:rFonts w:ascii="宋体" w:hAnsi="宋体"/>
                <w:kern w:val="0"/>
                <w:szCs w:val="21"/>
              </w:rPr>
              <w:t>国家标准</w:t>
            </w:r>
            <w:r>
              <w:rPr>
                <w:kern w:val="0"/>
                <w:szCs w:val="21"/>
              </w:rPr>
              <w:t xml:space="preserve"> </w:t>
            </w:r>
            <w:r>
              <w:rPr>
                <w:rFonts w:ascii="Wingdings 2" w:hAnsi="Wingdings 2"/>
                <w:kern w:val="0"/>
                <w:szCs w:val="21"/>
              </w:rPr>
              <w:t>R</w:t>
            </w:r>
            <w:r>
              <w:rPr>
                <w:kern w:val="0"/>
                <w:szCs w:val="21"/>
              </w:rPr>
              <w:t xml:space="preserve">     </w:t>
            </w:r>
            <w:r>
              <w:rPr>
                <w:rFonts w:ascii="宋体" w:hAnsi="宋体"/>
                <w:kern w:val="0"/>
                <w:szCs w:val="21"/>
              </w:rPr>
              <w:t>地方标准</w:t>
            </w:r>
            <w:r>
              <w:rPr>
                <w:kern w:val="0"/>
                <w:szCs w:val="21"/>
              </w:rPr>
              <w:t xml:space="preserve"> </w:t>
            </w:r>
            <w:r>
              <w:rPr>
                <w:rFonts w:ascii="Wingdings 2" w:hAnsi="Wingdings 2"/>
                <w:kern w:val="0"/>
                <w:szCs w:val="21"/>
              </w:rPr>
              <w:t>£</w:t>
            </w:r>
            <w:r>
              <w:rPr>
                <w:kern w:val="0"/>
                <w:szCs w:val="21"/>
              </w:rPr>
              <w:t xml:space="preserve">     </w:t>
            </w:r>
            <w:r>
              <w:rPr>
                <w:rFonts w:ascii="宋体" w:hAnsi="宋体"/>
                <w:kern w:val="0"/>
                <w:szCs w:val="21"/>
              </w:rPr>
              <w:t>国外标准</w:t>
            </w:r>
            <w:r>
              <w:rPr>
                <w:rFonts w:ascii="Wingdings 2" w:hAnsi="Wingdings 2"/>
                <w:kern w:val="0"/>
                <w:szCs w:val="21"/>
              </w:rPr>
              <w:t>£</w:t>
            </w:r>
          </w:p>
        </w:tc>
      </w:tr>
      <w:tr w14:paraId="788A2B7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restart"/>
            <w:tcBorders>
              <w:top w:val="single" w:color="000000" w:sz="6" w:space="0"/>
              <w:left w:val="single" w:color="auto" w:sz="12" w:space="0"/>
              <w:bottom w:val="single" w:color="000000" w:sz="6" w:space="0"/>
              <w:right w:val="single" w:color="000000" w:sz="6" w:space="0"/>
            </w:tcBorders>
            <w:noWrap/>
            <w:vAlign w:val="center"/>
          </w:tcPr>
          <w:p w14:paraId="7039FC55">
            <w:pPr>
              <w:widowControl/>
              <w:adjustRightInd/>
              <w:snapToGrid/>
              <w:spacing w:line="240" w:lineRule="auto"/>
              <w:jc w:val="center"/>
              <w:rPr>
                <w:kern w:val="0"/>
                <w:szCs w:val="21"/>
              </w:rPr>
            </w:pPr>
            <w:r>
              <w:rPr>
                <w:rFonts w:ascii="宋体" w:hAnsi="宋体"/>
                <w:kern w:val="0"/>
                <w:szCs w:val="21"/>
              </w:rPr>
              <w:t>现状评价</w:t>
            </w: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7B92305A">
            <w:pPr>
              <w:widowControl/>
              <w:adjustRightInd/>
              <w:snapToGrid/>
              <w:spacing w:line="240" w:lineRule="auto"/>
              <w:jc w:val="center"/>
              <w:rPr>
                <w:kern w:val="0"/>
                <w:szCs w:val="21"/>
              </w:rPr>
            </w:pPr>
            <w:r>
              <w:rPr>
                <w:rFonts w:ascii="宋体" w:hAnsi="宋体"/>
                <w:kern w:val="0"/>
                <w:szCs w:val="21"/>
              </w:rPr>
              <w:t>环境功能区</w:t>
            </w:r>
          </w:p>
        </w:tc>
        <w:tc>
          <w:tcPr>
            <w:tcW w:w="1184" w:type="dxa"/>
            <w:tcBorders>
              <w:top w:val="single" w:color="000000" w:sz="6" w:space="0"/>
              <w:left w:val="single" w:color="000000" w:sz="6" w:space="0"/>
              <w:bottom w:val="single" w:color="000000" w:sz="6" w:space="0"/>
              <w:right w:val="single" w:color="000000" w:sz="6" w:space="0"/>
            </w:tcBorders>
            <w:noWrap/>
            <w:vAlign w:val="center"/>
          </w:tcPr>
          <w:p w14:paraId="3255E70E">
            <w:pPr>
              <w:widowControl/>
              <w:adjustRightInd/>
              <w:snapToGrid/>
              <w:spacing w:line="240" w:lineRule="auto"/>
              <w:jc w:val="center"/>
              <w:rPr>
                <w:kern w:val="0"/>
                <w:szCs w:val="21"/>
              </w:rPr>
            </w:pPr>
            <w:r>
              <w:rPr>
                <w:kern w:val="0"/>
                <w:szCs w:val="21"/>
              </w:rPr>
              <w:t>0</w:t>
            </w:r>
            <w:r>
              <w:rPr>
                <w:rFonts w:ascii="宋体" w:hAnsi="宋体"/>
                <w:kern w:val="0"/>
                <w:szCs w:val="21"/>
              </w:rPr>
              <w:t>类区</w:t>
            </w:r>
            <w:r>
              <w:rPr>
                <w:rFonts w:ascii="Wingdings 2" w:hAnsi="Wingdings 2"/>
                <w:kern w:val="0"/>
                <w:szCs w:val="21"/>
              </w:rPr>
              <w:t>£</w:t>
            </w:r>
          </w:p>
        </w:tc>
        <w:tc>
          <w:tcPr>
            <w:tcW w:w="985" w:type="dxa"/>
            <w:tcBorders>
              <w:top w:val="single" w:color="000000" w:sz="6" w:space="0"/>
              <w:left w:val="single" w:color="000000" w:sz="6" w:space="0"/>
              <w:bottom w:val="single" w:color="000000" w:sz="6" w:space="0"/>
              <w:right w:val="single" w:color="000000" w:sz="6" w:space="0"/>
            </w:tcBorders>
            <w:noWrap/>
            <w:vAlign w:val="center"/>
          </w:tcPr>
          <w:p w14:paraId="248DCF64">
            <w:pPr>
              <w:widowControl/>
              <w:adjustRightInd/>
              <w:snapToGrid/>
              <w:spacing w:line="240" w:lineRule="auto"/>
              <w:jc w:val="center"/>
              <w:rPr>
                <w:kern w:val="0"/>
                <w:szCs w:val="21"/>
              </w:rPr>
            </w:pPr>
            <w:r>
              <w:rPr>
                <w:kern w:val="0"/>
                <w:szCs w:val="21"/>
              </w:rPr>
              <w:t>1</w:t>
            </w:r>
            <w:r>
              <w:rPr>
                <w:rFonts w:ascii="宋体" w:hAnsi="宋体"/>
                <w:kern w:val="0"/>
                <w:szCs w:val="21"/>
              </w:rPr>
              <w:t>类区</w:t>
            </w:r>
            <w:r>
              <w:rPr>
                <w:rFonts w:ascii="Wingdings 2" w:hAnsi="Wingdings 2"/>
                <w:kern w:val="0"/>
                <w:szCs w:val="21"/>
              </w:rPr>
              <w:sym w:font="Wingdings 2" w:char="00A3"/>
            </w:r>
          </w:p>
        </w:tc>
        <w:tc>
          <w:tcPr>
            <w:tcW w:w="992" w:type="dxa"/>
            <w:tcBorders>
              <w:top w:val="single" w:color="000000" w:sz="6" w:space="0"/>
              <w:left w:val="single" w:color="000000" w:sz="6" w:space="0"/>
              <w:bottom w:val="single" w:color="000000" w:sz="6" w:space="0"/>
              <w:right w:val="single" w:color="000000" w:sz="6" w:space="0"/>
            </w:tcBorders>
            <w:noWrap/>
            <w:vAlign w:val="center"/>
          </w:tcPr>
          <w:p w14:paraId="6F59F7DB">
            <w:pPr>
              <w:widowControl/>
              <w:adjustRightInd/>
              <w:snapToGrid/>
              <w:spacing w:line="240" w:lineRule="auto"/>
              <w:jc w:val="center"/>
              <w:rPr>
                <w:kern w:val="0"/>
                <w:szCs w:val="21"/>
              </w:rPr>
            </w:pPr>
            <w:r>
              <w:rPr>
                <w:kern w:val="0"/>
                <w:szCs w:val="21"/>
              </w:rPr>
              <w:t>2</w:t>
            </w:r>
            <w:r>
              <w:rPr>
                <w:rFonts w:ascii="宋体" w:hAnsi="宋体"/>
                <w:kern w:val="0"/>
                <w:szCs w:val="21"/>
              </w:rPr>
              <w:t>类区</w:t>
            </w:r>
            <w:r>
              <w:rPr>
                <w:rFonts w:ascii="Wingdings 2" w:hAnsi="Wingdings 2"/>
                <w:kern w:val="0"/>
                <w:szCs w:val="21"/>
              </w:rPr>
              <w:t>R</w:t>
            </w:r>
          </w:p>
        </w:tc>
        <w:tc>
          <w:tcPr>
            <w:tcW w:w="978" w:type="dxa"/>
            <w:tcBorders>
              <w:top w:val="single" w:color="000000" w:sz="6" w:space="0"/>
              <w:left w:val="single" w:color="000000" w:sz="6" w:space="0"/>
              <w:bottom w:val="single" w:color="000000" w:sz="6" w:space="0"/>
              <w:right w:val="single" w:color="000000" w:sz="6" w:space="0"/>
            </w:tcBorders>
            <w:noWrap/>
            <w:vAlign w:val="center"/>
          </w:tcPr>
          <w:p w14:paraId="6986862A">
            <w:pPr>
              <w:widowControl/>
              <w:adjustRightInd/>
              <w:snapToGrid/>
              <w:spacing w:line="240" w:lineRule="auto"/>
              <w:jc w:val="center"/>
              <w:rPr>
                <w:kern w:val="0"/>
                <w:szCs w:val="21"/>
              </w:rPr>
            </w:pPr>
            <w:r>
              <w:rPr>
                <w:kern w:val="0"/>
                <w:szCs w:val="21"/>
              </w:rPr>
              <w:t>3</w:t>
            </w:r>
            <w:r>
              <w:rPr>
                <w:rFonts w:ascii="宋体" w:hAnsi="宋体"/>
                <w:kern w:val="0"/>
                <w:szCs w:val="21"/>
              </w:rPr>
              <w:t>类区</w:t>
            </w:r>
            <w:r>
              <w:rPr>
                <w:rFonts w:ascii="Wingdings 2" w:hAnsi="Wingdings 2"/>
                <w:kern w:val="0"/>
                <w:szCs w:val="21"/>
              </w:rPr>
              <w:t>£</w:t>
            </w:r>
          </w:p>
        </w:tc>
        <w:tc>
          <w:tcPr>
            <w:tcW w:w="1126" w:type="dxa"/>
            <w:gridSpan w:val="2"/>
            <w:tcBorders>
              <w:top w:val="single" w:color="000000" w:sz="6" w:space="0"/>
              <w:left w:val="single" w:color="000000" w:sz="6" w:space="0"/>
              <w:bottom w:val="single" w:color="000000" w:sz="6" w:space="0"/>
              <w:right w:val="single" w:color="000000" w:sz="4" w:space="0"/>
            </w:tcBorders>
            <w:noWrap/>
            <w:vAlign w:val="center"/>
          </w:tcPr>
          <w:p w14:paraId="68D5F1F7">
            <w:pPr>
              <w:widowControl/>
              <w:adjustRightInd/>
              <w:snapToGrid/>
              <w:spacing w:line="240" w:lineRule="auto"/>
              <w:jc w:val="center"/>
              <w:rPr>
                <w:kern w:val="0"/>
                <w:szCs w:val="21"/>
              </w:rPr>
            </w:pPr>
            <w:r>
              <w:rPr>
                <w:kern w:val="0"/>
                <w:szCs w:val="21"/>
              </w:rPr>
              <w:t>4a</w:t>
            </w:r>
            <w:r>
              <w:rPr>
                <w:rFonts w:ascii="宋体" w:hAnsi="宋体"/>
                <w:kern w:val="0"/>
                <w:szCs w:val="21"/>
              </w:rPr>
              <w:t>类区</w:t>
            </w:r>
            <w:r>
              <w:rPr>
                <w:rFonts w:ascii="Wingdings 2" w:hAnsi="Wingdings 2"/>
                <w:kern w:val="0"/>
                <w:szCs w:val="21"/>
              </w:rPr>
              <w:t>R</w:t>
            </w:r>
            <w:r>
              <w:rPr>
                <w:kern w:val="0"/>
                <w:szCs w:val="21"/>
              </w:rPr>
              <w:t xml:space="preserve"> </w:t>
            </w:r>
          </w:p>
        </w:tc>
        <w:tc>
          <w:tcPr>
            <w:tcW w:w="943" w:type="dxa"/>
            <w:tcBorders>
              <w:top w:val="single" w:color="000000" w:sz="6" w:space="0"/>
              <w:left w:val="nil"/>
              <w:bottom w:val="single" w:color="000000" w:sz="6" w:space="0"/>
              <w:right w:val="single" w:color="auto" w:sz="12" w:space="0"/>
            </w:tcBorders>
            <w:vAlign w:val="center"/>
          </w:tcPr>
          <w:p w14:paraId="72B08278">
            <w:pPr>
              <w:widowControl/>
              <w:adjustRightInd/>
              <w:snapToGrid/>
              <w:spacing w:line="240" w:lineRule="auto"/>
              <w:jc w:val="center"/>
              <w:rPr>
                <w:kern w:val="0"/>
                <w:szCs w:val="21"/>
              </w:rPr>
            </w:pPr>
            <w:r>
              <w:rPr>
                <w:kern w:val="0"/>
                <w:szCs w:val="21"/>
              </w:rPr>
              <w:t>4b</w:t>
            </w:r>
            <w:r>
              <w:rPr>
                <w:rFonts w:ascii="宋体" w:hAnsi="宋体"/>
                <w:kern w:val="0"/>
                <w:szCs w:val="21"/>
              </w:rPr>
              <w:t>类区</w:t>
            </w:r>
            <w:r>
              <w:rPr>
                <w:rFonts w:ascii="Wingdings 2" w:hAnsi="Wingdings 2"/>
                <w:kern w:val="0"/>
                <w:szCs w:val="21"/>
              </w:rPr>
              <w:t>£</w:t>
            </w:r>
          </w:p>
        </w:tc>
      </w:tr>
      <w:tr w14:paraId="432DEF6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continue"/>
            <w:tcBorders>
              <w:top w:val="single" w:color="000000" w:sz="6" w:space="0"/>
              <w:left w:val="single" w:color="auto" w:sz="12" w:space="0"/>
              <w:bottom w:val="single" w:color="000000" w:sz="6" w:space="0"/>
              <w:right w:val="single" w:color="000000" w:sz="6" w:space="0"/>
            </w:tcBorders>
            <w:vAlign w:val="center"/>
          </w:tcPr>
          <w:p w14:paraId="67B1F6B3">
            <w:pPr>
              <w:widowControl/>
              <w:adjustRightInd/>
              <w:snapToGrid/>
              <w:spacing w:line="240" w:lineRule="auto"/>
              <w:jc w:val="left"/>
              <w:rPr>
                <w:kern w:val="0"/>
                <w:szCs w:val="21"/>
              </w:rPr>
            </w:pP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31523115">
            <w:pPr>
              <w:widowControl/>
              <w:adjustRightInd/>
              <w:snapToGrid/>
              <w:spacing w:line="240" w:lineRule="auto"/>
              <w:jc w:val="center"/>
              <w:rPr>
                <w:kern w:val="0"/>
                <w:szCs w:val="21"/>
              </w:rPr>
            </w:pPr>
            <w:r>
              <w:rPr>
                <w:rFonts w:ascii="宋体" w:hAnsi="宋体"/>
                <w:kern w:val="0"/>
                <w:szCs w:val="21"/>
              </w:rPr>
              <w:t>评价年度</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3931B65D">
            <w:pPr>
              <w:widowControl/>
              <w:adjustRightInd/>
              <w:snapToGrid/>
              <w:spacing w:line="240" w:lineRule="auto"/>
              <w:jc w:val="center"/>
              <w:rPr>
                <w:kern w:val="0"/>
                <w:szCs w:val="21"/>
              </w:rPr>
            </w:pPr>
            <w:r>
              <w:rPr>
                <w:rFonts w:ascii="宋体" w:hAnsi="宋体"/>
                <w:kern w:val="0"/>
                <w:szCs w:val="21"/>
              </w:rPr>
              <w:t>初期</w:t>
            </w:r>
            <w:r>
              <w:rPr>
                <w:kern w:val="0"/>
                <w:szCs w:val="21"/>
              </w:rPr>
              <w:t xml:space="preserve"> </w:t>
            </w:r>
            <w:r>
              <w:rPr>
                <w:rFonts w:ascii="Wingdings 2" w:hAnsi="Wingdings 2"/>
                <w:kern w:val="0"/>
                <w:szCs w:val="21"/>
              </w:rPr>
              <w:t>£</w:t>
            </w:r>
            <w:r>
              <w:rPr>
                <w:kern w:val="0"/>
                <w:szCs w:val="21"/>
              </w:rPr>
              <w:t xml:space="preserve">   </w:t>
            </w:r>
            <w:r>
              <w:rPr>
                <w:rFonts w:ascii="宋体" w:hAnsi="宋体"/>
                <w:kern w:val="0"/>
                <w:szCs w:val="21"/>
              </w:rPr>
              <w:t>近期</w:t>
            </w:r>
            <w:r>
              <w:rPr>
                <w:kern w:val="0"/>
                <w:szCs w:val="21"/>
              </w:rPr>
              <w:t xml:space="preserve"> </w:t>
            </w:r>
            <w:r>
              <w:rPr>
                <w:rFonts w:ascii="Wingdings 2" w:hAnsi="Wingdings 2"/>
                <w:kern w:val="0"/>
                <w:szCs w:val="21"/>
              </w:rPr>
              <w:t>R</w:t>
            </w:r>
            <w:r>
              <w:rPr>
                <w:kern w:val="0"/>
                <w:szCs w:val="21"/>
              </w:rPr>
              <w:t xml:space="preserve">   </w:t>
            </w:r>
            <w:r>
              <w:rPr>
                <w:rFonts w:ascii="宋体" w:hAnsi="宋体"/>
                <w:kern w:val="0"/>
                <w:szCs w:val="21"/>
              </w:rPr>
              <w:t>中期</w:t>
            </w:r>
            <w:r>
              <w:rPr>
                <w:rFonts w:ascii="Wingdings 2" w:hAnsi="Wingdings 2"/>
                <w:kern w:val="0"/>
                <w:szCs w:val="21"/>
              </w:rPr>
              <w:t>R</w:t>
            </w:r>
            <w:r>
              <w:rPr>
                <w:kern w:val="0"/>
                <w:szCs w:val="21"/>
              </w:rPr>
              <w:t xml:space="preserve">    </w:t>
            </w:r>
            <w:r>
              <w:rPr>
                <w:rFonts w:ascii="宋体" w:hAnsi="宋体"/>
                <w:kern w:val="0"/>
                <w:szCs w:val="21"/>
              </w:rPr>
              <w:t>远期</w:t>
            </w:r>
            <w:r>
              <w:rPr>
                <w:rFonts w:ascii="Wingdings 2" w:hAnsi="Wingdings 2"/>
                <w:kern w:val="0"/>
                <w:szCs w:val="21"/>
              </w:rPr>
              <w:t>R</w:t>
            </w:r>
          </w:p>
        </w:tc>
      </w:tr>
      <w:tr w14:paraId="665746B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continue"/>
            <w:tcBorders>
              <w:top w:val="single" w:color="000000" w:sz="6" w:space="0"/>
              <w:left w:val="single" w:color="auto" w:sz="12" w:space="0"/>
              <w:bottom w:val="single" w:color="000000" w:sz="6" w:space="0"/>
              <w:right w:val="single" w:color="000000" w:sz="6" w:space="0"/>
            </w:tcBorders>
            <w:vAlign w:val="center"/>
          </w:tcPr>
          <w:p w14:paraId="5446A959">
            <w:pPr>
              <w:widowControl/>
              <w:adjustRightInd/>
              <w:snapToGrid/>
              <w:spacing w:line="240" w:lineRule="auto"/>
              <w:jc w:val="left"/>
              <w:rPr>
                <w:kern w:val="0"/>
                <w:szCs w:val="21"/>
              </w:rPr>
            </w:pP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35DB8E21">
            <w:pPr>
              <w:widowControl/>
              <w:adjustRightInd/>
              <w:snapToGrid/>
              <w:spacing w:line="240" w:lineRule="auto"/>
              <w:jc w:val="center"/>
              <w:rPr>
                <w:kern w:val="0"/>
                <w:szCs w:val="21"/>
              </w:rPr>
            </w:pPr>
            <w:r>
              <w:rPr>
                <w:rFonts w:ascii="宋体" w:hAnsi="宋体"/>
                <w:kern w:val="0"/>
                <w:szCs w:val="21"/>
              </w:rPr>
              <w:t>现状调查</w:t>
            </w:r>
            <w:r>
              <w:rPr>
                <w:kern w:val="0"/>
                <w:szCs w:val="21"/>
              </w:rPr>
              <w:br w:type="textWrapping"/>
            </w:r>
            <w:r>
              <w:rPr>
                <w:rFonts w:ascii="宋体" w:hAnsi="宋体"/>
                <w:kern w:val="0"/>
                <w:szCs w:val="21"/>
              </w:rPr>
              <w:t>方法</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42E856D0">
            <w:pPr>
              <w:widowControl/>
              <w:adjustRightInd/>
              <w:snapToGrid/>
              <w:spacing w:line="240" w:lineRule="auto"/>
              <w:jc w:val="center"/>
              <w:rPr>
                <w:kern w:val="0"/>
                <w:szCs w:val="21"/>
              </w:rPr>
            </w:pPr>
            <w:r>
              <w:rPr>
                <w:rFonts w:ascii="宋体" w:hAnsi="宋体"/>
                <w:kern w:val="0"/>
                <w:szCs w:val="21"/>
              </w:rPr>
              <w:t>现场实测法</w:t>
            </w:r>
            <w:r>
              <w:rPr>
                <w:rFonts w:ascii="Wingdings 2" w:hAnsi="Wingdings 2"/>
                <w:kern w:val="0"/>
                <w:szCs w:val="21"/>
              </w:rPr>
              <w:t>R</w:t>
            </w:r>
            <w:r>
              <w:rPr>
                <w:kern w:val="0"/>
                <w:szCs w:val="21"/>
              </w:rPr>
              <w:t xml:space="preserve">     </w:t>
            </w:r>
            <w:r>
              <w:rPr>
                <w:rFonts w:ascii="宋体" w:hAnsi="宋体"/>
                <w:kern w:val="0"/>
                <w:szCs w:val="21"/>
              </w:rPr>
              <w:t>现场实测加模型计算法</w:t>
            </w:r>
            <w:r>
              <w:rPr>
                <w:rFonts w:ascii="Wingdings 2" w:hAnsi="Wingdings 2"/>
                <w:kern w:val="0"/>
                <w:szCs w:val="21"/>
              </w:rPr>
              <w:sym w:font="Wingdings 2" w:char="0052"/>
            </w:r>
            <w:r>
              <w:rPr>
                <w:kern w:val="0"/>
                <w:szCs w:val="21"/>
              </w:rPr>
              <w:t xml:space="preserve">   </w:t>
            </w:r>
            <w:r>
              <w:rPr>
                <w:rFonts w:ascii="宋体" w:hAnsi="宋体"/>
                <w:kern w:val="0"/>
                <w:szCs w:val="21"/>
              </w:rPr>
              <w:t>收集资料</w:t>
            </w:r>
            <w:r>
              <w:rPr>
                <w:rFonts w:ascii="Wingdings 2" w:hAnsi="Wingdings 2"/>
                <w:kern w:val="0"/>
                <w:szCs w:val="21"/>
              </w:rPr>
              <w:t>£</w:t>
            </w:r>
          </w:p>
        </w:tc>
      </w:tr>
      <w:tr w14:paraId="1A3A7F5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continue"/>
            <w:tcBorders>
              <w:top w:val="single" w:color="000000" w:sz="6" w:space="0"/>
              <w:left w:val="single" w:color="auto" w:sz="12" w:space="0"/>
              <w:bottom w:val="single" w:color="000000" w:sz="6" w:space="0"/>
              <w:right w:val="single" w:color="000000" w:sz="6" w:space="0"/>
            </w:tcBorders>
            <w:vAlign w:val="center"/>
          </w:tcPr>
          <w:p w14:paraId="3D401266">
            <w:pPr>
              <w:widowControl/>
              <w:adjustRightInd/>
              <w:snapToGrid/>
              <w:spacing w:line="240" w:lineRule="auto"/>
              <w:jc w:val="left"/>
              <w:rPr>
                <w:kern w:val="0"/>
                <w:szCs w:val="21"/>
              </w:rPr>
            </w:pP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5E0EB6EF">
            <w:pPr>
              <w:widowControl/>
              <w:adjustRightInd/>
              <w:snapToGrid/>
              <w:spacing w:line="240" w:lineRule="auto"/>
              <w:jc w:val="center"/>
              <w:rPr>
                <w:kern w:val="0"/>
                <w:szCs w:val="21"/>
              </w:rPr>
            </w:pPr>
            <w:r>
              <w:rPr>
                <w:rFonts w:ascii="宋体" w:hAnsi="宋体"/>
                <w:kern w:val="0"/>
                <w:szCs w:val="21"/>
              </w:rPr>
              <w:t>现状评价</w:t>
            </w:r>
          </w:p>
        </w:tc>
        <w:tc>
          <w:tcPr>
            <w:tcW w:w="2169" w:type="dxa"/>
            <w:gridSpan w:val="2"/>
            <w:tcBorders>
              <w:top w:val="single" w:color="000000" w:sz="6" w:space="0"/>
              <w:left w:val="single" w:color="000000" w:sz="6" w:space="0"/>
              <w:bottom w:val="single" w:color="000000" w:sz="6" w:space="0"/>
              <w:right w:val="single" w:color="000000" w:sz="6" w:space="0"/>
            </w:tcBorders>
            <w:noWrap/>
            <w:vAlign w:val="center"/>
          </w:tcPr>
          <w:p w14:paraId="758CCD88">
            <w:pPr>
              <w:widowControl/>
              <w:adjustRightInd/>
              <w:snapToGrid/>
              <w:spacing w:line="240" w:lineRule="auto"/>
              <w:jc w:val="center"/>
              <w:rPr>
                <w:kern w:val="0"/>
                <w:szCs w:val="21"/>
              </w:rPr>
            </w:pPr>
            <w:r>
              <w:rPr>
                <w:rFonts w:ascii="宋体" w:hAnsi="宋体"/>
                <w:kern w:val="0"/>
                <w:szCs w:val="21"/>
              </w:rPr>
              <w:t>达标百分比</w:t>
            </w:r>
          </w:p>
        </w:tc>
        <w:tc>
          <w:tcPr>
            <w:tcW w:w="4039" w:type="dxa"/>
            <w:gridSpan w:val="5"/>
            <w:tcBorders>
              <w:top w:val="single" w:color="000000" w:sz="6" w:space="0"/>
              <w:left w:val="single" w:color="000000" w:sz="6" w:space="0"/>
              <w:bottom w:val="single" w:color="000000" w:sz="6" w:space="0"/>
              <w:right w:val="single" w:color="auto" w:sz="12" w:space="0"/>
            </w:tcBorders>
            <w:noWrap/>
            <w:vAlign w:val="center"/>
          </w:tcPr>
          <w:p w14:paraId="35B5CB06">
            <w:pPr>
              <w:widowControl/>
              <w:adjustRightInd/>
              <w:snapToGrid/>
              <w:spacing w:line="240" w:lineRule="auto"/>
              <w:jc w:val="center"/>
              <w:rPr>
                <w:kern w:val="0"/>
                <w:szCs w:val="21"/>
              </w:rPr>
            </w:pPr>
            <w:r>
              <w:rPr>
                <w:rFonts w:hint="eastAsia"/>
                <w:kern w:val="0"/>
                <w:szCs w:val="21"/>
              </w:rPr>
              <w:t>100%</w:t>
            </w:r>
          </w:p>
        </w:tc>
      </w:tr>
      <w:tr w14:paraId="08D4624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tcBorders>
              <w:top w:val="single" w:color="000000" w:sz="6" w:space="0"/>
              <w:left w:val="single" w:color="auto" w:sz="12" w:space="0"/>
              <w:bottom w:val="single" w:color="000000" w:sz="6" w:space="0"/>
              <w:right w:val="single" w:color="000000" w:sz="6" w:space="0"/>
            </w:tcBorders>
            <w:noWrap/>
            <w:vAlign w:val="center"/>
          </w:tcPr>
          <w:p w14:paraId="513333F8">
            <w:pPr>
              <w:widowControl/>
              <w:adjustRightInd/>
              <w:snapToGrid/>
              <w:spacing w:line="240" w:lineRule="auto"/>
              <w:jc w:val="center"/>
              <w:rPr>
                <w:kern w:val="0"/>
                <w:szCs w:val="21"/>
              </w:rPr>
            </w:pPr>
            <w:r>
              <w:rPr>
                <w:rFonts w:ascii="宋体" w:hAnsi="宋体"/>
                <w:kern w:val="0"/>
                <w:szCs w:val="21"/>
              </w:rPr>
              <w:t>噪声源调查</w:t>
            </w: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345DA05D">
            <w:pPr>
              <w:widowControl/>
              <w:adjustRightInd/>
              <w:snapToGrid/>
              <w:spacing w:line="240" w:lineRule="auto"/>
              <w:jc w:val="center"/>
              <w:rPr>
                <w:kern w:val="0"/>
                <w:szCs w:val="21"/>
              </w:rPr>
            </w:pPr>
            <w:r>
              <w:rPr>
                <w:rFonts w:ascii="宋体" w:hAnsi="宋体"/>
                <w:kern w:val="0"/>
                <w:szCs w:val="21"/>
              </w:rPr>
              <w:t>噪声源</w:t>
            </w:r>
            <w:r>
              <w:rPr>
                <w:kern w:val="0"/>
                <w:szCs w:val="21"/>
              </w:rPr>
              <w:br w:type="textWrapping"/>
            </w:r>
            <w:r>
              <w:rPr>
                <w:rFonts w:ascii="宋体" w:hAnsi="宋体"/>
                <w:kern w:val="0"/>
                <w:szCs w:val="21"/>
              </w:rPr>
              <w:t>调查方法</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06DDDF83">
            <w:pPr>
              <w:widowControl/>
              <w:adjustRightInd/>
              <w:snapToGrid/>
              <w:spacing w:line="240" w:lineRule="auto"/>
              <w:jc w:val="center"/>
              <w:rPr>
                <w:kern w:val="0"/>
                <w:szCs w:val="21"/>
              </w:rPr>
            </w:pPr>
            <w:r>
              <w:rPr>
                <w:rFonts w:ascii="宋体" w:hAnsi="宋体"/>
                <w:kern w:val="0"/>
                <w:szCs w:val="21"/>
              </w:rPr>
              <w:t>现场实测</w:t>
            </w:r>
            <w:r>
              <w:rPr>
                <w:rFonts w:ascii="Wingdings 2" w:hAnsi="Wingdings 2"/>
                <w:kern w:val="0"/>
                <w:szCs w:val="21"/>
              </w:rPr>
              <w:t>£</w:t>
            </w:r>
            <w:r>
              <w:rPr>
                <w:kern w:val="0"/>
                <w:szCs w:val="21"/>
              </w:rPr>
              <w:t xml:space="preserve">    </w:t>
            </w:r>
            <w:r>
              <w:rPr>
                <w:rFonts w:ascii="宋体" w:hAnsi="宋体"/>
                <w:kern w:val="0"/>
                <w:szCs w:val="21"/>
              </w:rPr>
              <w:t>已有资料</w:t>
            </w:r>
            <w:r>
              <w:rPr>
                <w:rFonts w:ascii="Wingdings 2" w:hAnsi="Wingdings 2"/>
                <w:kern w:val="0"/>
                <w:szCs w:val="21"/>
              </w:rPr>
              <w:t>R</w:t>
            </w:r>
            <w:r>
              <w:rPr>
                <w:kern w:val="0"/>
                <w:szCs w:val="21"/>
              </w:rPr>
              <w:t xml:space="preserve">   </w:t>
            </w:r>
            <w:r>
              <w:rPr>
                <w:rFonts w:ascii="宋体" w:hAnsi="宋体"/>
                <w:kern w:val="0"/>
                <w:szCs w:val="21"/>
              </w:rPr>
              <w:t>研究成果</w:t>
            </w:r>
            <w:r>
              <w:rPr>
                <w:rFonts w:ascii="Wingdings 2" w:hAnsi="Wingdings 2"/>
                <w:kern w:val="0"/>
                <w:szCs w:val="21"/>
              </w:rPr>
              <w:t>£</w:t>
            </w:r>
          </w:p>
        </w:tc>
      </w:tr>
      <w:tr w14:paraId="1D7F84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restart"/>
            <w:tcBorders>
              <w:top w:val="single" w:color="000000" w:sz="6" w:space="0"/>
              <w:left w:val="single" w:color="auto" w:sz="12" w:space="0"/>
              <w:bottom w:val="single" w:color="000000" w:sz="6" w:space="0"/>
              <w:right w:val="single" w:color="000000" w:sz="6" w:space="0"/>
            </w:tcBorders>
            <w:noWrap/>
            <w:vAlign w:val="center"/>
          </w:tcPr>
          <w:p w14:paraId="56CA4442">
            <w:pPr>
              <w:widowControl/>
              <w:adjustRightInd/>
              <w:snapToGrid/>
              <w:spacing w:line="240" w:lineRule="auto"/>
              <w:jc w:val="center"/>
              <w:rPr>
                <w:kern w:val="0"/>
                <w:szCs w:val="21"/>
              </w:rPr>
            </w:pPr>
            <w:r>
              <w:rPr>
                <w:rFonts w:ascii="宋体" w:hAnsi="宋体"/>
                <w:kern w:val="0"/>
                <w:szCs w:val="21"/>
              </w:rPr>
              <w:t>声环境影响预测与评价</w:t>
            </w: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28A9805A">
            <w:pPr>
              <w:widowControl/>
              <w:adjustRightInd/>
              <w:snapToGrid/>
              <w:spacing w:line="240" w:lineRule="auto"/>
              <w:jc w:val="center"/>
              <w:rPr>
                <w:kern w:val="0"/>
                <w:szCs w:val="21"/>
              </w:rPr>
            </w:pPr>
            <w:r>
              <w:rPr>
                <w:rFonts w:ascii="宋体" w:hAnsi="宋体"/>
                <w:kern w:val="0"/>
                <w:szCs w:val="21"/>
              </w:rPr>
              <w:t>预测模型</w:t>
            </w:r>
          </w:p>
        </w:tc>
        <w:tc>
          <w:tcPr>
            <w:tcW w:w="3161" w:type="dxa"/>
            <w:gridSpan w:val="3"/>
            <w:tcBorders>
              <w:top w:val="single" w:color="000000" w:sz="6" w:space="0"/>
              <w:left w:val="single" w:color="000000" w:sz="6" w:space="0"/>
              <w:bottom w:val="single" w:color="000000" w:sz="6" w:space="0"/>
              <w:right w:val="single" w:color="000000" w:sz="6" w:space="0"/>
            </w:tcBorders>
            <w:noWrap/>
            <w:vAlign w:val="center"/>
          </w:tcPr>
          <w:p w14:paraId="09ADD783">
            <w:pPr>
              <w:widowControl/>
              <w:adjustRightInd/>
              <w:snapToGrid/>
              <w:spacing w:line="240" w:lineRule="auto"/>
              <w:jc w:val="center"/>
              <w:rPr>
                <w:kern w:val="0"/>
                <w:szCs w:val="21"/>
              </w:rPr>
            </w:pPr>
            <w:r>
              <w:rPr>
                <w:rFonts w:ascii="宋体" w:hAnsi="宋体"/>
                <w:kern w:val="0"/>
                <w:szCs w:val="21"/>
              </w:rPr>
              <w:t>导则推荐模型</w:t>
            </w:r>
            <w:r>
              <w:rPr>
                <w:rFonts w:ascii="Wingdings 2" w:hAnsi="Wingdings 2"/>
                <w:kern w:val="0"/>
                <w:szCs w:val="21"/>
              </w:rPr>
              <w:t>R</w:t>
            </w:r>
          </w:p>
        </w:tc>
        <w:tc>
          <w:tcPr>
            <w:tcW w:w="3047" w:type="dxa"/>
            <w:gridSpan w:val="4"/>
            <w:tcBorders>
              <w:top w:val="single" w:color="000000" w:sz="6" w:space="0"/>
              <w:left w:val="single" w:color="000000" w:sz="6" w:space="0"/>
              <w:bottom w:val="single" w:color="000000" w:sz="6" w:space="0"/>
              <w:right w:val="single" w:color="auto" w:sz="12" w:space="0"/>
            </w:tcBorders>
            <w:noWrap/>
            <w:vAlign w:val="center"/>
          </w:tcPr>
          <w:p w14:paraId="6D3175C2">
            <w:pPr>
              <w:widowControl/>
              <w:adjustRightInd/>
              <w:snapToGrid/>
              <w:spacing w:line="240" w:lineRule="auto"/>
              <w:jc w:val="center"/>
              <w:rPr>
                <w:kern w:val="0"/>
                <w:szCs w:val="21"/>
              </w:rPr>
            </w:pPr>
            <w:r>
              <w:rPr>
                <w:rFonts w:ascii="宋体" w:hAnsi="宋体"/>
                <w:kern w:val="0"/>
                <w:szCs w:val="21"/>
              </w:rPr>
              <w:t>其它</w:t>
            </w:r>
            <w:r>
              <w:rPr>
                <w:rFonts w:ascii="Wingdings 2" w:hAnsi="Wingdings 2"/>
                <w:kern w:val="0"/>
                <w:szCs w:val="21"/>
              </w:rPr>
              <w:t>£</w:t>
            </w:r>
          </w:p>
        </w:tc>
      </w:tr>
      <w:tr w14:paraId="43EFAE0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continue"/>
            <w:tcBorders>
              <w:top w:val="single" w:color="000000" w:sz="6" w:space="0"/>
              <w:left w:val="single" w:color="auto" w:sz="12" w:space="0"/>
              <w:bottom w:val="single" w:color="000000" w:sz="6" w:space="0"/>
              <w:right w:val="single" w:color="000000" w:sz="6" w:space="0"/>
            </w:tcBorders>
            <w:vAlign w:val="center"/>
          </w:tcPr>
          <w:p w14:paraId="3FF88710">
            <w:pPr>
              <w:widowControl/>
              <w:adjustRightInd/>
              <w:snapToGrid/>
              <w:spacing w:line="240" w:lineRule="auto"/>
              <w:jc w:val="left"/>
              <w:rPr>
                <w:kern w:val="0"/>
                <w:szCs w:val="21"/>
              </w:rPr>
            </w:pP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3C624316">
            <w:pPr>
              <w:widowControl/>
              <w:adjustRightInd/>
              <w:snapToGrid/>
              <w:spacing w:line="240" w:lineRule="auto"/>
              <w:jc w:val="center"/>
              <w:rPr>
                <w:kern w:val="0"/>
                <w:szCs w:val="21"/>
              </w:rPr>
            </w:pPr>
            <w:r>
              <w:rPr>
                <w:rFonts w:ascii="宋体" w:hAnsi="宋体"/>
                <w:kern w:val="0"/>
                <w:szCs w:val="21"/>
              </w:rPr>
              <w:t>预测范围</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20B46767">
            <w:pPr>
              <w:widowControl/>
              <w:adjustRightInd/>
              <w:snapToGrid/>
              <w:spacing w:line="240" w:lineRule="auto"/>
              <w:jc w:val="center"/>
              <w:rPr>
                <w:kern w:val="0"/>
                <w:szCs w:val="21"/>
              </w:rPr>
            </w:pPr>
            <w:r>
              <w:rPr>
                <w:kern w:val="0"/>
                <w:szCs w:val="21"/>
              </w:rPr>
              <w:t>200m</w:t>
            </w:r>
            <w:r>
              <w:rPr>
                <w:rFonts w:ascii="Wingdings 2" w:hAnsi="Wingdings 2"/>
                <w:kern w:val="0"/>
                <w:szCs w:val="21"/>
              </w:rPr>
              <w:t>R</w:t>
            </w:r>
            <w:r>
              <w:rPr>
                <w:kern w:val="0"/>
                <w:szCs w:val="21"/>
              </w:rPr>
              <w:t xml:space="preserve">    &gt;200m</w:t>
            </w:r>
            <w:r>
              <w:rPr>
                <w:rFonts w:ascii="Wingdings 2" w:hAnsi="Wingdings 2"/>
                <w:kern w:val="0"/>
                <w:szCs w:val="21"/>
              </w:rPr>
              <w:t>£</w:t>
            </w:r>
            <w:r>
              <w:rPr>
                <w:kern w:val="0"/>
                <w:szCs w:val="21"/>
              </w:rPr>
              <w:t xml:space="preserve">    &lt;200m</w:t>
            </w:r>
            <w:r>
              <w:rPr>
                <w:rFonts w:ascii="Wingdings 2" w:hAnsi="Wingdings 2"/>
                <w:kern w:val="0"/>
                <w:szCs w:val="21"/>
              </w:rPr>
              <w:t>£</w:t>
            </w:r>
          </w:p>
        </w:tc>
      </w:tr>
      <w:tr w14:paraId="3BA732F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continue"/>
            <w:tcBorders>
              <w:top w:val="single" w:color="000000" w:sz="6" w:space="0"/>
              <w:left w:val="single" w:color="auto" w:sz="12" w:space="0"/>
              <w:bottom w:val="single" w:color="000000" w:sz="6" w:space="0"/>
              <w:right w:val="single" w:color="000000" w:sz="6" w:space="0"/>
            </w:tcBorders>
            <w:vAlign w:val="center"/>
          </w:tcPr>
          <w:p w14:paraId="5CF48462">
            <w:pPr>
              <w:widowControl/>
              <w:adjustRightInd/>
              <w:snapToGrid/>
              <w:spacing w:line="240" w:lineRule="auto"/>
              <w:jc w:val="left"/>
              <w:rPr>
                <w:kern w:val="0"/>
                <w:szCs w:val="21"/>
              </w:rPr>
            </w:pP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2B8779C5">
            <w:pPr>
              <w:widowControl/>
              <w:adjustRightInd/>
              <w:snapToGrid/>
              <w:spacing w:line="240" w:lineRule="auto"/>
              <w:jc w:val="center"/>
              <w:rPr>
                <w:kern w:val="0"/>
                <w:szCs w:val="21"/>
              </w:rPr>
            </w:pPr>
            <w:r>
              <w:rPr>
                <w:rFonts w:ascii="宋体" w:hAnsi="宋体"/>
                <w:kern w:val="0"/>
                <w:szCs w:val="21"/>
              </w:rPr>
              <w:t>预测因子</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07575010">
            <w:pPr>
              <w:widowControl/>
              <w:adjustRightInd/>
              <w:snapToGrid/>
              <w:spacing w:line="240" w:lineRule="auto"/>
              <w:jc w:val="center"/>
              <w:rPr>
                <w:kern w:val="0"/>
                <w:szCs w:val="21"/>
              </w:rPr>
            </w:pPr>
            <w:r>
              <w:rPr>
                <w:rFonts w:ascii="宋体" w:hAnsi="宋体"/>
                <w:kern w:val="0"/>
                <w:szCs w:val="21"/>
              </w:rPr>
              <w:t>等效连续</w:t>
            </w:r>
            <w:r>
              <w:rPr>
                <w:kern w:val="0"/>
                <w:szCs w:val="21"/>
              </w:rPr>
              <w:t>A</w:t>
            </w:r>
            <w:r>
              <w:rPr>
                <w:rFonts w:ascii="宋体" w:hAnsi="宋体"/>
                <w:kern w:val="0"/>
                <w:szCs w:val="21"/>
              </w:rPr>
              <w:t>声级</w:t>
            </w:r>
            <w:r>
              <w:rPr>
                <w:rFonts w:ascii="Wingdings 2" w:hAnsi="Wingdings 2"/>
                <w:kern w:val="0"/>
                <w:szCs w:val="21"/>
              </w:rPr>
              <w:t>R</w:t>
            </w:r>
            <w:r>
              <w:rPr>
                <w:kern w:val="0"/>
                <w:szCs w:val="21"/>
              </w:rPr>
              <w:t xml:space="preserve">   </w:t>
            </w:r>
            <w:r>
              <w:rPr>
                <w:rFonts w:ascii="宋体" w:hAnsi="宋体"/>
                <w:kern w:val="0"/>
                <w:szCs w:val="21"/>
              </w:rPr>
              <w:t>最大</w:t>
            </w:r>
            <w:r>
              <w:rPr>
                <w:kern w:val="0"/>
                <w:szCs w:val="21"/>
              </w:rPr>
              <w:t>A</w:t>
            </w:r>
            <w:r>
              <w:rPr>
                <w:rFonts w:ascii="宋体" w:hAnsi="宋体"/>
                <w:kern w:val="0"/>
                <w:szCs w:val="21"/>
              </w:rPr>
              <w:t>声级计权</w:t>
            </w:r>
            <w:r>
              <w:rPr>
                <w:rFonts w:ascii="Wingdings 2" w:hAnsi="Wingdings 2"/>
                <w:kern w:val="0"/>
                <w:szCs w:val="21"/>
              </w:rPr>
              <w:t>£</w:t>
            </w:r>
            <w:r>
              <w:rPr>
                <w:kern w:val="0"/>
                <w:szCs w:val="21"/>
              </w:rPr>
              <w:t xml:space="preserve">   </w:t>
            </w:r>
            <w:r>
              <w:rPr>
                <w:rFonts w:ascii="宋体" w:hAnsi="宋体"/>
                <w:kern w:val="0"/>
                <w:szCs w:val="21"/>
              </w:rPr>
              <w:t>等效连续感觉噪声级</w:t>
            </w:r>
            <w:r>
              <w:rPr>
                <w:rFonts w:ascii="Wingdings 2" w:hAnsi="Wingdings 2"/>
                <w:kern w:val="0"/>
                <w:szCs w:val="21"/>
              </w:rPr>
              <w:t>£</w:t>
            </w:r>
          </w:p>
        </w:tc>
      </w:tr>
      <w:tr w14:paraId="2AB650B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continue"/>
            <w:tcBorders>
              <w:top w:val="single" w:color="000000" w:sz="6" w:space="0"/>
              <w:left w:val="single" w:color="auto" w:sz="12" w:space="0"/>
              <w:bottom w:val="single" w:color="000000" w:sz="6" w:space="0"/>
              <w:right w:val="single" w:color="000000" w:sz="6" w:space="0"/>
            </w:tcBorders>
            <w:vAlign w:val="center"/>
          </w:tcPr>
          <w:p w14:paraId="185A9CE0">
            <w:pPr>
              <w:widowControl/>
              <w:adjustRightInd/>
              <w:snapToGrid/>
              <w:spacing w:line="240" w:lineRule="auto"/>
              <w:jc w:val="left"/>
              <w:rPr>
                <w:kern w:val="0"/>
                <w:szCs w:val="21"/>
              </w:rPr>
            </w:pP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6740F5DE">
            <w:pPr>
              <w:widowControl/>
              <w:adjustRightInd/>
              <w:snapToGrid/>
              <w:spacing w:line="240" w:lineRule="auto"/>
              <w:jc w:val="center"/>
              <w:rPr>
                <w:kern w:val="0"/>
                <w:szCs w:val="21"/>
              </w:rPr>
            </w:pPr>
            <w:r>
              <w:rPr>
                <w:rFonts w:ascii="宋体" w:hAnsi="宋体"/>
                <w:kern w:val="0"/>
                <w:szCs w:val="21"/>
              </w:rPr>
              <w:t>厂界噪声</w:t>
            </w:r>
            <w:r>
              <w:rPr>
                <w:kern w:val="0"/>
                <w:szCs w:val="21"/>
              </w:rPr>
              <w:br w:type="textWrapping"/>
            </w:r>
            <w:r>
              <w:rPr>
                <w:rFonts w:ascii="宋体" w:hAnsi="宋体"/>
                <w:kern w:val="0"/>
                <w:szCs w:val="21"/>
              </w:rPr>
              <w:t>贡献值</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42254434">
            <w:pPr>
              <w:widowControl/>
              <w:adjustRightInd/>
              <w:snapToGrid/>
              <w:spacing w:line="240" w:lineRule="auto"/>
              <w:jc w:val="center"/>
              <w:rPr>
                <w:kern w:val="0"/>
                <w:szCs w:val="21"/>
              </w:rPr>
            </w:pPr>
            <w:r>
              <w:rPr>
                <w:rFonts w:ascii="宋体" w:hAnsi="宋体"/>
                <w:kern w:val="0"/>
                <w:szCs w:val="21"/>
              </w:rPr>
              <w:t>达标</w:t>
            </w:r>
            <w:r>
              <w:rPr>
                <w:rFonts w:ascii="Wingdings 2" w:hAnsi="Wingdings 2"/>
                <w:kern w:val="0"/>
                <w:szCs w:val="21"/>
              </w:rPr>
              <w:t>£</w:t>
            </w:r>
            <w:r>
              <w:rPr>
                <w:kern w:val="0"/>
                <w:szCs w:val="21"/>
              </w:rPr>
              <w:t xml:space="preserve">    </w:t>
            </w:r>
            <w:r>
              <w:rPr>
                <w:rFonts w:ascii="宋体" w:hAnsi="宋体"/>
                <w:kern w:val="0"/>
                <w:szCs w:val="21"/>
              </w:rPr>
              <w:t>不达标</w:t>
            </w:r>
            <w:r>
              <w:rPr>
                <w:rFonts w:ascii="Wingdings 2" w:hAnsi="Wingdings 2"/>
                <w:kern w:val="0"/>
                <w:szCs w:val="21"/>
              </w:rPr>
              <w:t>£</w:t>
            </w:r>
          </w:p>
        </w:tc>
      </w:tr>
      <w:tr w14:paraId="148BF7E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continue"/>
            <w:tcBorders>
              <w:top w:val="single" w:color="000000" w:sz="6" w:space="0"/>
              <w:left w:val="single" w:color="auto" w:sz="12" w:space="0"/>
              <w:bottom w:val="single" w:color="000000" w:sz="6" w:space="0"/>
              <w:right w:val="single" w:color="000000" w:sz="6" w:space="0"/>
            </w:tcBorders>
            <w:vAlign w:val="center"/>
          </w:tcPr>
          <w:p w14:paraId="2F433D72">
            <w:pPr>
              <w:widowControl/>
              <w:adjustRightInd/>
              <w:snapToGrid/>
              <w:spacing w:line="240" w:lineRule="auto"/>
              <w:jc w:val="left"/>
              <w:rPr>
                <w:kern w:val="0"/>
                <w:szCs w:val="21"/>
              </w:rPr>
            </w:pP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41990466">
            <w:pPr>
              <w:widowControl/>
              <w:adjustRightInd/>
              <w:snapToGrid/>
              <w:spacing w:line="240" w:lineRule="auto"/>
              <w:jc w:val="center"/>
              <w:rPr>
                <w:kern w:val="0"/>
                <w:szCs w:val="21"/>
              </w:rPr>
            </w:pPr>
            <w:r>
              <w:rPr>
                <w:rFonts w:ascii="宋体" w:hAnsi="宋体"/>
                <w:kern w:val="0"/>
                <w:szCs w:val="21"/>
              </w:rPr>
              <w:t>声环境保护目标噪声值</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264A898F">
            <w:pPr>
              <w:widowControl/>
              <w:adjustRightInd/>
              <w:snapToGrid/>
              <w:spacing w:line="240" w:lineRule="auto"/>
              <w:jc w:val="center"/>
              <w:rPr>
                <w:kern w:val="0"/>
                <w:szCs w:val="21"/>
              </w:rPr>
            </w:pPr>
            <w:commentRangeStart w:id="108"/>
            <w:commentRangeStart w:id="109"/>
            <w:commentRangeStart w:id="110"/>
            <w:commentRangeStart w:id="111"/>
            <w:r>
              <w:rPr>
                <w:rFonts w:ascii="宋体" w:hAnsi="宋体"/>
                <w:kern w:val="0"/>
                <w:szCs w:val="21"/>
              </w:rPr>
              <w:t>达标</w:t>
            </w:r>
            <w:r>
              <w:rPr>
                <w:rFonts w:ascii="Wingdings 2" w:hAnsi="Wingdings 2"/>
                <w:kern w:val="0"/>
                <w:szCs w:val="21"/>
              </w:rPr>
              <w:sym w:font="Wingdings 2" w:char="0052"/>
            </w:r>
            <w:r>
              <w:rPr>
                <w:kern w:val="0"/>
                <w:szCs w:val="21"/>
              </w:rPr>
              <w:t xml:space="preserve">    </w:t>
            </w:r>
            <w:r>
              <w:rPr>
                <w:rFonts w:ascii="宋体" w:hAnsi="宋体"/>
                <w:kern w:val="0"/>
                <w:szCs w:val="21"/>
              </w:rPr>
              <w:t>不达标</w:t>
            </w:r>
            <w:r>
              <w:rPr>
                <w:rFonts w:ascii="Wingdings 2" w:hAnsi="Wingdings 2"/>
                <w:kern w:val="0"/>
                <w:szCs w:val="21"/>
              </w:rPr>
              <w:sym w:font="Wingdings 2" w:char="00A3"/>
            </w:r>
            <w:commentRangeEnd w:id="108"/>
            <w:r>
              <w:rPr>
                <w:rStyle w:val="38"/>
                <w:kern w:val="0"/>
                <w:szCs w:val="21"/>
              </w:rPr>
              <w:commentReference w:id="108"/>
            </w:r>
            <w:commentRangeEnd w:id="109"/>
            <w:r>
              <w:rPr>
                <w:rStyle w:val="38"/>
                <w:kern w:val="0"/>
                <w:szCs w:val="21"/>
              </w:rPr>
              <w:commentReference w:id="109"/>
            </w:r>
            <w:commentRangeEnd w:id="110"/>
            <w:r>
              <w:rPr>
                <w:rStyle w:val="38"/>
                <w:kern w:val="0"/>
                <w:szCs w:val="21"/>
              </w:rPr>
              <w:commentReference w:id="110"/>
            </w:r>
            <w:commentRangeEnd w:id="111"/>
            <w:r>
              <w:rPr>
                <w:rStyle w:val="38"/>
                <w:kern w:val="0"/>
                <w:szCs w:val="21"/>
              </w:rPr>
              <w:commentReference w:id="111"/>
            </w:r>
          </w:p>
        </w:tc>
      </w:tr>
      <w:tr w14:paraId="74C54DA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restart"/>
            <w:tcBorders>
              <w:top w:val="single" w:color="000000" w:sz="6" w:space="0"/>
              <w:left w:val="single" w:color="auto" w:sz="12" w:space="0"/>
              <w:bottom w:val="single" w:color="000000" w:sz="6" w:space="0"/>
              <w:right w:val="single" w:color="000000" w:sz="6" w:space="0"/>
            </w:tcBorders>
            <w:noWrap/>
            <w:vAlign w:val="center"/>
          </w:tcPr>
          <w:p w14:paraId="58B17723">
            <w:pPr>
              <w:widowControl/>
              <w:adjustRightInd/>
              <w:snapToGrid/>
              <w:spacing w:line="240" w:lineRule="auto"/>
              <w:jc w:val="center"/>
              <w:rPr>
                <w:kern w:val="0"/>
                <w:szCs w:val="21"/>
              </w:rPr>
            </w:pPr>
            <w:r>
              <w:rPr>
                <w:rFonts w:ascii="宋体" w:hAnsi="宋体"/>
                <w:kern w:val="0"/>
                <w:szCs w:val="21"/>
              </w:rPr>
              <w:t>环境监测</w:t>
            </w:r>
            <w:r>
              <w:rPr>
                <w:kern w:val="0"/>
                <w:szCs w:val="21"/>
              </w:rPr>
              <w:br w:type="textWrapping"/>
            </w:r>
            <w:r>
              <w:rPr>
                <w:rFonts w:ascii="宋体" w:hAnsi="宋体"/>
                <w:kern w:val="0"/>
                <w:szCs w:val="21"/>
              </w:rPr>
              <w:t>计划</w:t>
            </w: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2B3451FB">
            <w:pPr>
              <w:widowControl/>
              <w:adjustRightInd/>
              <w:snapToGrid/>
              <w:spacing w:line="240" w:lineRule="auto"/>
              <w:jc w:val="center"/>
              <w:rPr>
                <w:kern w:val="0"/>
                <w:szCs w:val="21"/>
              </w:rPr>
            </w:pPr>
            <w:r>
              <w:rPr>
                <w:rFonts w:ascii="宋体" w:hAnsi="宋体"/>
                <w:kern w:val="0"/>
                <w:szCs w:val="21"/>
              </w:rPr>
              <w:t>排放监测</w:t>
            </w:r>
          </w:p>
        </w:tc>
        <w:tc>
          <w:tcPr>
            <w:tcW w:w="6208" w:type="dxa"/>
            <w:gridSpan w:val="7"/>
            <w:tcBorders>
              <w:top w:val="single" w:color="000000" w:sz="6" w:space="0"/>
              <w:left w:val="single" w:color="000000" w:sz="6" w:space="0"/>
              <w:bottom w:val="single" w:color="000000" w:sz="6" w:space="0"/>
              <w:right w:val="single" w:color="auto" w:sz="12" w:space="0"/>
            </w:tcBorders>
            <w:noWrap/>
            <w:vAlign w:val="center"/>
          </w:tcPr>
          <w:p w14:paraId="1139E2FA">
            <w:pPr>
              <w:widowControl/>
              <w:adjustRightInd/>
              <w:snapToGrid/>
              <w:spacing w:line="240" w:lineRule="auto"/>
              <w:jc w:val="center"/>
              <w:rPr>
                <w:kern w:val="0"/>
                <w:szCs w:val="21"/>
              </w:rPr>
            </w:pPr>
            <w:r>
              <w:rPr>
                <w:rFonts w:ascii="宋体" w:hAnsi="宋体"/>
                <w:kern w:val="0"/>
                <w:szCs w:val="21"/>
              </w:rPr>
              <w:t>厂界监测</w:t>
            </w:r>
            <w:r>
              <w:rPr>
                <w:rFonts w:ascii="Wingdings 2" w:hAnsi="Wingdings 2"/>
                <w:kern w:val="0"/>
                <w:szCs w:val="21"/>
              </w:rPr>
              <w:t>£</w:t>
            </w:r>
            <w:r>
              <w:rPr>
                <w:kern w:val="0"/>
                <w:szCs w:val="21"/>
              </w:rPr>
              <w:t xml:space="preserve"> </w:t>
            </w:r>
            <w:r>
              <w:rPr>
                <w:rFonts w:ascii="宋体" w:hAnsi="宋体"/>
                <w:kern w:val="0"/>
                <w:szCs w:val="21"/>
              </w:rPr>
              <w:t>固定位置监测</w:t>
            </w:r>
            <w:r>
              <w:rPr>
                <w:rFonts w:ascii="Wingdings 2" w:hAnsi="Wingdings 2"/>
                <w:kern w:val="0"/>
                <w:szCs w:val="21"/>
              </w:rPr>
              <w:t>£</w:t>
            </w:r>
            <w:r>
              <w:rPr>
                <w:kern w:val="0"/>
                <w:szCs w:val="21"/>
              </w:rPr>
              <w:t xml:space="preserve"> </w:t>
            </w:r>
            <w:r>
              <w:rPr>
                <w:rFonts w:ascii="宋体" w:hAnsi="宋体"/>
                <w:kern w:val="0"/>
                <w:szCs w:val="21"/>
              </w:rPr>
              <w:t>自动监测</w:t>
            </w:r>
            <w:r>
              <w:rPr>
                <w:rFonts w:ascii="Wingdings 2" w:hAnsi="Wingdings 2"/>
                <w:kern w:val="0"/>
                <w:szCs w:val="21"/>
              </w:rPr>
              <w:t>£</w:t>
            </w:r>
            <w:r>
              <w:rPr>
                <w:kern w:val="0"/>
                <w:szCs w:val="21"/>
              </w:rPr>
              <w:t xml:space="preserve"> </w:t>
            </w:r>
            <w:r>
              <w:rPr>
                <w:rFonts w:ascii="宋体" w:hAnsi="宋体"/>
                <w:kern w:val="0"/>
                <w:szCs w:val="21"/>
              </w:rPr>
              <w:t>手动监测</w:t>
            </w:r>
            <w:r>
              <w:rPr>
                <w:rFonts w:ascii="Wingdings 2" w:hAnsi="Wingdings 2"/>
                <w:kern w:val="0"/>
                <w:szCs w:val="21"/>
              </w:rPr>
              <w:t>R</w:t>
            </w:r>
            <w:r>
              <w:rPr>
                <w:kern w:val="0"/>
                <w:szCs w:val="21"/>
              </w:rPr>
              <w:t xml:space="preserve"> </w:t>
            </w:r>
            <w:r>
              <w:rPr>
                <w:rFonts w:ascii="宋体" w:hAnsi="宋体"/>
                <w:kern w:val="0"/>
                <w:szCs w:val="21"/>
              </w:rPr>
              <w:t>无监测</w:t>
            </w:r>
            <w:r>
              <w:rPr>
                <w:rFonts w:ascii="Wingdings 2" w:hAnsi="Wingdings 2"/>
                <w:kern w:val="0"/>
                <w:szCs w:val="21"/>
              </w:rPr>
              <w:t>£</w:t>
            </w:r>
          </w:p>
        </w:tc>
      </w:tr>
      <w:tr w14:paraId="625FF2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vMerge w:val="continue"/>
            <w:tcBorders>
              <w:top w:val="single" w:color="000000" w:sz="6" w:space="0"/>
              <w:left w:val="single" w:color="auto" w:sz="12" w:space="0"/>
              <w:bottom w:val="single" w:color="000000" w:sz="6" w:space="0"/>
              <w:right w:val="single" w:color="000000" w:sz="6" w:space="0"/>
            </w:tcBorders>
            <w:vAlign w:val="center"/>
          </w:tcPr>
          <w:p w14:paraId="5041391D">
            <w:pPr>
              <w:widowControl/>
              <w:adjustRightInd/>
              <w:snapToGrid/>
              <w:spacing w:line="240" w:lineRule="auto"/>
              <w:jc w:val="left"/>
              <w:rPr>
                <w:kern w:val="0"/>
                <w:szCs w:val="21"/>
              </w:rPr>
            </w:pPr>
          </w:p>
        </w:tc>
        <w:tc>
          <w:tcPr>
            <w:tcW w:w="1035" w:type="dxa"/>
            <w:tcBorders>
              <w:top w:val="single" w:color="000000" w:sz="6" w:space="0"/>
              <w:left w:val="single" w:color="000000" w:sz="6" w:space="0"/>
              <w:bottom w:val="single" w:color="000000" w:sz="6" w:space="0"/>
              <w:right w:val="single" w:color="000000" w:sz="6" w:space="0"/>
            </w:tcBorders>
            <w:noWrap/>
            <w:vAlign w:val="center"/>
          </w:tcPr>
          <w:p w14:paraId="7138FCF3">
            <w:pPr>
              <w:widowControl/>
              <w:adjustRightInd/>
              <w:snapToGrid/>
              <w:spacing w:line="240" w:lineRule="auto"/>
              <w:jc w:val="center"/>
              <w:rPr>
                <w:kern w:val="0"/>
                <w:szCs w:val="21"/>
              </w:rPr>
            </w:pPr>
            <w:r>
              <w:rPr>
                <w:rFonts w:ascii="宋体" w:hAnsi="宋体"/>
                <w:kern w:val="0"/>
                <w:szCs w:val="21"/>
              </w:rPr>
              <w:t>声环境保护目标处噪声监测</w:t>
            </w:r>
          </w:p>
        </w:tc>
        <w:tc>
          <w:tcPr>
            <w:tcW w:w="3161" w:type="dxa"/>
            <w:gridSpan w:val="3"/>
            <w:tcBorders>
              <w:top w:val="single" w:color="000000" w:sz="6" w:space="0"/>
              <w:left w:val="single" w:color="000000" w:sz="6" w:space="0"/>
              <w:bottom w:val="single" w:color="000000" w:sz="6" w:space="0"/>
              <w:right w:val="single" w:color="000000" w:sz="6" w:space="0"/>
            </w:tcBorders>
            <w:noWrap/>
            <w:vAlign w:val="center"/>
          </w:tcPr>
          <w:p w14:paraId="324CFA4D">
            <w:pPr>
              <w:widowControl/>
              <w:adjustRightInd/>
              <w:snapToGrid/>
              <w:spacing w:line="240" w:lineRule="auto"/>
              <w:jc w:val="center"/>
              <w:rPr>
                <w:kern w:val="0"/>
                <w:szCs w:val="21"/>
              </w:rPr>
            </w:pPr>
            <w:r>
              <w:rPr>
                <w:rFonts w:ascii="宋体" w:hAnsi="宋体"/>
                <w:kern w:val="0"/>
                <w:szCs w:val="21"/>
              </w:rPr>
              <w:t>监测因子：（等效连续</w:t>
            </w:r>
            <w:r>
              <w:rPr>
                <w:kern w:val="0"/>
                <w:szCs w:val="21"/>
              </w:rPr>
              <w:t>A</w:t>
            </w:r>
            <w:r>
              <w:rPr>
                <w:rFonts w:ascii="宋体" w:hAnsi="宋体"/>
                <w:kern w:val="0"/>
                <w:szCs w:val="21"/>
              </w:rPr>
              <w:t>声级）</w:t>
            </w:r>
          </w:p>
        </w:tc>
        <w:tc>
          <w:tcPr>
            <w:tcW w:w="1843" w:type="dxa"/>
            <w:gridSpan w:val="2"/>
            <w:tcBorders>
              <w:top w:val="single" w:color="000000" w:sz="6" w:space="0"/>
              <w:left w:val="single" w:color="000000" w:sz="6" w:space="0"/>
              <w:bottom w:val="single" w:color="000000" w:sz="6" w:space="0"/>
              <w:right w:val="single" w:color="000000" w:sz="6" w:space="0"/>
            </w:tcBorders>
            <w:noWrap/>
            <w:vAlign w:val="center"/>
          </w:tcPr>
          <w:p w14:paraId="4E2B37E9">
            <w:pPr>
              <w:widowControl/>
              <w:adjustRightInd/>
              <w:snapToGrid/>
              <w:spacing w:line="240" w:lineRule="auto"/>
              <w:jc w:val="center"/>
              <w:rPr>
                <w:kern w:val="0"/>
                <w:szCs w:val="21"/>
              </w:rPr>
            </w:pPr>
            <w:r>
              <w:rPr>
                <w:rFonts w:ascii="宋体" w:hAnsi="宋体"/>
                <w:kern w:val="0"/>
                <w:szCs w:val="21"/>
              </w:rPr>
              <w:t>监测点位数（</w:t>
            </w:r>
            <w:r>
              <w:rPr>
                <w:rFonts w:hint="eastAsia"/>
                <w:kern w:val="0"/>
                <w:szCs w:val="21"/>
              </w:rPr>
              <w:t>8</w:t>
            </w:r>
            <w:r>
              <w:rPr>
                <w:rFonts w:ascii="宋体" w:hAnsi="宋体"/>
                <w:kern w:val="0"/>
                <w:szCs w:val="21"/>
              </w:rPr>
              <w:t>）</w:t>
            </w:r>
          </w:p>
        </w:tc>
        <w:tc>
          <w:tcPr>
            <w:tcW w:w="1204" w:type="dxa"/>
            <w:gridSpan w:val="2"/>
            <w:tcBorders>
              <w:top w:val="single" w:color="000000" w:sz="6" w:space="0"/>
              <w:left w:val="single" w:color="000000" w:sz="6" w:space="0"/>
              <w:bottom w:val="single" w:color="000000" w:sz="6" w:space="0"/>
              <w:right w:val="single" w:color="auto" w:sz="12" w:space="0"/>
            </w:tcBorders>
            <w:vAlign w:val="center"/>
          </w:tcPr>
          <w:p w14:paraId="6B0CBA9C">
            <w:pPr>
              <w:widowControl/>
              <w:adjustRightInd/>
              <w:snapToGrid/>
              <w:spacing w:line="240" w:lineRule="auto"/>
              <w:jc w:val="center"/>
              <w:rPr>
                <w:kern w:val="0"/>
                <w:szCs w:val="21"/>
              </w:rPr>
            </w:pPr>
            <w:r>
              <w:rPr>
                <w:rFonts w:ascii="宋体" w:hAnsi="宋体"/>
                <w:kern w:val="0"/>
                <w:szCs w:val="21"/>
              </w:rPr>
              <w:t>无监测</w:t>
            </w:r>
            <w:r>
              <w:rPr>
                <w:rFonts w:ascii="Wingdings 2" w:hAnsi="Wingdings 2"/>
                <w:kern w:val="0"/>
                <w:szCs w:val="21"/>
              </w:rPr>
              <w:t>£</w:t>
            </w:r>
          </w:p>
        </w:tc>
      </w:tr>
      <w:tr w14:paraId="18659E1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15" w:type="dxa"/>
            <w:left w:w="15" w:type="dxa"/>
            <w:bottom w:w="15" w:type="dxa"/>
            <w:right w:w="15" w:type="dxa"/>
          </w:tblCellMar>
        </w:tblPrEx>
        <w:trPr>
          <w:trHeight w:val="340" w:hRule="atLeast"/>
          <w:jc w:val="center"/>
        </w:trPr>
        <w:tc>
          <w:tcPr>
            <w:tcW w:w="1034" w:type="dxa"/>
            <w:tcBorders>
              <w:top w:val="single" w:color="000000" w:sz="6" w:space="0"/>
              <w:left w:val="single" w:color="auto" w:sz="12" w:space="0"/>
              <w:bottom w:val="single" w:color="auto" w:sz="12" w:space="0"/>
              <w:right w:val="single" w:color="000000" w:sz="6" w:space="0"/>
            </w:tcBorders>
            <w:noWrap/>
            <w:vAlign w:val="center"/>
          </w:tcPr>
          <w:p w14:paraId="15D88E6B">
            <w:pPr>
              <w:widowControl/>
              <w:adjustRightInd/>
              <w:snapToGrid/>
              <w:spacing w:line="240" w:lineRule="auto"/>
              <w:jc w:val="center"/>
              <w:rPr>
                <w:kern w:val="0"/>
                <w:szCs w:val="21"/>
              </w:rPr>
            </w:pPr>
            <w:r>
              <w:rPr>
                <w:rFonts w:ascii="宋体" w:hAnsi="宋体"/>
                <w:kern w:val="0"/>
                <w:szCs w:val="21"/>
              </w:rPr>
              <w:t>评价结论</w:t>
            </w:r>
          </w:p>
        </w:tc>
        <w:tc>
          <w:tcPr>
            <w:tcW w:w="1035" w:type="dxa"/>
            <w:tcBorders>
              <w:top w:val="single" w:color="000000" w:sz="6" w:space="0"/>
              <w:left w:val="single" w:color="000000" w:sz="6" w:space="0"/>
              <w:bottom w:val="single" w:color="auto" w:sz="12" w:space="0"/>
              <w:right w:val="single" w:color="000000" w:sz="6" w:space="0"/>
            </w:tcBorders>
            <w:noWrap/>
            <w:vAlign w:val="center"/>
          </w:tcPr>
          <w:p w14:paraId="2FDC5BB7">
            <w:pPr>
              <w:widowControl/>
              <w:adjustRightInd/>
              <w:snapToGrid/>
              <w:spacing w:line="240" w:lineRule="auto"/>
              <w:jc w:val="center"/>
              <w:rPr>
                <w:kern w:val="0"/>
                <w:szCs w:val="21"/>
              </w:rPr>
            </w:pPr>
            <w:r>
              <w:rPr>
                <w:rFonts w:ascii="宋体" w:hAnsi="宋体"/>
                <w:kern w:val="0"/>
                <w:szCs w:val="21"/>
              </w:rPr>
              <w:t>环境影响</w:t>
            </w:r>
          </w:p>
        </w:tc>
        <w:tc>
          <w:tcPr>
            <w:tcW w:w="6208" w:type="dxa"/>
            <w:gridSpan w:val="7"/>
            <w:tcBorders>
              <w:top w:val="single" w:color="000000" w:sz="6" w:space="0"/>
              <w:left w:val="single" w:color="000000" w:sz="6" w:space="0"/>
              <w:bottom w:val="single" w:color="auto" w:sz="12" w:space="0"/>
              <w:right w:val="single" w:color="auto" w:sz="12" w:space="0"/>
            </w:tcBorders>
            <w:noWrap/>
            <w:vAlign w:val="center"/>
          </w:tcPr>
          <w:p w14:paraId="33B741D7">
            <w:pPr>
              <w:widowControl/>
              <w:adjustRightInd/>
              <w:snapToGrid/>
              <w:spacing w:line="240" w:lineRule="auto"/>
              <w:jc w:val="center"/>
              <w:rPr>
                <w:kern w:val="0"/>
                <w:szCs w:val="21"/>
              </w:rPr>
            </w:pPr>
            <w:r>
              <w:rPr>
                <w:rFonts w:ascii="宋体" w:hAnsi="宋体"/>
                <w:kern w:val="0"/>
                <w:szCs w:val="21"/>
              </w:rPr>
              <w:t>可行</w:t>
            </w:r>
            <w:r>
              <w:rPr>
                <w:rFonts w:ascii="Wingdings 2" w:hAnsi="Wingdings 2"/>
                <w:kern w:val="0"/>
                <w:szCs w:val="21"/>
              </w:rPr>
              <w:t>R</w:t>
            </w:r>
            <w:r>
              <w:rPr>
                <w:kern w:val="0"/>
                <w:szCs w:val="21"/>
              </w:rPr>
              <w:t xml:space="preserve">   </w:t>
            </w:r>
            <w:r>
              <w:rPr>
                <w:rFonts w:ascii="宋体" w:hAnsi="宋体"/>
                <w:kern w:val="0"/>
                <w:szCs w:val="21"/>
              </w:rPr>
              <w:t>不可行口</w:t>
            </w:r>
          </w:p>
        </w:tc>
      </w:tr>
    </w:tbl>
    <w:p w14:paraId="0D6E88B0">
      <w:pPr>
        <w:widowControl/>
        <w:kinsoku w:val="0"/>
        <w:autoSpaceDE w:val="0"/>
        <w:autoSpaceDN w:val="0"/>
        <w:ind w:firstLine="420" w:firstLineChars="200"/>
        <w:textAlignment w:val="baseline"/>
      </w:pPr>
    </w:p>
    <w:p w14:paraId="647E817B">
      <w:pPr>
        <w:widowControl/>
        <w:kinsoku w:val="0"/>
        <w:autoSpaceDE w:val="0"/>
        <w:autoSpaceDN w:val="0"/>
        <w:ind w:firstLine="420" w:firstLineChars="200"/>
        <w:textAlignment w:val="baseline"/>
      </w:pPr>
    </w:p>
    <w:sectPr>
      <w:footerReference r:id="rId9" w:type="default"/>
      <w:pgSz w:w="11907" w:h="16840"/>
      <w:pgMar w:top="1440" w:right="1800" w:bottom="1440" w:left="1800" w:header="851" w:footer="851" w:gutter="0"/>
      <w:cols w:space="720"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李强" w:date="2026-08-01T20:10:00Z" w:initials="">
    <w:p w14:paraId="4B43CF81">
      <w:pPr>
        <w:pStyle w:val="11"/>
      </w:pPr>
      <w:r>
        <w:rPr>
          <w:rFonts w:hint="eastAsia"/>
        </w:rPr>
        <w:t>8月15日之后改为“生态环境”</w:t>
      </w:r>
    </w:p>
  </w:comment>
  <w:comment w:id="1" w:author="陈 蓝" w:date="2026-08-20T15:08:00Z" w:initials="陈蓝">
    <w:p w14:paraId="530E106F">
      <w:pPr>
        <w:pStyle w:val="11"/>
      </w:pPr>
      <w:r>
        <w:rPr>
          <w:rFonts w:hint="eastAsia"/>
        </w:rPr>
        <w:t>已修改为生态环境</w:t>
      </w:r>
    </w:p>
  </w:comment>
  <w:comment w:id="2" w:author="李强" w:date="2026-08-01T20:10:00Z" w:initials="">
    <w:p w14:paraId="3A502330">
      <w:pPr>
        <w:pStyle w:val="11"/>
      </w:pPr>
      <w:r>
        <w:rPr>
          <w:rFonts w:hint="eastAsia"/>
        </w:rPr>
        <w:t>统一，这类到底能不能按</w:t>
      </w:r>
    </w:p>
    <w:p w14:paraId="1893F576">
      <w:pPr>
        <w:pStyle w:val="11"/>
        <w:rPr>
          <w:rFonts w:eastAsia="仿宋_GB2312"/>
          <w:kern w:val="2"/>
          <w:szCs w:val="24"/>
        </w:rPr>
      </w:pPr>
      <w:r>
        <w:rPr>
          <w:rFonts w:hint="eastAsia" w:eastAsia="仿宋_GB2312"/>
          <w:kern w:val="2"/>
          <w:szCs w:val="24"/>
        </w:rPr>
        <w:t>“区域环评+环评标准”改革降级，</w:t>
      </w:r>
    </w:p>
    <w:p w14:paraId="50AC0A50">
      <w:pPr>
        <w:pStyle w:val="11"/>
        <w:rPr>
          <w:rFonts w:eastAsia="仿宋_GB2312"/>
          <w:kern w:val="2"/>
          <w:szCs w:val="24"/>
        </w:rPr>
      </w:pPr>
      <w:r>
        <w:rPr>
          <w:rFonts w:hint="eastAsia" w:eastAsia="仿宋_GB2312"/>
          <w:kern w:val="2"/>
          <w:szCs w:val="24"/>
        </w:rPr>
        <w:t>有降级的，有不降级的</w:t>
      </w:r>
    </w:p>
    <w:p w14:paraId="36211ABF">
      <w:pPr>
        <w:pStyle w:val="11"/>
        <w:rPr>
          <w:rFonts w:eastAsia="仿宋_GB2312"/>
          <w:kern w:val="2"/>
          <w:szCs w:val="24"/>
        </w:rPr>
      </w:pPr>
    </w:p>
    <w:p w14:paraId="15A67B71">
      <w:pPr>
        <w:pStyle w:val="11"/>
        <w:rPr>
          <w:rFonts w:eastAsia="仿宋_GB2312"/>
          <w:kern w:val="2"/>
          <w:szCs w:val="24"/>
        </w:rPr>
      </w:pPr>
      <w:r>
        <w:rPr>
          <w:rFonts w:hint="eastAsia" w:eastAsia="仿宋_GB2312"/>
          <w:kern w:val="2"/>
          <w:szCs w:val="24"/>
        </w:rPr>
        <w:t>和管理部门核实，并保持一致</w:t>
      </w:r>
    </w:p>
  </w:comment>
  <w:comment w:id="3" w:author="陈 蓝" w:date="2026-08-20T15:24:00Z" w:initials="陈蓝">
    <w:p w14:paraId="26175D05">
      <w:pPr>
        <w:pStyle w:val="11"/>
      </w:pPr>
      <w:r>
        <w:rPr>
          <w:rFonts w:hint="eastAsia"/>
        </w:rPr>
        <w:t>已修改</w:t>
      </w:r>
    </w:p>
  </w:comment>
  <w:comment w:id="4" w:author="李强" w:date="2026-08-01T20:11:00Z" w:initials="">
    <w:p w14:paraId="5EE2ACFD">
      <w:pPr>
        <w:pStyle w:val="11"/>
      </w:pPr>
      <w:r>
        <w:annotationRef/>
      </w:r>
    </w:p>
  </w:comment>
  <w:comment w:id="5" w:author="李强" w:date="2026-08-01T20:12:00Z" w:initials="">
    <w:p w14:paraId="3D277339">
      <w:pPr>
        <w:pStyle w:val="11"/>
      </w:pPr>
      <w:r>
        <w:rPr>
          <w:rFonts w:hint="eastAsia"/>
        </w:rPr>
        <w:t>附图1-1重复</w:t>
      </w:r>
    </w:p>
  </w:comment>
  <w:comment w:id="6" w:author="陈 蓝" w:date="2026-08-07T17:08:00Z" w:initials="陈蓝">
    <w:p w14:paraId="68297726">
      <w:pPr>
        <w:pStyle w:val="11"/>
      </w:pPr>
      <w:r>
        <w:rPr>
          <w:rFonts w:hint="eastAsia"/>
        </w:rPr>
        <w:t>已删除</w:t>
      </w:r>
      <w:r>
        <w:t>1-1</w:t>
      </w:r>
      <w:r>
        <w:rPr>
          <w:rFonts w:hint="eastAsia"/>
        </w:rPr>
        <w:t>重复图片</w:t>
      </w:r>
    </w:p>
  </w:comment>
  <w:comment w:id="7" w:author="李强" w:date="2026-08-01T20:15:00Z" w:initials="">
    <w:p w14:paraId="04D641C3">
      <w:pPr>
        <w:pStyle w:val="11"/>
      </w:pPr>
      <w:r>
        <w:rPr>
          <w:rFonts w:hint="eastAsia"/>
        </w:rPr>
        <w:t>选址中间短了一截</w:t>
      </w:r>
    </w:p>
  </w:comment>
  <w:comment w:id="8" w:author="陈 蓝" w:date="2026-08-20T10:01:00Z" w:initials="陈蓝">
    <w:p w14:paraId="011E8764">
      <w:pPr>
        <w:pStyle w:val="11"/>
      </w:pPr>
      <w:r>
        <w:rPr>
          <w:rFonts w:hint="eastAsia"/>
        </w:rPr>
        <w:t>本次评价为保证道路走向表述的一致性和连贯性，选择与用地预审与选址意见书保持一致将其作为一条连贯的道路描述</w:t>
      </w:r>
    </w:p>
  </w:comment>
  <w:comment w:id="9" w:author="李强" w:date="2026-08-01T20:13:00Z" w:initials="">
    <w:p w14:paraId="5EFB5FE9">
      <w:pPr>
        <w:pStyle w:val="11"/>
      </w:pPr>
      <w:r>
        <w:rPr>
          <w:rFonts w:hint="eastAsia"/>
        </w:rPr>
        <w:t>2.3203</w:t>
      </w:r>
    </w:p>
  </w:comment>
  <w:comment w:id="10" w:author="陈 蓝" w:date="2026-08-05T16:06:00Z" w:initials="陈蓝">
    <w:p w14:paraId="09DD2A54">
      <w:pPr>
        <w:pStyle w:val="11"/>
      </w:pPr>
      <w:r>
        <w:rPr>
          <w:rFonts w:hint="eastAsia"/>
        </w:rPr>
        <w:t>已修正</w:t>
      </w:r>
    </w:p>
  </w:comment>
  <w:comment w:id="11" w:author="李强" w:date="2026-08-01T20:57:00Z" w:initials="">
    <w:p w14:paraId="1C45C271">
      <w:pPr>
        <w:pStyle w:val="11"/>
      </w:pPr>
      <w:r>
        <w:rPr>
          <w:rFonts w:hint="eastAsia"/>
        </w:rPr>
        <w:t>核实是否降级</w:t>
      </w:r>
    </w:p>
  </w:comment>
  <w:comment w:id="12" w:author="陈 蓝" w:date="2026-08-20T10:01:00Z" w:initials="陈蓝">
    <w:p w14:paraId="3543DEE5">
      <w:pPr>
        <w:pStyle w:val="11"/>
      </w:pPr>
      <w:r>
        <w:rPr>
          <w:rFonts w:hint="eastAsia"/>
        </w:rPr>
        <w:t>已核实</w:t>
      </w:r>
    </w:p>
  </w:comment>
  <w:comment w:id="13" w:author="陈 蓝" w:date="2026-08-05T16:25:00Z" w:initials="陈蓝">
    <w:p w14:paraId="2167B92F">
      <w:pPr>
        <w:pStyle w:val="11"/>
      </w:pPr>
      <w:r>
        <w:rPr>
          <w:rFonts w:hint="eastAsia"/>
        </w:rPr>
        <w:t>已更正</w:t>
      </w:r>
    </w:p>
  </w:comment>
  <w:comment w:id="14" w:author="李强" w:date="2026-08-01T20:07:00Z" w:initials="">
    <w:p w14:paraId="354C4E45">
      <w:pPr>
        <w:pStyle w:val="11"/>
      </w:pPr>
      <w:r>
        <w:annotationRef/>
      </w:r>
    </w:p>
  </w:comment>
  <w:comment w:id="15" w:author="陈 蓝" w:date="2026-08-05T16:23:00Z" w:initials="陈蓝">
    <w:p w14:paraId="253133B3">
      <w:pPr>
        <w:pStyle w:val="11"/>
      </w:pPr>
      <w:r>
        <w:rPr>
          <w:rFonts w:hint="eastAsia"/>
        </w:rPr>
        <w:t>已更正</w:t>
      </w:r>
    </w:p>
  </w:comment>
  <w:comment w:id="16" w:author="李强" w:date="2026-08-01T20:07:00Z" w:initials="">
    <w:p w14:paraId="63BF2956">
      <w:pPr>
        <w:pStyle w:val="11"/>
      </w:pPr>
      <w:r>
        <w:rPr>
          <w:rFonts w:hint="eastAsia"/>
        </w:rPr>
        <w:t>保护</w:t>
      </w:r>
    </w:p>
  </w:comment>
  <w:comment w:id="17" w:author="陈 蓝" w:date="2026-08-05T16:26:00Z" w:initials="陈蓝">
    <w:p w14:paraId="777D6EE8">
      <w:pPr>
        <w:pStyle w:val="11"/>
      </w:pPr>
      <w:r>
        <w:rPr>
          <w:rFonts w:hint="eastAsia"/>
        </w:rPr>
        <w:t>已更正</w:t>
      </w:r>
    </w:p>
  </w:comment>
  <w:comment w:id="18" w:author="李强" w:date="2026-08-01T20:17:00Z" w:initials="">
    <w:p w14:paraId="5E972200">
      <w:pPr>
        <w:pStyle w:val="11"/>
      </w:pPr>
      <w:r>
        <w:rPr>
          <w:rFonts w:hint="eastAsia"/>
        </w:rPr>
        <w:t>选址中间有一截，应该不是本次评价内容</w:t>
      </w:r>
    </w:p>
  </w:comment>
  <w:comment w:id="19" w:author="陈 蓝" w:date="2026-08-10T09:01:00Z" w:initials="陈蓝">
    <w:p w14:paraId="597DBF5B">
      <w:pPr>
        <w:pStyle w:val="11"/>
      </w:pPr>
      <w:r>
        <w:rPr>
          <w:rFonts w:hint="eastAsia"/>
        </w:rPr>
        <w:t>本次评价为保证道路走向表述的一致性和连贯性，选择与用地预审与选址意见书保持一致将其作为一条连贯的道路描述</w:t>
      </w:r>
    </w:p>
  </w:comment>
  <w:comment w:id="20" w:author="李强" w:date="2026-08-01T20:18:00Z" w:initials="">
    <w:p w14:paraId="6DA5BCEE">
      <w:pPr>
        <w:pStyle w:val="11"/>
      </w:pPr>
      <w:r>
        <w:rPr>
          <w:rFonts w:hint="eastAsia"/>
        </w:rPr>
        <w:t>核实是否降级</w:t>
      </w:r>
    </w:p>
  </w:comment>
  <w:comment w:id="21" w:author="陈 蓝" w:date="2026-08-10T14:49:00Z" w:initials="陈蓝">
    <w:p w14:paraId="1393BF0D">
      <w:pPr>
        <w:pStyle w:val="11"/>
      </w:pPr>
      <w:r>
        <w:rPr>
          <w:rFonts w:hint="eastAsia"/>
        </w:rPr>
        <w:t>已核实</w:t>
      </w:r>
    </w:p>
  </w:comment>
  <w:comment w:id="22" w:author="李强" w:date="2026-08-01T20:18:00Z" w:initials="">
    <w:p w14:paraId="133CB9F5">
      <w:pPr>
        <w:pStyle w:val="11"/>
      </w:pPr>
      <w:r>
        <w:rPr>
          <w:rFonts w:hint="eastAsia"/>
        </w:rPr>
        <w:t>中间选址不包含的这一段</w:t>
      </w:r>
    </w:p>
  </w:comment>
  <w:comment w:id="23" w:author="李强" w:date="2026-08-01T20:22:00Z" w:initials="">
    <w:p w14:paraId="7D0D8289">
      <w:pPr>
        <w:pStyle w:val="11"/>
      </w:pPr>
      <w:r>
        <w:rPr>
          <w:rFonts w:hint="eastAsia"/>
        </w:rPr>
        <w:t>平面布置，是否有水中段墩</w:t>
      </w:r>
    </w:p>
  </w:comment>
  <w:comment w:id="24" w:author="陈 蓝" w:date="2026-08-06T10:56:00Z" w:initials="陈蓝">
    <w:p w14:paraId="0CD2B728">
      <w:pPr>
        <w:pStyle w:val="11"/>
      </w:pPr>
      <w:r>
        <w:rPr>
          <w:rFonts w:hint="eastAsia"/>
        </w:rPr>
        <w:t>已明确，不设置水中桥墩</w:t>
      </w:r>
    </w:p>
  </w:comment>
  <w:comment w:id="25" w:author="李强" w:date="2026-08-20T18:03:00Z" w:initials="">
    <w:p w14:paraId="4386B02D">
      <w:pPr>
        <w:pStyle w:val="11"/>
      </w:pPr>
      <w:r>
        <w:rPr>
          <w:rFonts w:hint="eastAsia"/>
        </w:rPr>
        <w:t>注意表格格式</w:t>
      </w:r>
    </w:p>
  </w:comment>
  <w:comment w:id="26" w:author="李强" w:date="2026-08-01T20:23:00Z" w:initials="">
    <w:p w14:paraId="6A397B10">
      <w:pPr>
        <w:pStyle w:val="11"/>
      </w:pPr>
      <w:r>
        <w:annotationRef/>
      </w:r>
    </w:p>
  </w:comment>
  <w:comment w:id="27" w:author="李强" w:date="2026-08-01T20:23:00Z" w:initials="">
    <w:p w14:paraId="00476B1B">
      <w:pPr>
        <w:pStyle w:val="11"/>
      </w:pPr>
      <w:r>
        <w:annotationRef/>
      </w:r>
    </w:p>
  </w:comment>
  <w:comment w:id="28" w:author="陈 蓝" w:date="2026-08-10T15:51:00Z" w:initials="陈蓝">
    <w:p w14:paraId="73311751">
      <w:pPr>
        <w:pStyle w:val="11"/>
      </w:pPr>
      <w:r>
        <w:rPr>
          <w:rFonts w:hint="eastAsia"/>
        </w:rPr>
        <w:t>已核实</w:t>
      </w:r>
    </w:p>
  </w:comment>
  <w:comment w:id="29" w:author="陈 蓝" w:date="2026-08-06T11:04:00Z" w:initials="陈蓝">
    <w:p w14:paraId="2F2B92F2">
      <w:pPr>
        <w:pStyle w:val="11"/>
      </w:pPr>
      <w:r>
        <w:rPr>
          <w:rFonts w:hint="eastAsia"/>
        </w:rPr>
        <w:t>已修正</w:t>
      </w:r>
    </w:p>
  </w:comment>
  <w:comment w:id="30" w:author="李强" w:date="2026-08-01T20:24:00Z" w:initials="">
    <w:p w14:paraId="3B6A1DA8">
      <w:pPr>
        <w:pStyle w:val="11"/>
      </w:pPr>
      <w:r>
        <w:annotationRef/>
      </w:r>
    </w:p>
  </w:comment>
  <w:comment w:id="31" w:author="陈 蓝" w:date="2026-08-06T11:11:00Z" w:initials="陈蓝">
    <w:p w14:paraId="79D9D75B">
      <w:pPr>
        <w:pStyle w:val="11"/>
      </w:pPr>
      <w:r>
        <w:rPr>
          <w:rFonts w:hint="eastAsia"/>
        </w:rPr>
        <w:t>已补充</w:t>
      </w:r>
    </w:p>
  </w:comment>
  <w:comment w:id="32" w:author="李强" w:date="2026-08-01T20:07:00Z" w:initials="">
    <w:p w14:paraId="604ECD7E">
      <w:pPr>
        <w:pStyle w:val="11"/>
      </w:pPr>
      <w:r>
        <w:annotationRef/>
      </w:r>
    </w:p>
  </w:comment>
  <w:comment w:id="33" w:author="陈 蓝" w:date="2026-08-06T11:15:00Z" w:initials="陈蓝">
    <w:p w14:paraId="2130E7F5">
      <w:pPr>
        <w:pStyle w:val="11"/>
      </w:pPr>
      <w:r>
        <w:rPr>
          <w:rFonts w:hint="eastAsia"/>
        </w:rPr>
        <w:t>已修正</w:t>
      </w:r>
    </w:p>
  </w:comment>
  <w:comment w:id="34" w:author="李强" w:date="2026-08-01T20:08:00Z" w:initials="">
    <w:p w14:paraId="3637FC67">
      <w:pPr>
        <w:pStyle w:val="11"/>
      </w:pPr>
      <w:r>
        <w:annotationRef/>
      </w:r>
    </w:p>
  </w:comment>
  <w:comment w:id="35" w:author="陈 蓝" w:date="2026-08-06T11:16:00Z" w:initials="陈蓝">
    <w:p w14:paraId="0EB08E1D">
      <w:pPr>
        <w:pStyle w:val="11"/>
      </w:pPr>
      <w:r>
        <w:rPr>
          <w:rFonts w:hint="eastAsia"/>
        </w:rPr>
        <w:t>已修正</w:t>
      </w:r>
    </w:p>
  </w:comment>
  <w:comment w:id="36" w:author="李强" w:date="2026-08-01T20:25:00Z" w:initials="">
    <w:p w14:paraId="38856A1D">
      <w:pPr>
        <w:pStyle w:val="11"/>
      </w:pPr>
      <w:r>
        <w:annotationRef/>
      </w:r>
    </w:p>
  </w:comment>
  <w:comment w:id="37" w:author="陈 蓝" w:date="2026-08-10T11:33:00Z" w:initials="陈蓝">
    <w:p w14:paraId="67904890">
      <w:pPr>
        <w:pStyle w:val="11"/>
      </w:pPr>
      <w:r>
        <w:rPr>
          <w:rFonts w:hint="eastAsia"/>
        </w:rPr>
        <w:t>已细化施工便道设计情况</w:t>
      </w:r>
    </w:p>
  </w:comment>
  <w:comment w:id="38" w:author="李强" w:date="2026-08-01T20:25:00Z" w:initials="">
    <w:p w14:paraId="0A25C4F1">
      <w:pPr>
        <w:pStyle w:val="11"/>
      </w:pPr>
      <w:r>
        <w:rPr>
          <w:rFonts w:hint="eastAsia"/>
        </w:rPr>
        <w:t>桥梁施工场地、是否有预制</w:t>
      </w:r>
    </w:p>
  </w:comment>
  <w:comment w:id="39" w:author="陈 蓝" w:date="2026-08-10T16:14:00Z" w:initials="陈蓝">
    <w:p w14:paraId="1EA2045F">
      <w:pPr>
        <w:pStyle w:val="11"/>
      </w:pPr>
      <w:r>
        <w:rPr>
          <w:rFonts w:hint="eastAsia"/>
        </w:rPr>
        <w:t>已在施工方案和工程内容部分补充明确</w:t>
      </w:r>
    </w:p>
  </w:comment>
  <w:comment w:id="40" w:author="李强" w:date="2026-08-01T20:40:00Z" w:initials="">
    <w:p w14:paraId="3E347EEB">
      <w:pPr>
        <w:pStyle w:val="11"/>
      </w:pPr>
      <w:r>
        <w:rPr>
          <w:rFonts w:hint="eastAsia"/>
        </w:rPr>
        <w:t>废沥青</w:t>
      </w:r>
    </w:p>
  </w:comment>
  <w:comment w:id="41" w:author="陈 蓝" w:date="2026-08-10T13:58:00Z" w:initials="陈蓝">
    <w:p w14:paraId="4ED90B05">
      <w:pPr>
        <w:pStyle w:val="11"/>
      </w:pPr>
      <w:r>
        <w:rPr>
          <w:rFonts w:hint="eastAsia"/>
        </w:rPr>
        <w:t>废沥青部分在土方平衡专项论证报告中作为建筑垃圾部分单独统计，本报告也归入建筑垃圾部分论述，土石方平衡中已包含，不单独论述</w:t>
      </w:r>
    </w:p>
  </w:comment>
  <w:comment w:id="42" w:author="李强" w:date="2026-08-01T20:40:00Z" w:initials="">
    <w:p w14:paraId="1E479492">
      <w:pPr>
        <w:pStyle w:val="11"/>
      </w:pPr>
      <w:r>
        <w:rPr>
          <w:rFonts w:hint="eastAsia"/>
        </w:rPr>
        <w:t>报告中车流量预测内容也要有的</w:t>
      </w:r>
    </w:p>
  </w:comment>
  <w:comment w:id="43" w:author="陈 蓝" w:date="2026-08-10T16:11:00Z" w:initials="陈蓝">
    <w:p w14:paraId="24410204">
      <w:pPr>
        <w:pStyle w:val="11"/>
      </w:pPr>
      <w:r>
        <w:rPr>
          <w:rFonts w:hint="eastAsia"/>
        </w:rPr>
        <w:t>已补充至</w:t>
      </w:r>
      <w:r>
        <w:t>2.2.2</w:t>
      </w:r>
    </w:p>
  </w:comment>
  <w:comment w:id="44" w:author="李强" w:date="2026-08-01T20:26:00Z" w:initials="">
    <w:p w14:paraId="1FA379C3">
      <w:pPr>
        <w:pStyle w:val="11"/>
      </w:pPr>
      <w:r>
        <w:rPr>
          <w:rFonts w:hint="eastAsia"/>
        </w:rPr>
        <w:t>桥梁施工也不设沉淀池吗</w:t>
      </w:r>
    </w:p>
  </w:comment>
  <w:comment w:id="45" w:author="陈 蓝" w:date="2026-08-10T16:26:00Z" w:initials="陈蓝">
    <w:p w14:paraId="78EBE9A9">
      <w:pPr>
        <w:pStyle w:val="11"/>
      </w:pPr>
      <w:r>
        <w:rPr>
          <w:rFonts w:hint="eastAsia"/>
        </w:rPr>
        <w:t>已明确</w:t>
      </w:r>
    </w:p>
  </w:comment>
  <w:comment w:id="46" w:author="李强" w:date="2026-08-01T20:31:00Z" w:initials="">
    <w:p w14:paraId="0B919697">
      <w:pPr>
        <w:pStyle w:val="11"/>
      </w:pPr>
      <w:r>
        <w:rPr>
          <w:rFonts w:hint="eastAsia"/>
        </w:rPr>
        <w:t>没有施工场地吗</w:t>
      </w:r>
    </w:p>
    <w:p w14:paraId="1EDF6BBE">
      <w:pPr>
        <w:pStyle w:val="11"/>
      </w:pPr>
      <w:r>
        <w:rPr>
          <w:rFonts w:hint="eastAsia"/>
        </w:rPr>
        <w:t>是否有围堰、是否有沉淀池</w:t>
      </w:r>
    </w:p>
    <w:p w14:paraId="055169F8">
      <w:pPr>
        <w:pStyle w:val="11"/>
      </w:pPr>
      <w:r>
        <w:rPr>
          <w:rFonts w:hint="eastAsia"/>
        </w:rPr>
        <w:t>是否有淤泥</w:t>
      </w:r>
    </w:p>
  </w:comment>
  <w:comment w:id="47" w:author="陈 蓝" w:date="2026-08-20T14:43:00Z" w:initials="陈蓝">
    <w:p w14:paraId="783E6787">
      <w:pPr>
        <w:pStyle w:val="11"/>
      </w:pPr>
      <w:r>
        <w:rPr>
          <w:rFonts w:hint="eastAsia"/>
        </w:rPr>
        <w:t>已补充</w:t>
      </w:r>
    </w:p>
  </w:comment>
  <w:comment w:id="48" w:author="李强" w:date="2026-08-01T20:08:00Z" w:initials="">
    <w:p w14:paraId="02B096E6">
      <w:pPr>
        <w:pStyle w:val="11"/>
      </w:pPr>
      <w:r>
        <w:annotationRef/>
      </w:r>
    </w:p>
  </w:comment>
  <w:comment w:id="49" w:author="陈 蓝" w:date="2026-08-06T13:47:00Z" w:initials="陈蓝">
    <w:p w14:paraId="455D90B5">
      <w:pPr>
        <w:pStyle w:val="11"/>
      </w:pPr>
      <w:r>
        <w:rPr>
          <w:rFonts w:hint="eastAsia"/>
        </w:rPr>
        <w:t>已修正</w:t>
      </w:r>
    </w:p>
  </w:comment>
  <w:comment w:id="50" w:author="李强" w:date="2026-08-01T20:08:00Z" w:initials="">
    <w:p w14:paraId="43037058">
      <w:pPr>
        <w:pStyle w:val="11"/>
      </w:pPr>
      <w:r>
        <w:annotationRef/>
      </w:r>
    </w:p>
  </w:comment>
  <w:comment w:id="51" w:author="陈 蓝" w:date="2026-08-06T14:00:00Z" w:initials="陈蓝">
    <w:p w14:paraId="057E71EC">
      <w:pPr>
        <w:pStyle w:val="11"/>
      </w:pPr>
      <w:r>
        <w:rPr>
          <w:rFonts w:hint="eastAsia"/>
        </w:rPr>
        <w:t>已修正</w:t>
      </w:r>
    </w:p>
  </w:comment>
  <w:comment w:id="52" w:author="李强" w:date="2026-08-01T20:32:00Z" w:initials="">
    <w:p w14:paraId="6787F2D3">
      <w:pPr>
        <w:pStyle w:val="11"/>
      </w:pPr>
      <w:r>
        <w:rPr>
          <w:rFonts w:hint="eastAsia"/>
        </w:rPr>
        <w:t>更新</w:t>
      </w:r>
    </w:p>
  </w:comment>
  <w:comment w:id="53" w:author="陈 蓝" w:date="2026-08-10T16:43:00Z" w:initials="陈蓝">
    <w:p w14:paraId="02440FA7">
      <w:pPr>
        <w:pStyle w:val="11"/>
      </w:pPr>
      <w:r>
        <w:rPr>
          <w:rFonts w:hint="eastAsia"/>
        </w:rPr>
        <w:t>杭州市和钱塘区均未发布2025年数据，参照近期其他相关项目暂时引用2024年大气环境公报数据</w:t>
      </w:r>
    </w:p>
  </w:comment>
  <w:comment w:id="54" w:author="李强" w:date="2026-08-01T20:34:00Z" w:initials="">
    <w:p w14:paraId="198136C9">
      <w:pPr>
        <w:pStyle w:val="11"/>
      </w:pPr>
      <w:r>
        <w:annotationRef/>
      </w:r>
    </w:p>
  </w:comment>
  <w:comment w:id="55" w:author="李强" w:date="2026-08-01T20:34:00Z" w:initials="">
    <w:p w14:paraId="26578A82">
      <w:pPr>
        <w:pStyle w:val="11"/>
      </w:pPr>
      <w:r>
        <w:rPr>
          <w:rFonts w:hint="eastAsia"/>
        </w:rPr>
        <w:t>现状</w:t>
      </w:r>
    </w:p>
  </w:comment>
  <w:comment w:id="56" w:author="陈 蓝" w:date="2026-08-06T14:39:00Z" w:initials="陈蓝">
    <w:p w14:paraId="2943E8A8">
      <w:pPr>
        <w:pStyle w:val="11"/>
      </w:pPr>
      <w:r>
        <w:rPr>
          <w:rFonts w:hint="eastAsia"/>
        </w:rPr>
        <w:t>已补充</w:t>
      </w:r>
    </w:p>
  </w:comment>
  <w:comment w:id="57" w:author="李强" w:date="2026-08-01T20:36:00Z" w:initials="">
    <w:p w14:paraId="03F41A1A">
      <w:pPr>
        <w:pStyle w:val="11"/>
      </w:pPr>
      <w:r>
        <w:rPr>
          <w:rFonts w:hint="eastAsia"/>
        </w:rPr>
        <w:t>这个影响还是不小的</w:t>
      </w:r>
    </w:p>
  </w:comment>
  <w:comment w:id="58" w:author="陈 蓝" w:date="2026-08-06T14:51:00Z" w:initials="陈蓝">
    <w:p w14:paraId="7E8B3D2F">
      <w:pPr>
        <w:pStyle w:val="11"/>
      </w:pPr>
      <w:r>
        <w:rPr>
          <w:rFonts w:hint="eastAsia"/>
        </w:rPr>
        <w:t>已修改结果表述</w:t>
      </w:r>
    </w:p>
  </w:comment>
  <w:comment w:id="59" w:author="李强" w:date="2026-08-01T20:36:00Z" w:initials="">
    <w:p w14:paraId="53005B7C">
      <w:pPr>
        <w:pStyle w:val="11"/>
      </w:pPr>
      <w:r>
        <w:annotationRef/>
      </w:r>
    </w:p>
  </w:comment>
  <w:comment w:id="60" w:author="李强" w:date="2026-08-01T20:36:00Z" w:initials="">
    <w:p w14:paraId="7846BB3D">
      <w:pPr>
        <w:pStyle w:val="11"/>
      </w:pPr>
      <w:r>
        <w:rPr>
          <w:rFonts w:hint="eastAsia"/>
        </w:rPr>
        <w:t>过渡之后 的也要执行</w:t>
      </w:r>
    </w:p>
  </w:comment>
  <w:comment w:id="61" w:author="陈 蓝" w:date="2026-08-10T14:25:00Z" w:initials="陈蓝">
    <w:p w14:paraId="5E29788A">
      <w:pPr>
        <w:pStyle w:val="11"/>
      </w:pPr>
      <w:r>
        <w:rPr>
          <w:rFonts w:hint="eastAsia"/>
        </w:rPr>
        <w:t>已补充</w:t>
      </w:r>
    </w:p>
  </w:comment>
  <w:comment w:id="62" w:author="李强" w:date="2026-08-01T20:39:00Z" w:initials="">
    <w:p w14:paraId="526A4DA2">
      <w:pPr>
        <w:pStyle w:val="11"/>
      </w:pPr>
      <w:r>
        <w:rPr>
          <w:rFonts w:hint="eastAsia"/>
        </w:rPr>
        <w:t>核实</w:t>
      </w:r>
    </w:p>
  </w:comment>
  <w:comment w:id="63" w:author="陈 蓝" w:date="2026-08-10T14:34:00Z" w:initials="陈蓝">
    <w:p w14:paraId="7935BA79">
      <w:pPr>
        <w:pStyle w:val="11"/>
      </w:pPr>
      <w:r>
        <w:rPr>
          <w:rFonts w:hint="eastAsia"/>
        </w:rPr>
        <w:t>已进行核实修改</w:t>
      </w:r>
    </w:p>
  </w:comment>
  <w:comment w:id="64" w:author="李强" w:date="2026-08-01T20:39:00Z" w:initials="">
    <w:p w14:paraId="319A04D3">
      <w:pPr>
        <w:pStyle w:val="11"/>
      </w:pPr>
      <w:r>
        <w:rPr>
          <w:rFonts w:hint="eastAsia"/>
        </w:rPr>
        <w:t>怎么设置的</w:t>
      </w:r>
    </w:p>
  </w:comment>
  <w:comment w:id="65" w:author="陈 蓝" w:date="2026-08-06T17:19:00Z" w:initials="陈蓝">
    <w:p w14:paraId="772C6336">
      <w:pPr>
        <w:pStyle w:val="11"/>
      </w:pPr>
      <w:r>
        <w:rPr>
          <w:rFonts w:hint="eastAsia"/>
        </w:rPr>
        <w:t>已补充围堰施工细节</w:t>
      </w:r>
    </w:p>
  </w:comment>
  <w:comment w:id="66" w:author="李强" w:date="2026-08-01T20:41:00Z" w:initials="">
    <w:p w14:paraId="45A3F693">
      <w:pPr>
        <w:pStyle w:val="11"/>
      </w:pPr>
      <w:r>
        <w:rPr>
          <w:rFonts w:hint="eastAsia"/>
        </w:rPr>
        <w:t>废沥青量及处置方式</w:t>
      </w:r>
    </w:p>
  </w:comment>
  <w:comment w:id="67" w:author="陈 蓝" w:date="2026-08-10T14:40:00Z" w:initials="陈蓝">
    <w:p w14:paraId="6412F543">
      <w:pPr>
        <w:pStyle w:val="11"/>
      </w:pPr>
      <w:r>
        <w:rPr>
          <w:rFonts w:hint="eastAsia"/>
        </w:rPr>
        <w:t>废沥青已包含统计于拆除垃圾中，拆除垃圾一部分可以利用的将利用于路基填筑，不可利用的部分如废沥青将外运至弃渣场</w:t>
      </w:r>
    </w:p>
  </w:comment>
  <w:comment w:id="68" w:author="李强" w:date="2026-08-01T20:41:00Z" w:initials="">
    <w:p w14:paraId="624D6DAE">
      <w:pPr>
        <w:pStyle w:val="11"/>
      </w:pPr>
      <w:r>
        <w:annotationRef/>
      </w:r>
    </w:p>
  </w:comment>
  <w:comment w:id="69" w:author="李强" w:date="2026-08-01T20:43:00Z" w:initials="">
    <w:p w14:paraId="5B871227">
      <w:pPr>
        <w:pStyle w:val="11"/>
      </w:pPr>
      <w:r>
        <w:rPr>
          <w:rFonts w:hint="eastAsia"/>
        </w:rPr>
        <w:t>核实</w:t>
      </w:r>
    </w:p>
  </w:comment>
  <w:comment w:id="70" w:author="陈 蓝" w:date="2026-08-10T14:43:00Z" w:initials="陈蓝">
    <w:p w14:paraId="450F861F">
      <w:pPr>
        <w:pStyle w:val="11"/>
      </w:pPr>
      <w:r>
        <w:rPr>
          <w:rFonts w:hint="eastAsia"/>
        </w:rPr>
        <w:t>已修改处理去向</w:t>
      </w:r>
    </w:p>
  </w:comment>
  <w:comment w:id="71" w:author="李强" w:date="2026-08-01T20:43:00Z" w:initials="">
    <w:p w14:paraId="2F8ABD19">
      <w:pPr>
        <w:pStyle w:val="11"/>
      </w:pPr>
      <w:r>
        <w:rPr>
          <w:rFonts w:hint="eastAsia"/>
        </w:rPr>
        <w:t>核实</w:t>
      </w:r>
    </w:p>
  </w:comment>
  <w:comment w:id="72" w:author="陈 蓝" w:date="2026-08-06T18:11:00Z" w:initials="陈蓝">
    <w:p w14:paraId="799C3A8A">
      <w:pPr>
        <w:pStyle w:val="11"/>
      </w:pPr>
      <w:r>
        <w:rPr>
          <w:rFonts w:hint="eastAsia"/>
        </w:rPr>
        <w:t>已核实更正</w:t>
      </w:r>
    </w:p>
  </w:comment>
  <w:comment w:id="73" w:author="李强" w:date="2026-08-01T20:44:00Z" w:initials="">
    <w:p w14:paraId="4364BA40">
      <w:pPr>
        <w:pStyle w:val="11"/>
      </w:pPr>
      <w:r>
        <w:rPr>
          <w:rFonts w:hint="eastAsia"/>
        </w:rPr>
        <w:t>施工期</w:t>
      </w:r>
      <w:r>
        <w:rPr>
          <w:rFonts w:hint="eastAsia"/>
          <w:color w:val="000000"/>
          <w:sz w:val="18"/>
          <w:szCs w:val="18"/>
          <w:lang w:bidi="ar"/>
        </w:rPr>
        <w:t>河庄横河</w:t>
      </w:r>
    </w:p>
  </w:comment>
  <w:comment w:id="74" w:author="陈 蓝" w:date="2026-08-07T18:17:00Z" w:initials="陈蓝">
    <w:p w14:paraId="49E65F3C">
      <w:pPr>
        <w:pStyle w:val="11"/>
      </w:pPr>
      <w:r>
        <w:rPr>
          <w:rFonts w:hint="eastAsia"/>
        </w:rPr>
        <w:t>已补充</w:t>
      </w:r>
    </w:p>
  </w:comment>
  <w:comment w:id="75" w:author="李强" w:date="2026-08-01T20:09:00Z" w:initials="">
    <w:p w14:paraId="2E952B10">
      <w:pPr>
        <w:pStyle w:val="11"/>
      </w:pPr>
      <w:r>
        <w:annotationRef/>
      </w:r>
    </w:p>
  </w:comment>
  <w:comment w:id="76" w:author="陈 蓝" w:date="2026-08-07T09:08:00Z" w:initials="陈蓝">
    <w:p w14:paraId="2FDE4FEF">
      <w:pPr>
        <w:pStyle w:val="11"/>
      </w:pPr>
      <w:r>
        <w:rPr>
          <w:rFonts w:hint="eastAsia"/>
        </w:rPr>
        <w:t>已修正</w:t>
      </w:r>
    </w:p>
  </w:comment>
  <w:comment w:id="77" w:author="李强" w:date="2026-08-01T20:47:00Z" w:initials="">
    <w:p w14:paraId="1D1A5064">
      <w:pPr>
        <w:pStyle w:val="11"/>
      </w:pPr>
      <w:r>
        <w:annotationRef/>
      </w:r>
    </w:p>
  </w:comment>
  <w:comment w:id="78" w:author="陈 蓝" w:date="2026-08-20T10:42:00Z" w:initials="陈蓝">
    <w:p w14:paraId="769F6E05">
      <w:pPr>
        <w:pStyle w:val="11"/>
      </w:pPr>
      <w:r>
        <w:rPr>
          <w:rFonts w:hint="eastAsia"/>
        </w:rPr>
        <w:t>已补充</w:t>
      </w:r>
    </w:p>
  </w:comment>
  <w:comment w:id="79" w:author="李强" w:date="2026-08-01T20:48:00Z" w:initials="">
    <w:p w14:paraId="77BBAD89">
      <w:pPr>
        <w:pStyle w:val="11"/>
      </w:pPr>
      <w:r>
        <w:rPr>
          <w:rFonts w:hint="eastAsia"/>
        </w:rPr>
        <w:t>是绝对是还是相对数</w:t>
      </w:r>
    </w:p>
  </w:comment>
  <w:comment w:id="80" w:author="陈 蓝" w:date="2026-08-07T09:17:00Z" w:initials="陈蓝">
    <w:p w14:paraId="506ADC9F">
      <w:pPr>
        <w:pStyle w:val="11"/>
      </w:pPr>
      <w:r>
        <w:rPr>
          <w:rFonts w:hint="eastAsia"/>
        </w:rPr>
        <w:t>车型比例为相对数</w:t>
      </w:r>
    </w:p>
  </w:comment>
  <w:comment w:id="81" w:author="李强" w:date="2026-08-20T18:06:00Z" w:initials="">
    <w:p w14:paraId="1B623E38">
      <w:pPr>
        <w:pStyle w:val="11"/>
      </w:pPr>
      <w:r>
        <w:rPr>
          <w:rFonts w:hint="eastAsia"/>
        </w:rPr>
        <w:t>标注说明下</w:t>
      </w:r>
    </w:p>
  </w:comment>
  <w:comment w:id="82" w:author="陈 蓝" w:date="2026-08-21T09:26:00Z" w:initials="陈蓝">
    <w:p w14:paraId="7AC9B6A7">
      <w:pPr>
        <w:pStyle w:val="11"/>
      </w:pPr>
      <w:r>
        <w:rPr>
          <w:rFonts w:hint="eastAsia"/>
        </w:rPr>
        <w:t>已添加说明</w:t>
      </w:r>
    </w:p>
  </w:comment>
  <w:comment w:id="83" w:author="李强" w:date="2026-08-01T21:02:00Z" w:initials="">
    <w:p w14:paraId="5EBA244C">
      <w:pPr>
        <w:pStyle w:val="11"/>
      </w:pPr>
      <w:r>
        <w:rPr>
          <w:rFonts w:hint="eastAsia"/>
        </w:rPr>
        <w:t>结合车流量和车速核实</w:t>
      </w:r>
    </w:p>
    <w:p w14:paraId="600CDE56">
      <w:pPr>
        <w:pStyle w:val="11"/>
      </w:pPr>
    </w:p>
  </w:comment>
  <w:comment w:id="84" w:author="陈 蓝" w:date="2026-08-10T15:38:00Z" w:initials="陈蓝">
    <w:p w14:paraId="76DE9D38">
      <w:pPr>
        <w:pStyle w:val="11"/>
      </w:pPr>
      <w:r>
        <w:rPr>
          <w:rFonts w:hint="eastAsia"/>
        </w:rPr>
        <w:t>已核实</w:t>
      </w:r>
    </w:p>
  </w:comment>
  <w:comment w:id="85" w:author="李强" w:date="2026-08-01T20:36:00Z" w:initials="">
    <w:p w14:paraId="7B50AC88">
      <w:pPr>
        <w:pStyle w:val="11"/>
        <w:spacing w:before="31"/>
      </w:pPr>
      <w:r>
        <w:rPr>
          <w:rFonts w:hint="eastAsia"/>
        </w:rPr>
        <w:t>这个影响还是不小的</w:t>
      </w:r>
    </w:p>
  </w:comment>
  <w:comment w:id="86" w:author="陈 蓝" w:date="2026-08-06T14:51:00Z" w:initials="陈蓝">
    <w:p w14:paraId="60F7E5C6">
      <w:pPr>
        <w:pStyle w:val="11"/>
        <w:spacing w:before="31"/>
      </w:pPr>
      <w:r>
        <w:rPr>
          <w:rFonts w:hint="eastAsia"/>
        </w:rPr>
        <w:t>已修改结果表述</w:t>
      </w:r>
    </w:p>
  </w:comment>
  <w:comment w:id="87" w:author="李强" w:date="2026-08-01T20:51:00Z" w:initials="">
    <w:p w14:paraId="135B0155">
      <w:pPr>
        <w:pStyle w:val="11"/>
      </w:pPr>
      <w:r>
        <w:annotationRef/>
      </w:r>
    </w:p>
  </w:comment>
  <w:comment w:id="88" w:author="陈 蓝" w:date="2026-08-10T15:38:00Z" w:initials="陈蓝">
    <w:p w14:paraId="3FAE457D">
      <w:pPr>
        <w:pStyle w:val="11"/>
      </w:pPr>
      <w:r>
        <w:rPr>
          <w:rFonts w:hint="eastAsia"/>
        </w:rPr>
        <w:t>已修正</w:t>
      </w:r>
    </w:p>
  </w:comment>
  <w:comment w:id="89" w:author="李强" w:date="2026-08-01T20:55:00Z" w:initials="">
    <w:p w14:paraId="4C32B6CF">
      <w:pPr>
        <w:pStyle w:val="11"/>
      </w:pPr>
      <w:r>
        <w:annotationRef/>
      </w:r>
    </w:p>
  </w:comment>
  <w:comment w:id="90" w:author="陈 蓝" w:date="2026-08-10T15:39:00Z" w:initials="陈蓝">
    <w:p w14:paraId="02DB28DB">
      <w:pPr>
        <w:pStyle w:val="11"/>
      </w:pPr>
      <w:r>
        <w:rPr>
          <w:rFonts w:hint="eastAsia"/>
        </w:rPr>
        <w:t>已补充近期</w:t>
      </w:r>
    </w:p>
  </w:comment>
  <w:comment w:id="91" w:author="李强" w:date="2026-08-01T20:09:00Z" w:initials="">
    <w:p w14:paraId="0A741A04">
      <w:pPr>
        <w:pStyle w:val="11"/>
      </w:pPr>
      <w:r>
        <w:annotationRef/>
      </w:r>
    </w:p>
  </w:comment>
  <w:comment w:id="92" w:author="陈 蓝" w:date="2026-08-10T15:39:00Z" w:initials="陈蓝">
    <w:p w14:paraId="7D33D274">
      <w:pPr>
        <w:pStyle w:val="11"/>
      </w:pPr>
      <w:r>
        <w:rPr>
          <w:rFonts w:hint="eastAsia"/>
        </w:rPr>
        <w:t>已修正</w:t>
      </w:r>
    </w:p>
  </w:comment>
  <w:comment w:id="93" w:author="陈 蓝" w:date="2026-08-21T09:27:00Z" w:initials="陈蓝">
    <w:p w14:paraId="4348EC71">
      <w:pPr>
        <w:pStyle w:val="11"/>
      </w:pPr>
      <w:r>
        <w:rPr>
          <w:rFonts w:hint="eastAsia"/>
        </w:rPr>
        <w:t>已修正</w:t>
      </w:r>
    </w:p>
  </w:comment>
  <w:comment w:id="94" w:author="李强" w:date="2026-08-01T20:54:00Z" w:initials="">
    <w:p w14:paraId="4DBEF0AB">
      <w:pPr>
        <w:pStyle w:val="11"/>
      </w:pPr>
      <w:r>
        <w:rPr>
          <w:rFonts w:hint="eastAsia"/>
        </w:rPr>
        <w:t>预测近期怎么没有</w:t>
      </w:r>
    </w:p>
    <w:p w14:paraId="464C9305">
      <w:pPr>
        <w:pStyle w:val="11"/>
      </w:pPr>
      <w:r>
        <w:rPr>
          <w:rFonts w:hint="eastAsia"/>
        </w:rPr>
        <w:t>难道所有的都是7年后开发</w:t>
      </w:r>
    </w:p>
    <w:p w14:paraId="0D15263B">
      <w:pPr>
        <w:pStyle w:val="11"/>
      </w:pPr>
      <w:r>
        <w:rPr>
          <w:rFonts w:hint="eastAsia"/>
        </w:rPr>
        <w:t>近期预测了也没有影响，稳妥点最好也预测下</w:t>
      </w:r>
    </w:p>
  </w:comment>
  <w:comment w:id="95" w:author="陈 蓝" w:date="2026-08-11T08:41:00Z" w:initials="陈蓝">
    <w:p w14:paraId="48F02954">
      <w:pPr>
        <w:pStyle w:val="11"/>
      </w:pPr>
      <w:r>
        <w:rPr>
          <w:rFonts w:hint="eastAsia"/>
        </w:rPr>
        <w:t>已补充</w:t>
      </w:r>
    </w:p>
  </w:comment>
  <w:comment w:id="96" w:author="李强" w:date="2026-08-01T20:51:00Z" w:initials="">
    <w:p w14:paraId="2260D1DE">
      <w:pPr>
        <w:pStyle w:val="11"/>
      </w:pPr>
      <w:r>
        <w:rPr>
          <w:rFonts w:hint="eastAsia"/>
        </w:rPr>
        <w:t>有测背景值啊</w:t>
      </w:r>
    </w:p>
  </w:comment>
  <w:comment w:id="97" w:author="李强" w:date="2026-08-01T20:52:00Z" w:initials="">
    <w:p w14:paraId="518FB7B8">
      <w:pPr>
        <w:pStyle w:val="11"/>
        <w:ind w:left="1320" w:hanging="480"/>
      </w:pPr>
      <w:r>
        <w:rPr>
          <w:rFonts w:hint="eastAsia"/>
        </w:rPr>
        <w:t>要要评价预测值的，不是评价贡献值</w:t>
      </w:r>
    </w:p>
  </w:comment>
  <w:comment w:id="98" w:author="李强" w:date="2026-08-01T20:54:00Z" w:initials="">
    <w:p w14:paraId="1C742A98">
      <w:pPr>
        <w:pStyle w:val="11"/>
        <w:ind w:left="1320" w:hanging="480"/>
      </w:pPr>
      <w:r>
        <w:rPr>
          <w:rFonts w:hint="eastAsia"/>
        </w:rPr>
        <w:t>超标量怎么没有分析</w:t>
      </w:r>
    </w:p>
  </w:comment>
  <w:comment w:id="99" w:author="李强" w:date="2026-08-01T20:52:00Z" w:initials="">
    <w:p w14:paraId="7D7DAA0E">
      <w:pPr>
        <w:pStyle w:val="11"/>
      </w:pPr>
      <w:r>
        <w:rPr>
          <w:rFonts w:hint="eastAsia"/>
        </w:rPr>
        <w:t>要要评价预测值的，不是评价贡献值</w:t>
      </w:r>
    </w:p>
  </w:comment>
  <w:comment w:id="100" w:author="李强" w:date="2026-08-01T20:54:00Z" w:initials="">
    <w:p w14:paraId="7C982E6B">
      <w:pPr>
        <w:pStyle w:val="11"/>
      </w:pPr>
      <w:r>
        <w:rPr>
          <w:rFonts w:hint="eastAsia"/>
        </w:rPr>
        <w:t>超标量怎么没有分析</w:t>
      </w:r>
    </w:p>
  </w:comment>
  <w:comment w:id="101" w:author="李强" w:date="2026-08-01T20:53:00Z" w:initials="">
    <w:p w14:paraId="2F516FBE">
      <w:pPr>
        <w:pStyle w:val="11"/>
      </w:pPr>
      <w:r>
        <w:rPr>
          <w:rFonts w:hint="eastAsia"/>
        </w:rPr>
        <w:t>总要给出规划保护目标和预测点吧</w:t>
      </w:r>
    </w:p>
    <w:p w14:paraId="3415E302">
      <w:pPr>
        <w:pStyle w:val="11"/>
      </w:pPr>
      <w:r>
        <w:rPr>
          <w:rFonts w:hint="eastAsia"/>
        </w:rPr>
        <w:t>立面图</w:t>
      </w:r>
    </w:p>
  </w:comment>
  <w:comment w:id="102" w:author="陈 蓝" w:date="2026-08-20T15:19:00Z" w:initials="陈蓝">
    <w:p w14:paraId="2D41EDA0">
      <w:pPr>
        <w:pStyle w:val="11"/>
      </w:pPr>
      <w:r>
        <w:rPr>
          <w:rFonts w:hint="eastAsia"/>
        </w:rPr>
        <w:t>已加上</w:t>
      </w:r>
    </w:p>
  </w:comment>
  <w:comment w:id="103" w:author="李强" w:date="2026-08-01T20:56:00Z" w:initials="">
    <w:p w14:paraId="556CE31D">
      <w:pPr>
        <w:pStyle w:val="11"/>
      </w:pPr>
      <w:r>
        <w:rPr>
          <w:rFonts w:hint="eastAsia"/>
        </w:rPr>
        <w:t>结论和专项的表完全不一致啊</w:t>
      </w:r>
    </w:p>
  </w:comment>
  <w:comment w:id="104" w:author="陈 蓝" w:date="2026-08-11T16:41:00Z" w:initials="陈蓝">
    <w:p w14:paraId="393D9CA0">
      <w:pPr>
        <w:pStyle w:val="11"/>
      </w:pPr>
      <w:r>
        <w:rPr>
          <w:rFonts w:hint="eastAsia"/>
        </w:rPr>
        <w:t>已修改表述</w:t>
      </w:r>
    </w:p>
  </w:comment>
  <w:comment w:id="105" w:author="陈 蓝" w:date="2026-08-21T10:16:00Z" w:initials="陈蓝">
    <w:p w14:paraId="0EB0AB84">
      <w:pPr>
        <w:pStyle w:val="11"/>
      </w:pPr>
      <w:r>
        <w:rPr>
          <w:rFonts w:hint="eastAsia"/>
        </w:rPr>
        <w:t>已重新表述</w:t>
      </w:r>
    </w:p>
  </w:comment>
  <w:comment w:id="106" w:author="李强" w:date="2026-08-01T20:09:00Z" w:initials="">
    <w:p w14:paraId="3418D740">
      <w:pPr>
        <w:pStyle w:val="11"/>
      </w:pPr>
      <w:r>
        <w:annotationRef/>
      </w:r>
    </w:p>
  </w:comment>
  <w:comment w:id="107" w:author="陈 蓝" w:date="2026-08-20T14:30:00Z" w:initials="陈蓝">
    <w:p w14:paraId="13D407F5">
      <w:pPr>
        <w:pStyle w:val="11"/>
      </w:pPr>
      <w:r>
        <w:rPr>
          <w:rFonts w:hint="eastAsia"/>
        </w:rPr>
        <w:t>已修改</w:t>
      </w:r>
    </w:p>
  </w:comment>
  <w:comment w:id="108" w:author="李强" w:date="2026-08-01T20:57:00Z" w:initials="">
    <w:p w14:paraId="4A93F582">
      <w:pPr>
        <w:pStyle w:val="11"/>
      </w:pPr>
      <w:r>
        <w:annotationRef/>
      </w:r>
    </w:p>
  </w:comment>
  <w:comment w:id="109" w:author="陈 蓝" w:date="2026-08-20T14:30:00Z" w:initials="陈蓝">
    <w:p w14:paraId="0E6667EC">
      <w:pPr>
        <w:pStyle w:val="11"/>
      </w:pPr>
      <w:r>
        <w:rPr>
          <w:rFonts w:hint="eastAsia"/>
        </w:rPr>
        <w:t>已明确</w:t>
      </w:r>
    </w:p>
  </w:comment>
  <w:comment w:id="110" w:author="李强" w:date="2026-08-20T18:10:00Z" w:initials="">
    <w:p w14:paraId="622B25EC">
      <w:pPr>
        <w:pStyle w:val="11"/>
      </w:pPr>
      <w:r>
        <w:rPr>
          <w:rFonts w:hint="eastAsia"/>
        </w:rPr>
        <w:t>室内达标也是达标，</w:t>
      </w:r>
    </w:p>
    <w:p w14:paraId="4B9887DF">
      <w:pPr>
        <w:pStyle w:val="11"/>
      </w:pPr>
      <w:r>
        <w:rPr>
          <w:rFonts w:hint="eastAsia"/>
        </w:rPr>
        <w:t>不达标的话项目不具备审批条件</w:t>
      </w:r>
    </w:p>
    <w:p w14:paraId="07094A34">
      <w:pPr>
        <w:pStyle w:val="11"/>
      </w:pPr>
    </w:p>
  </w:comment>
  <w:comment w:id="111" w:author="陈 蓝" w:date="2026-08-21T10:45:00Z" w:initials="陈蓝">
    <w:p w14:paraId="227CF2D4">
      <w:pPr>
        <w:pStyle w:val="11"/>
      </w:pPr>
      <w:r>
        <w:rPr>
          <w:rFonts w:hint="eastAsia"/>
        </w:rPr>
        <w:t>已修改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B43CF81" w15:done="0"/>
  <w15:commentEx w15:paraId="530E106F" w15:done="0" w15:paraIdParent="4B43CF81"/>
  <w15:commentEx w15:paraId="15A67B71" w15:done="0"/>
  <w15:commentEx w15:paraId="26175D05" w15:done="0" w15:paraIdParent="15A67B71"/>
  <w15:commentEx w15:paraId="5EE2ACFD" w15:done="0"/>
  <w15:commentEx w15:paraId="3D277339" w15:done="0"/>
  <w15:commentEx w15:paraId="68297726" w15:done="0" w15:paraIdParent="3D277339"/>
  <w15:commentEx w15:paraId="04D641C3" w15:done="0"/>
  <w15:commentEx w15:paraId="011E8764" w15:done="0" w15:paraIdParent="04D641C3"/>
  <w15:commentEx w15:paraId="5EFB5FE9" w15:done="0"/>
  <w15:commentEx w15:paraId="09DD2A54" w15:done="0" w15:paraIdParent="5EFB5FE9"/>
  <w15:commentEx w15:paraId="1C45C271" w15:done="0"/>
  <w15:commentEx w15:paraId="3543DEE5" w15:done="0" w15:paraIdParent="1C45C271"/>
  <w15:commentEx w15:paraId="2167B92F" w15:done="0"/>
  <w15:commentEx w15:paraId="354C4E45" w15:done="0"/>
  <w15:commentEx w15:paraId="253133B3" w15:done="0" w15:paraIdParent="354C4E45"/>
  <w15:commentEx w15:paraId="63BF2956" w15:done="0"/>
  <w15:commentEx w15:paraId="777D6EE8" w15:done="0" w15:paraIdParent="63BF2956"/>
  <w15:commentEx w15:paraId="5E972200" w15:done="0"/>
  <w15:commentEx w15:paraId="597DBF5B" w15:done="0" w15:paraIdParent="5E972200"/>
  <w15:commentEx w15:paraId="6DA5BCEE" w15:done="0"/>
  <w15:commentEx w15:paraId="1393BF0D" w15:done="0" w15:paraIdParent="6DA5BCEE"/>
  <w15:commentEx w15:paraId="133CB9F5" w15:done="0"/>
  <w15:commentEx w15:paraId="7D0D8289" w15:done="0"/>
  <w15:commentEx w15:paraId="0CD2B728" w15:done="0" w15:paraIdParent="7D0D8289"/>
  <w15:commentEx w15:paraId="4386B02D" w15:done="0"/>
  <w15:commentEx w15:paraId="6A397B10" w15:done="0"/>
  <w15:commentEx w15:paraId="00476B1B" w15:done="0"/>
  <w15:commentEx w15:paraId="73311751" w15:done="0" w15:paraIdParent="00476B1B"/>
  <w15:commentEx w15:paraId="2F2B92F2" w15:done="0"/>
  <w15:commentEx w15:paraId="3B6A1DA8" w15:done="0"/>
  <w15:commentEx w15:paraId="79D9D75B" w15:done="0" w15:paraIdParent="3B6A1DA8"/>
  <w15:commentEx w15:paraId="604ECD7E" w15:done="0"/>
  <w15:commentEx w15:paraId="2130E7F5" w15:done="0" w15:paraIdParent="604ECD7E"/>
  <w15:commentEx w15:paraId="3637FC67" w15:done="0"/>
  <w15:commentEx w15:paraId="0EB08E1D" w15:done="0" w15:paraIdParent="3637FC67"/>
  <w15:commentEx w15:paraId="38856A1D" w15:done="0"/>
  <w15:commentEx w15:paraId="67904890" w15:done="0" w15:paraIdParent="38856A1D"/>
  <w15:commentEx w15:paraId="0A25C4F1" w15:done="0"/>
  <w15:commentEx w15:paraId="1EA2045F" w15:done="0" w15:paraIdParent="0A25C4F1"/>
  <w15:commentEx w15:paraId="3E347EEB" w15:done="0"/>
  <w15:commentEx w15:paraId="4ED90B05" w15:done="0" w15:paraIdParent="3E347EEB"/>
  <w15:commentEx w15:paraId="1E479492" w15:done="0"/>
  <w15:commentEx w15:paraId="24410204" w15:done="0" w15:paraIdParent="1E479492"/>
  <w15:commentEx w15:paraId="1FA379C3" w15:done="0"/>
  <w15:commentEx w15:paraId="78EBE9A9" w15:done="0" w15:paraIdParent="1FA379C3"/>
  <w15:commentEx w15:paraId="055169F8" w15:done="0"/>
  <w15:commentEx w15:paraId="783E6787" w15:done="0" w15:paraIdParent="055169F8"/>
  <w15:commentEx w15:paraId="02B096E6" w15:done="0"/>
  <w15:commentEx w15:paraId="455D90B5" w15:done="0" w15:paraIdParent="02B096E6"/>
  <w15:commentEx w15:paraId="43037058" w15:done="0"/>
  <w15:commentEx w15:paraId="057E71EC" w15:done="0" w15:paraIdParent="43037058"/>
  <w15:commentEx w15:paraId="6787F2D3" w15:done="0"/>
  <w15:commentEx w15:paraId="02440FA7" w15:done="0" w15:paraIdParent="6787F2D3"/>
  <w15:commentEx w15:paraId="198136C9" w15:done="0"/>
  <w15:commentEx w15:paraId="26578A82" w15:done="0"/>
  <w15:commentEx w15:paraId="2943E8A8" w15:done="0" w15:paraIdParent="26578A82"/>
  <w15:commentEx w15:paraId="03F41A1A" w15:done="0"/>
  <w15:commentEx w15:paraId="7E8B3D2F" w15:done="0" w15:paraIdParent="03F41A1A"/>
  <w15:commentEx w15:paraId="53005B7C" w15:done="0"/>
  <w15:commentEx w15:paraId="7846BB3D" w15:done="0"/>
  <w15:commentEx w15:paraId="5E29788A" w15:done="0" w15:paraIdParent="7846BB3D"/>
  <w15:commentEx w15:paraId="526A4DA2" w15:done="0"/>
  <w15:commentEx w15:paraId="7935BA79" w15:done="0" w15:paraIdParent="526A4DA2"/>
  <w15:commentEx w15:paraId="319A04D3" w15:done="0"/>
  <w15:commentEx w15:paraId="772C6336" w15:done="0" w15:paraIdParent="319A04D3"/>
  <w15:commentEx w15:paraId="45A3F693" w15:done="0"/>
  <w15:commentEx w15:paraId="6412F543" w15:done="0" w15:paraIdParent="45A3F693"/>
  <w15:commentEx w15:paraId="624D6DAE" w15:done="0"/>
  <w15:commentEx w15:paraId="5B871227" w15:done="0"/>
  <w15:commentEx w15:paraId="450F861F" w15:done="0" w15:paraIdParent="5B871227"/>
  <w15:commentEx w15:paraId="2F8ABD19" w15:done="0"/>
  <w15:commentEx w15:paraId="799C3A8A" w15:done="0" w15:paraIdParent="2F8ABD19"/>
  <w15:commentEx w15:paraId="4364BA40" w15:done="0"/>
  <w15:commentEx w15:paraId="49E65F3C" w15:done="0" w15:paraIdParent="4364BA40"/>
  <w15:commentEx w15:paraId="2E952B10" w15:done="0"/>
  <w15:commentEx w15:paraId="2FDE4FEF" w15:done="0" w15:paraIdParent="2E952B10"/>
  <w15:commentEx w15:paraId="1D1A5064" w15:done="0"/>
  <w15:commentEx w15:paraId="769F6E05" w15:done="0" w15:paraIdParent="1D1A5064"/>
  <w15:commentEx w15:paraId="77BBAD89" w15:done="0"/>
  <w15:commentEx w15:paraId="506ADC9F" w15:done="0" w15:paraIdParent="77BBAD89"/>
  <w15:commentEx w15:paraId="1B623E38" w15:done="0" w15:paraIdParent="77BBAD89"/>
  <w15:commentEx w15:paraId="7AC9B6A7" w15:done="0" w15:paraIdParent="77BBAD89"/>
  <w15:commentEx w15:paraId="600CDE56" w15:done="0"/>
  <w15:commentEx w15:paraId="76DE9D38" w15:done="0" w15:paraIdParent="600CDE56"/>
  <w15:commentEx w15:paraId="7B50AC88" w15:done="0"/>
  <w15:commentEx w15:paraId="60F7E5C6" w15:done="0" w15:paraIdParent="7B50AC88"/>
  <w15:commentEx w15:paraId="135B0155" w15:done="0"/>
  <w15:commentEx w15:paraId="3FAE457D" w15:done="0" w15:paraIdParent="135B0155"/>
  <w15:commentEx w15:paraId="4C32B6CF" w15:done="0"/>
  <w15:commentEx w15:paraId="02DB28DB" w15:done="0" w15:paraIdParent="4C32B6CF"/>
  <w15:commentEx w15:paraId="0A741A04" w15:done="0"/>
  <w15:commentEx w15:paraId="7D33D274" w15:done="0" w15:paraIdParent="0A741A04"/>
  <w15:commentEx w15:paraId="4348EC71" w15:done="0"/>
  <w15:commentEx w15:paraId="0D15263B" w15:done="0"/>
  <w15:commentEx w15:paraId="48F02954" w15:done="0" w15:paraIdParent="0D15263B"/>
  <w15:commentEx w15:paraId="2260D1DE" w15:done="0"/>
  <w15:commentEx w15:paraId="518FB7B8" w15:done="0"/>
  <w15:commentEx w15:paraId="1C742A98" w15:done="0"/>
  <w15:commentEx w15:paraId="7D7DAA0E" w15:done="0"/>
  <w15:commentEx w15:paraId="7C982E6B" w15:done="0"/>
  <w15:commentEx w15:paraId="3415E302" w15:done="0"/>
  <w15:commentEx w15:paraId="2D41EDA0" w15:done="0" w15:paraIdParent="3415E302"/>
  <w15:commentEx w15:paraId="556CE31D" w15:done="0"/>
  <w15:commentEx w15:paraId="393D9CA0" w15:done="0" w15:paraIdParent="556CE31D"/>
  <w15:commentEx w15:paraId="0EB0AB84" w15:done="0"/>
  <w15:commentEx w15:paraId="3418D740" w15:done="0"/>
  <w15:commentEx w15:paraId="13D407F5" w15:done="0" w15:paraIdParent="3418D740"/>
  <w15:commentEx w15:paraId="4A93F582" w15:done="0"/>
  <w15:commentEx w15:paraId="0E6667EC" w15:done="0" w15:paraIdParent="4A93F582"/>
  <w15:commentEx w15:paraId="07094A34" w15:done="0" w15:paraIdParent="4A93F582"/>
  <w15:commentEx w15:paraId="227CF2D4" w15:done="0" w15:paraIdParent="4A93F582"/>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Black">
    <w:panose1 w:val="020B0A04020102020204"/>
    <w:charset w:val="00"/>
    <w:family w:val="swiss"/>
    <w:pitch w:val="default"/>
    <w:sig w:usb0="A00002AF" w:usb1="400078FB" w:usb2="00000000" w:usb3="00000000" w:csb0="6000009F" w:csb1="DFD70000"/>
  </w:font>
  <w:font w:name="Arial Unicode MS">
    <w:altName w:val="宋体"/>
    <w:panose1 w:val="020B0604020202020204"/>
    <w:charset w:val="86"/>
    <w:family w:val="roman"/>
    <w:pitch w:val="default"/>
    <w:sig w:usb0="00000000" w:usb1="00000000" w:usb2="0000007F" w:usb3="00000000" w:csb0="203F01FF" w:csb1="D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FZShuSong-Z01">
    <w:altName w:val="AMGDT"/>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49B64">
    <w:pPr>
      <w:pStyle w:val="2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F703E">
    <w:pPr>
      <w:pStyle w:val="23"/>
      <w:ind w:right="360" w:firstLine="360"/>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85C39C4">
                          <w:pPr>
                            <w:pStyle w:val="23"/>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A0DIDxywEAAJgDAAAOAAAAAAAAAAEAIAAAACIBAABkcnMv&#10;ZTJvRG9jLnhtbFBLBQYAAAAABgAGAFkBAABfBQAAAAA=&#10;">
              <v:fill on="f" focussize="0,0"/>
              <v:stroke on="f" weight="1.25pt"/>
              <v:imagedata o:title=""/>
              <o:lock v:ext="edit" aspectratio="f"/>
              <v:textbox inset="0mm,0mm,0mm,0mm" style="mso-fit-shape-to-text:t;">
                <w:txbxContent>
                  <w:p w14:paraId="385C39C4">
                    <w:pPr>
                      <w:pStyle w:val="2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5CCA6">
    <w:pPr>
      <w:pStyle w:val="23"/>
      <w:ind w:right="360" w:firstLine="360"/>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457835" cy="196850"/>
              <wp:effectExtent l="0" t="0" r="0" b="0"/>
              <wp:wrapNone/>
              <wp:docPr id="9" name="文本框 1026"/>
              <wp:cNvGraphicFramePr/>
              <a:graphic xmlns:a="http://schemas.openxmlformats.org/drawingml/2006/main">
                <a:graphicData uri="http://schemas.microsoft.com/office/word/2010/wordprocessingShape">
                  <wps:wsp>
                    <wps:cNvSpPr txBox="1"/>
                    <wps:spPr>
                      <a:xfrm>
                        <a:off x="0" y="0"/>
                        <a:ext cx="457835" cy="196850"/>
                      </a:xfrm>
                      <a:prstGeom prst="rect">
                        <a:avLst/>
                      </a:prstGeom>
                      <a:noFill/>
                      <a:ln>
                        <a:noFill/>
                      </a:ln>
                    </wps:spPr>
                    <wps:txbx>
                      <w:txbxContent>
                        <w:p w14:paraId="1936C63E">
                          <w:pPr>
                            <w:pStyle w:val="23"/>
                          </w:pPr>
                          <w:r>
                            <w:t xml:space="preserve">— </w:t>
                          </w:r>
                          <w:r>
                            <w:fldChar w:fldCharType="begin"/>
                          </w:r>
                          <w:r>
                            <w:instrText xml:space="preserve"> PAGE  \* MERGEFORMAT </w:instrText>
                          </w:r>
                          <w:r>
                            <w:fldChar w:fldCharType="separate"/>
                          </w:r>
                          <w:r>
                            <w:t>56</w:t>
                          </w:r>
                          <w:r>
                            <w:fldChar w:fldCharType="end"/>
                          </w:r>
                          <w:r>
                            <w:t xml:space="preserve"> —</w:t>
                          </w:r>
                        </w:p>
                      </w:txbxContent>
                    </wps:txbx>
                    <wps:bodyPr wrap="none" lIns="0" tIns="0" rIns="0" bIns="0">
                      <a:spAutoFit/>
                    </wps:bodyPr>
                  </wps:wsp>
                </a:graphicData>
              </a:graphic>
            </wp:anchor>
          </w:drawing>
        </mc:Choice>
        <mc:Fallback>
          <w:pict>
            <v:shape id="文本框 1026" o:spid="_x0000_s1026" o:spt="202" type="#_x0000_t202" style="position:absolute;left:0pt;margin-top:0pt;height:15.5pt;width:36.05pt;mso-position-horizontal:right;mso-position-horizontal-relative:margin;mso-wrap-style:none;z-index:251659264;mso-width-relative:page;mso-height-relative:page;" filled="f" stroked="f" coordsize="21600,21600" o:gfxdata="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bFFhm0QAAAAMBAAAPAAAAAAAAAAEAIAAAACIAAABkcnMvZG93bnJl&#10;di54bWxQSwECFAAUAAAACACHTuJAN5lJIMsBAACOAwAADgAAAAAAAAABACAAAAAgAQAAZHJzL2Uy&#10;b0RvYy54bWxQSwUGAAAAAAYABgBZAQAAXQUAAAAA&#10;">
              <v:fill on="f" focussize="0,0"/>
              <v:stroke on="f"/>
              <v:imagedata o:title=""/>
              <o:lock v:ext="edit" aspectratio="f"/>
              <v:textbox inset="0mm,0mm,0mm,0mm" style="mso-fit-shape-to-text:t;">
                <w:txbxContent>
                  <w:p w14:paraId="1936C63E">
                    <w:pPr>
                      <w:pStyle w:val="23"/>
                    </w:pPr>
                    <w:r>
                      <w:t xml:space="preserve">— </w:t>
                    </w:r>
                    <w:r>
                      <w:fldChar w:fldCharType="begin"/>
                    </w:r>
                    <w:r>
                      <w:instrText xml:space="preserve"> PAGE  \* MERGEFORMAT </w:instrText>
                    </w:r>
                    <w:r>
                      <w:fldChar w:fldCharType="separate"/>
                    </w:r>
                    <w:r>
                      <w:t>56</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16CDF7"/>
    <w:multiLevelType w:val="multilevel"/>
    <w:tmpl w:val="2E16CDF7"/>
    <w:lvl w:ilvl="0" w:tentative="0">
      <w:start w:val="1"/>
      <w:numFmt w:val="decimal"/>
      <w:pStyle w:val="169"/>
      <w:suff w:val="space"/>
      <w:lvlText w:val="表1-%1 "/>
      <w:lvlJc w:val="center"/>
      <w:pPr>
        <w:tabs>
          <w:tab w:val="left" w:pos="0"/>
        </w:tabs>
        <w:ind w:left="1134" w:hanging="1134"/>
      </w:pPr>
      <w:rPr>
        <w:rFonts w:hint="default" w:ascii="Times New Roman" w:hAnsi="Times New Roman"/>
        <w:b/>
        <w:sz w:val="21"/>
      </w:rPr>
    </w:lvl>
    <w:lvl w:ilvl="1" w:tentative="0">
      <w:start w:val="1"/>
      <w:numFmt w:val="lowerLetter"/>
      <w:lvlText w:val="%2)"/>
      <w:lvlJc w:val="left"/>
      <w:pPr>
        <w:ind w:left="2991" w:hanging="420"/>
      </w:pPr>
      <w:rPr>
        <w:rFonts w:hint="eastAsia"/>
      </w:rPr>
    </w:lvl>
    <w:lvl w:ilvl="2" w:tentative="0">
      <w:start w:val="1"/>
      <w:numFmt w:val="lowerRoman"/>
      <w:lvlText w:val="%3."/>
      <w:lvlJc w:val="right"/>
      <w:pPr>
        <w:ind w:left="3411" w:hanging="420"/>
      </w:pPr>
      <w:rPr>
        <w:rFonts w:hint="eastAsia"/>
      </w:rPr>
    </w:lvl>
    <w:lvl w:ilvl="3" w:tentative="0">
      <w:start w:val="1"/>
      <w:numFmt w:val="decimal"/>
      <w:lvlText w:val="%4."/>
      <w:lvlJc w:val="left"/>
      <w:pPr>
        <w:ind w:left="3831" w:hanging="420"/>
      </w:pPr>
      <w:rPr>
        <w:rFonts w:hint="eastAsia"/>
      </w:rPr>
    </w:lvl>
    <w:lvl w:ilvl="4" w:tentative="0">
      <w:start w:val="1"/>
      <w:numFmt w:val="lowerLetter"/>
      <w:lvlText w:val="%5)"/>
      <w:lvlJc w:val="left"/>
      <w:pPr>
        <w:ind w:left="4251" w:hanging="420"/>
      </w:pPr>
      <w:rPr>
        <w:rFonts w:hint="eastAsia"/>
      </w:rPr>
    </w:lvl>
    <w:lvl w:ilvl="5" w:tentative="0">
      <w:start w:val="1"/>
      <w:numFmt w:val="lowerRoman"/>
      <w:lvlText w:val="%6."/>
      <w:lvlJc w:val="right"/>
      <w:pPr>
        <w:ind w:left="4671" w:hanging="420"/>
      </w:pPr>
      <w:rPr>
        <w:rFonts w:hint="eastAsia"/>
      </w:rPr>
    </w:lvl>
    <w:lvl w:ilvl="6" w:tentative="0">
      <w:start w:val="1"/>
      <w:numFmt w:val="decimal"/>
      <w:lvlText w:val="%7."/>
      <w:lvlJc w:val="left"/>
      <w:pPr>
        <w:ind w:left="5091" w:hanging="420"/>
      </w:pPr>
      <w:rPr>
        <w:rFonts w:hint="eastAsia"/>
      </w:rPr>
    </w:lvl>
    <w:lvl w:ilvl="7" w:tentative="0">
      <w:start w:val="1"/>
      <w:numFmt w:val="lowerLetter"/>
      <w:lvlText w:val="%8)"/>
      <w:lvlJc w:val="left"/>
      <w:pPr>
        <w:ind w:left="5511" w:hanging="420"/>
      </w:pPr>
      <w:rPr>
        <w:rFonts w:hint="eastAsia"/>
      </w:rPr>
    </w:lvl>
    <w:lvl w:ilvl="8" w:tentative="0">
      <w:start w:val="1"/>
      <w:numFmt w:val="lowerRoman"/>
      <w:lvlText w:val="%9."/>
      <w:lvlJc w:val="right"/>
      <w:pPr>
        <w:ind w:left="5931" w:hanging="420"/>
      </w:pPr>
      <w:rPr>
        <w:rFonts w:hint="eastAsia"/>
      </w:rPr>
    </w:lvl>
  </w:abstractNum>
  <w:abstractNum w:abstractNumId="1">
    <w:nsid w:val="39E964DD"/>
    <w:multiLevelType w:val="multilevel"/>
    <w:tmpl w:val="39E964DD"/>
    <w:lvl w:ilvl="0" w:tentative="0">
      <w:start w:val="1"/>
      <w:numFmt w:val="decimal"/>
      <w:pStyle w:val="158"/>
      <w:suff w:val="space"/>
      <w:lvlText w:val="表1-%1 "/>
      <w:lvlJc w:val="center"/>
      <w:pPr>
        <w:ind w:left="1134" w:hanging="1134"/>
      </w:pPr>
      <w:rPr>
        <w:rFonts w:hint="default" w:ascii="Times New Roman" w:hAnsi="Times New Roman" w:cs="Times New Roman"/>
        <w:sz w:val="21"/>
        <w:szCs w:val="21"/>
      </w:rPr>
    </w:lvl>
    <w:lvl w:ilvl="1" w:tentative="0">
      <w:start w:val="1"/>
      <w:numFmt w:val="lowerLetter"/>
      <w:lvlText w:val="%2)"/>
      <w:lvlJc w:val="left"/>
      <w:pPr>
        <w:ind w:left="2991" w:hanging="420"/>
      </w:pPr>
      <w:rPr>
        <w:rFonts w:hint="eastAsia"/>
      </w:rPr>
    </w:lvl>
    <w:lvl w:ilvl="2" w:tentative="0">
      <w:start w:val="1"/>
      <w:numFmt w:val="lowerRoman"/>
      <w:lvlText w:val="%3."/>
      <w:lvlJc w:val="right"/>
      <w:pPr>
        <w:ind w:left="3411" w:hanging="420"/>
      </w:pPr>
      <w:rPr>
        <w:rFonts w:hint="eastAsia"/>
      </w:rPr>
    </w:lvl>
    <w:lvl w:ilvl="3" w:tentative="0">
      <w:start w:val="1"/>
      <w:numFmt w:val="decimal"/>
      <w:lvlText w:val="%4."/>
      <w:lvlJc w:val="left"/>
      <w:pPr>
        <w:ind w:left="3831" w:hanging="420"/>
      </w:pPr>
      <w:rPr>
        <w:rFonts w:hint="eastAsia"/>
      </w:rPr>
    </w:lvl>
    <w:lvl w:ilvl="4" w:tentative="0">
      <w:start w:val="1"/>
      <w:numFmt w:val="lowerLetter"/>
      <w:lvlText w:val="%5)"/>
      <w:lvlJc w:val="left"/>
      <w:pPr>
        <w:ind w:left="4251" w:hanging="420"/>
      </w:pPr>
      <w:rPr>
        <w:rFonts w:hint="eastAsia"/>
      </w:rPr>
    </w:lvl>
    <w:lvl w:ilvl="5" w:tentative="0">
      <w:start w:val="1"/>
      <w:numFmt w:val="lowerRoman"/>
      <w:lvlText w:val="%6."/>
      <w:lvlJc w:val="right"/>
      <w:pPr>
        <w:ind w:left="4671" w:hanging="420"/>
      </w:pPr>
      <w:rPr>
        <w:rFonts w:hint="eastAsia"/>
      </w:rPr>
    </w:lvl>
    <w:lvl w:ilvl="6" w:tentative="0">
      <w:start w:val="1"/>
      <w:numFmt w:val="decimal"/>
      <w:lvlText w:val="%7."/>
      <w:lvlJc w:val="left"/>
      <w:pPr>
        <w:ind w:left="5091" w:hanging="420"/>
      </w:pPr>
      <w:rPr>
        <w:rFonts w:hint="eastAsia"/>
      </w:rPr>
    </w:lvl>
    <w:lvl w:ilvl="7" w:tentative="0">
      <w:start w:val="1"/>
      <w:numFmt w:val="lowerLetter"/>
      <w:lvlText w:val="%8)"/>
      <w:lvlJc w:val="left"/>
      <w:pPr>
        <w:ind w:left="5511" w:hanging="420"/>
      </w:pPr>
      <w:rPr>
        <w:rFonts w:hint="eastAsia"/>
      </w:rPr>
    </w:lvl>
    <w:lvl w:ilvl="8" w:tentative="0">
      <w:start w:val="1"/>
      <w:numFmt w:val="lowerRoman"/>
      <w:lvlText w:val="%9."/>
      <w:lvlJc w:val="right"/>
      <w:pPr>
        <w:ind w:left="5931" w:hanging="420"/>
      </w:pPr>
      <w:rPr>
        <w:rFonts w:hint="eastAsia"/>
      </w:rPr>
    </w:lvl>
  </w:abstractNum>
  <w:abstractNum w:abstractNumId="2">
    <w:nsid w:val="5BC0456D"/>
    <w:multiLevelType w:val="multilevel"/>
    <w:tmpl w:val="5BC0456D"/>
    <w:lvl w:ilvl="0" w:tentative="0">
      <w:start w:val="1"/>
      <w:numFmt w:val="decimal"/>
      <w:pStyle w:val="167"/>
      <w:suff w:val="space"/>
      <w:lvlText w:val="图3-%1 "/>
      <w:lvlJc w:val="left"/>
      <w:pPr>
        <w:tabs>
          <w:tab w:val="left" w:pos="0"/>
        </w:tabs>
        <w:ind w:left="0" w:firstLine="0"/>
      </w:pPr>
      <w:rPr>
        <w:rFonts w:hint="default" w:ascii="Times New Roman" w:hAnsi="Times New Roman" w:eastAsia="宋体" w:cs="Times New Roman"/>
        <w:b/>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F5C7637"/>
    <w:multiLevelType w:val="multilevel"/>
    <w:tmpl w:val="6F5C7637"/>
    <w:lvl w:ilvl="0" w:tentative="0">
      <w:start w:val="1"/>
      <w:numFmt w:val="decimal"/>
      <w:pStyle w:val="2"/>
      <w:suff w:val="space"/>
      <w:lvlText w:val="%1."/>
      <w:lvlJc w:val="left"/>
      <w:pPr>
        <w:ind w:left="425" w:hanging="425"/>
      </w:pPr>
      <w:rPr>
        <w:rFonts w:hint="eastAsia"/>
      </w:rPr>
    </w:lvl>
    <w:lvl w:ilvl="1" w:tentative="0">
      <w:start w:val="1"/>
      <w:numFmt w:val="decimal"/>
      <w:pStyle w:val="3"/>
      <w:suff w:val="space"/>
      <w:lvlText w:val="%1.%2"/>
      <w:lvlJc w:val="left"/>
      <w:pPr>
        <w:ind w:left="2268" w:hanging="992"/>
      </w:pPr>
      <w:rPr>
        <w:rFonts w:hint="default" w:ascii="Times New Roman" w:hAnsi="Times New Roman" w:cs="Times New Roman"/>
      </w:rPr>
    </w:lvl>
    <w:lvl w:ilvl="2" w:tentative="0">
      <w:start w:val="1"/>
      <w:numFmt w:val="decimal"/>
      <w:pStyle w:val="4"/>
      <w:suff w:val="space"/>
      <w:lvlText w:val="%1.%2.%3"/>
      <w:lvlJc w:val="left"/>
      <w:pPr>
        <w:ind w:left="454" w:hanging="454"/>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3"/>
  </w:num>
  <w:num w:numId="2">
    <w:abstractNumId w:val="1"/>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强">
    <w15:presenceInfo w15:providerId="None" w15:userId="李强"/>
  </w15:person>
  <w15:person w15:author="陈 蓝">
    <w15:presenceInfo w15:providerId="Windows Live" w15:userId="cf3f147c81d7f7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trackedChanges" w:enforcement="0"/>
  <w:defaultTabStop w:val="420"/>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ZmYjIwOTNjMjdkYTBmM2VlNTRhOWRhYTJhYWI2OGEifQ=="/>
    <w:docVar w:name="KSO_WPS_MARK_KEY" w:val="8d3b98f6-fa73-44e9-9da1-b976fa051ae0"/>
  </w:docVars>
  <w:rsids>
    <w:rsidRoot w:val="00172A27"/>
    <w:rsid w:val="00000D46"/>
    <w:rsid w:val="00000DD5"/>
    <w:rsid w:val="0000134F"/>
    <w:rsid w:val="00002145"/>
    <w:rsid w:val="00002B12"/>
    <w:rsid w:val="00002CE3"/>
    <w:rsid w:val="000033C1"/>
    <w:rsid w:val="00003835"/>
    <w:rsid w:val="00003E1C"/>
    <w:rsid w:val="000047E7"/>
    <w:rsid w:val="00005D0F"/>
    <w:rsid w:val="00005EF9"/>
    <w:rsid w:val="00005F2D"/>
    <w:rsid w:val="00006019"/>
    <w:rsid w:val="000060B3"/>
    <w:rsid w:val="000060C2"/>
    <w:rsid w:val="00006D00"/>
    <w:rsid w:val="00006D80"/>
    <w:rsid w:val="00007317"/>
    <w:rsid w:val="00007837"/>
    <w:rsid w:val="00007C20"/>
    <w:rsid w:val="00007D89"/>
    <w:rsid w:val="0001140D"/>
    <w:rsid w:val="00011A79"/>
    <w:rsid w:val="00013F4B"/>
    <w:rsid w:val="00015CFB"/>
    <w:rsid w:val="00016593"/>
    <w:rsid w:val="00017C8B"/>
    <w:rsid w:val="00017E8D"/>
    <w:rsid w:val="0002005E"/>
    <w:rsid w:val="000200F3"/>
    <w:rsid w:val="0002132E"/>
    <w:rsid w:val="0002158E"/>
    <w:rsid w:val="0002185D"/>
    <w:rsid w:val="00021A44"/>
    <w:rsid w:val="00021A4A"/>
    <w:rsid w:val="00021BDC"/>
    <w:rsid w:val="00021E4C"/>
    <w:rsid w:val="00022634"/>
    <w:rsid w:val="00022D00"/>
    <w:rsid w:val="00023849"/>
    <w:rsid w:val="00023961"/>
    <w:rsid w:val="000242BC"/>
    <w:rsid w:val="00024974"/>
    <w:rsid w:val="000270C2"/>
    <w:rsid w:val="0002762C"/>
    <w:rsid w:val="00027998"/>
    <w:rsid w:val="00030029"/>
    <w:rsid w:val="0003009B"/>
    <w:rsid w:val="000307A4"/>
    <w:rsid w:val="00032319"/>
    <w:rsid w:val="00032A79"/>
    <w:rsid w:val="00032B72"/>
    <w:rsid w:val="00033755"/>
    <w:rsid w:val="00033C06"/>
    <w:rsid w:val="00033E6E"/>
    <w:rsid w:val="0003550D"/>
    <w:rsid w:val="00036751"/>
    <w:rsid w:val="000370E1"/>
    <w:rsid w:val="00037301"/>
    <w:rsid w:val="00042105"/>
    <w:rsid w:val="000435EB"/>
    <w:rsid w:val="0004364B"/>
    <w:rsid w:val="00043983"/>
    <w:rsid w:val="00043EA3"/>
    <w:rsid w:val="000445CF"/>
    <w:rsid w:val="00044C35"/>
    <w:rsid w:val="000457C3"/>
    <w:rsid w:val="00045E6A"/>
    <w:rsid w:val="00046E22"/>
    <w:rsid w:val="00047212"/>
    <w:rsid w:val="00047DA6"/>
    <w:rsid w:val="0005026B"/>
    <w:rsid w:val="00050332"/>
    <w:rsid w:val="000507DD"/>
    <w:rsid w:val="00052D20"/>
    <w:rsid w:val="000531A6"/>
    <w:rsid w:val="0005379D"/>
    <w:rsid w:val="00053A76"/>
    <w:rsid w:val="0005468B"/>
    <w:rsid w:val="000546CD"/>
    <w:rsid w:val="00055234"/>
    <w:rsid w:val="00060269"/>
    <w:rsid w:val="00061AE0"/>
    <w:rsid w:val="00061B1F"/>
    <w:rsid w:val="000622C3"/>
    <w:rsid w:val="0006248A"/>
    <w:rsid w:val="000631A6"/>
    <w:rsid w:val="000635AF"/>
    <w:rsid w:val="00063E1E"/>
    <w:rsid w:val="00064BC8"/>
    <w:rsid w:val="00065622"/>
    <w:rsid w:val="00065F67"/>
    <w:rsid w:val="0006738E"/>
    <w:rsid w:val="000677F5"/>
    <w:rsid w:val="00067CB3"/>
    <w:rsid w:val="0007066D"/>
    <w:rsid w:val="0007092C"/>
    <w:rsid w:val="00070BD6"/>
    <w:rsid w:val="00071B58"/>
    <w:rsid w:val="00072DA1"/>
    <w:rsid w:val="0007328B"/>
    <w:rsid w:val="000733C4"/>
    <w:rsid w:val="000737D5"/>
    <w:rsid w:val="00074783"/>
    <w:rsid w:val="00074CE3"/>
    <w:rsid w:val="000751C7"/>
    <w:rsid w:val="000771CD"/>
    <w:rsid w:val="00077325"/>
    <w:rsid w:val="00077A23"/>
    <w:rsid w:val="00077B35"/>
    <w:rsid w:val="00077FE3"/>
    <w:rsid w:val="00080024"/>
    <w:rsid w:val="000801AB"/>
    <w:rsid w:val="0008070B"/>
    <w:rsid w:val="00080C48"/>
    <w:rsid w:val="00081045"/>
    <w:rsid w:val="000810AC"/>
    <w:rsid w:val="00081A02"/>
    <w:rsid w:val="00082231"/>
    <w:rsid w:val="00082E21"/>
    <w:rsid w:val="00083411"/>
    <w:rsid w:val="000834E2"/>
    <w:rsid w:val="000838F7"/>
    <w:rsid w:val="00083F6F"/>
    <w:rsid w:val="00084003"/>
    <w:rsid w:val="00084089"/>
    <w:rsid w:val="000854B9"/>
    <w:rsid w:val="0008608F"/>
    <w:rsid w:val="0008703B"/>
    <w:rsid w:val="000875FA"/>
    <w:rsid w:val="00087B4A"/>
    <w:rsid w:val="00087DFF"/>
    <w:rsid w:val="00090A26"/>
    <w:rsid w:val="00090BD3"/>
    <w:rsid w:val="000913D0"/>
    <w:rsid w:val="00092D38"/>
    <w:rsid w:val="0009372B"/>
    <w:rsid w:val="0009377B"/>
    <w:rsid w:val="0009393E"/>
    <w:rsid w:val="000942AF"/>
    <w:rsid w:val="0009514F"/>
    <w:rsid w:val="000951CE"/>
    <w:rsid w:val="00095523"/>
    <w:rsid w:val="000968AD"/>
    <w:rsid w:val="000A0990"/>
    <w:rsid w:val="000A0A4B"/>
    <w:rsid w:val="000A10E7"/>
    <w:rsid w:val="000A17B5"/>
    <w:rsid w:val="000A20C9"/>
    <w:rsid w:val="000A2762"/>
    <w:rsid w:val="000A2839"/>
    <w:rsid w:val="000A28FB"/>
    <w:rsid w:val="000A570C"/>
    <w:rsid w:val="000A58AD"/>
    <w:rsid w:val="000A65F2"/>
    <w:rsid w:val="000A6EA3"/>
    <w:rsid w:val="000A6EAD"/>
    <w:rsid w:val="000A757F"/>
    <w:rsid w:val="000A78B9"/>
    <w:rsid w:val="000A7B55"/>
    <w:rsid w:val="000B058F"/>
    <w:rsid w:val="000B13BE"/>
    <w:rsid w:val="000B2F06"/>
    <w:rsid w:val="000B3505"/>
    <w:rsid w:val="000B3929"/>
    <w:rsid w:val="000B4467"/>
    <w:rsid w:val="000B4537"/>
    <w:rsid w:val="000B47C7"/>
    <w:rsid w:val="000B4DB9"/>
    <w:rsid w:val="000B4E4C"/>
    <w:rsid w:val="000B4FAF"/>
    <w:rsid w:val="000B61F7"/>
    <w:rsid w:val="000B6473"/>
    <w:rsid w:val="000B68AD"/>
    <w:rsid w:val="000B77D8"/>
    <w:rsid w:val="000B7F81"/>
    <w:rsid w:val="000C04DB"/>
    <w:rsid w:val="000C06F0"/>
    <w:rsid w:val="000C09AC"/>
    <w:rsid w:val="000C0BFD"/>
    <w:rsid w:val="000C1389"/>
    <w:rsid w:val="000C1A27"/>
    <w:rsid w:val="000C218B"/>
    <w:rsid w:val="000C345D"/>
    <w:rsid w:val="000C34D6"/>
    <w:rsid w:val="000C3B39"/>
    <w:rsid w:val="000C3D01"/>
    <w:rsid w:val="000C4008"/>
    <w:rsid w:val="000C4907"/>
    <w:rsid w:val="000C4E57"/>
    <w:rsid w:val="000C558F"/>
    <w:rsid w:val="000C56C7"/>
    <w:rsid w:val="000C767F"/>
    <w:rsid w:val="000C78BD"/>
    <w:rsid w:val="000D01F4"/>
    <w:rsid w:val="000D182F"/>
    <w:rsid w:val="000D2569"/>
    <w:rsid w:val="000D2AAC"/>
    <w:rsid w:val="000D3A3B"/>
    <w:rsid w:val="000D3EF5"/>
    <w:rsid w:val="000D5045"/>
    <w:rsid w:val="000D5A44"/>
    <w:rsid w:val="000D693C"/>
    <w:rsid w:val="000D6C32"/>
    <w:rsid w:val="000D75BF"/>
    <w:rsid w:val="000E0DDB"/>
    <w:rsid w:val="000E1B8F"/>
    <w:rsid w:val="000E256A"/>
    <w:rsid w:val="000E3514"/>
    <w:rsid w:val="000E37F6"/>
    <w:rsid w:val="000E3ED2"/>
    <w:rsid w:val="000E447D"/>
    <w:rsid w:val="000E5DC8"/>
    <w:rsid w:val="000E678C"/>
    <w:rsid w:val="000E6916"/>
    <w:rsid w:val="000F3791"/>
    <w:rsid w:val="000F4F83"/>
    <w:rsid w:val="000F5B90"/>
    <w:rsid w:val="000F5C66"/>
    <w:rsid w:val="000F5DA3"/>
    <w:rsid w:val="000F612D"/>
    <w:rsid w:val="000F6D0F"/>
    <w:rsid w:val="000F71A0"/>
    <w:rsid w:val="000F720B"/>
    <w:rsid w:val="000F7326"/>
    <w:rsid w:val="000F74BA"/>
    <w:rsid w:val="000F7A1A"/>
    <w:rsid w:val="000F7DD0"/>
    <w:rsid w:val="000F7FA9"/>
    <w:rsid w:val="00100823"/>
    <w:rsid w:val="00101794"/>
    <w:rsid w:val="00101D7D"/>
    <w:rsid w:val="001020A4"/>
    <w:rsid w:val="00102209"/>
    <w:rsid w:val="00103C3D"/>
    <w:rsid w:val="00104EFC"/>
    <w:rsid w:val="0010549D"/>
    <w:rsid w:val="0010551E"/>
    <w:rsid w:val="0010594D"/>
    <w:rsid w:val="00106063"/>
    <w:rsid w:val="0010688A"/>
    <w:rsid w:val="00107313"/>
    <w:rsid w:val="0010751A"/>
    <w:rsid w:val="001103F8"/>
    <w:rsid w:val="00111438"/>
    <w:rsid w:val="001146DB"/>
    <w:rsid w:val="001149C6"/>
    <w:rsid w:val="00115C4B"/>
    <w:rsid w:val="00116381"/>
    <w:rsid w:val="001163D0"/>
    <w:rsid w:val="001169CD"/>
    <w:rsid w:val="00117A2C"/>
    <w:rsid w:val="0012182C"/>
    <w:rsid w:val="00121E1D"/>
    <w:rsid w:val="0012247D"/>
    <w:rsid w:val="0012256E"/>
    <w:rsid w:val="0012287A"/>
    <w:rsid w:val="00122F31"/>
    <w:rsid w:val="00123640"/>
    <w:rsid w:val="00123843"/>
    <w:rsid w:val="0012388B"/>
    <w:rsid w:val="001246E3"/>
    <w:rsid w:val="001249B0"/>
    <w:rsid w:val="00125836"/>
    <w:rsid w:val="00127082"/>
    <w:rsid w:val="00127830"/>
    <w:rsid w:val="00127A7D"/>
    <w:rsid w:val="00127EFE"/>
    <w:rsid w:val="001309CC"/>
    <w:rsid w:val="00130CE8"/>
    <w:rsid w:val="00131F42"/>
    <w:rsid w:val="001341C5"/>
    <w:rsid w:val="0013462B"/>
    <w:rsid w:val="00134630"/>
    <w:rsid w:val="00134F6E"/>
    <w:rsid w:val="001357F1"/>
    <w:rsid w:val="00136315"/>
    <w:rsid w:val="00136BF6"/>
    <w:rsid w:val="00136CB2"/>
    <w:rsid w:val="001371E7"/>
    <w:rsid w:val="001373CD"/>
    <w:rsid w:val="00137F1B"/>
    <w:rsid w:val="00140C41"/>
    <w:rsid w:val="00140FA8"/>
    <w:rsid w:val="001418AF"/>
    <w:rsid w:val="00141B81"/>
    <w:rsid w:val="00141CD5"/>
    <w:rsid w:val="0014202E"/>
    <w:rsid w:val="0014204B"/>
    <w:rsid w:val="00142433"/>
    <w:rsid w:val="001425A5"/>
    <w:rsid w:val="00142C0A"/>
    <w:rsid w:val="00142FEB"/>
    <w:rsid w:val="00143390"/>
    <w:rsid w:val="001438C9"/>
    <w:rsid w:val="00143A2D"/>
    <w:rsid w:val="00144CBF"/>
    <w:rsid w:val="001453CD"/>
    <w:rsid w:val="00145A41"/>
    <w:rsid w:val="00145DAF"/>
    <w:rsid w:val="00146016"/>
    <w:rsid w:val="00146B98"/>
    <w:rsid w:val="00150097"/>
    <w:rsid w:val="001503BD"/>
    <w:rsid w:val="001510AB"/>
    <w:rsid w:val="00151675"/>
    <w:rsid w:val="00151B80"/>
    <w:rsid w:val="00151C7A"/>
    <w:rsid w:val="00151E80"/>
    <w:rsid w:val="00152171"/>
    <w:rsid w:val="00152D60"/>
    <w:rsid w:val="001535DA"/>
    <w:rsid w:val="00153D1B"/>
    <w:rsid w:val="00153EB4"/>
    <w:rsid w:val="00154C5D"/>
    <w:rsid w:val="00154DD7"/>
    <w:rsid w:val="0015674E"/>
    <w:rsid w:val="00157435"/>
    <w:rsid w:val="001607E8"/>
    <w:rsid w:val="00164749"/>
    <w:rsid w:val="001654D9"/>
    <w:rsid w:val="00165D1D"/>
    <w:rsid w:val="00166990"/>
    <w:rsid w:val="00167330"/>
    <w:rsid w:val="0016761A"/>
    <w:rsid w:val="00170315"/>
    <w:rsid w:val="00171863"/>
    <w:rsid w:val="00171881"/>
    <w:rsid w:val="00171C69"/>
    <w:rsid w:val="00171D33"/>
    <w:rsid w:val="00171FBA"/>
    <w:rsid w:val="0017212F"/>
    <w:rsid w:val="00172A27"/>
    <w:rsid w:val="00173333"/>
    <w:rsid w:val="001737EE"/>
    <w:rsid w:val="001738A7"/>
    <w:rsid w:val="00173CE0"/>
    <w:rsid w:val="00173DD6"/>
    <w:rsid w:val="0017434F"/>
    <w:rsid w:val="0017504D"/>
    <w:rsid w:val="001753F7"/>
    <w:rsid w:val="0017671A"/>
    <w:rsid w:val="00176931"/>
    <w:rsid w:val="00176AB7"/>
    <w:rsid w:val="00176DAD"/>
    <w:rsid w:val="00177422"/>
    <w:rsid w:val="00177464"/>
    <w:rsid w:val="00177A61"/>
    <w:rsid w:val="00177F0A"/>
    <w:rsid w:val="00177FC9"/>
    <w:rsid w:val="0018029D"/>
    <w:rsid w:val="00180627"/>
    <w:rsid w:val="00180742"/>
    <w:rsid w:val="00180F69"/>
    <w:rsid w:val="00181A4F"/>
    <w:rsid w:val="0018264A"/>
    <w:rsid w:val="001826CA"/>
    <w:rsid w:val="001829F3"/>
    <w:rsid w:val="00182A37"/>
    <w:rsid w:val="00184590"/>
    <w:rsid w:val="001848F7"/>
    <w:rsid w:val="00185817"/>
    <w:rsid w:val="00185B24"/>
    <w:rsid w:val="00185C83"/>
    <w:rsid w:val="001864AD"/>
    <w:rsid w:val="0018680A"/>
    <w:rsid w:val="001870D1"/>
    <w:rsid w:val="001872A2"/>
    <w:rsid w:val="0018781E"/>
    <w:rsid w:val="001902B9"/>
    <w:rsid w:val="00190C16"/>
    <w:rsid w:val="00190FA2"/>
    <w:rsid w:val="00191CC6"/>
    <w:rsid w:val="0019262D"/>
    <w:rsid w:val="00193466"/>
    <w:rsid w:val="00193FBF"/>
    <w:rsid w:val="001947C3"/>
    <w:rsid w:val="0019562C"/>
    <w:rsid w:val="001956B0"/>
    <w:rsid w:val="0019643A"/>
    <w:rsid w:val="0019648C"/>
    <w:rsid w:val="001969E1"/>
    <w:rsid w:val="00196A4C"/>
    <w:rsid w:val="00196C2D"/>
    <w:rsid w:val="00197943"/>
    <w:rsid w:val="001A16CA"/>
    <w:rsid w:val="001A192C"/>
    <w:rsid w:val="001A19AD"/>
    <w:rsid w:val="001A1B35"/>
    <w:rsid w:val="001A1F84"/>
    <w:rsid w:val="001A2B6B"/>
    <w:rsid w:val="001A45FF"/>
    <w:rsid w:val="001A48A2"/>
    <w:rsid w:val="001A581B"/>
    <w:rsid w:val="001A592B"/>
    <w:rsid w:val="001A5ECE"/>
    <w:rsid w:val="001A6817"/>
    <w:rsid w:val="001A6A70"/>
    <w:rsid w:val="001A6F1E"/>
    <w:rsid w:val="001A6F61"/>
    <w:rsid w:val="001A723D"/>
    <w:rsid w:val="001A7EFA"/>
    <w:rsid w:val="001A7FE9"/>
    <w:rsid w:val="001B01D3"/>
    <w:rsid w:val="001B0F02"/>
    <w:rsid w:val="001B186C"/>
    <w:rsid w:val="001B1992"/>
    <w:rsid w:val="001B1CE2"/>
    <w:rsid w:val="001B3528"/>
    <w:rsid w:val="001B35E6"/>
    <w:rsid w:val="001B3920"/>
    <w:rsid w:val="001B5965"/>
    <w:rsid w:val="001B72B8"/>
    <w:rsid w:val="001B7551"/>
    <w:rsid w:val="001C0431"/>
    <w:rsid w:val="001C04FC"/>
    <w:rsid w:val="001C07EE"/>
    <w:rsid w:val="001C0C8B"/>
    <w:rsid w:val="001C0EEE"/>
    <w:rsid w:val="001C18CE"/>
    <w:rsid w:val="001C1E8A"/>
    <w:rsid w:val="001C264B"/>
    <w:rsid w:val="001C2B5D"/>
    <w:rsid w:val="001C34C2"/>
    <w:rsid w:val="001C3C6E"/>
    <w:rsid w:val="001C4010"/>
    <w:rsid w:val="001C4862"/>
    <w:rsid w:val="001C546E"/>
    <w:rsid w:val="001C567E"/>
    <w:rsid w:val="001C641F"/>
    <w:rsid w:val="001C69B3"/>
    <w:rsid w:val="001C7086"/>
    <w:rsid w:val="001C7165"/>
    <w:rsid w:val="001C7282"/>
    <w:rsid w:val="001C751E"/>
    <w:rsid w:val="001C77E1"/>
    <w:rsid w:val="001C7DF4"/>
    <w:rsid w:val="001D023C"/>
    <w:rsid w:val="001D23DA"/>
    <w:rsid w:val="001D2465"/>
    <w:rsid w:val="001D2AB6"/>
    <w:rsid w:val="001D363B"/>
    <w:rsid w:val="001D3ABB"/>
    <w:rsid w:val="001D3C4E"/>
    <w:rsid w:val="001D4165"/>
    <w:rsid w:val="001D4CC9"/>
    <w:rsid w:val="001D4E1D"/>
    <w:rsid w:val="001D5595"/>
    <w:rsid w:val="001D653F"/>
    <w:rsid w:val="001D782E"/>
    <w:rsid w:val="001D7874"/>
    <w:rsid w:val="001D7D16"/>
    <w:rsid w:val="001D7F22"/>
    <w:rsid w:val="001E0DBB"/>
    <w:rsid w:val="001E0FD3"/>
    <w:rsid w:val="001E1EED"/>
    <w:rsid w:val="001E1FF8"/>
    <w:rsid w:val="001E29FF"/>
    <w:rsid w:val="001E3E66"/>
    <w:rsid w:val="001E4115"/>
    <w:rsid w:val="001E45FE"/>
    <w:rsid w:val="001E4F04"/>
    <w:rsid w:val="001E4FD9"/>
    <w:rsid w:val="001E5299"/>
    <w:rsid w:val="001E5495"/>
    <w:rsid w:val="001E6344"/>
    <w:rsid w:val="001E6670"/>
    <w:rsid w:val="001E769A"/>
    <w:rsid w:val="001F03FE"/>
    <w:rsid w:val="001F05C5"/>
    <w:rsid w:val="001F0F17"/>
    <w:rsid w:val="001F3347"/>
    <w:rsid w:val="001F3784"/>
    <w:rsid w:val="001F3A74"/>
    <w:rsid w:val="001F43E8"/>
    <w:rsid w:val="001F4FC4"/>
    <w:rsid w:val="001F5208"/>
    <w:rsid w:val="001F69E4"/>
    <w:rsid w:val="002004BD"/>
    <w:rsid w:val="002008BF"/>
    <w:rsid w:val="00200ABC"/>
    <w:rsid w:val="0020235B"/>
    <w:rsid w:val="00202D2A"/>
    <w:rsid w:val="00203ECC"/>
    <w:rsid w:val="00204266"/>
    <w:rsid w:val="00204C7C"/>
    <w:rsid w:val="00205065"/>
    <w:rsid w:val="002058BC"/>
    <w:rsid w:val="0020731D"/>
    <w:rsid w:val="00207887"/>
    <w:rsid w:val="00207999"/>
    <w:rsid w:val="002079BB"/>
    <w:rsid w:val="00210503"/>
    <w:rsid w:val="002105C6"/>
    <w:rsid w:val="0021073F"/>
    <w:rsid w:val="00210779"/>
    <w:rsid w:val="00211095"/>
    <w:rsid w:val="002125B4"/>
    <w:rsid w:val="00212860"/>
    <w:rsid w:val="0021365D"/>
    <w:rsid w:val="00213C49"/>
    <w:rsid w:val="00213F17"/>
    <w:rsid w:val="0021499C"/>
    <w:rsid w:val="002155B8"/>
    <w:rsid w:val="00215ADF"/>
    <w:rsid w:val="00215E2C"/>
    <w:rsid w:val="0021644B"/>
    <w:rsid w:val="00217681"/>
    <w:rsid w:val="002223DB"/>
    <w:rsid w:val="0022259A"/>
    <w:rsid w:val="002226A1"/>
    <w:rsid w:val="0022296E"/>
    <w:rsid w:val="0022317B"/>
    <w:rsid w:val="00223702"/>
    <w:rsid w:val="00223C43"/>
    <w:rsid w:val="00223E3B"/>
    <w:rsid w:val="0022477B"/>
    <w:rsid w:val="00224839"/>
    <w:rsid w:val="002249B2"/>
    <w:rsid w:val="00224A69"/>
    <w:rsid w:val="00224E35"/>
    <w:rsid w:val="002253CC"/>
    <w:rsid w:val="00225FD0"/>
    <w:rsid w:val="0022640E"/>
    <w:rsid w:val="00226574"/>
    <w:rsid w:val="002277B0"/>
    <w:rsid w:val="002278EC"/>
    <w:rsid w:val="0023071B"/>
    <w:rsid w:val="00231569"/>
    <w:rsid w:val="0023280E"/>
    <w:rsid w:val="00232DAE"/>
    <w:rsid w:val="00233135"/>
    <w:rsid w:val="00233BC0"/>
    <w:rsid w:val="0023465B"/>
    <w:rsid w:val="002348D2"/>
    <w:rsid w:val="0023510D"/>
    <w:rsid w:val="0023550C"/>
    <w:rsid w:val="0023756C"/>
    <w:rsid w:val="002377D1"/>
    <w:rsid w:val="00237F94"/>
    <w:rsid w:val="00240119"/>
    <w:rsid w:val="002416B0"/>
    <w:rsid w:val="00241B08"/>
    <w:rsid w:val="002430AC"/>
    <w:rsid w:val="00243458"/>
    <w:rsid w:val="00243717"/>
    <w:rsid w:val="00243CF4"/>
    <w:rsid w:val="00244489"/>
    <w:rsid w:val="0024460D"/>
    <w:rsid w:val="00244F75"/>
    <w:rsid w:val="00245598"/>
    <w:rsid w:val="002458DE"/>
    <w:rsid w:val="0024615B"/>
    <w:rsid w:val="00246D5B"/>
    <w:rsid w:val="002474C2"/>
    <w:rsid w:val="00250244"/>
    <w:rsid w:val="0025027B"/>
    <w:rsid w:val="002502C2"/>
    <w:rsid w:val="0025040A"/>
    <w:rsid w:val="0025058C"/>
    <w:rsid w:val="002506BC"/>
    <w:rsid w:val="0025139C"/>
    <w:rsid w:val="00251A2C"/>
    <w:rsid w:val="00254345"/>
    <w:rsid w:val="0025439C"/>
    <w:rsid w:val="00254690"/>
    <w:rsid w:val="00255296"/>
    <w:rsid w:val="00256CFA"/>
    <w:rsid w:val="00256EB5"/>
    <w:rsid w:val="0025734A"/>
    <w:rsid w:val="00257816"/>
    <w:rsid w:val="00257E4D"/>
    <w:rsid w:val="00261270"/>
    <w:rsid w:val="00261333"/>
    <w:rsid w:val="0026165C"/>
    <w:rsid w:val="00261E9B"/>
    <w:rsid w:val="0026215B"/>
    <w:rsid w:val="00262304"/>
    <w:rsid w:val="0026256A"/>
    <w:rsid w:val="00262605"/>
    <w:rsid w:val="00262768"/>
    <w:rsid w:val="0026367E"/>
    <w:rsid w:val="0026418A"/>
    <w:rsid w:val="002643C0"/>
    <w:rsid w:val="00264557"/>
    <w:rsid w:val="00264C79"/>
    <w:rsid w:val="00264D2E"/>
    <w:rsid w:val="0026557E"/>
    <w:rsid w:val="00265812"/>
    <w:rsid w:val="00265D44"/>
    <w:rsid w:val="00266622"/>
    <w:rsid w:val="00266A48"/>
    <w:rsid w:val="00266D6B"/>
    <w:rsid w:val="002673CE"/>
    <w:rsid w:val="002675B4"/>
    <w:rsid w:val="002710A6"/>
    <w:rsid w:val="002711AE"/>
    <w:rsid w:val="00271A30"/>
    <w:rsid w:val="00273FEF"/>
    <w:rsid w:val="0027438D"/>
    <w:rsid w:val="0027504A"/>
    <w:rsid w:val="00275985"/>
    <w:rsid w:val="002764B8"/>
    <w:rsid w:val="00277D99"/>
    <w:rsid w:val="0028011D"/>
    <w:rsid w:val="002805AB"/>
    <w:rsid w:val="00280652"/>
    <w:rsid w:val="002811A4"/>
    <w:rsid w:val="002821DD"/>
    <w:rsid w:val="002828AE"/>
    <w:rsid w:val="00282E96"/>
    <w:rsid w:val="00284204"/>
    <w:rsid w:val="00284BD2"/>
    <w:rsid w:val="0028500C"/>
    <w:rsid w:val="002856B7"/>
    <w:rsid w:val="00285756"/>
    <w:rsid w:val="00285ACC"/>
    <w:rsid w:val="00285B5C"/>
    <w:rsid w:val="00285F0F"/>
    <w:rsid w:val="00287071"/>
    <w:rsid w:val="002872F7"/>
    <w:rsid w:val="0028799C"/>
    <w:rsid w:val="002906A0"/>
    <w:rsid w:val="00290810"/>
    <w:rsid w:val="00290D43"/>
    <w:rsid w:val="0029143C"/>
    <w:rsid w:val="00291773"/>
    <w:rsid w:val="00292968"/>
    <w:rsid w:val="002932AE"/>
    <w:rsid w:val="002932B9"/>
    <w:rsid w:val="0029342E"/>
    <w:rsid w:val="00293A45"/>
    <w:rsid w:val="0029400E"/>
    <w:rsid w:val="00294152"/>
    <w:rsid w:val="0029447A"/>
    <w:rsid w:val="00294F2A"/>
    <w:rsid w:val="00295785"/>
    <w:rsid w:val="0029579A"/>
    <w:rsid w:val="0029627B"/>
    <w:rsid w:val="0029647B"/>
    <w:rsid w:val="00296882"/>
    <w:rsid w:val="00296E2A"/>
    <w:rsid w:val="002A0913"/>
    <w:rsid w:val="002A09AE"/>
    <w:rsid w:val="002A0B8B"/>
    <w:rsid w:val="002A0E1C"/>
    <w:rsid w:val="002A155F"/>
    <w:rsid w:val="002A168C"/>
    <w:rsid w:val="002A1842"/>
    <w:rsid w:val="002A2756"/>
    <w:rsid w:val="002A302D"/>
    <w:rsid w:val="002A3364"/>
    <w:rsid w:val="002A3D2D"/>
    <w:rsid w:val="002A3DC7"/>
    <w:rsid w:val="002A4316"/>
    <w:rsid w:val="002A5D89"/>
    <w:rsid w:val="002A5FCD"/>
    <w:rsid w:val="002A6A27"/>
    <w:rsid w:val="002B0858"/>
    <w:rsid w:val="002B09D5"/>
    <w:rsid w:val="002B1321"/>
    <w:rsid w:val="002B1A5E"/>
    <w:rsid w:val="002B2CD8"/>
    <w:rsid w:val="002B33E3"/>
    <w:rsid w:val="002B3866"/>
    <w:rsid w:val="002B38B0"/>
    <w:rsid w:val="002B38D3"/>
    <w:rsid w:val="002B49E2"/>
    <w:rsid w:val="002B5A5D"/>
    <w:rsid w:val="002B5FA8"/>
    <w:rsid w:val="002B6200"/>
    <w:rsid w:val="002B6E15"/>
    <w:rsid w:val="002B6F70"/>
    <w:rsid w:val="002B7315"/>
    <w:rsid w:val="002B7A32"/>
    <w:rsid w:val="002B7B00"/>
    <w:rsid w:val="002B7C44"/>
    <w:rsid w:val="002C0218"/>
    <w:rsid w:val="002C035E"/>
    <w:rsid w:val="002C1104"/>
    <w:rsid w:val="002C2056"/>
    <w:rsid w:val="002C2823"/>
    <w:rsid w:val="002C2B17"/>
    <w:rsid w:val="002C2FA4"/>
    <w:rsid w:val="002C3647"/>
    <w:rsid w:val="002C429E"/>
    <w:rsid w:val="002C43BA"/>
    <w:rsid w:val="002C4E0E"/>
    <w:rsid w:val="002C5616"/>
    <w:rsid w:val="002C5BDA"/>
    <w:rsid w:val="002C754E"/>
    <w:rsid w:val="002C76B5"/>
    <w:rsid w:val="002C7A48"/>
    <w:rsid w:val="002D078C"/>
    <w:rsid w:val="002D0B44"/>
    <w:rsid w:val="002D13AA"/>
    <w:rsid w:val="002D1815"/>
    <w:rsid w:val="002D1C06"/>
    <w:rsid w:val="002D22DB"/>
    <w:rsid w:val="002D367B"/>
    <w:rsid w:val="002D3DD0"/>
    <w:rsid w:val="002D4F35"/>
    <w:rsid w:val="002D5926"/>
    <w:rsid w:val="002E065B"/>
    <w:rsid w:val="002E1254"/>
    <w:rsid w:val="002E1F3A"/>
    <w:rsid w:val="002E2296"/>
    <w:rsid w:val="002E2556"/>
    <w:rsid w:val="002E298A"/>
    <w:rsid w:val="002E3577"/>
    <w:rsid w:val="002E379F"/>
    <w:rsid w:val="002E4176"/>
    <w:rsid w:val="002E4706"/>
    <w:rsid w:val="002E5F0B"/>
    <w:rsid w:val="002E72F4"/>
    <w:rsid w:val="002E72F9"/>
    <w:rsid w:val="002E7865"/>
    <w:rsid w:val="002E7C95"/>
    <w:rsid w:val="002E7FBE"/>
    <w:rsid w:val="002F0298"/>
    <w:rsid w:val="002F0D62"/>
    <w:rsid w:val="002F1284"/>
    <w:rsid w:val="002F26DD"/>
    <w:rsid w:val="002F34EB"/>
    <w:rsid w:val="002F417C"/>
    <w:rsid w:val="002F48F8"/>
    <w:rsid w:val="002F4907"/>
    <w:rsid w:val="002F4A84"/>
    <w:rsid w:val="002F4AB7"/>
    <w:rsid w:val="002F50A8"/>
    <w:rsid w:val="002F56FB"/>
    <w:rsid w:val="002F6647"/>
    <w:rsid w:val="002F7213"/>
    <w:rsid w:val="002F775B"/>
    <w:rsid w:val="002F7825"/>
    <w:rsid w:val="00300438"/>
    <w:rsid w:val="00300A8C"/>
    <w:rsid w:val="00301978"/>
    <w:rsid w:val="00303035"/>
    <w:rsid w:val="0030332C"/>
    <w:rsid w:val="00303843"/>
    <w:rsid w:val="00303CB3"/>
    <w:rsid w:val="003049E9"/>
    <w:rsid w:val="00304DEF"/>
    <w:rsid w:val="003051C2"/>
    <w:rsid w:val="00305932"/>
    <w:rsid w:val="00305996"/>
    <w:rsid w:val="00305CE0"/>
    <w:rsid w:val="00305EE9"/>
    <w:rsid w:val="00305FC7"/>
    <w:rsid w:val="00306FA5"/>
    <w:rsid w:val="00307483"/>
    <w:rsid w:val="00311551"/>
    <w:rsid w:val="003117AB"/>
    <w:rsid w:val="003120FC"/>
    <w:rsid w:val="00312296"/>
    <w:rsid w:val="00312A77"/>
    <w:rsid w:val="0031336D"/>
    <w:rsid w:val="003137F5"/>
    <w:rsid w:val="00313938"/>
    <w:rsid w:val="00314F0E"/>
    <w:rsid w:val="003150DA"/>
    <w:rsid w:val="00315AA0"/>
    <w:rsid w:val="003162B5"/>
    <w:rsid w:val="00317EBD"/>
    <w:rsid w:val="003209DE"/>
    <w:rsid w:val="00321A37"/>
    <w:rsid w:val="00321D8E"/>
    <w:rsid w:val="003231FA"/>
    <w:rsid w:val="00323B9E"/>
    <w:rsid w:val="00323C74"/>
    <w:rsid w:val="00323F7E"/>
    <w:rsid w:val="00325373"/>
    <w:rsid w:val="003256A4"/>
    <w:rsid w:val="00325928"/>
    <w:rsid w:val="00326A43"/>
    <w:rsid w:val="00326AB5"/>
    <w:rsid w:val="00327900"/>
    <w:rsid w:val="003304D1"/>
    <w:rsid w:val="00330B26"/>
    <w:rsid w:val="00330D92"/>
    <w:rsid w:val="00331156"/>
    <w:rsid w:val="0033158C"/>
    <w:rsid w:val="003316E9"/>
    <w:rsid w:val="00332157"/>
    <w:rsid w:val="003322E4"/>
    <w:rsid w:val="003324BB"/>
    <w:rsid w:val="00332863"/>
    <w:rsid w:val="00332E35"/>
    <w:rsid w:val="00332FF9"/>
    <w:rsid w:val="00333925"/>
    <w:rsid w:val="003340FD"/>
    <w:rsid w:val="00334181"/>
    <w:rsid w:val="00335689"/>
    <w:rsid w:val="00335B7D"/>
    <w:rsid w:val="0033659D"/>
    <w:rsid w:val="003365F2"/>
    <w:rsid w:val="0033684D"/>
    <w:rsid w:val="00336AE6"/>
    <w:rsid w:val="00337B42"/>
    <w:rsid w:val="00341666"/>
    <w:rsid w:val="00341785"/>
    <w:rsid w:val="0034188A"/>
    <w:rsid w:val="00341B42"/>
    <w:rsid w:val="00342347"/>
    <w:rsid w:val="003424D1"/>
    <w:rsid w:val="003426B7"/>
    <w:rsid w:val="00342B43"/>
    <w:rsid w:val="00342D26"/>
    <w:rsid w:val="0034348F"/>
    <w:rsid w:val="003440A5"/>
    <w:rsid w:val="00344187"/>
    <w:rsid w:val="00344234"/>
    <w:rsid w:val="003450E0"/>
    <w:rsid w:val="003453B2"/>
    <w:rsid w:val="00345456"/>
    <w:rsid w:val="00345527"/>
    <w:rsid w:val="0034597F"/>
    <w:rsid w:val="00346867"/>
    <w:rsid w:val="00346A67"/>
    <w:rsid w:val="00347C0B"/>
    <w:rsid w:val="0035044A"/>
    <w:rsid w:val="00350612"/>
    <w:rsid w:val="0035131E"/>
    <w:rsid w:val="003518B9"/>
    <w:rsid w:val="00351B26"/>
    <w:rsid w:val="0035282B"/>
    <w:rsid w:val="00352A11"/>
    <w:rsid w:val="00353BE6"/>
    <w:rsid w:val="003541FE"/>
    <w:rsid w:val="003544CB"/>
    <w:rsid w:val="00354ABF"/>
    <w:rsid w:val="00356653"/>
    <w:rsid w:val="0035743F"/>
    <w:rsid w:val="00357619"/>
    <w:rsid w:val="00357BE2"/>
    <w:rsid w:val="00360E7B"/>
    <w:rsid w:val="00361365"/>
    <w:rsid w:val="003614F6"/>
    <w:rsid w:val="0036170C"/>
    <w:rsid w:val="00361A9E"/>
    <w:rsid w:val="00362A84"/>
    <w:rsid w:val="00363D19"/>
    <w:rsid w:val="003646E4"/>
    <w:rsid w:val="00364F88"/>
    <w:rsid w:val="0036534B"/>
    <w:rsid w:val="003654AD"/>
    <w:rsid w:val="00366E0F"/>
    <w:rsid w:val="00367153"/>
    <w:rsid w:val="003679E9"/>
    <w:rsid w:val="00370502"/>
    <w:rsid w:val="0037096C"/>
    <w:rsid w:val="0037114F"/>
    <w:rsid w:val="00371742"/>
    <w:rsid w:val="00371F59"/>
    <w:rsid w:val="003722BE"/>
    <w:rsid w:val="00372BAF"/>
    <w:rsid w:val="00372CAB"/>
    <w:rsid w:val="00374661"/>
    <w:rsid w:val="003747A7"/>
    <w:rsid w:val="0037495C"/>
    <w:rsid w:val="003750FC"/>
    <w:rsid w:val="00375440"/>
    <w:rsid w:val="0037560F"/>
    <w:rsid w:val="003760C6"/>
    <w:rsid w:val="00376D7A"/>
    <w:rsid w:val="003778AA"/>
    <w:rsid w:val="003805DB"/>
    <w:rsid w:val="00380609"/>
    <w:rsid w:val="003806A6"/>
    <w:rsid w:val="00381A72"/>
    <w:rsid w:val="00381C44"/>
    <w:rsid w:val="00382C0C"/>
    <w:rsid w:val="00383593"/>
    <w:rsid w:val="00384676"/>
    <w:rsid w:val="003865CA"/>
    <w:rsid w:val="003865DA"/>
    <w:rsid w:val="00386D11"/>
    <w:rsid w:val="00386D92"/>
    <w:rsid w:val="00387140"/>
    <w:rsid w:val="00387624"/>
    <w:rsid w:val="00387886"/>
    <w:rsid w:val="00387BCE"/>
    <w:rsid w:val="00387D60"/>
    <w:rsid w:val="00390108"/>
    <w:rsid w:val="0039059D"/>
    <w:rsid w:val="00390857"/>
    <w:rsid w:val="00390884"/>
    <w:rsid w:val="00390CB3"/>
    <w:rsid w:val="00390CEA"/>
    <w:rsid w:val="00391C2C"/>
    <w:rsid w:val="00393DC0"/>
    <w:rsid w:val="00394CB2"/>
    <w:rsid w:val="0039553D"/>
    <w:rsid w:val="00395789"/>
    <w:rsid w:val="00395F90"/>
    <w:rsid w:val="003960D9"/>
    <w:rsid w:val="00396E9B"/>
    <w:rsid w:val="00397D3A"/>
    <w:rsid w:val="003A0838"/>
    <w:rsid w:val="003A095C"/>
    <w:rsid w:val="003A0B1F"/>
    <w:rsid w:val="003A0C65"/>
    <w:rsid w:val="003A0F0E"/>
    <w:rsid w:val="003A1267"/>
    <w:rsid w:val="003A17F9"/>
    <w:rsid w:val="003A2097"/>
    <w:rsid w:val="003A210D"/>
    <w:rsid w:val="003A24E2"/>
    <w:rsid w:val="003A2BFC"/>
    <w:rsid w:val="003A2F52"/>
    <w:rsid w:val="003A4137"/>
    <w:rsid w:val="003A48D9"/>
    <w:rsid w:val="003A4BF3"/>
    <w:rsid w:val="003A506C"/>
    <w:rsid w:val="003A51AB"/>
    <w:rsid w:val="003A5224"/>
    <w:rsid w:val="003A60B7"/>
    <w:rsid w:val="003A610B"/>
    <w:rsid w:val="003A6A07"/>
    <w:rsid w:val="003A737D"/>
    <w:rsid w:val="003A76BC"/>
    <w:rsid w:val="003A7974"/>
    <w:rsid w:val="003A7BB2"/>
    <w:rsid w:val="003A7CB8"/>
    <w:rsid w:val="003A7D4C"/>
    <w:rsid w:val="003B0C0E"/>
    <w:rsid w:val="003B193D"/>
    <w:rsid w:val="003B1A4B"/>
    <w:rsid w:val="003B1B9C"/>
    <w:rsid w:val="003B2C1A"/>
    <w:rsid w:val="003B2C8F"/>
    <w:rsid w:val="003B2E3C"/>
    <w:rsid w:val="003B3A32"/>
    <w:rsid w:val="003B3FB5"/>
    <w:rsid w:val="003B420D"/>
    <w:rsid w:val="003B498E"/>
    <w:rsid w:val="003B49FD"/>
    <w:rsid w:val="003B4AEF"/>
    <w:rsid w:val="003B4CAE"/>
    <w:rsid w:val="003B688E"/>
    <w:rsid w:val="003B6D86"/>
    <w:rsid w:val="003B735D"/>
    <w:rsid w:val="003B753A"/>
    <w:rsid w:val="003B7CB0"/>
    <w:rsid w:val="003C0C49"/>
    <w:rsid w:val="003C2D79"/>
    <w:rsid w:val="003C30DD"/>
    <w:rsid w:val="003C3D45"/>
    <w:rsid w:val="003C47FE"/>
    <w:rsid w:val="003C4D6E"/>
    <w:rsid w:val="003C60D2"/>
    <w:rsid w:val="003C61C0"/>
    <w:rsid w:val="003C6C16"/>
    <w:rsid w:val="003C79D5"/>
    <w:rsid w:val="003C7C54"/>
    <w:rsid w:val="003C7CEB"/>
    <w:rsid w:val="003D1794"/>
    <w:rsid w:val="003D2BCF"/>
    <w:rsid w:val="003D30EC"/>
    <w:rsid w:val="003D325A"/>
    <w:rsid w:val="003D37AE"/>
    <w:rsid w:val="003D3E2D"/>
    <w:rsid w:val="003D4855"/>
    <w:rsid w:val="003D499C"/>
    <w:rsid w:val="003D4ACC"/>
    <w:rsid w:val="003D4EF6"/>
    <w:rsid w:val="003D58C7"/>
    <w:rsid w:val="003D63E3"/>
    <w:rsid w:val="003D669A"/>
    <w:rsid w:val="003D76E8"/>
    <w:rsid w:val="003D794D"/>
    <w:rsid w:val="003E026F"/>
    <w:rsid w:val="003E02DC"/>
    <w:rsid w:val="003E03C0"/>
    <w:rsid w:val="003E0531"/>
    <w:rsid w:val="003E0E1A"/>
    <w:rsid w:val="003E10B7"/>
    <w:rsid w:val="003E137D"/>
    <w:rsid w:val="003E1669"/>
    <w:rsid w:val="003E1957"/>
    <w:rsid w:val="003E2BCF"/>
    <w:rsid w:val="003E2E01"/>
    <w:rsid w:val="003E2FC0"/>
    <w:rsid w:val="003E3058"/>
    <w:rsid w:val="003E4E07"/>
    <w:rsid w:val="003E5785"/>
    <w:rsid w:val="003E5E1F"/>
    <w:rsid w:val="003E5E22"/>
    <w:rsid w:val="003E76A9"/>
    <w:rsid w:val="003F0287"/>
    <w:rsid w:val="003F0809"/>
    <w:rsid w:val="003F0F81"/>
    <w:rsid w:val="003F19D2"/>
    <w:rsid w:val="003F2027"/>
    <w:rsid w:val="003F24A7"/>
    <w:rsid w:val="003F24E2"/>
    <w:rsid w:val="003F2CA7"/>
    <w:rsid w:val="003F3BBA"/>
    <w:rsid w:val="003F3CDF"/>
    <w:rsid w:val="003F3F81"/>
    <w:rsid w:val="003F47AF"/>
    <w:rsid w:val="003F4EF8"/>
    <w:rsid w:val="003F58A7"/>
    <w:rsid w:val="003F65E9"/>
    <w:rsid w:val="003F6A8C"/>
    <w:rsid w:val="003F74F3"/>
    <w:rsid w:val="003F755C"/>
    <w:rsid w:val="003F7CA6"/>
    <w:rsid w:val="003F7E75"/>
    <w:rsid w:val="00400C45"/>
    <w:rsid w:val="00401C65"/>
    <w:rsid w:val="00402922"/>
    <w:rsid w:val="00402E86"/>
    <w:rsid w:val="00404210"/>
    <w:rsid w:val="00404729"/>
    <w:rsid w:val="00406090"/>
    <w:rsid w:val="00406F01"/>
    <w:rsid w:val="004071E9"/>
    <w:rsid w:val="00407292"/>
    <w:rsid w:val="00407E88"/>
    <w:rsid w:val="004105D6"/>
    <w:rsid w:val="004108A4"/>
    <w:rsid w:val="004112EF"/>
    <w:rsid w:val="0041239C"/>
    <w:rsid w:val="004123A0"/>
    <w:rsid w:val="004128EB"/>
    <w:rsid w:val="00412A75"/>
    <w:rsid w:val="00412BB8"/>
    <w:rsid w:val="00412F54"/>
    <w:rsid w:val="00414733"/>
    <w:rsid w:val="00415246"/>
    <w:rsid w:val="004158FF"/>
    <w:rsid w:val="00416122"/>
    <w:rsid w:val="00416D50"/>
    <w:rsid w:val="00416FD5"/>
    <w:rsid w:val="00417772"/>
    <w:rsid w:val="00417848"/>
    <w:rsid w:val="00420E6A"/>
    <w:rsid w:val="00421098"/>
    <w:rsid w:val="00421834"/>
    <w:rsid w:val="00421941"/>
    <w:rsid w:val="00421D56"/>
    <w:rsid w:val="00424FAE"/>
    <w:rsid w:val="00425A9E"/>
    <w:rsid w:val="00425FDF"/>
    <w:rsid w:val="0042636C"/>
    <w:rsid w:val="004267F6"/>
    <w:rsid w:val="00426D6B"/>
    <w:rsid w:val="00427412"/>
    <w:rsid w:val="00427F3D"/>
    <w:rsid w:val="00430C0C"/>
    <w:rsid w:val="0043139D"/>
    <w:rsid w:val="0043195A"/>
    <w:rsid w:val="00431E6C"/>
    <w:rsid w:val="00432DD9"/>
    <w:rsid w:val="00433487"/>
    <w:rsid w:val="00433CE7"/>
    <w:rsid w:val="004342C1"/>
    <w:rsid w:val="004342E3"/>
    <w:rsid w:val="004345B4"/>
    <w:rsid w:val="00434758"/>
    <w:rsid w:val="00434D7F"/>
    <w:rsid w:val="0043512E"/>
    <w:rsid w:val="00435CD7"/>
    <w:rsid w:val="00436663"/>
    <w:rsid w:val="00436CD4"/>
    <w:rsid w:val="00440729"/>
    <w:rsid w:val="0044233B"/>
    <w:rsid w:val="00442591"/>
    <w:rsid w:val="00443018"/>
    <w:rsid w:val="00443403"/>
    <w:rsid w:val="00443D4C"/>
    <w:rsid w:val="00445408"/>
    <w:rsid w:val="00445F05"/>
    <w:rsid w:val="0044640B"/>
    <w:rsid w:val="0044641F"/>
    <w:rsid w:val="004505B8"/>
    <w:rsid w:val="004506C4"/>
    <w:rsid w:val="00452738"/>
    <w:rsid w:val="00452AAA"/>
    <w:rsid w:val="004530A1"/>
    <w:rsid w:val="00453A7C"/>
    <w:rsid w:val="0045417E"/>
    <w:rsid w:val="00454886"/>
    <w:rsid w:val="0045510C"/>
    <w:rsid w:val="0045581C"/>
    <w:rsid w:val="00456091"/>
    <w:rsid w:val="0045697D"/>
    <w:rsid w:val="004579D9"/>
    <w:rsid w:val="00457A2B"/>
    <w:rsid w:val="0046128E"/>
    <w:rsid w:val="00461431"/>
    <w:rsid w:val="004617CA"/>
    <w:rsid w:val="0046181D"/>
    <w:rsid w:val="00461A14"/>
    <w:rsid w:val="00462C7F"/>
    <w:rsid w:val="00463185"/>
    <w:rsid w:val="00463AE1"/>
    <w:rsid w:val="00463B1F"/>
    <w:rsid w:val="00463E8B"/>
    <w:rsid w:val="004643B3"/>
    <w:rsid w:val="004645A2"/>
    <w:rsid w:val="004654D0"/>
    <w:rsid w:val="00465FD5"/>
    <w:rsid w:val="004662F7"/>
    <w:rsid w:val="00466321"/>
    <w:rsid w:val="004667AC"/>
    <w:rsid w:val="004667D0"/>
    <w:rsid w:val="00471213"/>
    <w:rsid w:val="00471BBD"/>
    <w:rsid w:val="004727C8"/>
    <w:rsid w:val="00473412"/>
    <w:rsid w:val="0047350E"/>
    <w:rsid w:val="004744D4"/>
    <w:rsid w:val="00474711"/>
    <w:rsid w:val="00474C2E"/>
    <w:rsid w:val="00475235"/>
    <w:rsid w:val="004753A9"/>
    <w:rsid w:val="00476E36"/>
    <w:rsid w:val="004776B1"/>
    <w:rsid w:val="00477763"/>
    <w:rsid w:val="004801D9"/>
    <w:rsid w:val="0048097F"/>
    <w:rsid w:val="00481508"/>
    <w:rsid w:val="00481E8E"/>
    <w:rsid w:val="0048234F"/>
    <w:rsid w:val="00482E45"/>
    <w:rsid w:val="0048305A"/>
    <w:rsid w:val="004840BB"/>
    <w:rsid w:val="0048415A"/>
    <w:rsid w:val="00484B9B"/>
    <w:rsid w:val="004855F6"/>
    <w:rsid w:val="00485951"/>
    <w:rsid w:val="0048661E"/>
    <w:rsid w:val="004868B9"/>
    <w:rsid w:val="004869F0"/>
    <w:rsid w:val="004876B3"/>
    <w:rsid w:val="004879F6"/>
    <w:rsid w:val="00487F2A"/>
    <w:rsid w:val="0049035A"/>
    <w:rsid w:val="0049075B"/>
    <w:rsid w:val="00490D72"/>
    <w:rsid w:val="00491AB9"/>
    <w:rsid w:val="00492183"/>
    <w:rsid w:val="00492A99"/>
    <w:rsid w:val="00493AE3"/>
    <w:rsid w:val="00494608"/>
    <w:rsid w:val="00494670"/>
    <w:rsid w:val="004959D9"/>
    <w:rsid w:val="00497A8C"/>
    <w:rsid w:val="00497BE7"/>
    <w:rsid w:val="004A0884"/>
    <w:rsid w:val="004A12D6"/>
    <w:rsid w:val="004A163F"/>
    <w:rsid w:val="004A1F61"/>
    <w:rsid w:val="004A2798"/>
    <w:rsid w:val="004A3349"/>
    <w:rsid w:val="004A3823"/>
    <w:rsid w:val="004A4A4C"/>
    <w:rsid w:val="004A4E99"/>
    <w:rsid w:val="004A5697"/>
    <w:rsid w:val="004A57EF"/>
    <w:rsid w:val="004A6354"/>
    <w:rsid w:val="004A6A58"/>
    <w:rsid w:val="004A6B68"/>
    <w:rsid w:val="004A75F7"/>
    <w:rsid w:val="004B02C2"/>
    <w:rsid w:val="004B13D6"/>
    <w:rsid w:val="004B371D"/>
    <w:rsid w:val="004B3847"/>
    <w:rsid w:val="004B3CDA"/>
    <w:rsid w:val="004B3ED9"/>
    <w:rsid w:val="004B4FD1"/>
    <w:rsid w:val="004B586A"/>
    <w:rsid w:val="004B7336"/>
    <w:rsid w:val="004B7A72"/>
    <w:rsid w:val="004C048C"/>
    <w:rsid w:val="004C0BF4"/>
    <w:rsid w:val="004C1F77"/>
    <w:rsid w:val="004C27C8"/>
    <w:rsid w:val="004C2C18"/>
    <w:rsid w:val="004C3AFC"/>
    <w:rsid w:val="004C4005"/>
    <w:rsid w:val="004C40F9"/>
    <w:rsid w:val="004C4215"/>
    <w:rsid w:val="004C42B3"/>
    <w:rsid w:val="004C5E79"/>
    <w:rsid w:val="004C682C"/>
    <w:rsid w:val="004C69F0"/>
    <w:rsid w:val="004C6D2F"/>
    <w:rsid w:val="004C71E3"/>
    <w:rsid w:val="004D04A2"/>
    <w:rsid w:val="004D04A5"/>
    <w:rsid w:val="004D0601"/>
    <w:rsid w:val="004D080D"/>
    <w:rsid w:val="004D166A"/>
    <w:rsid w:val="004D1BD6"/>
    <w:rsid w:val="004D1C73"/>
    <w:rsid w:val="004D1F18"/>
    <w:rsid w:val="004D2390"/>
    <w:rsid w:val="004D2B36"/>
    <w:rsid w:val="004D335C"/>
    <w:rsid w:val="004D4542"/>
    <w:rsid w:val="004D4783"/>
    <w:rsid w:val="004D5A14"/>
    <w:rsid w:val="004D64FA"/>
    <w:rsid w:val="004D69A0"/>
    <w:rsid w:val="004D6B83"/>
    <w:rsid w:val="004E0A88"/>
    <w:rsid w:val="004E2167"/>
    <w:rsid w:val="004E29C7"/>
    <w:rsid w:val="004E2CE0"/>
    <w:rsid w:val="004E3219"/>
    <w:rsid w:val="004E3989"/>
    <w:rsid w:val="004E3A80"/>
    <w:rsid w:val="004E3F3E"/>
    <w:rsid w:val="004E4127"/>
    <w:rsid w:val="004E4553"/>
    <w:rsid w:val="004E510E"/>
    <w:rsid w:val="004E55DE"/>
    <w:rsid w:val="004E570B"/>
    <w:rsid w:val="004E6057"/>
    <w:rsid w:val="004E616D"/>
    <w:rsid w:val="004E6946"/>
    <w:rsid w:val="004E6A8A"/>
    <w:rsid w:val="004E71FD"/>
    <w:rsid w:val="004F0060"/>
    <w:rsid w:val="004F1AD8"/>
    <w:rsid w:val="004F2698"/>
    <w:rsid w:val="004F2D5C"/>
    <w:rsid w:val="004F3C12"/>
    <w:rsid w:val="004F3E09"/>
    <w:rsid w:val="004F4DF4"/>
    <w:rsid w:val="004F5B6A"/>
    <w:rsid w:val="004F600A"/>
    <w:rsid w:val="004F6C25"/>
    <w:rsid w:val="004F6CD0"/>
    <w:rsid w:val="004F6CD1"/>
    <w:rsid w:val="004F6E06"/>
    <w:rsid w:val="004F752A"/>
    <w:rsid w:val="00500891"/>
    <w:rsid w:val="00500CC8"/>
    <w:rsid w:val="00501D06"/>
    <w:rsid w:val="005038C1"/>
    <w:rsid w:val="005039CB"/>
    <w:rsid w:val="00504A19"/>
    <w:rsid w:val="00504D35"/>
    <w:rsid w:val="00504E30"/>
    <w:rsid w:val="0050558F"/>
    <w:rsid w:val="0050620E"/>
    <w:rsid w:val="00506286"/>
    <w:rsid w:val="005067CD"/>
    <w:rsid w:val="00507019"/>
    <w:rsid w:val="00507546"/>
    <w:rsid w:val="00507FBB"/>
    <w:rsid w:val="00510795"/>
    <w:rsid w:val="00510813"/>
    <w:rsid w:val="00510BC1"/>
    <w:rsid w:val="00511990"/>
    <w:rsid w:val="00511DE0"/>
    <w:rsid w:val="00512597"/>
    <w:rsid w:val="00512641"/>
    <w:rsid w:val="005140F8"/>
    <w:rsid w:val="0051416C"/>
    <w:rsid w:val="0051461D"/>
    <w:rsid w:val="00514870"/>
    <w:rsid w:val="0051496C"/>
    <w:rsid w:val="00514B9B"/>
    <w:rsid w:val="0051585F"/>
    <w:rsid w:val="005165BA"/>
    <w:rsid w:val="00516CFE"/>
    <w:rsid w:val="005170F3"/>
    <w:rsid w:val="00517F02"/>
    <w:rsid w:val="005220C3"/>
    <w:rsid w:val="00522FC8"/>
    <w:rsid w:val="00524303"/>
    <w:rsid w:val="00524A21"/>
    <w:rsid w:val="00524C8E"/>
    <w:rsid w:val="00525280"/>
    <w:rsid w:val="005254F7"/>
    <w:rsid w:val="005258A2"/>
    <w:rsid w:val="0052626A"/>
    <w:rsid w:val="00526567"/>
    <w:rsid w:val="00527F25"/>
    <w:rsid w:val="005300E6"/>
    <w:rsid w:val="00531433"/>
    <w:rsid w:val="00531C65"/>
    <w:rsid w:val="00531E54"/>
    <w:rsid w:val="00532165"/>
    <w:rsid w:val="00535292"/>
    <w:rsid w:val="00535647"/>
    <w:rsid w:val="00535E82"/>
    <w:rsid w:val="00536BC0"/>
    <w:rsid w:val="00537958"/>
    <w:rsid w:val="005401AE"/>
    <w:rsid w:val="00541107"/>
    <w:rsid w:val="00541FDD"/>
    <w:rsid w:val="00542E07"/>
    <w:rsid w:val="00543CEF"/>
    <w:rsid w:val="00544151"/>
    <w:rsid w:val="0054432A"/>
    <w:rsid w:val="00545424"/>
    <w:rsid w:val="00545B73"/>
    <w:rsid w:val="00545D72"/>
    <w:rsid w:val="00546107"/>
    <w:rsid w:val="0054715C"/>
    <w:rsid w:val="00547424"/>
    <w:rsid w:val="00547F03"/>
    <w:rsid w:val="005524A1"/>
    <w:rsid w:val="005526BF"/>
    <w:rsid w:val="00553ECD"/>
    <w:rsid w:val="00553FCA"/>
    <w:rsid w:val="00554A7B"/>
    <w:rsid w:val="0055572C"/>
    <w:rsid w:val="00555BCD"/>
    <w:rsid w:val="00555D06"/>
    <w:rsid w:val="005562A9"/>
    <w:rsid w:val="00556ECD"/>
    <w:rsid w:val="00556EE9"/>
    <w:rsid w:val="0055709E"/>
    <w:rsid w:val="00560BCC"/>
    <w:rsid w:val="00560DF0"/>
    <w:rsid w:val="0056106A"/>
    <w:rsid w:val="0056198C"/>
    <w:rsid w:val="00561BED"/>
    <w:rsid w:val="00562E8D"/>
    <w:rsid w:val="0056399C"/>
    <w:rsid w:val="005646D3"/>
    <w:rsid w:val="00564A50"/>
    <w:rsid w:val="00564AC8"/>
    <w:rsid w:val="00565B12"/>
    <w:rsid w:val="0056711C"/>
    <w:rsid w:val="005678DA"/>
    <w:rsid w:val="005707C2"/>
    <w:rsid w:val="00570C82"/>
    <w:rsid w:val="00571D3E"/>
    <w:rsid w:val="00571E87"/>
    <w:rsid w:val="005720AE"/>
    <w:rsid w:val="00572991"/>
    <w:rsid w:val="0057325E"/>
    <w:rsid w:val="00573A9E"/>
    <w:rsid w:val="00574928"/>
    <w:rsid w:val="00574C2D"/>
    <w:rsid w:val="00574D76"/>
    <w:rsid w:val="00575F0E"/>
    <w:rsid w:val="005763C9"/>
    <w:rsid w:val="0057669D"/>
    <w:rsid w:val="005767DA"/>
    <w:rsid w:val="00576B0C"/>
    <w:rsid w:val="00576E91"/>
    <w:rsid w:val="0057758F"/>
    <w:rsid w:val="00577ADE"/>
    <w:rsid w:val="00577CA0"/>
    <w:rsid w:val="00577CEC"/>
    <w:rsid w:val="005800A6"/>
    <w:rsid w:val="00580861"/>
    <w:rsid w:val="00580C7E"/>
    <w:rsid w:val="00580CA0"/>
    <w:rsid w:val="00580F8E"/>
    <w:rsid w:val="00581538"/>
    <w:rsid w:val="00581F8C"/>
    <w:rsid w:val="00582037"/>
    <w:rsid w:val="00582463"/>
    <w:rsid w:val="00582B15"/>
    <w:rsid w:val="0058368F"/>
    <w:rsid w:val="005853CC"/>
    <w:rsid w:val="005854D4"/>
    <w:rsid w:val="00586370"/>
    <w:rsid w:val="005865C1"/>
    <w:rsid w:val="00586F89"/>
    <w:rsid w:val="005874A6"/>
    <w:rsid w:val="00590079"/>
    <w:rsid w:val="00590483"/>
    <w:rsid w:val="00590D5C"/>
    <w:rsid w:val="00591EAB"/>
    <w:rsid w:val="005923E8"/>
    <w:rsid w:val="005928C4"/>
    <w:rsid w:val="00592FAD"/>
    <w:rsid w:val="005941C9"/>
    <w:rsid w:val="00594D77"/>
    <w:rsid w:val="005955FB"/>
    <w:rsid w:val="00596969"/>
    <w:rsid w:val="005969E4"/>
    <w:rsid w:val="005969F0"/>
    <w:rsid w:val="00597465"/>
    <w:rsid w:val="005974AF"/>
    <w:rsid w:val="00597632"/>
    <w:rsid w:val="005A06B7"/>
    <w:rsid w:val="005A06E4"/>
    <w:rsid w:val="005A087E"/>
    <w:rsid w:val="005A0B37"/>
    <w:rsid w:val="005A13AB"/>
    <w:rsid w:val="005A1759"/>
    <w:rsid w:val="005A2A8F"/>
    <w:rsid w:val="005A2D36"/>
    <w:rsid w:val="005A4EF7"/>
    <w:rsid w:val="005A68A7"/>
    <w:rsid w:val="005A6A4C"/>
    <w:rsid w:val="005A7F1A"/>
    <w:rsid w:val="005B08C7"/>
    <w:rsid w:val="005B1677"/>
    <w:rsid w:val="005B26C3"/>
    <w:rsid w:val="005B2A2E"/>
    <w:rsid w:val="005B2BDA"/>
    <w:rsid w:val="005B36C8"/>
    <w:rsid w:val="005B492F"/>
    <w:rsid w:val="005B4EA8"/>
    <w:rsid w:val="005B55DA"/>
    <w:rsid w:val="005B586B"/>
    <w:rsid w:val="005B5A34"/>
    <w:rsid w:val="005B5ABD"/>
    <w:rsid w:val="005B5B78"/>
    <w:rsid w:val="005B5DCE"/>
    <w:rsid w:val="005B60AC"/>
    <w:rsid w:val="005C126F"/>
    <w:rsid w:val="005C12DD"/>
    <w:rsid w:val="005C12FF"/>
    <w:rsid w:val="005C29DF"/>
    <w:rsid w:val="005C2CE5"/>
    <w:rsid w:val="005C309B"/>
    <w:rsid w:val="005C3725"/>
    <w:rsid w:val="005C4897"/>
    <w:rsid w:val="005C623A"/>
    <w:rsid w:val="005C791D"/>
    <w:rsid w:val="005C7B16"/>
    <w:rsid w:val="005C7B4C"/>
    <w:rsid w:val="005C7F6E"/>
    <w:rsid w:val="005D06FE"/>
    <w:rsid w:val="005D0D0D"/>
    <w:rsid w:val="005D2309"/>
    <w:rsid w:val="005D2628"/>
    <w:rsid w:val="005D34CC"/>
    <w:rsid w:val="005D36AB"/>
    <w:rsid w:val="005D3E07"/>
    <w:rsid w:val="005D566D"/>
    <w:rsid w:val="005D68A3"/>
    <w:rsid w:val="005D72E2"/>
    <w:rsid w:val="005E09B5"/>
    <w:rsid w:val="005E0CD5"/>
    <w:rsid w:val="005E2748"/>
    <w:rsid w:val="005E2DB4"/>
    <w:rsid w:val="005E2F97"/>
    <w:rsid w:val="005E3E1C"/>
    <w:rsid w:val="005E4F3D"/>
    <w:rsid w:val="005E505F"/>
    <w:rsid w:val="005E52AB"/>
    <w:rsid w:val="005E5A62"/>
    <w:rsid w:val="005E6011"/>
    <w:rsid w:val="005E6CAD"/>
    <w:rsid w:val="005E70AF"/>
    <w:rsid w:val="005E72E1"/>
    <w:rsid w:val="005E7663"/>
    <w:rsid w:val="005E771E"/>
    <w:rsid w:val="005F0852"/>
    <w:rsid w:val="005F0DB3"/>
    <w:rsid w:val="005F1779"/>
    <w:rsid w:val="005F1D0F"/>
    <w:rsid w:val="005F2248"/>
    <w:rsid w:val="005F397D"/>
    <w:rsid w:val="005F399D"/>
    <w:rsid w:val="005F400F"/>
    <w:rsid w:val="005F41C2"/>
    <w:rsid w:val="005F5A1F"/>
    <w:rsid w:val="005F5A57"/>
    <w:rsid w:val="005F5DBB"/>
    <w:rsid w:val="005F63A8"/>
    <w:rsid w:val="005F65EF"/>
    <w:rsid w:val="005F69A8"/>
    <w:rsid w:val="005F6F77"/>
    <w:rsid w:val="00601147"/>
    <w:rsid w:val="00602EE7"/>
    <w:rsid w:val="00602F31"/>
    <w:rsid w:val="00602F6A"/>
    <w:rsid w:val="0060374D"/>
    <w:rsid w:val="00603AF7"/>
    <w:rsid w:val="00603E97"/>
    <w:rsid w:val="006040C3"/>
    <w:rsid w:val="00604347"/>
    <w:rsid w:val="006046DB"/>
    <w:rsid w:val="00606D72"/>
    <w:rsid w:val="00606E15"/>
    <w:rsid w:val="006072B5"/>
    <w:rsid w:val="006074EF"/>
    <w:rsid w:val="00607CF1"/>
    <w:rsid w:val="00607D60"/>
    <w:rsid w:val="00611241"/>
    <w:rsid w:val="0061128A"/>
    <w:rsid w:val="00611DC7"/>
    <w:rsid w:val="00611E3E"/>
    <w:rsid w:val="0061250A"/>
    <w:rsid w:val="00612D55"/>
    <w:rsid w:val="006130DF"/>
    <w:rsid w:val="006138B2"/>
    <w:rsid w:val="00614457"/>
    <w:rsid w:val="0061498C"/>
    <w:rsid w:val="00615303"/>
    <w:rsid w:val="00615E9B"/>
    <w:rsid w:val="0061671A"/>
    <w:rsid w:val="00617CC3"/>
    <w:rsid w:val="00617FF7"/>
    <w:rsid w:val="006208A1"/>
    <w:rsid w:val="006215D3"/>
    <w:rsid w:val="006215FA"/>
    <w:rsid w:val="006220DF"/>
    <w:rsid w:val="00623078"/>
    <w:rsid w:val="006230B0"/>
    <w:rsid w:val="006230FE"/>
    <w:rsid w:val="00623A43"/>
    <w:rsid w:val="00623F17"/>
    <w:rsid w:val="00623F18"/>
    <w:rsid w:val="00625EE5"/>
    <w:rsid w:val="00625EFC"/>
    <w:rsid w:val="00625F0A"/>
    <w:rsid w:val="00625FAE"/>
    <w:rsid w:val="00627259"/>
    <w:rsid w:val="006273F5"/>
    <w:rsid w:val="006275A1"/>
    <w:rsid w:val="0062762A"/>
    <w:rsid w:val="006302B1"/>
    <w:rsid w:val="0063036B"/>
    <w:rsid w:val="0063056D"/>
    <w:rsid w:val="00630D1C"/>
    <w:rsid w:val="00630F0D"/>
    <w:rsid w:val="0063146F"/>
    <w:rsid w:val="006318F8"/>
    <w:rsid w:val="00632560"/>
    <w:rsid w:val="00632A26"/>
    <w:rsid w:val="00633641"/>
    <w:rsid w:val="00633768"/>
    <w:rsid w:val="00633985"/>
    <w:rsid w:val="00633E8A"/>
    <w:rsid w:val="0063596B"/>
    <w:rsid w:val="0063614E"/>
    <w:rsid w:val="006377A6"/>
    <w:rsid w:val="00637A3D"/>
    <w:rsid w:val="00640D12"/>
    <w:rsid w:val="006411EF"/>
    <w:rsid w:val="006418A5"/>
    <w:rsid w:val="0064196A"/>
    <w:rsid w:val="0064266E"/>
    <w:rsid w:val="00642AC8"/>
    <w:rsid w:val="0064397B"/>
    <w:rsid w:val="00643B24"/>
    <w:rsid w:val="00644232"/>
    <w:rsid w:val="00644619"/>
    <w:rsid w:val="00646F1F"/>
    <w:rsid w:val="0064700E"/>
    <w:rsid w:val="006474B8"/>
    <w:rsid w:val="006478C7"/>
    <w:rsid w:val="00647C3F"/>
    <w:rsid w:val="006507E5"/>
    <w:rsid w:val="00650D93"/>
    <w:rsid w:val="006512A6"/>
    <w:rsid w:val="00651CDC"/>
    <w:rsid w:val="00651DD0"/>
    <w:rsid w:val="006520FF"/>
    <w:rsid w:val="006543CB"/>
    <w:rsid w:val="00654CBA"/>
    <w:rsid w:val="006555F1"/>
    <w:rsid w:val="00655609"/>
    <w:rsid w:val="00656290"/>
    <w:rsid w:val="006562E4"/>
    <w:rsid w:val="00656BF8"/>
    <w:rsid w:val="00657258"/>
    <w:rsid w:val="00657CF9"/>
    <w:rsid w:val="00657F23"/>
    <w:rsid w:val="00660295"/>
    <w:rsid w:val="00661A39"/>
    <w:rsid w:val="00661C21"/>
    <w:rsid w:val="0066218A"/>
    <w:rsid w:val="006621FF"/>
    <w:rsid w:val="006627A5"/>
    <w:rsid w:val="006629BE"/>
    <w:rsid w:val="00663A5C"/>
    <w:rsid w:val="00663CF2"/>
    <w:rsid w:val="0066486B"/>
    <w:rsid w:val="006649A9"/>
    <w:rsid w:val="006652E0"/>
    <w:rsid w:val="00665C0B"/>
    <w:rsid w:val="0066692B"/>
    <w:rsid w:val="00666E5C"/>
    <w:rsid w:val="00667053"/>
    <w:rsid w:val="00667BB0"/>
    <w:rsid w:val="00667BB4"/>
    <w:rsid w:val="006700A9"/>
    <w:rsid w:val="00670317"/>
    <w:rsid w:val="00671AD2"/>
    <w:rsid w:val="00671BB3"/>
    <w:rsid w:val="006721F1"/>
    <w:rsid w:val="00672531"/>
    <w:rsid w:val="0067270F"/>
    <w:rsid w:val="00672DCF"/>
    <w:rsid w:val="00672F19"/>
    <w:rsid w:val="00674002"/>
    <w:rsid w:val="006740FA"/>
    <w:rsid w:val="006748B8"/>
    <w:rsid w:val="006749A5"/>
    <w:rsid w:val="00674A03"/>
    <w:rsid w:val="00675102"/>
    <w:rsid w:val="00675AC7"/>
    <w:rsid w:val="00676A67"/>
    <w:rsid w:val="006775C3"/>
    <w:rsid w:val="00681825"/>
    <w:rsid w:val="006822B9"/>
    <w:rsid w:val="006824C5"/>
    <w:rsid w:val="00682742"/>
    <w:rsid w:val="00682C90"/>
    <w:rsid w:val="00684423"/>
    <w:rsid w:val="00684989"/>
    <w:rsid w:val="006852FE"/>
    <w:rsid w:val="00686A6D"/>
    <w:rsid w:val="006872C3"/>
    <w:rsid w:val="00687EB1"/>
    <w:rsid w:val="006912CB"/>
    <w:rsid w:val="0069158C"/>
    <w:rsid w:val="00691DB9"/>
    <w:rsid w:val="0069232F"/>
    <w:rsid w:val="006926F4"/>
    <w:rsid w:val="0069290A"/>
    <w:rsid w:val="00692B8B"/>
    <w:rsid w:val="00692F0B"/>
    <w:rsid w:val="006936E2"/>
    <w:rsid w:val="00694E1C"/>
    <w:rsid w:val="006951AF"/>
    <w:rsid w:val="006955F2"/>
    <w:rsid w:val="00695F7B"/>
    <w:rsid w:val="00696980"/>
    <w:rsid w:val="0069734A"/>
    <w:rsid w:val="0069775A"/>
    <w:rsid w:val="00697813"/>
    <w:rsid w:val="006A2643"/>
    <w:rsid w:val="006A2C1F"/>
    <w:rsid w:val="006A3EE8"/>
    <w:rsid w:val="006A4245"/>
    <w:rsid w:val="006A43FA"/>
    <w:rsid w:val="006A4B12"/>
    <w:rsid w:val="006A4F35"/>
    <w:rsid w:val="006A516C"/>
    <w:rsid w:val="006A5D10"/>
    <w:rsid w:val="006A6C19"/>
    <w:rsid w:val="006A72BF"/>
    <w:rsid w:val="006B03F2"/>
    <w:rsid w:val="006B0547"/>
    <w:rsid w:val="006B0849"/>
    <w:rsid w:val="006B1DB1"/>
    <w:rsid w:val="006B1DC1"/>
    <w:rsid w:val="006B2828"/>
    <w:rsid w:val="006B28D3"/>
    <w:rsid w:val="006B3407"/>
    <w:rsid w:val="006B37DC"/>
    <w:rsid w:val="006B38AB"/>
    <w:rsid w:val="006B463E"/>
    <w:rsid w:val="006B48B4"/>
    <w:rsid w:val="006B4D66"/>
    <w:rsid w:val="006B4F68"/>
    <w:rsid w:val="006B537D"/>
    <w:rsid w:val="006B5BD9"/>
    <w:rsid w:val="006B683F"/>
    <w:rsid w:val="006B6AA5"/>
    <w:rsid w:val="006B7165"/>
    <w:rsid w:val="006B76EA"/>
    <w:rsid w:val="006B7B54"/>
    <w:rsid w:val="006C0592"/>
    <w:rsid w:val="006C12CF"/>
    <w:rsid w:val="006C1AC3"/>
    <w:rsid w:val="006C272E"/>
    <w:rsid w:val="006C3259"/>
    <w:rsid w:val="006C3458"/>
    <w:rsid w:val="006C3EB9"/>
    <w:rsid w:val="006C3EF8"/>
    <w:rsid w:val="006C48C3"/>
    <w:rsid w:val="006C4E3F"/>
    <w:rsid w:val="006C5479"/>
    <w:rsid w:val="006C57C2"/>
    <w:rsid w:val="006C603C"/>
    <w:rsid w:val="006D0706"/>
    <w:rsid w:val="006D13B5"/>
    <w:rsid w:val="006D1ABD"/>
    <w:rsid w:val="006D1C83"/>
    <w:rsid w:val="006D2E7E"/>
    <w:rsid w:val="006D360D"/>
    <w:rsid w:val="006D41F6"/>
    <w:rsid w:val="006D46CA"/>
    <w:rsid w:val="006D4938"/>
    <w:rsid w:val="006D547A"/>
    <w:rsid w:val="006D592F"/>
    <w:rsid w:val="006D59AC"/>
    <w:rsid w:val="006D5DE3"/>
    <w:rsid w:val="006D6123"/>
    <w:rsid w:val="006D7A2D"/>
    <w:rsid w:val="006E0162"/>
    <w:rsid w:val="006E06C2"/>
    <w:rsid w:val="006E0B00"/>
    <w:rsid w:val="006E12FF"/>
    <w:rsid w:val="006E1898"/>
    <w:rsid w:val="006E1AFE"/>
    <w:rsid w:val="006E2E27"/>
    <w:rsid w:val="006E3543"/>
    <w:rsid w:val="006E361E"/>
    <w:rsid w:val="006E3701"/>
    <w:rsid w:val="006E3833"/>
    <w:rsid w:val="006E3CBC"/>
    <w:rsid w:val="006E5090"/>
    <w:rsid w:val="006E607E"/>
    <w:rsid w:val="006E6BEF"/>
    <w:rsid w:val="006E6FF3"/>
    <w:rsid w:val="006E77E0"/>
    <w:rsid w:val="006E7ED7"/>
    <w:rsid w:val="006F097D"/>
    <w:rsid w:val="006F0D73"/>
    <w:rsid w:val="006F15FD"/>
    <w:rsid w:val="006F3579"/>
    <w:rsid w:val="006F3FDF"/>
    <w:rsid w:val="006F4AF2"/>
    <w:rsid w:val="006F4BC1"/>
    <w:rsid w:val="006F5098"/>
    <w:rsid w:val="006F58A0"/>
    <w:rsid w:val="006F6788"/>
    <w:rsid w:val="00700150"/>
    <w:rsid w:val="00700EF9"/>
    <w:rsid w:val="00701605"/>
    <w:rsid w:val="00701C02"/>
    <w:rsid w:val="00701F88"/>
    <w:rsid w:val="00702311"/>
    <w:rsid w:val="007031E6"/>
    <w:rsid w:val="00703762"/>
    <w:rsid w:val="0070382C"/>
    <w:rsid w:val="00703A73"/>
    <w:rsid w:val="0070406C"/>
    <w:rsid w:val="007040F1"/>
    <w:rsid w:val="007045EE"/>
    <w:rsid w:val="007067F4"/>
    <w:rsid w:val="00706C32"/>
    <w:rsid w:val="00706C5D"/>
    <w:rsid w:val="0070781B"/>
    <w:rsid w:val="00707871"/>
    <w:rsid w:val="007079D1"/>
    <w:rsid w:val="0071025E"/>
    <w:rsid w:val="007105B2"/>
    <w:rsid w:val="00711DAD"/>
    <w:rsid w:val="0071346F"/>
    <w:rsid w:val="00713A64"/>
    <w:rsid w:val="00713DBF"/>
    <w:rsid w:val="007141B4"/>
    <w:rsid w:val="0071606A"/>
    <w:rsid w:val="007160E3"/>
    <w:rsid w:val="00716748"/>
    <w:rsid w:val="00717A91"/>
    <w:rsid w:val="00717F6B"/>
    <w:rsid w:val="00720994"/>
    <w:rsid w:val="00720C8A"/>
    <w:rsid w:val="007214EC"/>
    <w:rsid w:val="0072177C"/>
    <w:rsid w:val="00721C77"/>
    <w:rsid w:val="007220E0"/>
    <w:rsid w:val="007221CF"/>
    <w:rsid w:val="00722221"/>
    <w:rsid w:val="007224CE"/>
    <w:rsid w:val="00722541"/>
    <w:rsid w:val="00722CF9"/>
    <w:rsid w:val="00723DAC"/>
    <w:rsid w:val="00724176"/>
    <w:rsid w:val="00724513"/>
    <w:rsid w:val="00724838"/>
    <w:rsid w:val="00725B59"/>
    <w:rsid w:val="00726771"/>
    <w:rsid w:val="00727301"/>
    <w:rsid w:val="00730AE8"/>
    <w:rsid w:val="007328C7"/>
    <w:rsid w:val="00732922"/>
    <w:rsid w:val="007331EE"/>
    <w:rsid w:val="00734DBC"/>
    <w:rsid w:val="00734ED9"/>
    <w:rsid w:val="00735993"/>
    <w:rsid w:val="007359E4"/>
    <w:rsid w:val="007362B6"/>
    <w:rsid w:val="00736410"/>
    <w:rsid w:val="007366C3"/>
    <w:rsid w:val="00736BAB"/>
    <w:rsid w:val="00736FA1"/>
    <w:rsid w:val="007374FC"/>
    <w:rsid w:val="00737A08"/>
    <w:rsid w:val="00737CBE"/>
    <w:rsid w:val="00737CC5"/>
    <w:rsid w:val="00737D13"/>
    <w:rsid w:val="00737D37"/>
    <w:rsid w:val="00740172"/>
    <w:rsid w:val="00740C86"/>
    <w:rsid w:val="00740CFC"/>
    <w:rsid w:val="00740F40"/>
    <w:rsid w:val="00741C24"/>
    <w:rsid w:val="00741C42"/>
    <w:rsid w:val="007430D3"/>
    <w:rsid w:val="007437B3"/>
    <w:rsid w:val="00743F45"/>
    <w:rsid w:val="007441D9"/>
    <w:rsid w:val="0074443A"/>
    <w:rsid w:val="00745412"/>
    <w:rsid w:val="00746272"/>
    <w:rsid w:val="0074633A"/>
    <w:rsid w:val="0074769E"/>
    <w:rsid w:val="007479FF"/>
    <w:rsid w:val="00747C33"/>
    <w:rsid w:val="0075012F"/>
    <w:rsid w:val="00750A36"/>
    <w:rsid w:val="00751002"/>
    <w:rsid w:val="0075162E"/>
    <w:rsid w:val="00751A14"/>
    <w:rsid w:val="0075230D"/>
    <w:rsid w:val="007524ED"/>
    <w:rsid w:val="0075316F"/>
    <w:rsid w:val="007539A4"/>
    <w:rsid w:val="007539E2"/>
    <w:rsid w:val="00754034"/>
    <w:rsid w:val="00755314"/>
    <w:rsid w:val="00756556"/>
    <w:rsid w:val="007607EC"/>
    <w:rsid w:val="007618C4"/>
    <w:rsid w:val="007624B3"/>
    <w:rsid w:val="00764291"/>
    <w:rsid w:val="0076437F"/>
    <w:rsid w:val="007643A3"/>
    <w:rsid w:val="007646A7"/>
    <w:rsid w:val="007647D5"/>
    <w:rsid w:val="00764DFB"/>
    <w:rsid w:val="007655C8"/>
    <w:rsid w:val="007656D1"/>
    <w:rsid w:val="00766C75"/>
    <w:rsid w:val="0076713C"/>
    <w:rsid w:val="00767980"/>
    <w:rsid w:val="0077067A"/>
    <w:rsid w:val="00770B19"/>
    <w:rsid w:val="0077141A"/>
    <w:rsid w:val="00771900"/>
    <w:rsid w:val="0077430A"/>
    <w:rsid w:val="0077463F"/>
    <w:rsid w:val="00775AE6"/>
    <w:rsid w:val="007777D2"/>
    <w:rsid w:val="00777CBF"/>
    <w:rsid w:val="00780060"/>
    <w:rsid w:val="00780335"/>
    <w:rsid w:val="00780899"/>
    <w:rsid w:val="00780B02"/>
    <w:rsid w:val="00781647"/>
    <w:rsid w:val="00782ADC"/>
    <w:rsid w:val="0078329A"/>
    <w:rsid w:val="007836EA"/>
    <w:rsid w:val="007838BD"/>
    <w:rsid w:val="00783F28"/>
    <w:rsid w:val="00783FB3"/>
    <w:rsid w:val="0078406E"/>
    <w:rsid w:val="00784CDA"/>
    <w:rsid w:val="00786AA1"/>
    <w:rsid w:val="00786C6D"/>
    <w:rsid w:val="00787F1A"/>
    <w:rsid w:val="0079011D"/>
    <w:rsid w:val="007906C4"/>
    <w:rsid w:val="0079078B"/>
    <w:rsid w:val="00790907"/>
    <w:rsid w:val="0079091E"/>
    <w:rsid w:val="007909F6"/>
    <w:rsid w:val="007918F2"/>
    <w:rsid w:val="0079209A"/>
    <w:rsid w:val="007927C5"/>
    <w:rsid w:val="00793047"/>
    <w:rsid w:val="00793731"/>
    <w:rsid w:val="00793AE6"/>
    <w:rsid w:val="007940EA"/>
    <w:rsid w:val="00795505"/>
    <w:rsid w:val="007967E8"/>
    <w:rsid w:val="00796A1C"/>
    <w:rsid w:val="00796B71"/>
    <w:rsid w:val="00796B8B"/>
    <w:rsid w:val="00797001"/>
    <w:rsid w:val="007971A6"/>
    <w:rsid w:val="00797737"/>
    <w:rsid w:val="0079796A"/>
    <w:rsid w:val="007A07A6"/>
    <w:rsid w:val="007A19DC"/>
    <w:rsid w:val="007A1A9B"/>
    <w:rsid w:val="007A2170"/>
    <w:rsid w:val="007A22BF"/>
    <w:rsid w:val="007A2B9A"/>
    <w:rsid w:val="007A2E44"/>
    <w:rsid w:val="007A3171"/>
    <w:rsid w:val="007A3323"/>
    <w:rsid w:val="007A3523"/>
    <w:rsid w:val="007A47CF"/>
    <w:rsid w:val="007A48D9"/>
    <w:rsid w:val="007A4B7E"/>
    <w:rsid w:val="007A73A7"/>
    <w:rsid w:val="007A7755"/>
    <w:rsid w:val="007A7E42"/>
    <w:rsid w:val="007A7FB7"/>
    <w:rsid w:val="007B02FC"/>
    <w:rsid w:val="007B050F"/>
    <w:rsid w:val="007B08F1"/>
    <w:rsid w:val="007B1277"/>
    <w:rsid w:val="007B24E1"/>
    <w:rsid w:val="007B27B4"/>
    <w:rsid w:val="007B2831"/>
    <w:rsid w:val="007B331C"/>
    <w:rsid w:val="007B461F"/>
    <w:rsid w:val="007B4660"/>
    <w:rsid w:val="007B4D71"/>
    <w:rsid w:val="007B575C"/>
    <w:rsid w:val="007B61C7"/>
    <w:rsid w:val="007B72B8"/>
    <w:rsid w:val="007B73B2"/>
    <w:rsid w:val="007B7912"/>
    <w:rsid w:val="007B792D"/>
    <w:rsid w:val="007B7A58"/>
    <w:rsid w:val="007B7E87"/>
    <w:rsid w:val="007C0E5B"/>
    <w:rsid w:val="007C1206"/>
    <w:rsid w:val="007C157F"/>
    <w:rsid w:val="007C21B5"/>
    <w:rsid w:val="007C2D2F"/>
    <w:rsid w:val="007C2D81"/>
    <w:rsid w:val="007C3600"/>
    <w:rsid w:val="007C490F"/>
    <w:rsid w:val="007C4EDA"/>
    <w:rsid w:val="007C5012"/>
    <w:rsid w:val="007C582F"/>
    <w:rsid w:val="007C5F1E"/>
    <w:rsid w:val="007C5FBF"/>
    <w:rsid w:val="007C663F"/>
    <w:rsid w:val="007C7218"/>
    <w:rsid w:val="007C7775"/>
    <w:rsid w:val="007C7D0E"/>
    <w:rsid w:val="007D0CE0"/>
    <w:rsid w:val="007D1633"/>
    <w:rsid w:val="007D2AA8"/>
    <w:rsid w:val="007D2EEC"/>
    <w:rsid w:val="007D2F25"/>
    <w:rsid w:val="007D55AE"/>
    <w:rsid w:val="007D57C4"/>
    <w:rsid w:val="007D59A7"/>
    <w:rsid w:val="007D5C11"/>
    <w:rsid w:val="007D5C4A"/>
    <w:rsid w:val="007D6208"/>
    <w:rsid w:val="007D65E9"/>
    <w:rsid w:val="007D667E"/>
    <w:rsid w:val="007D6F33"/>
    <w:rsid w:val="007D7A1C"/>
    <w:rsid w:val="007E065F"/>
    <w:rsid w:val="007E0689"/>
    <w:rsid w:val="007E094D"/>
    <w:rsid w:val="007E199C"/>
    <w:rsid w:val="007E3BD1"/>
    <w:rsid w:val="007E44B5"/>
    <w:rsid w:val="007E4A74"/>
    <w:rsid w:val="007E4BD2"/>
    <w:rsid w:val="007E4E83"/>
    <w:rsid w:val="007E4EC6"/>
    <w:rsid w:val="007E4FC6"/>
    <w:rsid w:val="007E5A94"/>
    <w:rsid w:val="007E5E0E"/>
    <w:rsid w:val="007E6B4F"/>
    <w:rsid w:val="007E72C3"/>
    <w:rsid w:val="007E7669"/>
    <w:rsid w:val="007E79AA"/>
    <w:rsid w:val="007E7A73"/>
    <w:rsid w:val="007F1515"/>
    <w:rsid w:val="007F1DB3"/>
    <w:rsid w:val="007F2ECC"/>
    <w:rsid w:val="007F2F17"/>
    <w:rsid w:val="007F3401"/>
    <w:rsid w:val="007F3C4A"/>
    <w:rsid w:val="007F5008"/>
    <w:rsid w:val="007F775D"/>
    <w:rsid w:val="00800E8B"/>
    <w:rsid w:val="00801138"/>
    <w:rsid w:val="00801393"/>
    <w:rsid w:val="00801E71"/>
    <w:rsid w:val="00802D1A"/>
    <w:rsid w:val="00802F88"/>
    <w:rsid w:val="00805971"/>
    <w:rsid w:val="00805CC2"/>
    <w:rsid w:val="00806DD6"/>
    <w:rsid w:val="00806F9F"/>
    <w:rsid w:val="00807944"/>
    <w:rsid w:val="00807CDF"/>
    <w:rsid w:val="00807D56"/>
    <w:rsid w:val="00807ECB"/>
    <w:rsid w:val="00811ECB"/>
    <w:rsid w:val="00812378"/>
    <w:rsid w:val="0081293E"/>
    <w:rsid w:val="00812FAF"/>
    <w:rsid w:val="00813A4B"/>
    <w:rsid w:val="00813E84"/>
    <w:rsid w:val="0081441A"/>
    <w:rsid w:val="0081474A"/>
    <w:rsid w:val="00815465"/>
    <w:rsid w:val="0081573F"/>
    <w:rsid w:val="00815B2F"/>
    <w:rsid w:val="00815D5C"/>
    <w:rsid w:val="00816327"/>
    <w:rsid w:val="00816901"/>
    <w:rsid w:val="00816C6D"/>
    <w:rsid w:val="00816ECA"/>
    <w:rsid w:val="00817373"/>
    <w:rsid w:val="00817E9A"/>
    <w:rsid w:val="008219E7"/>
    <w:rsid w:val="00821C7E"/>
    <w:rsid w:val="00821DA4"/>
    <w:rsid w:val="008226A9"/>
    <w:rsid w:val="00822756"/>
    <w:rsid w:val="008229F8"/>
    <w:rsid w:val="00822A92"/>
    <w:rsid w:val="00822C9B"/>
    <w:rsid w:val="008234F1"/>
    <w:rsid w:val="008235E4"/>
    <w:rsid w:val="008237A1"/>
    <w:rsid w:val="008237C3"/>
    <w:rsid w:val="0082381D"/>
    <w:rsid w:val="00823933"/>
    <w:rsid w:val="008255A5"/>
    <w:rsid w:val="00825F79"/>
    <w:rsid w:val="00827F32"/>
    <w:rsid w:val="00830623"/>
    <w:rsid w:val="008306BD"/>
    <w:rsid w:val="00831A80"/>
    <w:rsid w:val="00831AA9"/>
    <w:rsid w:val="00831B6B"/>
    <w:rsid w:val="008322AE"/>
    <w:rsid w:val="00832B02"/>
    <w:rsid w:val="00832C74"/>
    <w:rsid w:val="00833743"/>
    <w:rsid w:val="00833DA0"/>
    <w:rsid w:val="00833DBD"/>
    <w:rsid w:val="008340A4"/>
    <w:rsid w:val="00834251"/>
    <w:rsid w:val="00834D6C"/>
    <w:rsid w:val="00834E88"/>
    <w:rsid w:val="00835075"/>
    <w:rsid w:val="0083541B"/>
    <w:rsid w:val="00835FA0"/>
    <w:rsid w:val="008363B1"/>
    <w:rsid w:val="008363B8"/>
    <w:rsid w:val="0083697E"/>
    <w:rsid w:val="008372CD"/>
    <w:rsid w:val="00837F93"/>
    <w:rsid w:val="00843CF6"/>
    <w:rsid w:val="0084455B"/>
    <w:rsid w:val="00844D75"/>
    <w:rsid w:val="00844FA1"/>
    <w:rsid w:val="00845106"/>
    <w:rsid w:val="008455B7"/>
    <w:rsid w:val="00845B96"/>
    <w:rsid w:val="00845CD3"/>
    <w:rsid w:val="00846836"/>
    <w:rsid w:val="008501C3"/>
    <w:rsid w:val="00850480"/>
    <w:rsid w:val="008506BD"/>
    <w:rsid w:val="008508D3"/>
    <w:rsid w:val="00850E1E"/>
    <w:rsid w:val="00851BFC"/>
    <w:rsid w:val="008540C6"/>
    <w:rsid w:val="00854B94"/>
    <w:rsid w:val="00854F62"/>
    <w:rsid w:val="008551C4"/>
    <w:rsid w:val="00855741"/>
    <w:rsid w:val="00855CCB"/>
    <w:rsid w:val="008564A6"/>
    <w:rsid w:val="008608B6"/>
    <w:rsid w:val="0086121A"/>
    <w:rsid w:val="00861651"/>
    <w:rsid w:val="00862340"/>
    <w:rsid w:val="00862986"/>
    <w:rsid w:val="00862C07"/>
    <w:rsid w:val="00863532"/>
    <w:rsid w:val="00863846"/>
    <w:rsid w:val="008648F4"/>
    <w:rsid w:val="00864DE6"/>
    <w:rsid w:val="00865C37"/>
    <w:rsid w:val="0086642E"/>
    <w:rsid w:val="008675E1"/>
    <w:rsid w:val="00867BD4"/>
    <w:rsid w:val="008707F4"/>
    <w:rsid w:val="00870D0C"/>
    <w:rsid w:val="00870F8F"/>
    <w:rsid w:val="00871044"/>
    <w:rsid w:val="0087135F"/>
    <w:rsid w:val="00872D94"/>
    <w:rsid w:val="00872F04"/>
    <w:rsid w:val="008730BA"/>
    <w:rsid w:val="008735D6"/>
    <w:rsid w:val="00873954"/>
    <w:rsid w:val="00874132"/>
    <w:rsid w:val="008755A2"/>
    <w:rsid w:val="008756E5"/>
    <w:rsid w:val="0087592C"/>
    <w:rsid w:val="008761B2"/>
    <w:rsid w:val="00877130"/>
    <w:rsid w:val="008775D1"/>
    <w:rsid w:val="00877CDD"/>
    <w:rsid w:val="00880018"/>
    <w:rsid w:val="00880364"/>
    <w:rsid w:val="00880709"/>
    <w:rsid w:val="008816A8"/>
    <w:rsid w:val="00881A90"/>
    <w:rsid w:val="00881E56"/>
    <w:rsid w:val="008852A8"/>
    <w:rsid w:val="008854C5"/>
    <w:rsid w:val="0088607D"/>
    <w:rsid w:val="0088651A"/>
    <w:rsid w:val="00886779"/>
    <w:rsid w:val="00886B75"/>
    <w:rsid w:val="00887B6F"/>
    <w:rsid w:val="00890126"/>
    <w:rsid w:val="008907D8"/>
    <w:rsid w:val="00891592"/>
    <w:rsid w:val="008915C7"/>
    <w:rsid w:val="00891E9E"/>
    <w:rsid w:val="00892B64"/>
    <w:rsid w:val="00893128"/>
    <w:rsid w:val="00893141"/>
    <w:rsid w:val="00893474"/>
    <w:rsid w:val="00894044"/>
    <w:rsid w:val="0089504B"/>
    <w:rsid w:val="00895AE6"/>
    <w:rsid w:val="00895C3A"/>
    <w:rsid w:val="0089633C"/>
    <w:rsid w:val="0089700D"/>
    <w:rsid w:val="00897D9E"/>
    <w:rsid w:val="008A186A"/>
    <w:rsid w:val="008A1DC2"/>
    <w:rsid w:val="008A2144"/>
    <w:rsid w:val="008A2213"/>
    <w:rsid w:val="008A2423"/>
    <w:rsid w:val="008A2F68"/>
    <w:rsid w:val="008A35F5"/>
    <w:rsid w:val="008A388B"/>
    <w:rsid w:val="008A3A18"/>
    <w:rsid w:val="008A41E3"/>
    <w:rsid w:val="008A5864"/>
    <w:rsid w:val="008A5EA4"/>
    <w:rsid w:val="008A6626"/>
    <w:rsid w:val="008A668A"/>
    <w:rsid w:val="008A73C9"/>
    <w:rsid w:val="008A75DF"/>
    <w:rsid w:val="008A7CBD"/>
    <w:rsid w:val="008A7F0E"/>
    <w:rsid w:val="008B035B"/>
    <w:rsid w:val="008B3212"/>
    <w:rsid w:val="008B36C9"/>
    <w:rsid w:val="008B3B42"/>
    <w:rsid w:val="008B4C24"/>
    <w:rsid w:val="008B4C9D"/>
    <w:rsid w:val="008B4FA6"/>
    <w:rsid w:val="008B5282"/>
    <w:rsid w:val="008B5292"/>
    <w:rsid w:val="008B7C17"/>
    <w:rsid w:val="008B7E46"/>
    <w:rsid w:val="008B7F82"/>
    <w:rsid w:val="008C0090"/>
    <w:rsid w:val="008C073B"/>
    <w:rsid w:val="008C0C93"/>
    <w:rsid w:val="008C1735"/>
    <w:rsid w:val="008C2D01"/>
    <w:rsid w:val="008C315E"/>
    <w:rsid w:val="008C40E6"/>
    <w:rsid w:val="008C5D0D"/>
    <w:rsid w:val="008C6836"/>
    <w:rsid w:val="008C6AA5"/>
    <w:rsid w:val="008C7153"/>
    <w:rsid w:val="008D078F"/>
    <w:rsid w:val="008D0F7A"/>
    <w:rsid w:val="008D1C55"/>
    <w:rsid w:val="008D1D56"/>
    <w:rsid w:val="008D22F1"/>
    <w:rsid w:val="008D3712"/>
    <w:rsid w:val="008D3725"/>
    <w:rsid w:val="008D3CDA"/>
    <w:rsid w:val="008D4919"/>
    <w:rsid w:val="008D5B72"/>
    <w:rsid w:val="008D5CDC"/>
    <w:rsid w:val="008D5F48"/>
    <w:rsid w:val="008D68E4"/>
    <w:rsid w:val="008D7961"/>
    <w:rsid w:val="008D7B5A"/>
    <w:rsid w:val="008E004F"/>
    <w:rsid w:val="008E0146"/>
    <w:rsid w:val="008E0506"/>
    <w:rsid w:val="008E0BEF"/>
    <w:rsid w:val="008E0CFF"/>
    <w:rsid w:val="008E1CB0"/>
    <w:rsid w:val="008E2935"/>
    <w:rsid w:val="008E3799"/>
    <w:rsid w:val="008E487E"/>
    <w:rsid w:val="008E4C23"/>
    <w:rsid w:val="008E546D"/>
    <w:rsid w:val="008E5D6B"/>
    <w:rsid w:val="008E6014"/>
    <w:rsid w:val="008E6191"/>
    <w:rsid w:val="008E7155"/>
    <w:rsid w:val="008E738B"/>
    <w:rsid w:val="008E76F0"/>
    <w:rsid w:val="008E79AC"/>
    <w:rsid w:val="008E7EB2"/>
    <w:rsid w:val="008F06EC"/>
    <w:rsid w:val="008F1133"/>
    <w:rsid w:val="008F15FE"/>
    <w:rsid w:val="008F1DDF"/>
    <w:rsid w:val="008F20D1"/>
    <w:rsid w:val="008F21E3"/>
    <w:rsid w:val="008F2674"/>
    <w:rsid w:val="008F2998"/>
    <w:rsid w:val="008F2D29"/>
    <w:rsid w:val="008F3C8F"/>
    <w:rsid w:val="008F432B"/>
    <w:rsid w:val="008F46B3"/>
    <w:rsid w:val="008F5187"/>
    <w:rsid w:val="008F5407"/>
    <w:rsid w:val="008F5C55"/>
    <w:rsid w:val="008F5E21"/>
    <w:rsid w:val="008F6069"/>
    <w:rsid w:val="008F60D8"/>
    <w:rsid w:val="008F7B9E"/>
    <w:rsid w:val="008F7C0A"/>
    <w:rsid w:val="008F7F4B"/>
    <w:rsid w:val="00900495"/>
    <w:rsid w:val="00900658"/>
    <w:rsid w:val="00901156"/>
    <w:rsid w:val="00902727"/>
    <w:rsid w:val="00902DEB"/>
    <w:rsid w:val="0090312B"/>
    <w:rsid w:val="0090325B"/>
    <w:rsid w:val="00903882"/>
    <w:rsid w:val="00903D5D"/>
    <w:rsid w:val="009047E0"/>
    <w:rsid w:val="00904C7F"/>
    <w:rsid w:val="009054A6"/>
    <w:rsid w:val="00905DA2"/>
    <w:rsid w:val="00906284"/>
    <w:rsid w:val="009072B0"/>
    <w:rsid w:val="00907555"/>
    <w:rsid w:val="009075E1"/>
    <w:rsid w:val="00907E0E"/>
    <w:rsid w:val="00910333"/>
    <w:rsid w:val="00910559"/>
    <w:rsid w:val="009117B4"/>
    <w:rsid w:val="00911CE2"/>
    <w:rsid w:val="00911E55"/>
    <w:rsid w:val="0091200A"/>
    <w:rsid w:val="009131C3"/>
    <w:rsid w:val="00915CD8"/>
    <w:rsid w:val="00916908"/>
    <w:rsid w:val="00917142"/>
    <w:rsid w:val="0091736D"/>
    <w:rsid w:val="00917897"/>
    <w:rsid w:val="00917B89"/>
    <w:rsid w:val="00917E8D"/>
    <w:rsid w:val="009203F9"/>
    <w:rsid w:val="00920C65"/>
    <w:rsid w:val="009210DD"/>
    <w:rsid w:val="00922516"/>
    <w:rsid w:val="009226F9"/>
    <w:rsid w:val="00922A37"/>
    <w:rsid w:val="00923727"/>
    <w:rsid w:val="00923AFC"/>
    <w:rsid w:val="009242EF"/>
    <w:rsid w:val="00924349"/>
    <w:rsid w:val="00924355"/>
    <w:rsid w:val="009253C2"/>
    <w:rsid w:val="0092542E"/>
    <w:rsid w:val="00925B59"/>
    <w:rsid w:val="00926A98"/>
    <w:rsid w:val="0092796B"/>
    <w:rsid w:val="00927DD5"/>
    <w:rsid w:val="0093037A"/>
    <w:rsid w:val="009307D0"/>
    <w:rsid w:val="00930F1B"/>
    <w:rsid w:val="009313B1"/>
    <w:rsid w:val="00931853"/>
    <w:rsid w:val="00933E0B"/>
    <w:rsid w:val="009341E5"/>
    <w:rsid w:val="00934618"/>
    <w:rsid w:val="00935D5D"/>
    <w:rsid w:val="00935EAF"/>
    <w:rsid w:val="00936ABF"/>
    <w:rsid w:val="00936B81"/>
    <w:rsid w:val="0093774D"/>
    <w:rsid w:val="009407D3"/>
    <w:rsid w:val="00940CF4"/>
    <w:rsid w:val="00940DF4"/>
    <w:rsid w:val="00941309"/>
    <w:rsid w:val="0094154D"/>
    <w:rsid w:val="009419D3"/>
    <w:rsid w:val="00943309"/>
    <w:rsid w:val="00943EDD"/>
    <w:rsid w:val="00944838"/>
    <w:rsid w:val="00944915"/>
    <w:rsid w:val="00944950"/>
    <w:rsid w:val="009456FB"/>
    <w:rsid w:val="00945C0A"/>
    <w:rsid w:val="00945D5A"/>
    <w:rsid w:val="0095008F"/>
    <w:rsid w:val="0095025E"/>
    <w:rsid w:val="0095155F"/>
    <w:rsid w:val="00951BA5"/>
    <w:rsid w:val="00951EC5"/>
    <w:rsid w:val="0095208D"/>
    <w:rsid w:val="00952CC8"/>
    <w:rsid w:val="009536A1"/>
    <w:rsid w:val="00954429"/>
    <w:rsid w:val="00955B59"/>
    <w:rsid w:val="009563CE"/>
    <w:rsid w:val="009574CC"/>
    <w:rsid w:val="00957613"/>
    <w:rsid w:val="00957640"/>
    <w:rsid w:val="00957896"/>
    <w:rsid w:val="00957AFF"/>
    <w:rsid w:val="009606C9"/>
    <w:rsid w:val="00960E68"/>
    <w:rsid w:val="0096151C"/>
    <w:rsid w:val="00961B39"/>
    <w:rsid w:val="009624F7"/>
    <w:rsid w:val="00962E9B"/>
    <w:rsid w:val="00963C07"/>
    <w:rsid w:val="009645F2"/>
    <w:rsid w:val="00964905"/>
    <w:rsid w:val="00964ABE"/>
    <w:rsid w:val="009668B9"/>
    <w:rsid w:val="009674BD"/>
    <w:rsid w:val="00967507"/>
    <w:rsid w:val="00967EDE"/>
    <w:rsid w:val="00970F09"/>
    <w:rsid w:val="00971070"/>
    <w:rsid w:val="00971C42"/>
    <w:rsid w:val="0097257B"/>
    <w:rsid w:val="00973720"/>
    <w:rsid w:val="00973FA3"/>
    <w:rsid w:val="00974190"/>
    <w:rsid w:val="00974D75"/>
    <w:rsid w:val="00975E7A"/>
    <w:rsid w:val="00976328"/>
    <w:rsid w:val="0097680D"/>
    <w:rsid w:val="00976813"/>
    <w:rsid w:val="00976956"/>
    <w:rsid w:val="009770C8"/>
    <w:rsid w:val="009775C8"/>
    <w:rsid w:val="00977785"/>
    <w:rsid w:val="0098067C"/>
    <w:rsid w:val="009812E7"/>
    <w:rsid w:val="009814C6"/>
    <w:rsid w:val="00981C2E"/>
    <w:rsid w:val="00981C64"/>
    <w:rsid w:val="00982438"/>
    <w:rsid w:val="00982E72"/>
    <w:rsid w:val="009830FD"/>
    <w:rsid w:val="0098404C"/>
    <w:rsid w:val="00984060"/>
    <w:rsid w:val="009841C0"/>
    <w:rsid w:val="009849E5"/>
    <w:rsid w:val="00984FE0"/>
    <w:rsid w:val="00985283"/>
    <w:rsid w:val="00985297"/>
    <w:rsid w:val="009853A0"/>
    <w:rsid w:val="009858DB"/>
    <w:rsid w:val="00985B4C"/>
    <w:rsid w:val="00985EBA"/>
    <w:rsid w:val="00986570"/>
    <w:rsid w:val="00986E69"/>
    <w:rsid w:val="00986F33"/>
    <w:rsid w:val="0098781F"/>
    <w:rsid w:val="00992A9B"/>
    <w:rsid w:val="00992E00"/>
    <w:rsid w:val="00993560"/>
    <w:rsid w:val="00993F66"/>
    <w:rsid w:val="009957D8"/>
    <w:rsid w:val="00995992"/>
    <w:rsid w:val="00995C85"/>
    <w:rsid w:val="00996F9F"/>
    <w:rsid w:val="009976C0"/>
    <w:rsid w:val="009A02A3"/>
    <w:rsid w:val="009A03E5"/>
    <w:rsid w:val="009A0964"/>
    <w:rsid w:val="009A0AEC"/>
    <w:rsid w:val="009A0BC2"/>
    <w:rsid w:val="009A0F3B"/>
    <w:rsid w:val="009A0F67"/>
    <w:rsid w:val="009A109F"/>
    <w:rsid w:val="009A1BB4"/>
    <w:rsid w:val="009A2628"/>
    <w:rsid w:val="009A2915"/>
    <w:rsid w:val="009A2F75"/>
    <w:rsid w:val="009A3200"/>
    <w:rsid w:val="009A38BD"/>
    <w:rsid w:val="009A3FE3"/>
    <w:rsid w:val="009A438B"/>
    <w:rsid w:val="009A486C"/>
    <w:rsid w:val="009A4A08"/>
    <w:rsid w:val="009A4F92"/>
    <w:rsid w:val="009A5305"/>
    <w:rsid w:val="009A5975"/>
    <w:rsid w:val="009A6351"/>
    <w:rsid w:val="009A63A8"/>
    <w:rsid w:val="009A7D6B"/>
    <w:rsid w:val="009A7D91"/>
    <w:rsid w:val="009B05C4"/>
    <w:rsid w:val="009B0897"/>
    <w:rsid w:val="009B0F1D"/>
    <w:rsid w:val="009B1AA1"/>
    <w:rsid w:val="009B1F43"/>
    <w:rsid w:val="009B339A"/>
    <w:rsid w:val="009B42E8"/>
    <w:rsid w:val="009B4DEA"/>
    <w:rsid w:val="009B72CE"/>
    <w:rsid w:val="009B79BD"/>
    <w:rsid w:val="009B7BD9"/>
    <w:rsid w:val="009C06AB"/>
    <w:rsid w:val="009C1530"/>
    <w:rsid w:val="009C1817"/>
    <w:rsid w:val="009C18EB"/>
    <w:rsid w:val="009C1A5B"/>
    <w:rsid w:val="009C1DCE"/>
    <w:rsid w:val="009C1E3A"/>
    <w:rsid w:val="009C2407"/>
    <w:rsid w:val="009C2579"/>
    <w:rsid w:val="009C288E"/>
    <w:rsid w:val="009C2A78"/>
    <w:rsid w:val="009C3970"/>
    <w:rsid w:val="009C4296"/>
    <w:rsid w:val="009C4685"/>
    <w:rsid w:val="009C5176"/>
    <w:rsid w:val="009C54C0"/>
    <w:rsid w:val="009C58A0"/>
    <w:rsid w:val="009C6406"/>
    <w:rsid w:val="009C6558"/>
    <w:rsid w:val="009C65FA"/>
    <w:rsid w:val="009C6803"/>
    <w:rsid w:val="009C7DD5"/>
    <w:rsid w:val="009D003E"/>
    <w:rsid w:val="009D05D1"/>
    <w:rsid w:val="009D0768"/>
    <w:rsid w:val="009D2353"/>
    <w:rsid w:val="009D2395"/>
    <w:rsid w:val="009D2C7D"/>
    <w:rsid w:val="009D375E"/>
    <w:rsid w:val="009D4BAE"/>
    <w:rsid w:val="009D4C74"/>
    <w:rsid w:val="009D4CE5"/>
    <w:rsid w:val="009D5850"/>
    <w:rsid w:val="009D5A2D"/>
    <w:rsid w:val="009D7542"/>
    <w:rsid w:val="009E00FC"/>
    <w:rsid w:val="009E0A65"/>
    <w:rsid w:val="009E0CCF"/>
    <w:rsid w:val="009E1982"/>
    <w:rsid w:val="009E1CFD"/>
    <w:rsid w:val="009E1DE3"/>
    <w:rsid w:val="009E227D"/>
    <w:rsid w:val="009E2874"/>
    <w:rsid w:val="009E4004"/>
    <w:rsid w:val="009E4181"/>
    <w:rsid w:val="009E43BD"/>
    <w:rsid w:val="009E470C"/>
    <w:rsid w:val="009E4AC8"/>
    <w:rsid w:val="009E5019"/>
    <w:rsid w:val="009E58AE"/>
    <w:rsid w:val="009E5C93"/>
    <w:rsid w:val="009E5EFC"/>
    <w:rsid w:val="009E6A93"/>
    <w:rsid w:val="009E74D2"/>
    <w:rsid w:val="009E7A28"/>
    <w:rsid w:val="009E7EE1"/>
    <w:rsid w:val="009E7EE5"/>
    <w:rsid w:val="009F0AEF"/>
    <w:rsid w:val="009F0D9A"/>
    <w:rsid w:val="009F1668"/>
    <w:rsid w:val="009F1C21"/>
    <w:rsid w:val="009F302A"/>
    <w:rsid w:val="009F3361"/>
    <w:rsid w:val="009F3696"/>
    <w:rsid w:val="009F3E5F"/>
    <w:rsid w:val="009F468B"/>
    <w:rsid w:val="009F4DA3"/>
    <w:rsid w:val="009F5BB0"/>
    <w:rsid w:val="009F678B"/>
    <w:rsid w:val="00A008DA"/>
    <w:rsid w:val="00A0206C"/>
    <w:rsid w:val="00A025F4"/>
    <w:rsid w:val="00A027F9"/>
    <w:rsid w:val="00A028B9"/>
    <w:rsid w:val="00A02F0B"/>
    <w:rsid w:val="00A031BB"/>
    <w:rsid w:val="00A03970"/>
    <w:rsid w:val="00A04F1B"/>
    <w:rsid w:val="00A0501B"/>
    <w:rsid w:val="00A05AC4"/>
    <w:rsid w:val="00A06057"/>
    <w:rsid w:val="00A063C6"/>
    <w:rsid w:val="00A0671D"/>
    <w:rsid w:val="00A06722"/>
    <w:rsid w:val="00A06B29"/>
    <w:rsid w:val="00A076EA"/>
    <w:rsid w:val="00A07F05"/>
    <w:rsid w:val="00A10FBF"/>
    <w:rsid w:val="00A1106F"/>
    <w:rsid w:val="00A13EF6"/>
    <w:rsid w:val="00A13F6B"/>
    <w:rsid w:val="00A14179"/>
    <w:rsid w:val="00A14947"/>
    <w:rsid w:val="00A15D35"/>
    <w:rsid w:val="00A163D7"/>
    <w:rsid w:val="00A167F5"/>
    <w:rsid w:val="00A1705C"/>
    <w:rsid w:val="00A177E5"/>
    <w:rsid w:val="00A20046"/>
    <w:rsid w:val="00A204AB"/>
    <w:rsid w:val="00A2072C"/>
    <w:rsid w:val="00A20779"/>
    <w:rsid w:val="00A20994"/>
    <w:rsid w:val="00A22338"/>
    <w:rsid w:val="00A22FBE"/>
    <w:rsid w:val="00A24F7F"/>
    <w:rsid w:val="00A25334"/>
    <w:rsid w:val="00A2541A"/>
    <w:rsid w:val="00A25FD2"/>
    <w:rsid w:val="00A2622B"/>
    <w:rsid w:val="00A26FF4"/>
    <w:rsid w:val="00A27A1D"/>
    <w:rsid w:val="00A30E52"/>
    <w:rsid w:val="00A30FD0"/>
    <w:rsid w:val="00A316E9"/>
    <w:rsid w:val="00A319A4"/>
    <w:rsid w:val="00A3250E"/>
    <w:rsid w:val="00A32796"/>
    <w:rsid w:val="00A32982"/>
    <w:rsid w:val="00A32A83"/>
    <w:rsid w:val="00A32D92"/>
    <w:rsid w:val="00A33152"/>
    <w:rsid w:val="00A33413"/>
    <w:rsid w:val="00A3380C"/>
    <w:rsid w:val="00A3413E"/>
    <w:rsid w:val="00A34A95"/>
    <w:rsid w:val="00A35085"/>
    <w:rsid w:val="00A35828"/>
    <w:rsid w:val="00A36305"/>
    <w:rsid w:val="00A36898"/>
    <w:rsid w:val="00A368DB"/>
    <w:rsid w:val="00A37DE7"/>
    <w:rsid w:val="00A37F8A"/>
    <w:rsid w:val="00A40CAF"/>
    <w:rsid w:val="00A41940"/>
    <w:rsid w:val="00A41E6C"/>
    <w:rsid w:val="00A423AA"/>
    <w:rsid w:val="00A434B2"/>
    <w:rsid w:val="00A43BB2"/>
    <w:rsid w:val="00A454D1"/>
    <w:rsid w:val="00A4568C"/>
    <w:rsid w:val="00A45A9F"/>
    <w:rsid w:val="00A45B62"/>
    <w:rsid w:val="00A466F1"/>
    <w:rsid w:val="00A472D5"/>
    <w:rsid w:val="00A47302"/>
    <w:rsid w:val="00A47403"/>
    <w:rsid w:val="00A475C8"/>
    <w:rsid w:val="00A47F6F"/>
    <w:rsid w:val="00A505DB"/>
    <w:rsid w:val="00A512A5"/>
    <w:rsid w:val="00A52703"/>
    <w:rsid w:val="00A532DB"/>
    <w:rsid w:val="00A5369E"/>
    <w:rsid w:val="00A53EC6"/>
    <w:rsid w:val="00A55803"/>
    <w:rsid w:val="00A55C0F"/>
    <w:rsid w:val="00A56189"/>
    <w:rsid w:val="00A561D7"/>
    <w:rsid w:val="00A5676C"/>
    <w:rsid w:val="00A57973"/>
    <w:rsid w:val="00A57BD1"/>
    <w:rsid w:val="00A57F03"/>
    <w:rsid w:val="00A61D0C"/>
    <w:rsid w:val="00A631D5"/>
    <w:rsid w:val="00A63624"/>
    <w:rsid w:val="00A63CF1"/>
    <w:rsid w:val="00A647AF"/>
    <w:rsid w:val="00A65CC1"/>
    <w:rsid w:val="00A66546"/>
    <w:rsid w:val="00A6670B"/>
    <w:rsid w:val="00A66B02"/>
    <w:rsid w:val="00A71C4A"/>
    <w:rsid w:val="00A72002"/>
    <w:rsid w:val="00A7400F"/>
    <w:rsid w:val="00A74463"/>
    <w:rsid w:val="00A744E6"/>
    <w:rsid w:val="00A7492E"/>
    <w:rsid w:val="00A74CB0"/>
    <w:rsid w:val="00A74CF1"/>
    <w:rsid w:val="00A74D2B"/>
    <w:rsid w:val="00A75084"/>
    <w:rsid w:val="00A75384"/>
    <w:rsid w:val="00A7609C"/>
    <w:rsid w:val="00A762E7"/>
    <w:rsid w:val="00A76732"/>
    <w:rsid w:val="00A7681F"/>
    <w:rsid w:val="00A77245"/>
    <w:rsid w:val="00A777DA"/>
    <w:rsid w:val="00A80290"/>
    <w:rsid w:val="00A80867"/>
    <w:rsid w:val="00A812F6"/>
    <w:rsid w:val="00A813E9"/>
    <w:rsid w:val="00A82120"/>
    <w:rsid w:val="00A82448"/>
    <w:rsid w:val="00A82E21"/>
    <w:rsid w:val="00A84BBF"/>
    <w:rsid w:val="00A84C91"/>
    <w:rsid w:val="00A862EC"/>
    <w:rsid w:val="00A8681B"/>
    <w:rsid w:val="00A8713F"/>
    <w:rsid w:val="00A87673"/>
    <w:rsid w:val="00A8768F"/>
    <w:rsid w:val="00A87E75"/>
    <w:rsid w:val="00A90BA1"/>
    <w:rsid w:val="00A9149D"/>
    <w:rsid w:val="00A91AD2"/>
    <w:rsid w:val="00A93B34"/>
    <w:rsid w:val="00A9400B"/>
    <w:rsid w:val="00A948C2"/>
    <w:rsid w:val="00A94A51"/>
    <w:rsid w:val="00A94BFB"/>
    <w:rsid w:val="00A94FFA"/>
    <w:rsid w:val="00A95383"/>
    <w:rsid w:val="00A953C8"/>
    <w:rsid w:val="00A96F76"/>
    <w:rsid w:val="00A970FC"/>
    <w:rsid w:val="00A975D9"/>
    <w:rsid w:val="00A97A9A"/>
    <w:rsid w:val="00A97EBC"/>
    <w:rsid w:val="00A97F40"/>
    <w:rsid w:val="00AA0671"/>
    <w:rsid w:val="00AA1C87"/>
    <w:rsid w:val="00AA2531"/>
    <w:rsid w:val="00AA37BC"/>
    <w:rsid w:val="00AA3F96"/>
    <w:rsid w:val="00AA4518"/>
    <w:rsid w:val="00AA45AC"/>
    <w:rsid w:val="00AA46C7"/>
    <w:rsid w:val="00AA478C"/>
    <w:rsid w:val="00AA47EB"/>
    <w:rsid w:val="00AA70CB"/>
    <w:rsid w:val="00AA7D37"/>
    <w:rsid w:val="00AB0633"/>
    <w:rsid w:val="00AB0739"/>
    <w:rsid w:val="00AB0759"/>
    <w:rsid w:val="00AB0922"/>
    <w:rsid w:val="00AB14D0"/>
    <w:rsid w:val="00AB17D5"/>
    <w:rsid w:val="00AB1E09"/>
    <w:rsid w:val="00AB38CF"/>
    <w:rsid w:val="00AB3F65"/>
    <w:rsid w:val="00AB49DE"/>
    <w:rsid w:val="00AB5330"/>
    <w:rsid w:val="00AB6B62"/>
    <w:rsid w:val="00AB713E"/>
    <w:rsid w:val="00AB72C0"/>
    <w:rsid w:val="00AB7747"/>
    <w:rsid w:val="00AC1337"/>
    <w:rsid w:val="00AC14CE"/>
    <w:rsid w:val="00AC171B"/>
    <w:rsid w:val="00AC2A56"/>
    <w:rsid w:val="00AC2BB2"/>
    <w:rsid w:val="00AC415B"/>
    <w:rsid w:val="00AC599F"/>
    <w:rsid w:val="00AC5BF6"/>
    <w:rsid w:val="00AC66EC"/>
    <w:rsid w:val="00AC7386"/>
    <w:rsid w:val="00AD03EF"/>
    <w:rsid w:val="00AD055E"/>
    <w:rsid w:val="00AD07BE"/>
    <w:rsid w:val="00AD0E14"/>
    <w:rsid w:val="00AD1696"/>
    <w:rsid w:val="00AD17E7"/>
    <w:rsid w:val="00AD43AD"/>
    <w:rsid w:val="00AD47A7"/>
    <w:rsid w:val="00AD5609"/>
    <w:rsid w:val="00AD5804"/>
    <w:rsid w:val="00AD5D18"/>
    <w:rsid w:val="00AD65DE"/>
    <w:rsid w:val="00AD7BDD"/>
    <w:rsid w:val="00AE071C"/>
    <w:rsid w:val="00AE13C5"/>
    <w:rsid w:val="00AE1B40"/>
    <w:rsid w:val="00AE2CF1"/>
    <w:rsid w:val="00AE3A4D"/>
    <w:rsid w:val="00AE3CFB"/>
    <w:rsid w:val="00AE630C"/>
    <w:rsid w:val="00AE679E"/>
    <w:rsid w:val="00AE7B21"/>
    <w:rsid w:val="00AF0543"/>
    <w:rsid w:val="00AF0A0F"/>
    <w:rsid w:val="00AF0CBF"/>
    <w:rsid w:val="00AF1506"/>
    <w:rsid w:val="00AF1B67"/>
    <w:rsid w:val="00AF1FA5"/>
    <w:rsid w:val="00AF21FC"/>
    <w:rsid w:val="00AF257F"/>
    <w:rsid w:val="00AF33CF"/>
    <w:rsid w:val="00AF3D7A"/>
    <w:rsid w:val="00AF4122"/>
    <w:rsid w:val="00AF4D50"/>
    <w:rsid w:val="00AF55D6"/>
    <w:rsid w:val="00AF6179"/>
    <w:rsid w:val="00AF6876"/>
    <w:rsid w:val="00AF777C"/>
    <w:rsid w:val="00B007E5"/>
    <w:rsid w:val="00B018FA"/>
    <w:rsid w:val="00B0372F"/>
    <w:rsid w:val="00B03C3A"/>
    <w:rsid w:val="00B04294"/>
    <w:rsid w:val="00B047D2"/>
    <w:rsid w:val="00B05F3A"/>
    <w:rsid w:val="00B06A74"/>
    <w:rsid w:val="00B10289"/>
    <w:rsid w:val="00B10550"/>
    <w:rsid w:val="00B106DC"/>
    <w:rsid w:val="00B10865"/>
    <w:rsid w:val="00B108A0"/>
    <w:rsid w:val="00B10A73"/>
    <w:rsid w:val="00B10F4B"/>
    <w:rsid w:val="00B11349"/>
    <w:rsid w:val="00B11DDC"/>
    <w:rsid w:val="00B12479"/>
    <w:rsid w:val="00B1295A"/>
    <w:rsid w:val="00B13162"/>
    <w:rsid w:val="00B13ECB"/>
    <w:rsid w:val="00B141AB"/>
    <w:rsid w:val="00B14867"/>
    <w:rsid w:val="00B1502D"/>
    <w:rsid w:val="00B154B9"/>
    <w:rsid w:val="00B1573A"/>
    <w:rsid w:val="00B15E73"/>
    <w:rsid w:val="00B16212"/>
    <w:rsid w:val="00B16ECB"/>
    <w:rsid w:val="00B176EE"/>
    <w:rsid w:val="00B17DBB"/>
    <w:rsid w:val="00B20042"/>
    <w:rsid w:val="00B200A0"/>
    <w:rsid w:val="00B20180"/>
    <w:rsid w:val="00B20A45"/>
    <w:rsid w:val="00B20AB2"/>
    <w:rsid w:val="00B21D8B"/>
    <w:rsid w:val="00B22110"/>
    <w:rsid w:val="00B225C2"/>
    <w:rsid w:val="00B22905"/>
    <w:rsid w:val="00B22C5C"/>
    <w:rsid w:val="00B2300F"/>
    <w:rsid w:val="00B23427"/>
    <w:rsid w:val="00B237D3"/>
    <w:rsid w:val="00B23936"/>
    <w:rsid w:val="00B23CA7"/>
    <w:rsid w:val="00B23E56"/>
    <w:rsid w:val="00B23F34"/>
    <w:rsid w:val="00B24F30"/>
    <w:rsid w:val="00B26ACB"/>
    <w:rsid w:val="00B27812"/>
    <w:rsid w:val="00B27ECB"/>
    <w:rsid w:val="00B30009"/>
    <w:rsid w:val="00B31ABF"/>
    <w:rsid w:val="00B321E4"/>
    <w:rsid w:val="00B329A3"/>
    <w:rsid w:val="00B32B2A"/>
    <w:rsid w:val="00B32C38"/>
    <w:rsid w:val="00B33387"/>
    <w:rsid w:val="00B33BA8"/>
    <w:rsid w:val="00B33BE3"/>
    <w:rsid w:val="00B3457B"/>
    <w:rsid w:val="00B34E2F"/>
    <w:rsid w:val="00B36D68"/>
    <w:rsid w:val="00B3734A"/>
    <w:rsid w:val="00B3771A"/>
    <w:rsid w:val="00B400C9"/>
    <w:rsid w:val="00B40263"/>
    <w:rsid w:val="00B4064B"/>
    <w:rsid w:val="00B40D1D"/>
    <w:rsid w:val="00B4116E"/>
    <w:rsid w:val="00B41174"/>
    <w:rsid w:val="00B413FD"/>
    <w:rsid w:val="00B42CE8"/>
    <w:rsid w:val="00B434E4"/>
    <w:rsid w:val="00B43647"/>
    <w:rsid w:val="00B43785"/>
    <w:rsid w:val="00B43926"/>
    <w:rsid w:val="00B439CE"/>
    <w:rsid w:val="00B43C14"/>
    <w:rsid w:val="00B45A5D"/>
    <w:rsid w:val="00B45AFB"/>
    <w:rsid w:val="00B46CBC"/>
    <w:rsid w:val="00B46E91"/>
    <w:rsid w:val="00B47BB4"/>
    <w:rsid w:val="00B47D18"/>
    <w:rsid w:val="00B47F44"/>
    <w:rsid w:val="00B504F9"/>
    <w:rsid w:val="00B50830"/>
    <w:rsid w:val="00B510AD"/>
    <w:rsid w:val="00B510C8"/>
    <w:rsid w:val="00B510D9"/>
    <w:rsid w:val="00B526A9"/>
    <w:rsid w:val="00B5270E"/>
    <w:rsid w:val="00B53B5D"/>
    <w:rsid w:val="00B53D17"/>
    <w:rsid w:val="00B54482"/>
    <w:rsid w:val="00B5448F"/>
    <w:rsid w:val="00B5586E"/>
    <w:rsid w:val="00B55D89"/>
    <w:rsid w:val="00B57580"/>
    <w:rsid w:val="00B57584"/>
    <w:rsid w:val="00B579FC"/>
    <w:rsid w:val="00B57F2E"/>
    <w:rsid w:val="00B60069"/>
    <w:rsid w:val="00B6055E"/>
    <w:rsid w:val="00B6317D"/>
    <w:rsid w:val="00B638A0"/>
    <w:rsid w:val="00B63BF1"/>
    <w:rsid w:val="00B63EDC"/>
    <w:rsid w:val="00B648F4"/>
    <w:rsid w:val="00B6589C"/>
    <w:rsid w:val="00B661D7"/>
    <w:rsid w:val="00B663D6"/>
    <w:rsid w:val="00B66583"/>
    <w:rsid w:val="00B671D6"/>
    <w:rsid w:val="00B67378"/>
    <w:rsid w:val="00B70B5A"/>
    <w:rsid w:val="00B728DE"/>
    <w:rsid w:val="00B7291A"/>
    <w:rsid w:val="00B72AE4"/>
    <w:rsid w:val="00B72E40"/>
    <w:rsid w:val="00B73106"/>
    <w:rsid w:val="00B7383E"/>
    <w:rsid w:val="00B7427E"/>
    <w:rsid w:val="00B74C5E"/>
    <w:rsid w:val="00B753AA"/>
    <w:rsid w:val="00B75690"/>
    <w:rsid w:val="00B76EC9"/>
    <w:rsid w:val="00B7723F"/>
    <w:rsid w:val="00B77BBB"/>
    <w:rsid w:val="00B804D0"/>
    <w:rsid w:val="00B80534"/>
    <w:rsid w:val="00B805FB"/>
    <w:rsid w:val="00B80834"/>
    <w:rsid w:val="00B81430"/>
    <w:rsid w:val="00B81B95"/>
    <w:rsid w:val="00B81E3B"/>
    <w:rsid w:val="00B829EE"/>
    <w:rsid w:val="00B82B3E"/>
    <w:rsid w:val="00B82E4E"/>
    <w:rsid w:val="00B834FE"/>
    <w:rsid w:val="00B83EE4"/>
    <w:rsid w:val="00B842AF"/>
    <w:rsid w:val="00B8433C"/>
    <w:rsid w:val="00B858FC"/>
    <w:rsid w:val="00B85B6B"/>
    <w:rsid w:val="00B87491"/>
    <w:rsid w:val="00B877A6"/>
    <w:rsid w:val="00B879B7"/>
    <w:rsid w:val="00B905CF"/>
    <w:rsid w:val="00B905E3"/>
    <w:rsid w:val="00B90A6A"/>
    <w:rsid w:val="00B90DA8"/>
    <w:rsid w:val="00B915AF"/>
    <w:rsid w:val="00B91A2A"/>
    <w:rsid w:val="00B91B30"/>
    <w:rsid w:val="00B91E0C"/>
    <w:rsid w:val="00B92B43"/>
    <w:rsid w:val="00B932EB"/>
    <w:rsid w:val="00B9377C"/>
    <w:rsid w:val="00B93F25"/>
    <w:rsid w:val="00B955D3"/>
    <w:rsid w:val="00B957F5"/>
    <w:rsid w:val="00B961DC"/>
    <w:rsid w:val="00B96D0B"/>
    <w:rsid w:val="00B974B9"/>
    <w:rsid w:val="00BA2382"/>
    <w:rsid w:val="00BA27A9"/>
    <w:rsid w:val="00BA28D0"/>
    <w:rsid w:val="00BA29E9"/>
    <w:rsid w:val="00BA5B16"/>
    <w:rsid w:val="00BA64B8"/>
    <w:rsid w:val="00BA68BE"/>
    <w:rsid w:val="00BA7142"/>
    <w:rsid w:val="00BB02BA"/>
    <w:rsid w:val="00BB02ED"/>
    <w:rsid w:val="00BB0435"/>
    <w:rsid w:val="00BB06E1"/>
    <w:rsid w:val="00BB0F2C"/>
    <w:rsid w:val="00BB1C07"/>
    <w:rsid w:val="00BB209B"/>
    <w:rsid w:val="00BB237C"/>
    <w:rsid w:val="00BB3046"/>
    <w:rsid w:val="00BB41A3"/>
    <w:rsid w:val="00BB4E94"/>
    <w:rsid w:val="00BB5028"/>
    <w:rsid w:val="00BB581F"/>
    <w:rsid w:val="00BB64AC"/>
    <w:rsid w:val="00BB65FF"/>
    <w:rsid w:val="00BB69D2"/>
    <w:rsid w:val="00BC05B0"/>
    <w:rsid w:val="00BC09A7"/>
    <w:rsid w:val="00BC1811"/>
    <w:rsid w:val="00BC1E85"/>
    <w:rsid w:val="00BC32DC"/>
    <w:rsid w:val="00BC35B6"/>
    <w:rsid w:val="00BC3CCA"/>
    <w:rsid w:val="00BC4B8A"/>
    <w:rsid w:val="00BC5424"/>
    <w:rsid w:val="00BC5996"/>
    <w:rsid w:val="00BC7308"/>
    <w:rsid w:val="00BC76CB"/>
    <w:rsid w:val="00BC7F72"/>
    <w:rsid w:val="00BD0242"/>
    <w:rsid w:val="00BD07BB"/>
    <w:rsid w:val="00BD1B51"/>
    <w:rsid w:val="00BD2695"/>
    <w:rsid w:val="00BD26F2"/>
    <w:rsid w:val="00BD2BF6"/>
    <w:rsid w:val="00BD32C3"/>
    <w:rsid w:val="00BD4423"/>
    <w:rsid w:val="00BD4596"/>
    <w:rsid w:val="00BD47F8"/>
    <w:rsid w:val="00BD49CC"/>
    <w:rsid w:val="00BD4B11"/>
    <w:rsid w:val="00BD65E1"/>
    <w:rsid w:val="00BD6BDA"/>
    <w:rsid w:val="00BD6DF9"/>
    <w:rsid w:val="00BD7BD4"/>
    <w:rsid w:val="00BE06C8"/>
    <w:rsid w:val="00BE07CE"/>
    <w:rsid w:val="00BE0A3A"/>
    <w:rsid w:val="00BE1405"/>
    <w:rsid w:val="00BE275A"/>
    <w:rsid w:val="00BE2B8A"/>
    <w:rsid w:val="00BE2DD5"/>
    <w:rsid w:val="00BE312D"/>
    <w:rsid w:val="00BE5B61"/>
    <w:rsid w:val="00BE63A6"/>
    <w:rsid w:val="00BE6623"/>
    <w:rsid w:val="00BE75EC"/>
    <w:rsid w:val="00BF18A2"/>
    <w:rsid w:val="00BF1C20"/>
    <w:rsid w:val="00BF1CFB"/>
    <w:rsid w:val="00BF2078"/>
    <w:rsid w:val="00BF2893"/>
    <w:rsid w:val="00BF2E98"/>
    <w:rsid w:val="00BF3711"/>
    <w:rsid w:val="00BF392E"/>
    <w:rsid w:val="00BF3A7B"/>
    <w:rsid w:val="00BF3C0A"/>
    <w:rsid w:val="00BF493A"/>
    <w:rsid w:val="00BF59B7"/>
    <w:rsid w:val="00BF7CDF"/>
    <w:rsid w:val="00C0090A"/>
    <w:rsid w:val="00C00B81"/>
    <w:rsid w:val="00C01234"/>
    <w:rsid w:val="00C01CFF"/>
    <w:rsid w:val="00C022E8"/>
    <w:rsid w:val="00C0287D"/>
    <w:rsid w:val="00C02B35"/>
    <w:rsid w:val="00C0393D"/>
    <w:rsid w:val="00C040E4"/>
    <w:rsid w:val="00C046FD"/>
    <w:rsid w:val="00C05123"/>
    <w:rsid w:val="00C05184"/>
    <w:rsid w:val="00C0526A"/>
    <w:rsid w:val="00C05CD8"/>
    <w:rsid w:val="00C05EC9"/>
    <w:rsid w:val="00C05FB7"/>
    <w:rsid w:val="00C103EF"/>
    <w:rsid w:val="00C10578"/>
    <w:rsid w:val="00C1094E"/>
    <w:rsid w:val="00C10D4A"/>
    <w:rsid w:val="00C11514"/>
    <w:rsid w:val="00C12788"/>
    <w:rsid w:val="00C135BC"/>
    <w:rsid w:val="00C13881"/>
    <w:rsid w:val="00C146F3"/>
    <w:rsid w:val="00C154DF"/>
    <w:rsid w:val="00C15AEC"/>
    <w:rsid w:val="00C15B36"/>
    <w:rsid w:val="00C15C95"/>
    <w:rsid w:val="00C16A9C"/>
    <w:rsid w:val="00C17527"/>
    <w:rsid w:val="00C203FC"/>
    <w:rsid w:val="00C206AC"/>
    <w:rsid w:val="00C216C3"/>
    <w:rsid w:val="00C2190A"/>
    <w:rsid w:val="00C21C81"/>
    <w:rsid w:val="00C22166"/>
    <w:rsid w:val="00C23B01"/>
    <w:rsid w:val="00C24AF6"/>
    <w:rsid w:val="00C24C99"/>
    <w:rsid w:val="00C250D8"/>
    <w:rsid w:val="00C2596A"/>
    <w:rsid w:val="00C2636A"/>
    <w:rsid w:val="00C26B37"/>
    <w:rsid w:val="00C26B7E"/>
    <w:rsid w:val="00C27537"/>
    <w:rsid w:val="00C301C2"/>
    <w:rsid w:val="00C305B4"/>
    <w:rsid w:val="00C308C6"/>
    <w:rsid w:val="00C30C0A"/>
    <w:rsid w:val="00C316AA"/>
    <w:rsid w:val="00C323E7"/>
    <w:rsid w:val="00C3269B"/>
    <w:rsid w:val="00C328FE"/>
    <w:rsid w:val="00C33507"/>
    <w:rsid w:val="00C335FD"/>
    <w:rsid w:val="00C33627"/>
    <w:rsid w:val="00C336F3"/>
    <w:rsid w:val="00C3464F"/>
    <w:rsid w:val="00C351AB"/>
    <w:rsid w:val="00C366C0"/>
    <w:rsid w:val="00C3678D"/>
    <w:rsid w:val="00C3719A"/>
    <w:rsid w:val="00C40688"/>
    <w:rsid w:val="00C40B20"/>
    <w:rsid w:val="00C431B4"/>
    <w:rsid w:val="00C431CC"/>
    <w:rsid w:val="00C4409D"/>
    <w:rsid w:val="00C441C3"/>
    <w:rsid w:val="00C44E41"/>
    <w:rsid w:val="00C44E72"/>
    <w:rsid w:val="00C44F0E"/>
    <w:rsid w:val="00C44FC5"/>
    <w:rsid w:val="00C45A06"/>
    <w:rsid w:val="00C45FA3"/>
    <w:rsid w:val="00C463A3"/>
    <w:rsid w:val="00C477AD"/>
    <w:rsid w:val="00C47E5B"/>
    <w:rsid w:val="00C50141"/>
    <w:rsid w:val="00C501FB"/>
    <w:rsid w:val="00C50418"/>
    <w:rsid w:val="00C52A51"/>
    <w:rsid w:val="00C536FE"/>
    <w:rsid w:val="00C5378A"/>
    <w:rsid w:val="00C56866"/>
    <w:rsid w:val="00C56956"/>
    <w:rsid w:val="00C60C88"/>
    <w:rsid w:val="00C60E9C"/>
    <w:rsid w:val="00C615DF"/>
    <w:rsid w:val="00C616C5"/>
    <w:rsid w:val="00C61BDA"/>
    <w:rsid w:val="00C61E4B"/>
    <w:rsid w:val="00C63213"/>
    <w:rsid w:val="00C641F6"/>
    <w:rsid w:val="00C64877"/>
    <w:rsid w:val="00C64BFF"/>
    <w:rsid w:val="00C64D44"/>
    <w:rsid w:val="00C65EE8"/>
    <w:rsid w:val="00C66124"/>
    <w:rsid w:val="00C6642C"/>
    <w:rsid w:val="00C66969"/>
    <w:rsid w:val="00C66DA1"/>
    <w:rsid w:val="00C704E9"/>
    <w:rsid w:val="00C70D36"/>
    <w:rsid w:val="00C70F83"/>
    <w:rsid w:val="00C717F7"/>
    <w:rsid w:val="00C71BEF"/>
    <w:rsid w:val="00C7220E"/>
    <w:rsid w:val="00C73777"/>
    <w:rsid w:val="00C73E15"/>
    <w:rsid w:val="00C755F4"/>
    <w:rsid w:val="00C75A2A"/>
    <w:rsid w:val="00C76261"/>
    <w:rsid w:val="00C763C9"/>
    <w:rsid w:val="00C76447"/>
    <w:rsid w:val="00C76DB8"/>
    <w:rsid w:val="00C77BE3"/>
    <w:rsid w:val="00C80057"/>
    <w:rsid w:val="00C81299"/>
    <w:rsid w:val="00C815C8"/>
    <w:rsid w:val="00C82232"/>
    <w:rsid w:val="00C82913"/>
    <w:rsid w:val="00C838C9"/>
    <w:rsid w:val="00C84001"/>
    <w:rsid w:val="00C8439A"/>
    <w:rsid w:val="00C846AE"/>
    <w:rsid w:val="00C84BA5"/>
    <w:rsid w:val="00C851DE"/>
    <w:rsid w:val="00C85314"/>
    <w:rsid w:val="00C856E3"/>
    <w:rsid w:val="00C86493"/>
    <w:rsid w:val="00C866BB"/>
    <w:rsid w:val="00C867BD"/>
    <w:rsid w:val="00C86E40"/>
    <w:rsid w:val="00C87AF5"/>
    <w:rsid w:val="00C90293"/>
    <w:rsid w:val="00C90710"/>
    <w:rsid w:val="00C90897"/>
    <w:rsid w:val="00C908AF"/>
    <w:rsid w:val="00C90CA4"/>
    <w:rsid w:val="00C9264F"/>
    <w:rsid w:val="00C92AD2"/>
    <w:rsid w:val="00C92F67"/>
    <w:rsid w:val="00C930FA"/>
    <w:rsid w:val="00C93367"/>
    <w:rsid w:val="00C93B33"/>
    <w:rsid w:val="00C94ADE"/>
    <w:rsid w:val="00C95C05"/>
    <w:rsid w:val="00C95C18"/>
    <w:rsid w:val="00C95D59"/>
    <w:rsid w:val="00C95EB5"/>
    <w:rsid w:val="00C95F3F"/>
    <w:rsid w:val="00C9625B"/>
    <w:rsid w:val="00C972B1"/>
    <w:rsid w:val="00C973B3"/>
    <w:rsid w:val="00C97B6B"/>
    <w:rsid w:val="00C97CDF"/>
    <w:rsid w:val="00CA04FD"/>
    <w:rsid w:val="00CA1A03"/>
    <w:rsid w:val="00CA2864"/>
    <w:rsid w:val="00CA2CCE"/>
    <w:rsid w:val="00CA2CCF"/>
    <w:rsid w:val="00CA3CB9"/>
    <w:rsid w:val="00CA43FD"/>
    <w:rsid w:val="00CA4F48"/>
    <w:rsid w:val="00CA64AC"/>
    <w:rsid w:val="00CA7EF8"/>
    <w:rsid w:val="00CB220A"/>
    <w:rsid w:val="00CB318A"/>
    <w:rsid w:val="00CB4D0E"/>
    <w:rsid w:val="00CB4D78"/>
    <w:rsid w:val="00CB54E5"/>
    <w:rsid w:val="00CB5660"/>
    <w:rsid w:val="00CB6121"/>
    <w:rsid w:val="00CB6522"/>
    <w:rsid w:val="00CC0832"/>
    <w:rsid w:val="00CC0999"/>
    <w:rsid w:val="00CC140D"/>
    <w:rsid w:val="00CC166D"/>
    <w:rsid w:val="00CC1DAD"/>
    <w:rsid w:val="00CC2D23"/>
    <w:rsid w:val="00CC2F49"/>
    <w:rsid w:val="00CC3949"/>
    <w:rsid w:val="00CC4257"/>
    <w:rsid w:val="00CC47DE"/>
    <w:rsid w:val="00CC489B"/>
    <w:rsid w:val="00CC6085"/>
    <w:rsid w:val="00CD0E75"/>
    <w:rsid w:val="00CD1481"/>
    <w:rsid w:val="00CD27A8"/>
    <w:rsid w:val="00CD2BCD"/>
    <w:rsid w:val="00CD3270"/>
    <w:rsid w:val="00CD3A4C"/>
    <w:rsid w:val="00CD4E55"/>
    <w:rsid w:val="00CD50C9"/>
    <w:rsid w:val="00CD54AA"/>
    <w:rsid w:val="00CD55D5"/>
    <w:rsid w:val="00CD6F62"/>
    <w:rsid w:val="00CE06F1"/>
    <w:rsid w:val="00CE0703"/>
    <w:rsid w:val="00CE08D4"/>
    <w:rsid w:val="00CE10E9"/>
    <w:rsid w:val="00CE1758"/>
    <w:rsid w:val="00CE206D"/>
    <w:rsid w:val="00CE2910"/>
    <w:rsid w:val="00CE360B"/>
    <w:rsid w:val="00CE38C5"/>
    <w:rsid w:val="00CE5393"/>
    <w:rsid w:val="00CE565E"/>
    <w:rsid w:val="00CE572B"/>
    <w:rsid w:val="00CE57FA"/>
    <w:rsid w:val="00CE67CE"/>
    <w:rsid w:val="00CE691A"/>
    <w:rsid w:val="00CE7077"/>
    <w:rsid w:val="00CE760B"/>
    <w:rsid w:val="00CE7D81"/>
    <w:rsid w:val="00CF029B"/>
    <w:rsid w:val="00CF03E8"/>
    <w:rsid w:val="00CF0631"/>
    <w:rsid w:val="00CF0BF3"/>
    <w:rsid w:val="00CF1458"/>
    <w:rsid w:val="00CF17CD"/>
    <w:rsid w:val="00CF309A"/>
    <w:rsid w:val="00CF31BD"/>
    <w:rsid w:val="00CF36BE"/>
    <w:rsid w:val="00CF4713"/>
    <w:rsid w:val="00CF5E28"/>
    <w:rsid w:val="00CF6000"/>
    <w:rsid w:val="00CF69FC"/>
    <w:rsid w:val="00CF6B2B"/>
    <w:rsid w:val="00CF701C"/>
    <w:rsid w:val="00CF76FC"/>
    <w:rsid w:val="00CF79D7"/>
    <w:rsid w:val="00D003F3"/>
    <w:rsid w:val="00D00C97"/>
    <w:rsid w:val="00D0167E"/>
    <w:rsid w:val="00D01AB1"/>
    <w:rsid w:val="00D02B13"/>
    <w:rsid w:val="00D0321E"/>
    <w:rsid w:val="00D0364F"/>
    <w:rsid w:val="00D03697"/>
    <w:rsid w:val="00D04015"/>
    <w:rsid w:val="00D040E3"/>
    <w:rsid w:val="00D04AF4"/>
    <w:rsid w:val="00D05FF3"/>
    <w:rsid w:val="00D063D2"/>
    <w:rsid w:val="00D06834"/>
    <w:rsid w:val="00D06ADA"/>
    <w:rsid w:val="00D07643"/>
    <w:rsid w:val="00D07D30"/>
    <w:rsid w:val="00D1162A"/>
    <w:rsid w:val="00D132FD"/>
    <w:rsid w:val="00D13754"/>
    <w:rsid w:val="00D14041"/>
    <w:rsid w:val="00D14FFF"/>
    <w:rsid w:val="00D154AA"/>
    <w:rsid w:val="00D15AC9"/>
    <w:rsid w:val="00D1664F"/>
    <w:rsid w:val="00D17749"/>
    <w:rsid w:val="00D209BE"/>
    <w:rsid w:val="00D2186F"/>
    <w:rsid w:val="00D21A81"/>
    <w:rsid w:val="00D22384"/>
    <w:rsid w:val="00D23578"/>
    <w:rsid w:val="00D23FF9"/>
    <w:rsid w:val="00D24320"/>
    <w:rsid w:val="00D243D7"/>
    <w:rsid w:val="00D24A32"/>
    <w:rsid w:val="00D255F5"/>
    <w:rsid w:val="00D25953"/>
    <w:rsid w:val="00D26744"/>
    <w:rsid w:val="00D308ED"/>
    <w:rsid w:val="00D312D0"/>
    <w:rsid w:val="00D31B20"/>
    <w:rsid w:val="00D31DF2"/>
    <w:rsid w:val="00D32559"/>
    <w:rsid w:val="00D328BC"/>
    <w:rsid w:val="00D332F1"/>
    <w:rsid w:val="00D33959"/>
    <w:rsid w:val="00D33D7D"/>
    <w:rsid w:val="00D34E23"/>
    <w:rsid w:val="00D35C5F"/>
    <w:rsid w:val="00D36D86"/>
    <w:rsid w:val="00D37834"/>
    <w:rsid w:val="00D3786D"/>
    <w:rsid w:val="00D415CB"/>
    <w:rsid w:val="00D4174A"/>
    <w:rsid w:val="00D419BA"/>
    <w:rsid w:val="00D428AA"/>
    <w:rsid w:val="00D435EB"/>
    <w:rsid w:val="00D43DDB"/>
    <w:rsid w:val="00D45939"/>
    <w:rsid w:val="00D45B40"/>
    <w:rsid w:val="00D47448"/>
    <w:rsid w:val="00D47DD9"/>
    <w:rsid w:val="00D5043B"/>
    <w:rsid w:val="00D509B2"/>
    <w:rsid w:val="00D50A34"/>
    <w:rsid w:val="00D5117D"/>
    <w:rsid w:val="00D51275"/>
    <w:rsid w:val="00D524BB"/>
    <w:rsid w:val="00D52C91"/>
    <w:rsid w:val="00D52E21"/>
    <w:rsid w:val="00D530B6"/>
    <w:rsid w:val="00D537E8"/>
    <w:rsid w:val="00D53EFA"/>
    <w:rsid w:val="00D54A1F"/>
    <w:rsid w:val="00D566F9"/>
    <w:rsid w:val="00D56869"/>
    <w:rsid w:val="00D6030D"/>
    <w:rsid w:val="00D60BE7"/>
    <w:rsid w:val="00D60D0E"/>
    <w:rsid w:val="00D61037"/>
    <w:rsid w:val="00D613F3"/>
    <w:rsid w:val="00D62BA2"/>
    <w:rsid w:val="00D631FB"/>
    <w:rsid w:val="00D6329C"/>
    <w:rsid w:val="00D63509"/>
    <w:rsid w:val="00D638FB"/>
    <w:rsid w:val="00D64049"/>
    <w:rsid w:val="00D64446"/>
    <w:rsid w:val="00D6548E"/>
    <w:rsid w:val="00D65526"/>
    <w:rsid w:val="00D657AE"/>
    <w:rsid w:val="00D65A74"/>
    <w:rsid w:val="00D66488"/>
    <w:rsid w:val="00D66F2D"/>
    <w:rsid w:val="00D677E7"/>
    <w:rsid w:val="00D678A1"/>
    <w:rsid w:val="00D702E6"/>
    <w:rsid w:val="00D70BBC"/>
    <w:rsid w:val="00D7128A"/>
    <w:rsid w:val="00D71369"/>
    <w:rsid w:val="00D715B6"/>
    <w:rsid w:val="00D72BA1"/>
    <w:rsid w:val="00D72E9B"/>
    <w:rsid w:val="00D73484"/>
    <w:rsid w:val="00D737A7"/>
    <w:rsid w:val="00D73886"/>
    <w:rsid w:val="00D75ECF"/>
    <w:rsid w:val="00D76A8C"/>
    <w:rsid w:val="00D76C30"/>
    <w:rsid w:val="00D76C75"/>
    <w:rsid w:val="00D775AF"/>
    <w:rsid w:val="00D80B0B"/>
    <w:rsid w:val="00D81599"/>
    <w:rsid w:val="00D8196A"/>
    <w:rsid w:val="00D8256F"/>
    <w:rsid w:val="00D827AE"/>
    <w:rsid w:val="00D82F78"/>
    <w:rsid w:val="00D83229"/>
    <w:rsid w:val="00D838B9"/>
    <w:rsid w:val="00D84736"/>
    <w:rsid w:val="00D84DE4"/>
    <w:rsid w:val="00D86435"/>
    <w:rsid w:val="00D86A47"/>
    <w:rsid w:val="00D86E53"/>
    <w:rsid w:val="00D87AEC"/>
    <w:rsid w:val="00D87C4E"/>
    <w:rsid w:val="00D87C5A"/>
    <w:rsid w:val="00D87FD2"/>
    <w:rsid w:val="00D9091A"/>
    <w:rsid w:val="00D909B3"/>
    <w:rsid w:val="00D92874"/>
    <w:rsid w:val="00D9288E"/>
    <w:rsid w:val="00D92EB0"/>
    <w:rsid w:val="00D9330F"/>
    <w:rsid w:val="00D93F66"/>
    <w:rsid w:val="00D94054"/>
    <w:rsid w:val="00D94A7C"/>
    <w:rsid w:val="00D94F3C"/>
    <w:rsid w:val="00D94F79"/>
    <w:rsid w:val="00D95311"/>
    <w:rsid w:val="00D955CE"/>
    <w:rsid w:val="00D957B4"/>
    <w:rsid w:val="00D95896"/>
    <w:rsid w:val="00D95A4B"/>
    <w:rsid w:val="00D96032"/>
    <w:rsid w:val="00D968B1"/>
    <w:rsid w:val="00D96AE3"/>
    <w:rsid w:val="00D96EC1"/>
    <w:rsid w:val="00D9722E"/>
    <w:rsid w:val="00DA025B"/>
    <w:rsid w:val="00DA0D29"/>
    <w:rsid w:val="00DA110A"/>
    <w:rsid w:val="00DA13FA"/>
    <w:rsid w:val="00DA217E"/>
    <w:rsid w:val="00DA2236"/>
    <w:rsid w:val="00DA3FA2"/>
    <w:rsid w:val="00DA537C"/>
    <w:rsid w:val="00DA54C2"/>
    <w:rsid w:val="00DA61CC"/>
    <w:rsid w:val="00DA6949"/>
    <w:rsid w:val="00DB0CAF"/>
    <w:rsid w:val="00DB16D6"/>
    <w:rsid w:val="00DB18B0"/>
    <w:rsid w:val="00DB1FC0"/>
    <w:rsid w:val="00DB21AE"/>
    <w:rsid w:val="00DB2983"/>
    <w:rsid w:val="00DB2BBF"/>
    <w:rsid w:val="00DB2F4E"/>
    <w:rsid w:val="00DB4384"/>
    <w:rsid w:val="00DB5BFF"/>
    <w:rsid w:val="00DB6551"/>
    <w:rsid w:val="00DB6613"/>
    <w:rsid w:val="00DB7142"/>
    <w:rsid w:val="00DB7B55"/>
    <w:rsid w:val="00DC0196"/>
    <w:rsid w:val="00DC1257"/>
    <w:rsid w:val="00DC20A7"/>
    <w:rsid w:val="00DC20B2"/>
    <w:rsid w:val="00DC284A"/>
    <w:rsid w:val="00DC3168"/>
    <w:rsid w:val="00DC3DC0"/>
    <w:rsid w:val="00DC4386"/>
    <w:rsid w:val="00DC45E5"/>
    <w:rsid w:val="00DC4B47"/>
    <w:rsid w:val="00DC4CF1"/>
    <w:rsid w:val="00DC5421"/>
    <w:rsid w:val="00DC5B2B"/>
    <w:rsid w:val="00DC60FE"/>
    <w:rsid w:val="00DC642F"/>
    <w:rsid w:val="00DC6623"/>
    <w:rsid w:val="00DC6C5A"/>
    <w:rsid w:val="00DC6CDB"/>
    <w:rsid w:val="00DC71F7"/>
    <w:rsid w:val="00DC73B6"/>
    <w:rsid w:val="00DC78A7"/>
    <w:rsid w:val="00DD0309"/>
    <w:rsid w:val="00DD064C"/>
    <w:rsid w:val="00DD318D"/>
    <w:rsid w:val="00DD3871"/>
    <w:rsid w:val="00DD3DC2"/>
    <w:rsid w:val="00DD49C7"/>
    <w:rsid w:val="00DD4BC6"/>
    <w:rsid w:val="00DD5222"/>
    <w:rsid w:val="00DD5ADB"/>
    <w:rsid w:val="00DD5B65"/>
    <w:rsid w:val="00DD6EF8"/>
    <w:rsid w:val="00DD7B0B"/>
    <w:rsid w:val="00DD7B19"/>
    <w:rsid w:val="00DE0737"/>
    <w:rsid w:val="00DE0B6D"/>
    <w:rsid w:val="00DE126E"/>
    <w:rsid w:val="00DE1AAB"/>
    <w:rsid w:val="00DE2126"/>
    <w:rsid w:val="00DE2855"/>
    <w:rsid w:val="00DE3058"/>
    <w:rsid w:val="00DE34D5"/>
    <w:rsid w:val="00DE3F4B"/>
    <w:rsid w:val="00DE55B1"/>
    <w:rsid w:val="00DE5810"/>
    <w:rsid w:val="00DE58D3"/>
    <w:rsid w:val="00DE6A74"/>
    <w:rsid w:val="00DE6D81"/>
    <w:rsid w:val="00DE74C1"/>
    <w:rsid w:val="00DE7594"/>
    <w:rsid w:val="00DE7C36"/>
    <w:rsid w:val="00DF04AA"/>
    <w:rsid w:val="00DF14F0"/>
    <w:rsid w:val="00DF16C8"/>
    <w:rsid w:val="00DF1E01"/>
    <w:rsid w:val="00DF2943"/>
    <w:rsid w:val="00DF2E12"/>
    <w:rsid w:val="00DF3066"/>
    <w:rsid w:val="00DF33A7"/>
    <w:rsid w:val="00DF3559"/>
    <w:rsid w:val="00DF3A24"/>
    <w:rsid w:val="00DF4F18"/>
    <w:rsid w:val="00DF511E"/>
    <w:rsid w:val="00DF514A"/>
    <w:rsid w:val="00DF65F8"/>
    <w:rsid w:val="00DF6690"/>
    <w:rsid w:val="00DF6804"/>
    <w:rsid w:val="00DF7098"/>
    <w:rsid w:val="00E01048"/>
    <w:rsid w:val="00E01B5C"/>
    <w:rsid w:val="00E01F85"/>
    <w:rsid w:val="00E026EF"/>
    <w:rsid w:val="00E03546"/>
    <w:rsid w:val="00E0358D"/>
    <w:rsid w:val="00E03A2D"/>
    <w:rsid w:val="00E03A82"/>
    <w:rsid w:val="00E03E6D"/>
    <w:rsid w:val="00E041B9"/>
    <w:rsid w:val="00E04323"/>
    <w:rsid w:val="00E047DA"/>
    <w:rsid w:val="00E04C07"/>
    <w:rsid w:val="00E04E0A"/>
    <w:rsid w:val="00E050A7"/>
    <w:rsid w:val="00E05DA1"/>
    <w:rsid w:val="00E06A79"/>
    <w:rsid w:val="00E06BA5"/>
    <w:rsid w:val="00E06E3D"/>
    <w:rsid w:val="00E070A2"/>
    <w:rsid w:val="00E0760B"/>
    <w:rsid w:val="00E076CC"/>
    <w:rsid w:val="00E07F60"/>
    <w:rsid w:val="00E10D4A"/>
    <w:rsid w:val="00E10DB1"/>
    <w:rsid w:val="00E116E6"/>
    <w:rsid w:val="00E1176A"/>
    <w:rsid w:val="00E11B2B"/>
    <w:rsid w:val="00E1222F"/>
    <w:rsid w:val="00E1247B"/>
    <w:rsid w:val="00E1281B"/>
    <w:rsid w:val="00E14091"/>
    <w:rsid w:val="00E150E7"/>
    <w:rsid w:val="00E15C1D"/>
    <w:rsid w:val="00E15FD3"/>
    <w:rsid w:val="00E16185"/>
    <w:rsid w:val="00E167CB"/>
    <w:rsid w:val="00E1726B"/>
    <w:rsid w:val="00E17974"/>
    <w:rsid w:val="00E21170"/>
    <w:rsid w:val="00E21310"/>
    <w:rsid w:val="00E22226"/>
    <w:rsid w:val="00E22343"/>
    <w:rsid w:val="00E225FD"/>
    <w:rsid w:val="00E22D12"/>
    <w:rsid w:val="00E2328A"/>
    <w:rsid w:val="00E246C7"/>
    <w:rsid w:val="00E24C54"/>
    <w:rsid w:val="00E24DDE"/>
    <w:rsid w:val="00E251A1"/>
    <w:rsid w:val="00E2656A"/>
    <w:rsid w:val="00E26FBF"/>
    <w:rsid w:val="00E305B7"/>
    <w:rsid w:val="00E30F6E"/>
    <w:rsid w:val="00E313B8"/>
    <w:rsid w:val="00E3162E"/>
    <w:rsid w:val="00E31B08"/>
    <w:rsid w:val="00E323DB"/>
    <w:rsid w:val="00E326CC"/>
    <w:rsid w:val="00E32B7D"/>
    <w:rsid w:val="00E33134"/>
    <w:rsid w:val="00E33616"/>
    <w:rsid w:val="00E34817"/>
    <w:rsid w:val="00E3494F"/>
    <w:rsid w:val="00E35165"/>
    <w:rsid w:val="00E356E2"/>
    <w:rsid w:val="00E36889"/>
    <w:rsid w:val="00E376B0"/>
    <w:rsid w:val="00E403ED"/>
    <w:rsid w:val="00E4056E"/>
    <w:rsid w:val="00E40AFF"/>
    <w:rsid w:val="00E412D0"/>
    <w:rsid w:val="00E4238F"/>
    <w:rsid w:val="00E42436"/>
    <w:rsid w:val="00E426C8"/>
    <w:rsid w:val="00E429C0"/>
    <w:rsid w:val="00E431A1"/>
    <w:rsid w:val="00E4475E"/>
    <w:rsid w:val="00E45027"/>
    <w:rsid w:val="00E450CC"/>
    <w:rsid w:val="00E45BF8"/>
    <w:rsid w:val="00E462B4"/>
    <w:rsid w:val="00E46576"/>
    <w:rsid w:val="00E47A23"/>
    <w:rsid w:val="00E506C4"/>
    <w:rsid w:val="00E50B41"/>
    <w:rsid w:val="00E524E3"/>
    <w:rsid w:val="00E52829"/>
    <w:rsid w:val="00E52E4B"/>
    <w:rsid w:val="00E53DDE"/>
    <w:rsid w:val="00E5402E"/>
    <w:rsid w:val="00E56322"/>
    <w:rsid w:val="00E56BBA"/>
    <w:rsid w:val="00E57811"/>
    <w:rsid w:val="00E579A1"/>
    <w:rsid w:val="00E57C1C"/>
    <w:rsid w:val="00E60689"/>
    <w:rsid w:val="00E60982"/>
    <w:rsid w:val="00E60A61"/>
    <w:rsid w:val="00E61587"/>
    <w:rsid w:val="00E61618"/>
    <w:rsid w:val="00E62C62"/>
    <w:rsid w:val="00E639EB"/>
    <w:rsid w:val="00E63AC8"/>
    <w:rsid w:val="00E6407F"/>
    <w:rsid w:val="00E64140"/>
    <w:rsid w:val="00E645F4"/>
    <w:rsid w:val="00E64A3D"/>
    <w:rsid w:val="00E654C1"/>
    <w:rsid w:val="00E6583F"/>
    <w:rsid w:val="00E65D97"/>
    <w:rsid w:val="00E67583"/>
    <w:rsid w:val="00E67C85"/>
    <w:rsid w:val="00E67DA8"/>
    <w:rsid w:val="00E70E08"/>
    <w:rsid w:val="00E718F9"/>
    <w:rsid w:val="00E71E02"/>
    <w:rsid w:val="00E71F12"/>
    <w:rsid w:val="00E72A5A"/>
    <w:rsid w:val="00E73129"/>
    <w:rsid w:val="00E73354"/>
    <w:rsid w:val="00E7369B"/>
    <w:rsid w:val="00E74326"/>
    <w:rsid w:val="00E74619"/>
    <w:rsid w:val="00E747B4"/>
    <w:rsid w:val="00E74BF6"/>
    <w:rsid w:val="00E75DBF"/>
    <w:rsid w:val="00E760F9"/>
    <w:rsid w:val="00E8071A"/>
    <w:rsid w:val="00E80F93"/>
    <w:rsid w:val="00E81E80"/>
    <w:rsid w:val="00E82949"/>
    <w:rsid w:val="00E82D62"/>
    <w:rsid w:val="00E838C4"/>
    <w:rsid w:val="00E83AD8"/>
    <w:rsid w:val="00E8427F"/>
    <w:rsid w:val="00E84AA6"/>
    <w:rsid w:val="00E8541B"/>
    <w:rsid w:val="00E87A24"/>
    <w:rsid w:val="00E904BB"/>
    <w:rsid w:val="00E90B86"/>
    <w:rsid w:val="00E913D1"/>
    <w:rsid w:val="00E914B0"/>
    <w:rsid w:val="00E9242D"/>
    <w:rsid w:val="00E9279F"/>
    <w:rsid w:val="00E92C5F"/>
    <w:rsid w:val="00E92E29"/>
    <w:rsid w:val="00E939B6"/>
    <w:rsid w:val="00E93FB9"/>
    <w:rsid w:val="00E941B6"/>
    <w:rsid w:val="00E95D89"/>
    <w:rsid w:val="00E96B9E"/>
    <w:rsid w:val="00E97975"/>
    <w:rsid w:val="00EA11B0"/>
    <w:rsid w:val="00EA1F66"/>
    <w:rsid w:val="00EA26BE"/>
    <w:rsid w:val="00EA2C3C"/>
    <w:rsid w:val="00EA2DB8"/>
    <w:rsid w:val="00EA34E6"/>
    <w:rsid w:val="00EA455F"/>
    <w:rsid w:val="00EA55FD"/>
    <w:rsid w:val="00EA59C9"/>
    <w:rsid w:val="00EA62A8"/>
    <w:rsid w:val="00EA6B5E"/>
    <w:rsid w:val="00EA6BDD"/>
    <w:rsid w:val="00EA6EE0"/>
    <w:rsid w:val="00EA6EE5"/>
    <w:rsid w:val="00EA730C"/>
    <w:rsid w:val="00EB0975"/>
    <w:rsid w:val="00EB1518"/>
    <w:rsid w:val="00EB3041"/>
    <w:rsid w:val="00EB353B"/>
    <w:rsid w:val="00EB5255"/>
    <w:rsid w:val="00EB5703"/>
    <w:rsid w:val="00EB5C47"/>
    <w:rsid w:val="00EB5F69"/>
    <w:rsid w:val="00EB75EB"/>
    <w:rsid w:val="00EB7DDF"/>
    <w:rsid w:val="00EB7F7D"/>
    <w:rsid w:val="00EC005B"/>
    <w:rsid w:val="00EC0797"/>
    <w:rsid w:val="00EC0994"/>
    <w:rsid w:val="00EC0F25"/>
    <w:rsid w:val="00EC2B18"/>
    <w:rsid w:val="00EC2F0D"/>
    <w:rsid w:val="00EC2F7A"/>
    <w:rsid w:val="00EC302C"/>
    <w:rsid w:val="00EC46D5"/>
    <w:rsid w:val="00EC4DE8"/>
    <w:rsid w:val="00EC526D"/>
    <w:rsid w:val="00EC5509"/>
    <w:rsid w:val="00EC595D"/>
    <w:rsid w:val="00EC6397"/>
    <w:rsid w:val="00EC6B5F"/>
    <w:rsid w:val="00EC6B89"/>
    <w:rsid w:val="00EC6F19"/>
    <w:rsid w:val="00EC723F"/>
    <w:rsid w:val="00EC72B1"/>
    <w:rsid w:val="00EC7843"/>
    <w:rsid w:val="00ED0639"/>
    <w:rsid w:val="00ED0C19"/>
    <w:rsid w:val="00ED1D3C"/>
    <w:rsid w:val="00ED3811"/>
    <w:rsid w:val="00ED389C"/>
    <w:rsid w:val="00ED465C"/>
    <w:rsid w:val="00ED4BE8"/>
    <w:rsid w:val="00ED5789"/>
    <w:rsid w:val="00ED5A9D"/>
    <w:rsid w:val="00ED7BEB"/>
    <w:rsid w:val="00EE08B6"/>
    <w:rsid w:val="00EE0C29"/>
    <w:rsid w:val="00EE0CD2"/>
    <w:rsid w:val="00EE1AFE"/>
    <w:rsid w:val="00EE1C75"/>
    <w:rsid w:val="00EE1DC7"/>
    <w:rsid w:val="00EE2F86"/>
    <w:rsid w:val="00EE2FDC"/>
    <w:rsid w:val="00EE3055"/>
    <w:rsid w:val="00EE3643"/>
    <w:rsid w:val="00EE45B1"/>
    <w:rsid w:val="00EE50FF"/>
    <w:rsid w:val="00EE512C"/>
    <w:rsid w:val="00EE5327"/>
    <w:rsid w:val="00EE5966"/>
    <w:rsid w:val="00EE5A0D"/>
    <w:rsid w:val="00EE6DAA"/>
    <w:rsid w:val="00EE75CB"/>
    <w:rsid w:val="00EF0B63"/>
    <w:rsid w:val="00EF14E4"/>
    <w:rsid w:val="00EF1CB1"/>
    <w:rsid w:val="00EF1D69"/>
    <w:rsid w:val="00EF360E"/>
    <w:rsid w:val="00EF38EA"/>
    <w:rsid w:val="00EF3F3E"/>
    <w:rsid w:val="00EF415E"/>
    <w:rsid w:val="00EF4755"/>
    <w:rsid w:val="00EF4C21"/>
    <w:rsid w:val="00EF4C36"/>
    <w:rsid w:val="00EF4D5B"/>
    <w:rsid w:val="00EF59C5"/>
    <w:rsid w:val="00EF5A60"/>
    <w:rsid w:val="00EF61F1"/>
    <w:rsid w:val="00EF70F8"/>
    <w:rsid w:val="00EF7135"/>
    <w:rsid w:val="00EF76E2"/>
    <w:rsid w:val="00EF7889"/>
    <w:rsid w:val="00EF7D63"/>
    <w:rsid w:val="00EF7EA2"/>
    <w:rsid w:val="00F001BE"/>
    <w:rsid w:val="00F003DE"/>
    <w:rsid w:val="00F00625"/>
    <w:rsid w:val="00F0084D"/>
    <w:rsid w:val="00F00D9E"/>
    <w:rsid w:val="00F00F83"/>
    <w:rsid w:val="00F0210A"/>
    <w:rsid w:val="00F026BA"/>
    <w:rsid w:val="00F027DB"/>
    <w:rsid w:val="00F0287A"/>
    <w:rsid w:val="00F0294D"/>
    <w:rsid w:val="00F04336"/>
    <w:rsid w:val="00F05068"/>
    <w:rsid w:val="00F053B5"/>
    <w:rsid w:val="00F05459"/>
    <w:rsid w:val="00F05BC0"/>
    <w:rsid w:val="00F05C05"/>
    <w:rsid w:val="00F064CA"/>
    <w:rsid w:val="00F07894"/>
    <w:rsid w:val="00F119ED"/>
    <w:rsid w:val="00F11AFE"/>
    <w:rsid w:val="00F11C7B"/>
    <w:rsid w:val="00F12E6C"/>
    <w:rsid w:val="00F12E8C"/>
    <w:rsid w:val="00F139A8"/>
    <w:rsid w:val="00F13ADA"/>
    <w:rsid w:val="00F14706"/>
    <w:rsid w:val="00F14818"/>
    <w:rsid w:val="00F149E6"/>
    <w:rsid w:val="00F14A7A"/>
    <w:rsid w:val="00F15C04"/>
    <w:rsid w:val="00F160B5"/>
    <w:rsid w:val="00F16377"/>
    <w:rsid w:val="00F1681B"/>
    <w:rsid w:val="00F16F3B"/>
    <w:rsid w:val="00F17113"/>
    <w:rsid w:val="00F17B8C"/>
    <w:rsid w:val="00F17D21"/>
    <w:rsid w:val="00F206F8"/>
    <w:rsid w:val="00F20F26"/>
    <w:rsid w:val="00F2204B"/>
    <w:rsid w:val="00F22740"/>
    <w:rsid w:val="00F22985"/>
    <w:rsid w:val="00F22BF7"/>
    <w:rsid w:val="00F23377"/>
    <w:rsid w:val="00F23D92"/>
    <w:rsid w:val="00F24AE9"/>
    <w:rsid w:val="00F25221"/>
    <w:rsid w:val="00F252D5"/>
    <w:rsid w:val="00F272E3"/>
    <w:rsid w:val="00F27673"/>
    <w:rsid w:val="00F27752"/>
    <w:rsid w:val="00F27F13"/>
    <w:rsid w:val="00F301A5"/>
    <w:rsid w:val="00F317E4"/>
    <w:rsid w:val="00F31FBE"/>
    <w:rsid w:val="00F322D2"/>
    <w:rsid w:val="00F323E7"/>
    <w:rsid w:val="00F32904"/>
    <w:rsid w:val="00F32AEF"/>
    <w:rsid w:val="00F3341F"/>
    <w:rsid w:val="00F3359D"/>
    <w:rsid w:val="00F33708"/>
    <w:rsid w:val="00F3383E"/>
    <w:rsid w:val="00F35621"/>
    <w:rsid w:val="00F362CF"/>
    <w:rsid w:val="00F36672"/>
    <w:rsid w:val="00F3705D"/>
    <w:rsid w:val="00F4009E"/>
    <w:rsid w:val="00F40AB0"/>
    <w:rsid w:val="00F41274"/>
    <w:rsid w:val="00F41AC7"/>
    <w:rsid w:val="00F41BB9"/>
    <w:rsid w:val="00F4255A"/>
    <w:rsid w:val="00F42C1F"/>
    <w:rsid w:val="00F43006"/>
    <w:rsid w:val="00F43431"/>
    <w:rsid w:val="00F457B2"/>
    <w:rsid w:val="00F4585B"/>
    <w:rsid w:val="00F465A7"/>
    <w:rsid w:val="00F47EB6"/>
    <w:rsid w:val="00F504A8"/>
    <w:rsid w:val="00F50B7C"/>
    <w:rsid w:val="00F50C94"/>
    <w:rsid w:val="00F54701"/>
    <w:rsid w:val="00F550E6"/>
    <w:rsid w:val="00F552E5"/>
    <w:rsid w:val="00F57181"/>
    <w:rsid w:val="00F57239"/>
    <w:rsid w:val="00F60AA3"/>
    <w:rsid w:val="00F61020"/>
    <w:rsid w:val="00F6125E"/>
    <w:rsid w:val="00F6129E"/>
    <w:rsid w:val="00F61B20"/>
    <w:rsid w:val="00F62412"/>
    <w:rsid w:val="00F63B1A"/>
    <w:rsid w:val="00F63EF0"/>
    <w:rsid w:val="00F65E42"/>
    <w:rsid w:val="00F7004B"/>
    <w:rsid w:val="00F7023B"/>
    <w:rsid w:val="00F7116A"/>
    <w:rsid w:val="00F712F9"/>
    <w:rsid w:val="00F724E1"/>
    <w:rsid w:val="00F72D4A"/>
    <w:rsid w:val="00F72FA9"/>
    <w:rsid w:val="00F74345"/>
    <w:rsid w:val="00F74D89"/>
    <w:rsid w:val="00F75C2A"/>
    <w:rsid w:val="00F75F86"/>
    <w:rsid w:val="00F761BA"/>
    <w:rsid w:val="00F77512"/>
    <w:rsid w:val="00F80325"/>
    <w:rsid w:val="00F804FA"/>
    <w:rsid w:val="00F80630"/>
    <w:rsid w:val="00F809A9"/>
    <w:rsid w:val="00F80A0A"/>
    <w:rsid w:val="00F81403"/>
    <w:rsid w:val="00F82AA3"/>
    <w:rsid w:val="00F82B19"/>
    <w:rsid w:val="00F82F90"/>
    <w:rsid w:val="00F83B6D"/>
    <w:rsid w:val="00F83D3C"/>
    <w:rsid w:val="00F8451E"/>
    <w:rsid w:val="00F859CE"/>
    <w:rsid w:val="00F85A61"/>
    <w:rsid w:val="00F86560"/>
    <w:rsid w:val="00F86B4B"/>
    <w:rsid w:val="00F86C37"/>
    <w:rsid w:val="00F87809"/>
    <w:rsid w:val="00F878E9"/>
    <w:rsid w:val="00F878FD"/>
    <w:rsid w:val="00F90036"/>
    <w:rsid w:val="00F90197"/>
    <w:rsid w:val="00F91556"/>
    <w:rsid w:val="00F91771"/>
    <w:rsid w:val="00F91AD3"/>
    <w:rsid w:val="00F9212D"/>
    <w:rsid w:val="00F93025"/>
    <w:rsid w:val="00F94969"/>
    <w:rsid w:val="00F94ED9"/>
    <w:rsid w:val="00F94FA0"/>
    <w:rsid w:val="00F96539"/>
    <w:rsid w:val="00F965DA"/>
    <w:rsid w:val="00F968A8"/>
    <w:rsid w:val="00FA1193"/>
    <w:rsid w:val="00FA1507"/>
    <w:rsid w:val="00FA28F8"/>
    <w:rsid w:val="00FA2C35"/>
    <w:rsid w:val="00FA2FD4"/>
    <w:rsid w:val="00FA30B4"/>
    <w:rsid w:val="00FA3396"/>
    <w:rsid w:val="00FA406A"/>
    <w:rsid w:val="00FA4F8D"/>
    <w:rsid w:val="00FA537A"/>
    <w:rsid w:val="00FA54FE"/>
    <w:rsid w:val="00FA567E"/>
    <w:rsid w:val="00FA578B"/>
    <w:rsid w:val="00FA6D08"/>
    <w:rsid w:val="00FA7025"/>
    <w:rsid w:val="00FA7BD5"/>
    <w:rsid w:val="00FA7DAB"/>
    <w:rsid w:val="00FB04C2"/>
    <w:rsid w:val="00FB1622"/>
    <w:rsid w:val="00FB1BBF"/>
    <w:rsid w:val="00FB35D5"/>
    <w:rsid w:val="00FB40F9"/>
    <w:rsid w:val="00FB503A"/>
    <w:rsid w:val="00FB516C"/>
    <w:rsid w:val="00FB581F"/>
    <w:rsid w:val="00FB5A09"/>
    <w:rsid w:val="00FB5E47"/>
    <w:rsid w:val="00FB713D"/>
    <w:rsid w:val="00FB7A90"/>
    <w:rsid w:val="00FB7AF1"/>
    <w:rsid w:val="00FB7D36"/>
    <w:rsid w:val="00FC0696"/>
    <w:rsid w:val="00FC156A"/>
    <w:rsid w:val="00FC31CE"/>
    <w:rsid w:val="00FC3A90"/>
    <w:rsid w:val="00FC3B80"/>
    <w:rsid w:val="00FC4964"/>
    <w:rsid w:val="00FC54D3"/>
    <w:rsid w:val="00FC5B9E"/>
    <w:rsid w:val="00FC5DF7"/>
    <w:rsid w:val="00FC6B30"/>
    <w:rsid w:val="00FC72BA"/>
    <w:rsid w:val="00FC746C"/>
    <w:rsid w:val="00FC77B4"/>
    <w:rsid w:val="00FD0236"/>
    <w:rsid w:val="00FD13D2"/>
    <w:rsid w:val="00FD155B"/>
    <w:rsid w:val="00FD18D6"/>
    <w:rsid w:val="00FD18F4"/>
    <w:rsid w:val="00FD2475"/>
    <w:rsid w:val="00FD2A09"/>
    <w:rsid w:val="00FD305D"/>
    <w:rsid w:val="00FD30B3"/>
    <w:rsid w:val="00FD3B0B"/>
    <w:rsid w:val="00FD4185"/>
    <w:rsid w:val="00FD46E1"/>
    <w:rsid w:val="00FD499F"/>
    <w:rsid w:val="00FD54DB"/>
    <w:rsid w:val="00FD600A"/>
    <w:rsid w:val="00FD619F"/>
    <w:rsid w:val="00FD6449"/>
    <w:rsid w:val="00FD64D8"/>
    <w:rsid w:val="00FD6A3C"/>
    <w:rsid w:val="00FD6CEC"/>
    <w:rsid w:val="00FD74BC"/>
    <w:rsid w:val="00FD75C5"/>
    <w:rsid w:val="00FD7A6B"/>
    <w:rsid w:val="00FD7AC3"/>
    <w:rsid w:val="00FE05F1"/>
    <w:rsid w:val="00FE06F2"/>
    <w:rsid w:val="00FE0B4C"/>
    <w:rsid w:val="00FE128D"/>
    <w:rsid w:val="00FE1304"/>
    <w:rsid w:val="00FE158B"/>
    <w:rsid w:val="00FE1746"/>
    <w:rsid w:val="00FE3282"/>
    <w:rsid w:val="00FE3498"/>
    <w:rsid w:val="00FE3C2E"/>
    <w:rsid w:val="00FE3F45"/>
    <w:rsid w:val="00FE40C7"/>
    <w:rsid w:val="00FE486D"/>
    <w:rsid w:val="00FE57E2"/>
    <w:rsid w:val="00FE6582"/>
    <w:rsid w:val="00FE6AB7"/>
    <w:rsid w:val="00FF0525"/>
    <w:rsid w:val="00FF05D7"/>
    <w:rsid w:val="00FF1C62"/>
    <w:rsid w:val="00FF24CF"/>
    <w:rsid w:val="00FF29FB"/>
    <w:rsid w:val="00FF6425"/>
    <w:rsid w:val="00FF75DD"/>
    <w:rsid w:val="00FF7D3C"/>
    <w:rsid w:val="0117792D"/>
    <w:rsid w:val="01290F7E"/>
    <w:rsid w:val="01295F71"/>
    <w:rsid w:val="012A0CA0"/>
    <w:rsid w:val="012B0392"/>
    <w:rsid w:val="015D1E09"/>
    <w:rsid w:val="02296EC6"/>
    <w:rsid w:val="02697903"/>
    <w:rsid w:val="02F96569"/>
    <w:rsid w:val="03303FD6"/>
    <w:rsid w:val="039A0CDF"/>
    <w:rsid w:val="03DD5F17"/>
    <w:rsid w:val="03EA7B21"/>
    <w:rsid w:val="03FF7261"/>
    <w:rsid w:val="04376CAA"/>
    <w:rsid w:val="049C2A63"/>
    <w:rsid w:val="04A96068"/>
    <w:rsid w:val="04CA121C"/>
    <w:rsid w:val="04E77590"/>
    <w:rsid w:val="05205078"/>
    <w:rsid w:val="05253246"/>
    <w:rsid w:val="054509F1"/>
    <w:rsid w:val="05F83EAE"/>
    <w:rsid w:val="05FD23FE"/>
    <w:rsid w:val="061A2C0D"/>
    <w:rsid w:val="06340605"/>
    <w:rsid w:val="063E7D85"/>
    <w:rsid w:val="06B62861"/>
    <w:rsid w:val="06E15D5B"/>
    <w:rsid w:val="07293586"/>
    <w:rsid w:val="07295285"/>
    <w:rsid w:val="07636392"/>
    <w:rsid w:val="07711052"/>
    <w:rsid w:val="07770C56"/>
    <w:rsid w:val="0792741E"/>
    <w:rsid w:val="07AC06CE"/>
    <w:rsid w:val="07FE1858"/>
    <w:rsid w:val="086F5D5E"/>
    <w:rsid w:val="087038AC"/>
    <w:rsid w:val="08842168"/>
    <w:rsid w:val="08AC4379"/>
    <w:rsid w:val="08D631A4"/>
    <w:rsid w:val="08E83B10"/>
    <w:rsid w:val="092217DD"/>
    <w:rsid w:val="09394A03"/>
    <w:rsid w:val="093A7294"/>
    <w:rsid w:val="097E3A58"/>
    <w:rsid w:val="0A1914A2"/>
    <w:rsid w:val="0A263993"/>
    <w:rsid w:val="0A2D3AC2"/>
    <w:rsid w:val="0A6E312A"/>
    <w:rsid w:val="0A87692D"/>
    <w:rsid w:val="0AA755DF"/>
    <w:rsid w:val="0AB83AA5"/>
    <w:rsid w:val="0ABD6E05"/>
    <w:rsid w:val="0AD86BD2"/>
    <w:rsid w:val="0B120D44"/>
    <w:rsid w:val="0B382C1B"/>
    <w:rsid w:val="0BD27BF6"/>
    <w:rsid w:val="0C3B3C7D"/>
    <w:rsid w:val="0C5265CA"/>
    <w:rsid w:val="0C885729"/>
    <w:rsid w:val="0CAB2EAE"/>
    <w:rsid w:val="0CD62193"/>
    <w:rsid w:val="0CF06A71"/>
    <w:rsid w:val="0D383C5B"/>
    <w:rsid w:val="0D60183D"/>
    <w:rsid w:val="0D621C7D"/>
    <w:rsid w:val="0DC91C0E"/>
    <w:rsid w:val="0DEA7B5C"/>
    <w:rsid w:val="0E23099D"/>
    <w:rsid w:val="0E2A5C9F"/>
    <w:rsid w:val="0E73034D"/>
    <w:rsid w:val="0F0A50F5"/>
    <w:rsid w:val="0F13775A"/>
    <w:rsid w:val="0F5F45FE"/>
    <w:rsid w:val="0F9A112B"/>
    <w:rsid w:val="10623897"/>
    <w:rsid w:val="106D2F64"/>
    <w:rsid w:val="10B63710"/>
    <w:rsid w:val="10D64B13"/>
    <w:rsid w:val="10E154D6"/>
    <w:rsid w:val="10F10820"/>
    <w:rsid w:val="10FD2342"/>
    <w:rsid w:val="111C2F7A"/>
    <w:rsid w:val="11665CA1"/>
    <w:rsid w:val="11A8792C"/>
    <w:rsid w:val="122C2DE8"/>
    <w:rsid w:val="12866483"/>
    <w:rsid w:val="13293F0E"/>
    <w:rsid w:val="135E0B8C"/>
    <w:rsid w:val="137B2243"/>
    <w:rsid w:val="13951726"/>
    <w:rsid w:val="13B032F7"/>
    <w:rsid w:val="13B51807"/>
    <w:rsid w:val="13B80076"/>
    <w:rsid w:val="13F8357D"/>
    <w:rsid w:val="13FC4407"/>
    <w:rsid w:val="14396509"/>
    <w:rsid w:val="14DD2C3C"/>
    <w:rsid w:val="14EB3CF3"/>
    <w:rsid w:val="15214D2B"/>
    <w:rsid w:val="156264EB"/>
    <w:rsid w:val="16087E1D"/>
    <w:rsid w:val="16F9184A"/>
    <w:rsid w:val="176D1177"/>
    <w:rsid w:val="17701D14"/>
    <w:rsid w:val="17735226"/>
    <w:rsid w:val="183F16B4"/>
    <w:rsid w:val="18444106"/>
    <w:rsid w:val="18867510"/>
    <w:rsid w:val="189F624C"/>
    <w:rsid w:val="18AC1203"/>
    <w:rsid w:val="18CB0099"/>
    <w:rsid w:val="18F66D2B"/>
    <w:rsid w:val="19386787"/>
    <w:rsid w:val="19397C4F"/>
    <w:rsid w:val="197902A7"/>
    <w:rsid w:val="198853AB"/>
    <w:rsid w:val="19923902"/>
    <w:rsid w:val="19AF0F1B"/>
    <w:rsid w:val="19ED7B6D"/>
    <w:rsid w:val="1A1C66C0"/>
    <w:rsid w:val="1A26656F"/>
    <w:rsid w:val="1A42393B"/>
    <w:rsid w:val="1A82066E"/>
    <w:rsid w:val="1AAD45DE"/>
    <w:rsid w:val="1AD2318D"/>
    <w:rsid w:val="1B046F80"/>
    <w:rsid w:val="1B3267B5"/>
    <w:rsid w:val="1B40161D"/>
    <w:rsid w:val="1B441859"/>
    <w:rsid w:val="1B6606B1"/>
    <w:rsid w:val="1BB05AD7"/>
    <w:rsid w:val="1BB761C4"/>
    <w:rsid w:val="1C090A70"/>
    <w:rsid w:val="1C274853"/>
    <w:rsid w:val="1C331BCB"/>
    <w:rsid w:val="1C3D13A0"/>
    <w:rsid w:val="1C5E7925"/>
    <w:rsid w:val="1C7F284D"/>
    <w:rsid w:val="1CFD070F"/>
    <w:rsid w:val="1D080157"/>
    <w:rsid w:val="1D083E48"/>
    <w:rsid w:val="1D0B1216"/>
    <w:rsid w:val="1D354DFC"/>
    <w:rsid w:val="1D3B409D"/>
    <w:rsid w:val="1D4A13AD"/>
    <w:rsid w:val="1D5F6196"/>
    <w:rsid w:val="1D61085C"/>
    <w:rsid w:val="1D6132A5"/>
    <w:rsid w:val="1D8E56D5"/>
    <w:rsid w:val="1DC63144"/>
    <w:rsid w:val="1E015546"/>
    <w:rsid w:val="1E7A43DA"/>
    <w:rsid w:val="1EA11BFC"/>
    <w:rsid w:val="1F33762A"/>
    <w:rsid w:val="1FCB1131"/>
    <w:rsid w:val="1FDA4F3D"/>
    <w:rsid w:val="1FDC0657"/>
    <w:rsid w:val="1FE7539E"/>
    <w:rsid w:val="1FFA28B1"/>
    <w:rsid w:val="204E2648"/>
    <w:rsid w:val="20575E17"/>
    <w:rsid w:val="20671BE0"/>
    <w:rsid w:val="208B3CDB"/>
    <w:rsid w:val="20963CB8"/>
    <w:rsid w:val="20A81A1B"/>
    <w:rsid w:val="20B07FB6"/>
    <w:rsid w:val="20B646FB"/>
    <w:rsid w:val="20B93DBC"/>
    <w:rsid w:val="20D95DC4"/>
    <w:rsid w:val="20E46311"/>
    <w:rsid w:val="20FF5AD3"/>
    <w:rsid w:val="21057BBE"/>
    <w:rsid w:val="213B74B1"/>
    <w:rsid w:val="215A2310"/>
    <w:rsid w:val="217355DC"/>
    <w:rsid w:val="21745F80"/>
    <w:rsid w:val="219A4BC5"/>
    <w:rsid w:val="21A07BF8"/>
    <w:rsid w:val="21AE3E3A"/>
    <w:rsid w:val="21DE318A"/>
    <w:rsid w:val="21EF5B80"/>
    <w:rsid w:val="22380333"/>
    <w:rsid w:val="22576990"/>
    <w:rsid w:val="22AA26B3"/>
    <w:rsid w:val="22F47480"/>
    <w:rsid w:val="23177C67"/>
    <w:rsid w:val="233C0EAD"/>
    <w:rsid w:val="237D6BE6"/>
    <w:rsid w:val="23DE1C48"/>
    <w:rsid w:val="240210CD"/>
    <w:rsid w:val="24662CD7"/>
    <w:rsid w:val="24BF09F7"/>
    <w:rsid w:val="25174EE8"/>
    <w:rsid w:val="252D53FE"/>
    <w:rsid w:val="25BC57A4"/>
    <w:rsid w:val="25EC2D81"/>
    <w:rsid w:val="26365340"/>
    <w:rsid w:val="264C3948"/>
    <w:rsid w:val="26680DDB"/>
    <w:rsid w:val="269404CF"/>
    <w:rsid w:val="27690BB5"/>
    <w:rsid w:val="277057A2"/>
    <w:rsid w:val="27957129"/>
    <w:rsid w:val="27B859FB"/>
    <w:rsid w:val="27D966F6"/>
    <w:rsid w:val="27DC4F2B"/>
    <w:rsid w:val="28321D4D"/>
    <w:rsid w:val="288633C4"/>
    <w:rsid w:val="289E6F3D"/>
    <w:rsid w:val="28BE49CE"/>
    <w:rsid w:val="28D918A3"/>
    <w:rsid w:val="28DA0A2B"/>
    <w:rsid w:val="29206EB8"/>
    <w:rsid w:val="2953573A"/>
    <w:rsid w:val="29595666"/>
    <w:rsid w:val="29617207"/>
    <w:rsid w:val="29622B06"/>
    <w:rsid w:val="29874881"/>
    <w:rsid w:val="29BA2791"/>
    <w:rsid w:val="29E325E0"/>
    <w:rsid w:val="2A452503"/>
    <w:rsid w:val="2ABF4157"/>
    <w:rsid w:val="2B96469C"/>
    <w:rsid w:val="2BA936A8"/>
    <w:rsid w:val="2BBB19A9"/>
    <w:rsid w:val="2BFC1EA3"/>
    <w:rsid w:val="2C315A5A"/>
    <w:rsid w:val="2C387018"/>
    <w:rsid w:val="2C4B1C25"/>
    <w:rsid w:val="2C8F682C"/>
    <w:rsid w:val="2D032B3D"/>
    <w:rsid w:val="2D53182B"/>
    <w:rsid w:val="2D8D2501"/>
    <w:rsid w:val="2D9E56F5"/>
    <w:rsid w:val="2DA57465"/>
    <w:rsid w:val="2DDC62B2"/>
    <w:rsid w:val="2E324622"/>
    <w:rsid w:val="2E3F3416"/>
    <w:rsid w:val="2E667F96"/>
    <w:rsid w:val="2E8226AB"/>
    <w:rsid w:val="2F056A3A"/>
    <w:rsid w:val="2F9641D1"/>
    <w:rsid w:val="2FC8192C"/>
    <w:rsid w:val="2FD065E6"/>
    <w:rsid w:val="2FD96870"/>
    <w:rsid w:val="301F78B0"/>
    <w:rsid w:val="302D35C6"/>
    <w:rsid w:val="30580BC9"/>
    <w:rsid w:val="30705B08"/>
    <w:rsid w:val="30E143B8"/>
    <w:rsid w:val="310457D5"/>
    <w:rsid w:val="311E2ED7"/>
    <w:rsid w:val="31201EEC"/>
    <w:rsid w:val="315619EE"/>
    <w:rsid w:val="315C449C"/>
    <w:rsid w:val="3181735A"/>
    <w:rsid w:val="31AD68E8"/>
    <w:rsid w:val="31B82709"/>
    <w:rsid w:val="31CB5041"/>
    <w:rsid w:val="31D05482"/>
    <w:rsid w:val="32361638"/>
    <w:rsid w:val="32400B34"/>
    <w:rsid w:val="329E6876"/>
    <w:rsid w:val="33125377"/>
    <w:rsid w:val="333015F2"/>
    <w:rsid w:val="334B6320"/>
    <w:rsid w:val="33CE23EF"/>
    <w:rsid w:val="33D934D4"/>
    <w:rsid w:val="33FE2F6A"/>
    <w:rsid w:val="340E07E5"/>
    <w:rsid w:val="34235BF7"/>
    <w:rsid w:val="345E72E6"/>
    <w:rsid w:val="348C360C"/>
    <w:rsid w:val="3536205C"/>
    <w:rsid w:val="357559CA"/>
    <w:rsid w:val="358C5FA8"/>
    <w:rsid w:val="35C15DF1"/>
    <w:rsid w:val="35D16991"/>
    <w:rsid w:val="35DD5F6B"/>
    <w:rsid w:val="35E054DE"/>
    <w:rsid w:val="36074A7F"/>
    <w:rsid w:val="361263D8"/>
    <w:rsid w:val="366C4FC4"/>
    <w:rsid w:val="36806A0F"/>
    <w:rsid w:val="3684275B"/>
    <w:rsid w:val="36923549"/>
    <w:rsid w:val="36B75FBF"/>
    <w:rsid w:val="36BD0C45"/>
    <w:rsid w:val="36C06A28"/>
    <w:rsid w:val="37167D01"/>
    <w:rsid w:val="375D6348"/>
    <w:rsid w:val="377F27E7"/>
    <w:rsid w:val="378E6661"/>
    <w:rsid w:val="37E00298"/>
    <w:rsid w:val="380D38A8"/>
    <w:rsid w:val="380F5C07"/>
    <w:rsid w:val="3876394B"/>
    <w:rsid w:val="389E3106"/>
    <w:rsid w:val="38AA6A5A"/>
    <w:rsid w:val="38B302F9"/>
    <w:rsid w:val="38DA5A8B"/>
    <w:rsid w:val="38E6185B"/>
    <w:rsid w:val="38F12CD3"/>
    <w:rsid w:val="38F94775"/>
    <w:rsid w:val="38FB4173"/>
    <w:rsid w:val="392971ED"/>
    <w:rsid w:val="39325651"/>
    <w:rsid w:val="39702583"/>
    <w:rsid w:val="397B6784"/>
    <w:rsid w:val="39A2300B"/>
    <w:rsid w:val="3A1A1A39"/>
    <w:rsid w:val="3A2A01D5"/>
    <w:rsid w:val="3A3535C6"/>
    <w:rsid w:val="3A37009F"/>
    <w:rsid w:val="3A872856"/>
    <w:rsid w:val="3AA501F8"/>
    <w:rsid w:val="3AEB5E8D"/>
    <w:rsid w:val="3B3763D1"/>
    <w:rsid w:val="3B893098"/>
    <w:rsid w:val="3C2F6E1E"/>
    <w:rsid w:val="3C4F64BA"/>
    <w:rsid w:val="3C7D53B3"/>
    <w:rsid w:val="3C887535"/>
    <w:rsid w:val="3CDA245A"/>
    <w:rsid w:val="3D1E06B7"/>
    <w:rsid w:val="3D5B165E"/>
    <w:rsid w:val="3D6D1B0F"/>
    <w:rsid w:val="3D6D517E"/>
    <w:rsid w:val="3DAE1A1E"/>
    <w:rsid w:val="3E0C0F8E"/>
    <w:rsid w:val="3E1A760A"/>
    <w:rsid w:val="3E6F4E7C"/>
    <w:rsid w:val="3EC17A90"/>
    <w:rsid w:val="3EDA0523"/>
    <w:rsid w:val="3F050AE5"/>
    <w:rsid w:val="3F061049"/>
    <w:rsid w:val="3F401EA4"/>
    <w:rsid w:val="3FE0016D"/>
    <w:rsid w:val="4040012B"/>
    <w:rsid w:val="407A6407"/>
    <w:rsid w:val="40C263D5"/>
    <w:rsid w:val="412C0E12"/>
    <w:rsid w:val="4180170D"/>
    <w:rsid w:val="418038DA"/>
    <w:rsid w:val="41B76145"/>
    <w:rsid w:val="41C9710F"/>
    <w:rsid w:val="4200449D"/>
    <w:rsid w:val="423A3BCC"/>
    <w:rsid w:val="424E57D2"/>
    <w:rsid w:val="4269209F"/>
    <w:rsid w:val="42821380"/>
    <w:rsid w:val="42B26C49"/>
    <w:rsid w:val="42C61D70"/>
    <w:rsid w:val="42E17068"/>
    <w:rsid w:val="43177A77"/>
    <w:rsid w:val="433A6FE6"/>
    <w:rsid w:val="43480868"/>
    <w:rsid w:val="4350713C"/>
    <w:rsid w:val="43565ACF"/>
    <w:rsid w:val="436653E0"/>
    <w:rsid w:val="43C4431A"/>
    <w:rsid w:val="43E273A4"/>
    <w:rsid w:val="444519D1"/>
    <w:rsid w:val="44B951CC"/>
    <w:rsid w:val="44CB04D8"/>
    <w:rsid w:val="44CD14E0"/>
    <w:rsid w:val="44D72F3C"/>
    <w:rsid w:val="44F20B0B"/>
    <w:rsid w:val="44FE059B"/>
    <w:rsid w:val="45126D36"/>
    <w:rsid w:val="452E5F4C"/>
    <w:rsid w:val="45554E88"/>
    <w:rsid w:val="45612018"/>
    <w:rsid w:val="458946E9"/>
    <w:rsid w:val="45A47C0E"/>
    <w:rsid w:val="45AC0AFE"/>
    <w:rsid w:val="45D93CF8"/>
    <w:rsid w:val="45DB0C3A"/>
    <w:rsid w:val="45FB21DA"/>
    <w:rsid w:val="46046E04"/>
    <w:rsid w:val="46273885"/>
    <w:rsid w:val="46284C22"/>
    <w:rsid w:val="462A1911"/>
    <w:rsid w:val="46577FD6"/>
    <w:rsid w:val="46D955A7"/>
    <w:rsid w:val="46DF4B55"/>
    <w:rsid w:val="47111CA2"/>
    <w:rsid w:val="47133957"/>
    <w:rsid w:val="474964B2"/>
    <w:rsid w:val="47531434"/>
    <w:rsid w:val="475F50A3"/>
    <w:rsid w:val="47A07E0C"/>
    <w:rsid w:val="481068CC"/>
    <w:rsid w:val="486A0234"/>
    <w:rsid w:val="4870272E"/>
    <w:rsid w:val="49B21F8F"/>
    <w:rsid w:val="49DC7715"/>
    <w:rsid w:val="49F844BA"/>
    <w:rsid w:val="49FF0806"/>
    <w:rsid w:val="4A023139"/>
    <w:rsid w:val="4A534D13"/>
    <w:rsid w:val="4A7B576F"/>
    <w:rsid w:val="4A7E6D77"/>
    <w:rsid w:val="4AD84873"/>
    <w:rsid w:val="4ADE409F"/>
    <w:rsid w:val="4AF561A9"/>
    <w:rsid w:val="4AFF426C"/>
    <w:rsid w:val="4B630848"/>
    <w:rsid w:val="4C4A0649"/>
    <w:rsid w:val="4C7E5ECA"/>
    <w:rsid w:val="4C876AA5"/>
    <w:rsid w:val="4CA23096"/>
    <w:rsid w:val="4CB43046"/>
    <w:rsid w:val="4CD456AB"/>
    <w:rsid w:val="4D0E00FB"/>
    <w:rsid w:val="4D176606"/>
    <w:rsid w:val="4D526D24"/>
    <w:rsid w:val="4D6550AE"/>
    <w:rsid w:val="4D7C5F41"/>
    <w:rsid w:val="4D8E7176"/>
    <w:rsid w:val="4DEC4FB0"/>
    <w:rsid w:val="4DF8684D"/>
    <w:rsid w:val="4E075D8A"/>
    <w:rsid w:val="4E2B6485"/>
    <w:rsid w:val="4E3F0497"/>
    <w:rsid w:val="4E9616F8"/>
    <w:rsid w:val="4EC00FAD"/>
    <w:rsid w:val="4F0F416B"/>
    <w:rsid w:val="4F4B29DB"/>
    <w:rsid w:val="4F965C1C"/>
    <w:rsid w:val="4F9843DC"/>
    <w:rsid w:val="4FBA5C6D"/>
    <w:rsid w:val="4FC625DF"/>
    <w:rsid w:val="4FC62A8C"/>
    <w:rsid w:val="4FE20F0D"/>
    <w:rsid w:val="4FE51552"/>
    <w:rsid w:val="50314CB2"/>
    <w:rsid w:val="50504C4B"/>
    <w:rsid w:val="505C17AE"/>
    <w:rsid w:val="50850D04"/>
    <w:rsid w:val="509C6E7C"/>
    <w:rsid w:val="50F70BAF"/>
    <w:rsid w:val="510023D9"/>
    <w:rsid w:val="515B607E"/>
    <w:rsid w:val="5162104E"/>
    <w:rsid w:val="519D5B6B"/>
    <w:rsid w:val="51A263D9"/>
    <w:rsid w:val="52137636"/>
    <w:rsid w:val="5222239F"/>
    <w:rsid w:val="524013FF"/>
    <w:rsid w:val="52832880"/>
    <w:rsid w:val="52855B2A"/>
    <w:rsid w:val="52A80CDA"/>
    <w:rsid w:val="52DA0F76"/>
    <w:rsid w:val="52FB52AE"/>
    <w:rsid w:val="53A039CC"/>
    <w:rsid w:val="53A1505A"/>
    <w:rsid w:val="53EB32F5"/>
    <w:rsid w:val="54063E08"/>
    <w:rsid w:val="54224BC3"/>
    <w:rsid w:val="543437E8"/>
    <w:rsid w:val="54727656"/>
    <w:rsid w:val="54F73313"/>
    <w:rsid w:val="54F80955"/>
    <w:rsid w:val="554D5787"/>
    <w:rsid w:val="555170A7"/>
    <w:rsid w:val="5587536D"/>
    <w:rsid w:val="559B174B"/>
    <w:rsid w:val="55CE0CF4"/>
    <w:rsid w:val="560605B1"/>
    <w:rsid w:val="56B22A9C"/>
    <w:rsid w:val="56C23EA2"/>
    <w:rsid w:val="56D64AE5"/>
    <w:rsid w:val="56F71315"/>
    <w:rsid w:val="576740F0"/>
    <w:rsid w:val="57830F4B"/>
    <w:rsid w:val="57B72A76"/>
    <w:rsid w:val="57C3426C"/>
    <w:rsid w:val="57CE1F93"/>
    <w:rsid w:val="584170F0"/>
    <w:rsid w:val="58592953"/>
    <w:rsid w:val="588743D1"/>
    <w:rsid w:val="5887701A"/>
    <w:rsid w:val="58C85640"/>
    <w:rsid w:val="594116D6"/>
    <w:rsid w:val="594931EC"/>
    <w:rsid w:val="59534B31"/>
    <w:rsid w:val="597B1964"/>
    <w:rsid w:val="598F37F6"/>
    <w:rsid w:val="59C0439F"/>
    <w:rsid w:val="59CA3C69"/>
    <w:rsid w:val="5A024CFC"/>
    <w:rsid w:val="5A034294"/>
    <w:rsid w:val="5A395F4F"/>
    <w:rsid w:val="5A3B1A63"/>
    <w:rsid w:val="5A7857FC"/>
    <w:rsid w:val="5A8329E5"/>
    <w:rsid w:val="5AB13144"/>
    <w:rsid w:val="5ABE2233"/>
    <w:rsid w:val="5AF71F27"/>
    <w:rsid w:val="5B472A56"/>
    <w:rsid w:val="5B5F107C"/>
    <w:rsid w:val="5BDF5D95"/>
    <w:rsid w:val="5BDF7159"/>
    <w:rsid w:val="5BFE7528"/>
    <w:rsid w:val="5C086DB3"/>
    <w:rsid w:val="5C204263"/>
    <w:rsid w:val="5C345E97"/>
    <w:rsid w:val="5C76535B"/>
    <w:rsid w:val="5C882FDD"/>
    <w:rsid w:val="5D387A0E"/>
    <w:rsid w:val="5D553428"/>
    <w:rsid w:val="5D740137"/>
    <w:rsid w:val="5D841173"/>
    <w:rsid w:val="5D9D0184"/>
    <w:rsid w:val="5DA0061A"/>
    <w:rsid w:val="5DC83159"/>
    <w:rsid w:val="5DDA7FE9"/>
    <w:rsid w:val="5E2467F1"/>
    <w:rsid w:val="5E920326"/>
    <w:rsid w:val="5F1A2B43"/>
    <w:rsid w:val="5F7A5C29"/>
    <w:rsid w:val="5FB837BB"/>
    <w:rsid w:val="5FE72845"/>
    <w:rsid w:val="60585BE7"/>
    <w:rsid w:val="60CB0947"/>
    <w:rsid w:val="60CC405A"/>
    <w:rsid w:val="60FA56D6"/>
    <w:rsid w:val="61E215D8"/>
    <w:rsid w:val="621B0115"/>
    <w:rsid w:val="621B3775"/>
    <w:rsid w:val="6223559A"/>
    <w:rsid w:val="62364782"/>
    <w:rsid w:val="62D957F0"/>
    <w:rsid w:val="633E14AF"/>
    <w:rsid w:val="63570BEB"/>
    <w:rsid w:val="636A3D1F"/>
    <w:rsid w:val="6394356A"/>
    <w:rsid w:val="63C61B2C"/>
    <w:rsid w:val="63D40BE9"/>
    <w:rsid w:val="64102431"/>
    <w:rsid w:val="641C5DC4"/>
    <w:rsid w:val="642A16BD"/>
    <w:rsid w:val="64A5243A"/>
    <w:rsid w:val="64DD5FAD"/>
    <w:rsid w:val="64F531DE"/>
    <w:rsid w:val="65097568"/>
    <w:rsid w:val="652A557F"/>
    <w:rsid w:val="65373578"/>
    <w:rsid w:val="65AA60E3"/>
    <w:rsid w:val="65DC5DBF"/>
    <w:rsid w:val="65E80138"/>
    <w:rsid w:val="66847D54"/>
    <w:rsid w:val="66E91131"/>
    <w:rsid w:val="66F26F40"/>
    <w:rsid w:val="670D0030"/>
    <w:rsid w:val="671F124A"/>
    <w:rsid w:val="674B173C"/>
    <w:rsid w:val="674C7A2E"/>
    <w:rsid w:val="677A33C6"/>
    <w:rsid w:val="677B4147"/>
    <w:rsid w:val="67893CE4"/>
    <w:rsid w:val="681F6961"/>
    <w:rsid w:val="68610A2F"/>
    <w:rsid w:val="68805514"/>
    <w:rsid w:val="68B60332"/>
    <w:rsid w:val="68CB59C3"/>
    <w:rsid w:val="69316E2F"/>
    <w:rsid w:val="69395BE7"/>
    <w:rsid w:val="69405BDC"/>
    <w:rsid w:val="694E2071"/>
    <w:rsid w:val="69671050"/>
    <w:rsid w:val="69671919"/>
    <w:rsid w:val="69766163"/>
    <w:rsid w:val="697A3B33"/>
    <w:rsid w:val="6984426C"/>
    <w:rsid w:val="69C42446"/>
    <w:rsid w:val="69D00914"/>
    <w:rsid w:val="69D44760"/>
    <w:rsid w:val="6A0E098F"/>
    <w:rsid w:val="6A20497F"/>
    <w:rsid w:val="6A47390D"/>
    <w:rsid w:val="6A520EC7"/>
    <w:rsid w:val="6AF87E20"/>
    <w:rsid w:val="6B322639"/>
    <w:rsid w:val="6B665F63"/>
    <w:rsid w:val="6B926264"/>
    <w:rsid w:val="6BB9345C"/>
    <w:rsid w:val="6C4D3C0A"/>
    <w:rsid w:val="6C636C38"/>
    <w:rsid w:val="6D6936B8"/>
    <w:rsid w:val="6DB34098"/>
    <w:rsid w:val="6DB545B6"/>
    <w:rsid w:val="6DE02FB4"/>
    <w:rsid w:val="6DE05CD4"/>
    <w:rsid w:val="6E29484E"/>
    <w:rsid w:val="6E3C75EA"/>
    <w:rsid w:val="6E514CED"/>
    <w:rsid w:val="6E567C5D"/>
    <w:rsid w:val="6E731D44"/>
    <w:rsid w:val="6E882CA2"/>
    <w:rsid w:val="6EB563D5"/>
    <w:rsid w:val="6EB67AC3"/>
    <w:rsid w:val="6ED92677"/>
    <w:rsid w:val="6EE91D80"/>
    <w:rsid w:val="6F0D14F9"/>
    <w:rsid w:val="6F225983"/>
    <w:rsid w:val="6F533540"/>
    <w:rsid w:val="6FA26A7A"/>
    <w:rsid w:val="6FFC5590"/>
    <w:rsid w:val="700A66D9"/>
    <w:rsid w:val="7048465C"/>
    <w:rsid w:val="706C0880"/>
    <w:rsid w:val="706D1DD0"/>
    <w:rsid w:val="70856B87"/>
    <w:rsid w:val="709D41B1"/>
    <w:rsid w:val="70BD7386"/>
    <w:rsid w:val="70BF3CAD"/>
    <w:rsid w:val="70D527EE"/>
    <w:rsid w:val="71324E5D"/>
    <w:rsid w:val="713629FE"/>
    <w:rsid w:val="715B5300"/>
    <w:rsid w:val="716E4B73"/>
    <w:rsid w:val="71815FE5"/>
    <w:rsid w:val="71D27F8A"/>
    <w:rsid w:val="72117F6C"/>
    <w:rsid w:val="721B6115"/>
    <w:rsid w:val="72553024"/>
    <w:rsid w:val="726E0966"/>
    <w:rsid w:val="73122968"/>
    <w:rsid w:val="731F5D5E"/>
    <w:rsid w:val="73296889"/>
    <w:rsid w:val="734253C0"/>
    <w:rsid w:val="73593D50"/>
    <w:rsid w:val="738A01AC"/>
    <w:rsid w:val="738C6FB0"/>
    <w:rsid w:val="73B91DFE"/>
    <w:rsid w:val="73C51AD5"/>
    <w:rsid w:val="73CB0915"/>
    <w:rsid w:val="73E01C2A"/>
    <w:rsid w:val="741E793C"/>
    <w:rsid w:val="744F2717"/>
    <w:rsid w:val="745E3944"/>
    <w:rsid w:val="746577E3"/>
    <w:rsid w:val="74935ADC"/>
    <w:rsid w:val="74945BE7"/>
    <w:rsid w:val="74C10184"/>
    <w:rsid w:val="751736F3"/>
    <w:rsid w:val="752E2445"/>
    <w:rsid w:val="758B206A"/>
    <w:rsid w:val="7635099D"/>
    <w:rsid w:val="766D1B33"/>
    <w:rsid w:val="768B6F5C"/>
    <w:rsid w:val="768F37EB"/>
    <w:rsid w:val="76DC17F9"/>
    <w:rsid w:val="76E613A0"/>
    <w:rsid w:val="772B7EA7"/>
    <w:rsid w:val="773A7B6A"/>
    <w:rsid w:val="774C66E6"/>
    <w:rsid w:val="77762421"/>
    <w:rsid w:val="77B238DE"/>
    <w:rsid w:val="77B56B1F"/>
    <w:rsid w:val="780F09F4"/>
    <w:rsid w:val="783D6BD1"/>
    <w:rsid w:val="78812E44"/>
    <w:rsid w:val="78A90480"/>
    <w:rsid w:val="78AA2807"/>
    <w:rsid w:val="79F51B80"/>
    <w:rsid w:val="7A364017"/>
    <w:rsid w:val="7A367DBA"/>
    <w:rsid w:val="7A8265E1"/>
    <w:rsid w:val="7B277D3B"/>
    <w:rsid w:val="7B686D42"/>
    <w:rsid w:val="7B732C18"/>
    <w:rsid w:val="7B73428F"/>
    <w:rsid w:val="7B841746"/>
    <w:rsid w:val="7B8B7F0A"/>
    <w:rsid w:val="7BC57958"/>
    <w:rsid w:val="7C6C5AC7"/>
    <w:rsid w:val="7C8A307B"/>
    <w:rsid w:val="7CC6544B"/>
    <w:rsid w:val="7CDE0692"/>
    <w:rsid w:val="7D0239FF"/>
    <w:rsid w:val="7D155DAC"/>
    <w:rsid w:val="7D5E40CD"/>
    <w:rsid w:val="7D721399"/>
    <w:rsid w:val="7D856F6D"/>
    <w:rsid w:val="7DA13A7C"/>
    <w:rsid w:val="7DA221B8"/>
    <w:rsid w:val="7DC40610"/>
    <w:rsid w:val="7DCD56F2"/>
    <w:rsid w:val="7E4B27FC"/>
    <w:rsid w:val="7E7266F3"/>
    <w:rsid w:val="7E7B4351"/>
    <w:rsid w:val="7F001CE7"/>
    <w:rsid w:val="7F805AE9"/>
    <w:rsid w:val="7FBA65C6"/>
    <w:rsid w:val="7FE47E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ocked="1"/>
    <w:lsdException w:unhideWhenUsed="0" w:uiPriority="0" w:semiHidden="0" w:name="footnote text" w:locked="1"/>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qFormat="1"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99"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99"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qFormat="1" w:unhideWhenUsed="0" w:uiPriority="0" w:semiHidden="0" w:name="Body Text 3" w:locked="1"/>
    <w:lsdException w:qFormat="1" w:unhideWhenUsed="0" w:uiPriority="0" w:semiHidden="0" w:name="Body Text Indent 2" w:locked="1"/>
    <w:lsdException w:unhideWhenUsed="0" w:uiPriority="0" w:semiHidden="0" w:name="Body Text Indent 3" w:locked="1"/>
    <w:lsdException w:qFormat="1" w:unhideWhenUsed="0" w:uiPriority="0" w:semiHidden="0" w:name="Block Text" w:locked="1"/>
    <w:lsdException w:qFormat="1" w:unhideWhenUsed="0" w:uiPriority="99" w:semiHidden="0" w:name="Hyperlink" w:locked="1"/>
    <w:lsdException w:qFormat="1" w:uiPriority="99" w:semiHidden="0" w:name="FollowedHyperlink" w:locked="1"/>
    <w:lsdException w:qFormat="1" w:unhideWhenUsed="0" w:uiPriority="22" w:semiHidden="0" w:name="Strong" w:locked="1"/>
    <w:lsdException w:qFormat="1" w:unhideWhenUsed="0" w:uiPriority="0" w:semiHidden="0" w:name="Emphasis" w:locked="1"/>
    <w:lsdException w:unhideWhenUsed="0" w:uiPriority="0" w:semiHidden="0" w:name="Document Map" w:locked="1"/>
    <w:lsdException w:qFormat="1" w:unhideWhenUsed="0" w:uiPriority="99" w:semiHidden="0" w:name="Plain Text" w:locked="1"/>
    <w:lsdException w:unhideWhenUsed="0" w:uiPriority="0" w:semiHidden="0" w:name="E-mail Signature" w:locked="1"/>
    <w:lsdException w:qFormat="1" w:unhideWhenUsed="0" w:uiPriority="99"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99"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76"/>
    <w:qFormat/>
    <w:locked/>
    <w:uiPriority w:val="99"/>
    <w:pPr>
      <w:keepNext/>
      <w:numPr>
        <w:ilvl w:val="0"/>
        <w:numId w:val="1"/>
      </w:numPr>
      <w:overflowPunct w:val="0"/>
      <w:spacing w:before="120" w:after="160" w:line="259" w:lineRule="auto"/>
      <w:jc w:val="center"/>
      <w:outlineLvl w:val="0"/>
    </w:pPr>
    <w:rPr>
      <w:rFonts w:eastAsia="黑体"/>
      <w:b/>
      <w:bCs/>
      <w:color w:val="000000"/>
      <w:kern w:val="44"/>
      <w:sz w:val="30"/>
      <w:szCs w:val="30"/>
    </w:rPr>
  </w:style>
  <w:style w:type="paragraph" w:styleId="3">
    <w:name w:val="heading 2"/>
    <w:basedOn w:val="1"/>
    <w:next w:val="1"/>
    <w:link w:val="39"/>
    <w:qFormat/>
    <w:locked/>
    <w:uiPriority w:val="99"/>
    <w:pPr>
      <w:keepNext/>
      <w:keepLines/>
      <w:numPr>
        <w:ilvl w:val="1"/>
        <w:numId w:val="1"/>
      </w:numPr>
      <w:ind w:left="0" w:firstLine="0"/>
      <w:jc w:val="left"/>
      <w:outlineLvl w:val="1"/>
    </w:pPr>
    <w:rPr>
      <w:rFonts w:ascii="Cambria" w:hAnsi="Cambria"/>
      <w:b/>
      <w:bCs/>
      <w:szCs w:val="32"/>
    </w:rPr>
  </w:style>
  <w:style w:type="paragraph" w:styleId="4">
    <w:name w:val="heading 3"/>
    <w:basedOn w:val="1"/>
    <w:next w:val="1"/>
    <w:link w:val="40"/>
    <w:qFormat/>
    <w:locked/>
    <w:uiPriority w:val="0"/>
    <w:pPr>
      <w:keepNext/>
      <w:keepLines/>
      <w:numPr>
        <w:ilvl w:val="2"/>
        <w:numId w:val="1"/>
      </w:numPr>
      <w:outlineLvl w:val="2"/>
    </w:pPr>
    <w:rPr>
      <w:b/>
      <w:bCs/>
      <w:szCs w:val="32"/>
    </w:rPr>
  </w:style>
  <w:style w:type="paragraph" w:styleId="5">
    <w:name w:val="heading 4"/>
    <w:basedOn w:val="1"/>
    <w:next w:val="1"/>
    <w:link w:val="41"/>
    <w:qFormat/>
    <w:locked/>
    <w:uiPriority w:val="0"/>
    <w:pPr>
      <w:keepNext/>
      <w:keepLines/>
      <w:spacing w:before="280" w:after="290" w:line="376" w:lineRule="auto"/>
      <w:outlineLvl w:val="3"/>
    </w:pPr>
    <w:rPr>
      <w:rFonts w:ascii="Arial" w:hAnsi="Arial" w:eastAsia="黑体"/>
      <w:b/>
      <w:bCs/>
      <w:sz w:val="28"/>
      <w:szCs w:val="28"/>
      <w:lang w:val="zh-CN"/>
    </w:rPr>
  </w:style>
  <w:style w:type="character" w:default="1" w:styleId="32">
    <w:name w:val="Default Paragraph Font"/>
    <w:semiHidden/>
    <w:unhideWhenUsed/>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List 3"/>
    <w:basedOn w:val="1"/>
    <w:next w:val="1"/>
    <w:link w:val="42"/>
    <w:qFormat/>
    <w:locked/>
    <w:uiPriority w:val="99"/>
    <w:pPr>
      <w:ind w:left="100" w:leftChars="400" w:hanging="200" w:hangingChars="200"/>
      <w:contextualSpacing/>
    </w:pPr>
    <w:rPr>
      <w:rFonts w:ascii="Arial" w:hAnsi="Arial"/>
      <w:sz w:val="24"/>
      <w:lang w:val="zh-CN"/>
    </w:rPr>
  </w:style>
  <w:style w:type="paragraph" w:styleId="7">
    <w:name w:val="Normal Indent"/>
    <w:basedOn w:val="1"/>
    <w:next w:val="8"/>
    <w:link w:val="43"/>
    <w:qFormat/>
    <w:locked/>
    <w:uiPriority w:val="99"/>
    <w:pPr>
      <w:spacing w:beforeLines="10"/>
      <w:ind w:firstLine="480" w:firstLineChars="200"/>
    </w:pPr>
    <w:rPr>
      <w:rFonts w:ascii="Arial" w:hAnsi="Arial"/>
      <w:snapToGrid w:val="0"/>
      <w:kern w:val="0"/>
      <w:sz w:val="24"/>
      <w:szCs w:val="32"/>
    </w:rPr>
  </w:style>
  <w:style w:type="paragraph" w:styleId="8">
    <w:name w:val="Body Text First Indent 2"/>
    <w:basedOn w:val="5"/>
    <w:link w:val="44"/>
    <w:qFormat/>
    <w:locked/>
    <w:uiPriority w:val="0"/>
    <w:pPr>
      <w:spacing w:line="520" w:lineRule="exact"/>
      <w:ind w:firstLine="420" w:firstLineChars="200"/>
    </w:pPr>
    <w:rPr>
      <w:szCs w:val="24"/>
    </w:rPr>
  </w:style>
  <w:style w:type="paragraph" w:styleId="9">
    <w:name w:val="caption"/>
    <w:basedOn w:val="1"/>
    <w:next w:val="1"/>
    <w:unhideWhenUsed/>
    <w:qFormat/>
    <w:locked/>
    <w:uiPriority w:val="0"/>
    <w:pPr>
      <w:spacing w:before="50" w:beforeLines="50"/>
      <w:jc w:val="center"/>
    </w:pPr>
    <w:rPr>
      <w:b/>
      <w:szCs w:val="20"/>
    </w:rPr>
  </w:style>
  <w:style w:type="paragraph" w:styleId="10">
    <w:name w:val="toa heading"/>
    <w:basedOn w:val="1"/>
    <w:next w:val="1"/>
    <w:qFormat/>
    <w:locked/>
    <w:uiPriority w:val="0"/>
    <w:pPr>
      <w:spacing w:before="120"/>
    </w:pPr>
    <w:rPr>
      <w:rFonts w:ascii="Arial" w:hAnsi="Arial" w:cs="Arial"/>
      <w:sz w:val="24"/>
    </w:rPr>
  </w:style>
  <w:style w:type="paragraph" w:styleId="11">
    <w:name w:val="annotation text"/>
    <w:basedOn w:val="1"/>
    <w:link w:val="45"/>
    <w:qFormat/>
    <w:uiPriority w:val="99"/>
    <w:pPr>
      <w:jc w:val="left"/>
    </w:pPr>
    <w:rPr>
      <w:kern w:val="0"/>
      <w:sz w:val="24"/>
      <w:szCs w:val="20"/>
    </w:rPr>
  </w:style>
  <w:style w:type="paragraph" w:styleId="12">
    <w:name w:val="Body Text 3"/>
    <w:basedOn w:val="1"/>
    <w:link w:val="46"/>
    <w:qFormat/>
    <w:locked/>
    <w:uiPriority w:val="0"/>
    <w:pPr>
      <w:spacing w:after="120"/>
    </w:pPr>
    <w:rPr>
      <w:sz w:val="16"/>
      <w:szCs w:val="16"/>
    </w:rPr>
  </w:style>
  <w:style w:type="paragraph" w:styleId="13">
    <w:name w:val="Body Text"/>
    <w:basedOn w:val="1"/>
    <w:next w:val="14"/>
    <w:link w:val="47"/>
    <w:qFormat/>
    <w:uiPriority w:val="99"/>
    <w:pPr>
      <w:widowControl/>
      <w:spacing w:before="60" w:after="160" w:line="259" w:lineRule="auto"/>
      <w:ind w:right="113"/>
    </w:pPr>
    <w:rPr>
      <w:kern w:val="0"/>
      <w:sz w:val="18"/>
      <w:szCs w:val="20"/>
    </w:rPr>
  </w:style>
  <w:style w:type="paragraph" w:styleId="14">
    <w:name w:val="Body Text First Indent"/>
    <w:basedOn w:val="13"/>
    <w:link w:val="177"/>
    <w:qFormat/>
    <w:locked/>
    <w:uiPriority w:val="0"/>
    <w:pPr>
      <w:ind w:firstLine="420" w:firstLineChars="100"/>
    </w:pPr>
    <w:rPr>
      <w:sz w:val="21"/>
    </w:rPr>
  </w:style>
  <w:style w:type="paragraph" w:styleId="15">
    <w:name w:val="Body Text Indent"/>
    <w:basedOn w:val="1"/>
    <w:link w:val="48"/>
    <w:qFormat/>
    <w:uiPriority w:val="0"/>
    <w:pPr>
      <w:spacing w:after="120"/>
      <w:ind w:left="420" w:leftChars="200"/>
    </w:pPr>
    <w:rPr>
      <w:kern w:val="0"/>
      <w:sz w:val="24"/>
      <w:szCs w:val="20"/>
    </w:rPr>
  </w:style>
  <w:style w:type="paragraph" w:styleId="16">
    <w:name w:val="Block Text"/>
    <w:basedOn w:val="1"/>
    <w:qFormat/>
    <w:locked/>
    <w:uiPriority w:val="0"/>
    <w:pPr>
      <w:ind w:left="46" w:leftChars="22" w:right="29" w:rightChars="14" w:firstLine="210" w:firstLineChars="100"/>
    </w:pPr>
    <w:rPr>
      <w:rFonts w:ascii="宋体" w:hAnsi="宋体"/>
      <w:color w:val="FF0000"/>
    </w:rPr>
  </w:style>
  <w:style w:type="paragraph" w:styleId="17">
    <w:name w:val="toc 3"/>
    <w:basedOn w:val="1"/>
    <w:next w:val="1"/>
    <w:autoRedefine/>
    <w:qFormat/>
    <w:locked/>
    <w:uiPriority w:val="39"/>
    <w:pPr>
      <w:ind w:left="840" w:leftChars="400"/>
    </w:pPr>
  </w:style>
  <w:style w:type="paragraph" w:styleId="18">
    <w:name w:val="Plain Text"/>
    <w:basedOn w:val="1"/>
    <w:next w:val="19"/>
    <w:link w:val="49"/>
    <w:qFormat/>
    <w:locked/>
    <w:uiPriority w:val="99"/>
    <w:pPr>
      <w:spacing w:line="520" w:lineRule="exact"/>
      <w:ind w:firstLine="200" w:firstLineChars="200"/>
    </w:pPr>
    <w:rPr>
      <w:rFonts w:ascii="宋体" w:hAnsi="Courier New" w:cs="Courier New"/>
      <w:szCs w:val="21"/>
    </w:rPr>
  </w:style>
  <w:style w:type="paragraph" w:styleId="19">
    <w:name w:val="toc 1"/>
    <w:basedOn w:val="1"/>
    <w:next w:val="1"/>
    <w:qFormat/>
    <w:locked/>
    <w:uiPriority w:val="39"/>
  </w:style>
  <w:style w:type="paragraph" w:styleId="20">
    <w:name w:val="Date"/>
    <w:basedOn w:val="1"/>
    <w:next w:val="1"/>
    <w:link w:val="50"/>
    <w:qFormat/>
    <w:uiPriority w:val="0"/>
    <w:pPr>
      <w:ind w:left="100" w:leftChars="2500"/>
    </w:pPr>
    <w:rPr>
      <w:kern w:val="0"/>
      <w:sz w:val="24"/>
      <w:szCs w:val="20"/>
    </w:rPr>
  </w:style>
  <w:style w:type="paragraph" w:styleId="21">
    <w:name w:val="Body Text Indent 2"/>
    <w:basedOn w:val="1"/>
    <w:next w:val="13"/>
    <w:link w:val="178"/>
    <w:qFormat/>
    <w:locked/>
    <w:uiPriority w:val="0"/>
    <w:pPr>
      <w:spacing w:before="60" w:line="460" w:lineRule="exact"/>
      <w:ind w:firstLine="540"/>
      <w:jc w:val="left"/>
      <w:textAlignment w:val="baseline"/>
    </w:pPr>
    <w:rPr>
      <w:kern w:val="0"/>
      <w:sz w:val="24"/>
      <w:szCs w:val="20"/>
    </w:rPr>
  </w:style>
  <w:style w:type="paragraph" w:styleId="22">
    <w:name w:val="Balloon Text"/>
    <w:basedOn w:val="1"/>
    <w:link w:val="51"/>
    <w:semiHidden/>
    <w:qFormat/>
    <w:uiPriority w:val="0"/>
    <w:rPr>
      <w:kern w:val="0"/>
      <w:sz w:val="18"/>
      <w:szCs w:val="20"/>
    </w:rPr>
  </w:style>
  <w:style w:type="paragraph" w:styleId="23">
    <w:name w:val="footer"/>
    <w:basedOn w:val="1"/>
    <w:link w:val="52"/>
    <w:qFormat/>
    <w:uiPriority w:val="99"/>
    <w:pPr>
      <w:tabs>
        <w:tab w:val="center" w:pos="4153"/>
        <w:tab w:val="right" w:pos="8306"/>
      </w:tabs>
      <w:jc w:val="left"/>
    </w:pPr>
    <w:rPr>
      <w:kern w:val="0"/>
      <w:sz w:val="18"/>
      <w:szCs w:val="20"/>
    </w:rPr>
  </w:style>
  <w:style w:type="paragraph" w:styleId="24">
    <w:name w:val="header"/>
    <w:basedOn w:val="1"/>
    <w:link w:val="53"/>
    <w:qFormat/>
    <w:uiPriority w:val="0"/>
    <w:pPr>
      <w:pBdr>
        <w:bottom w:val="single" w:color="auto" w:sz="6" w:space="1"/>
      </w:pBdr>
      <w:tabs>
        <w:tab w:val="center" w:pos="4153"/>
        <w:tab w:val="right" w:pos="8306"/>
      </w:tabs>
      <w:jc w:val="center"/>
    </w:pPr>
    <w:rPr>
      <w:kern w:val="0"/>
      <w:sz w:val="18"/>
      <w:szCs w:val="20"/>
    </w:rPr>
  </w:style>
  <w:style w:type="paragraph" w:styleId="25">
    <w:name w:val="Subtitle"/>
    <w:basedOn w:val="1"/>
    <w:next w:val="1"/>
    <w:link w:val="202"/>
    <w:qFormat/>
    <w:locked/>
    <w:uiPriority w:val="99"/>
    <w:pPr>
      <w:widowControl/>
      <w:kinsoku w:val="0"/>
      <w:autoSpaceDE w:val="0"/>
      <w:autoSpaceDN w:val="0"/>
      <w:spacing w:before="240" w:after="60" w:line="312" w:lineRule="auto"/>
      <w:ind w:firstLine="854" w:firstLineChars="200"/>
      <w:jc w:val="center"/>
      <w:textAlignment w:val="baseline"/>
      <w:outlineLvl w:val="1"/>
    </w:pPr>
    <w:rPr>
      <w:rFonts w:ascii="Cambria" w:hAnsi="Cambria" w:cs="Arial"/>
      <w:b/>
      <w:bCs/>
      <w:color w:val="000000"/>
      <w:kern w:val="28"/>
      <w:sz w:val="32"/>
      <w:szCs w:val="32"/>
    </w:rPr>
  </w:style>
  <w:style w:type="paragraph" w:styleId="26">
    <w:name w:val="toc 2"/>
    <w:basedOn w:val="1"/>
    <w:next w:val="1"/>
    <w:qFormat/>
    <w:locked/>
    <w:uiPriority w:val="39"/>
    <w:pPr>
      <w:ind w:left="420" w:leftChars="200"/>
    </w:pPr>
  </w:style>
  <w:style w:type="paragraph" w:styleId="27">
    <w:name w:val="Normal (Web)"/>
    <w:basedOn w:val="1"/>
    <w:link w:val="54"/>
    <w:qFormat/>
    <w:uiPriority w:val="99"/>
    <w:pPr>
      <w:widowControl/>
      <w:spacing w:before="100" w:beforeAutospacing="1" w:after="100" w:afterAutospacing="1"/>
      <w:jc w:val="left"/>
    </w:pPr>
    <w:rPr>
      <w:rFonts w:ascii="宋体" w:hAnsi="宋体"/>
      <w:kern w:val="0"/>
      <w:sz w:val="24"/>
      <w:szCs w:val="20"/>
    </w:rPr>
  </w:style>
  <w:style w:type="paragraph" w:styleId="28">
    <w:name w:val="Title"/>
    <w:basedOn w:val="1"/>
    <w:link w:val="55"/>
    <w:qFormat/>
    <w:locked/>
    <w:uiPriority w:val="0"/>
    <w:pPr>
      <w:adjustRightInd/>
      <w:snapToGrid/>
      <w:spacing w:before="60" w:after="60" w:line="240" w:lineRule="auto"/>
      <w:ind w:left="210" w:leftChars="100"/>
      <w:outlineLvl w:val="0"/>
    </w:pPr>
    <w:rPr>
      <w:b/>
      <w:bCs/>
      <w:kern w:val="0"/>
      <w:szCs w:val="32"/>
      <w:lang w:val="zh-CN"/>
    </w:rPr>
  </w:style>
  <w:style w:type="paragraph" w:styleId="29">
    <w:name w:val="annotation subject"/>
    <w:basedOn w:val="11"/>
    <w:next w:val="11"/>
    <w:link w:val="56"/>
    <w:semiHidden/>
    <w:qFormat/>
    <w:uiPriority w:val="0"/>
    <w:rPr>
      <w:b/>
    </w:rPr>
  </w:style>
  <w:style w:type="table" w:styleId="31">
    <w:name w:val="Table Grid"/>
    <w:basedOn w:val="30"/>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locked/>
    <w:uiPriority w:val="22"/>
    <w:rPr>
      <w:b/>
      <w:bCs/>
    </w:rPr>
  </w:style>
  <w:style w:type="character" w:styleId="34">
    <w:name w:val="page number"/>
    <w:qFormat/>
    <w:locked/>
    <w:uiPriority w:val="0"/>
  </w:style>
  <w:style w:type="character" w:styleId="35">
    <w:name w:val="FollowedHyperlink"/>
    <w:basedOn w:val="32"/>
    <w:unhideWhenUsed/>
    <w:qFormat/>
    <w:locked/>
    <w:uiPriority w:val="99"/>
    <w:rPr>
      <w:color w:val="800080"/>
      <w:u w:val="single"/>
    </w:rPr>
  </w:style>
  <w:style w:type="character" w:styleId="36">
    <w:name w:val="Emphasis"/>
    <w:qFormat/>
    <w:locked/>
    <w:uiPriority w:val="0"/>
    <w:rPr>
      <w:i/>
    </w:rPr>
  </w:style>
  <w:style w:type="character" w:styleId="37">
    <w:name w:val="Hyperlink"/>
    <w:qFormat/>
    <w:locked/>
    <w:uiPriority w:val="99"/>
    <w:rPr>
      <w:color w:val="0563C1"/>
      <w:u w:val="single"/>
    </w:rPr>
  </w:style>
  <w:style w:type="character" w:styleId="38">
    <w:name w:val="annotation reference"/>
    <w:qFormat/>
    <w:uiPriority w:val="0"/>
    <w:rPr>
      <w:sz w:val="21"/>
    </w:rPr>
  </w:style>
  <w:style w:type="character" w:customStyle="1" w:styleId="39">
    <w:name w:val="标题 2 字符"/>
    <w:link w:val="3"/>
    <w:qFormat/>
    <w:uiPriority w:val="99"/>
    <w:rPr>
      <w:rFonts w:ascii="Cambria" w:hAnsi="Cambria"/>
      <w:b/>
      <w:bCs/>
      <w:kern w:val="2"/>
      <w:sz w:val="21"/>
      <w:szCs w:val="32"/>
    </w:rPr>
  </w:style>
  <w:style w:type="character" w:customStyle="1" w:styleId="40">
    <w:name w:val="标题 3 字符"/>
    <w:link w:val="4"/>
    <w:qFormat/>
    <w:uiPriority w:val="0"/>
    <w:rPr>
      <w:b/>
      <w:bCs/>
      <w:kern w:val="2"/>
      <w:sz w:val="21"/>
      <w:szCs w:val="32"/>
    </w:rPr>
  </w:style>
  <w:style w:type="character" w:customStyle="1" w:styleId="41">
    <w:name w:val="标题 4 字符1"/>
    <w:link w:val="5"/>
    <w:qFormat/>
    <w:uiPriority w:val="0"/>
    <w:rPr>
      <w:rFonts w:ascii="Arial" w:hAnsi="Arial" w:eastAsia="黑体"/>
      <w:b/>
      <w:bCs/>
      <w:kern w:val="2"/>
      <w:sz w:val="28"/>
      <w:szCs w:val="28"/>
      <w:lang w:val="zh-CN"/>
    </w:rPr>
  </w:style>
  <w:style w:type="character" w:customStyle="1" w:styleId="42">
    <w:name w:val="列表 3 字符"/>
    <w:link w:val="6"/>
    <w:qFormat/>
    <w:uiPriority w:val="0"/>
    <w:rPr>
      <w:rFonts w:ascii="Arial" w:hAnsi="Arial"/>
      <w:kern w:val="2"/>
      <w:sz w:val="24"/>
      <w:szCs w:val="24"/>
      <w:lang w:val="zh-CN"/>
    </w:rPr>
  </w:style>
  <w:style w:type="character" w:customStyle="1" w:styleId="43">
    <w:name w:val="正文缩进 字符"/>
    <w:link w:val="7"/>
    <w:qFormat/>
    <w:uiPriority w:val="99"/>
    <w:rPr>
      <w:rFonts w:ascii="Arial" w:hAnsi="Arial"/>
      <w:snapToGrid/>
      <w:sz w:val="24"/>
      <w:szCs w:val="32"/>
    </w:rPr>
  </w:style>
  <w:style w:type="character" w:customStyle="1" w:styleId="44">
    <w:name w:val="正文文本首行缩进 2 字符"/>
    <w:link w:val="8"/>
    <w:qFormat/>
    <w:uiPriority w:val="0"/>
    <w:rPr>
      <w:kern w:val="2"/>
      <w:sz w:val="24"/>
      <w:szCs w:val="24"/>
    </w:rPr>
  </w:style>
  <w:style w:type="character" w:customStyle="1" w:styleId="45">
    <w:name w:val="批注文字 字符"/>
    <w:link w:val="11"/>
    <w:qFormat/>
    <w:locked/>
    <w:uiPriority w:val="99"/>
    <w:rPr>
      <w:rFonts w:ascii="Times New Roman" w:hAnsi="Times New Roman" w:eastAsia="宋体"/>
      <w:sz w:val="24"/>
    </w:rPr>
  </w:style>
  <w:style w:type="character" w:customStyle="1" w:styleId="46">
    <w:name w:val="正文文本 3 字符"/>
    <w:link w:val="12"/>
    <w:qFormat/>
    <w:uiPriority w:val="0"/>
    <w:rPr>
      <w:kern w:val="2"/>
      <w:sz w:val="16"/>
      <w:szCs w:val="16"/>
    </w:rPr>
  </w:style>
  <w:style w:type="character" w:customStyle="1" w:styleId="47">
    <w:name w:val="正文文本 字符"/>
    <w:link w:val="13"/>
    <w:qFormat/>
    <w:locked/>
    <w:uiPriority w:val="99"/>
    <w:rPr>
      <w:sz w:val="18"/>
    </w:rPr>
  </w:style>
  <w:style w:type="character" w:customStyle="1" w:styleId="48">
    <w:name w:val="正文文本缩进 字符"/>
    <w:link w:val="15"/>
    <w:semiHidden/>
    <w:qFormat/>
    <w:locked/>
    <w:uiPriority w:val="0"/>
    <w:rPr>
      <w:rFonts w:ascii="Times New Roman" w:hAnsi="Times New Roman" w:eastAsia="宋体"/>
      <w:sz w:val="24"/>
    </w:rPr>
  </w:style>
  <w:style w:type="character" w:customStyle="1" w:styleId="49">
    <w:name w:val="纯文本 字符3"/>
    <w:link w:val="18"/>
    <w:qFormat/>
    <w:uiPriority w:val="99"/>
    <w:rPr>
      <w:rFonts w:ascii="宋体" w:hAnsi="Courier New" w:cs="Courier New"/>
      <w:kern w:val="2"/>
      <w:sz w:val="21"/>
      <w:szCs w:val="21"/>
    </w:rPr>
  </w:style>
  <w:style w:type="character" w:customStyle="1" w:styleId="50">
    <w:name w:val="日期 字符1"/>
    <w:link w:val="20"/>
    <w:qFormat/>
    <w:locked/>
    <w:uiPriority w:val="0"/>
    <w:rPr>
      <w:rFonts w:ascii="Times New Roman" w:hAnsi="Times New Roman" w:eastAsia="宋体"/>
      <w:sz w:val="24"/>
    </w:rPr>
  </w:style>
  <w:style w:type="character" w:customStyle="1" w:styleId="51">
    <w:name w:val="批注框文本 字符"/>
    <w:link w:val="22"/>
    <w:semiHidden/>
    <w:qFormat/>
    <w:locked/>
    <w:uiPriority w:val="0"/>
    <w:rPr>
      <w:rFonts w:ascii="Times New Roman" w:hAnsi="Times New Roman" w:eastAsia="宋体"/>
      <w:sz w:val="18"/>
    </w:rPr>
  </w:style>
  <w:style w:type="character" w:customStyle="1" w:styleId="52">
    <w:name w:val="页脚 字符1"/>
    <w:link w:val="23"/>
    <w:qFormat/>
    <w:locked/>
    <w:uiPriority w:val="99"/>
    <w:rPr>
      <w:sz w:val="18"/>
    </w:rPr>
  </w:style>
  <w:style w:type="character" w:customStyle="1" w:styleId="53">
    <w:name w:val="页眉 字符"/>
    <w:link w:val="24"/>
    <w:qFormat/>
    <w:locked/>
    <w:uiPriority w:val="0"/>
    <w:rPr>
      <w:sz w:val="18"/>
    </w:rPr>
  </w:style>
  <w:style w:type="character" w:customStyle="1" w:styleId="54">
    <w:name w:val="普通(网站) 字符"/>
    <w:link w:val="27"/>
    <w:qFormat/>
    <w:locked/>
    <w:uiPriority w:val="99"/>
    <w:rPr>
      <w:rFonts w:ascii="宋体" w:hAnsi="宋体" w:eastAsia="宋体"/>
      <w:sz w:val="24"/>
    </w:rPr>
  </w:style>
  <w:style w:type="character" w:customStyle="1" w:styleId="55">
    <w:name w:val="标题 字符1"/>
    <w:link w:val="28"/>
    <w:qFormat/>
    <w:uiPriority w:val="0"/>
    <w:rPr>
      <w:b/>
      <w:bCs/>
      <w:sz w:val="21"/>
      <w:szCs w:val="32"/>
      <w:lang w:val="zh-CN"/>
    </w:rPr>
  </w:style>
  <w:style w:type="character" w:customStyle="1" w:styleId="56">
    <w:name w:val="批注主题 字符"/>
    <w:link w:val="29"/>
    <w:semiHidden/>
    <w:qFormat/>
    <w:locked/>
    <w:uiPriority w:val="0"/>
    <w:rPr>
      <w:rFonts w:ascii="Times New Roman" w:hAnsi="Times New Roman" w:eastAsia="宋体"/>
      <w:b/>
      <w:kern w:val="2"/>
      <w:sz w:val="24"/>
    </w:rPr>
  </w:style>
  <w:style w:type="character" w:customStyle="1" w:styleId="57">
    <w:name w:val="aa表头 字符"/>
    <w:link w:val="58"/>
    <w:qFormat/>
    <w:uiPriority w:val="0"/>
    <w:rPr>
      <w:rFonts w:eastAsia="黑体"/>
      <w:kern w:val="2"/>
      <w:sz w:val="24"/>
      <w:szCs w:val="24"/>
    </w:rPr>
  </w:style>
  <w:style w:type="paragraph" w:customStyle="1" w:styleId="58">
    <w:name w:val="aa表头"/>
    <w:basedOn w:val="1"/>
    <w:link w:val="57"/>
    <w:qFormat/>
    <w:uiPriority w:val="0"/>
    <w:pPr>
      <w:spacing w:line="520" w:lineRule="exact"/>
      <w:jc w:val="center"/>
    </w:pPr>
    <w:rPr>
      <w:rFonts w:eastAsia="黑体"/>
      <w:sz w:val="24"/>
    </w:rPr>
  </w:style>
  <w:style w:type="character" w:customStyle="1" w:styleId="59">
    <w:name w:val="纯文本 字符1"/>
    <w:qFormat/>
    <w:uiPriority w:val="99"/>
    <w:rPr>
      <w:rFonts w:ascii="宋体" w:hAnsi="Courier New"/>
      <w:kern w:val="2"/>
      <w:sz w:val="21"/>
    </w:rPr>
  </w:style>
  <w:style w:type="character" w:customStyle="1" w:styleId="60">
    <w:name w:val="font41"/>
    <w:qFormat/>
    <w:uiPriority w:val="0"/>
    <w:rPr>
      <w:rFonts w:hint="eastAsia" w:ascii="宋体" w:hAnsi="宋体" w:eastAsia="宋体"/>
      <w:color w:val="000000"/>
      <w:sz w:val="20"/>
      <w:szCs w:val="20"/>
      <w:u w:val="none"/>
    </w:rPr>
  </w:style>
  <w:style w:type="character" w:customStyle="1" w:styleId="61">
    <w:name w:val="0表格 Char"/>
    <w:link w:val="62"/>
    <w:qFormat/>
    <w:uiPriority w:val="0"/>
    <w:rPr>
      <w:color w:val="000000"/>
      <w:sz w:val="21"/>
      <w:szCs w:val="21"/>
    </w:rPr>
  </w:style>
  <w:style w:type="paragraph" w:customStyle="1" w:styleId="62">
    <w:name w:val="0表格"/>
    <w:basedOn w:val="1"/>
    <w:link w:val="61"/>
    <w:qFormat/>
    <w:uiPriority w:val="0"/>
    <w:pPr>
      <w:spacing w:line="360" w:lineRule="exact"/>
      <w:jc w:val="center"/>
    </w:pPr>
    <w:rPr>
      <w:color w:val="000000"/>
      <w:kern w:val="0"/>
      <w:szCs w:val="21"/>
    </w:rPr>
  </w:style>
  <w:style w:type="character" w:customStyle="1" w:styleId="63">
    <w:name w:val="日期 字符"/>
    <w:semiHidden/>
    <w:qFormat/>
    <w:uiPriority w:val="0"/>
    <w:rPr>
      <w:rFonts w:ascii="Times New Roman" w:hAnsi="Times New Roman" w:eastAsia="宋体"/>
      <w:sz w:val="24"/>
    </w:rPr>
  </w:style>
  <w:style w:type="character" w:customStyle="1" w:styleId="64">
    <w:name w:val="正文缩进 字符4"/>
    <w:qFormat/>
    <w:uiPriority w:val="0"/>
    <w:rPr>
      <w:rFonts w:ascii="Times New Roman" w:hAnsi="Times New Roman" w:eastAsia="宋体" w:cs="Arial"/>
      <w:spacing w:val="0"/>
      <w:kern w:val="2"/>
      <w:sz w:val="21"/>
    </w:rPr>
  </w:style>
  <w:style w:type="character" w:customStyle="1" w:styleId="65">
    <w:name w:val="3"/>
    <w:unhideWhenUsed/>
    <w:qFormat/>
    <w:uiPriority w:val="99"/>
    <w:rPr>
      <w:color w:val="605E5C"/>
      <w:shd w:val="clear" w:color="auto" w:fill="E1DFDD"/>
    </w:rPr>
  </w:style>
  <w:style w:type="character" w:customStyle="1" w:styleId="66">
    <w:name w:val="font51"/>
    <w:qFormat/>
    <w:uiPriority w:val="0"/>
    <w:rPr>
      <w:rFonts w:hint="default" w:ascii="Times New Roman" w:hAnsi="Times New Roman" w:cs="Times New Roman"/>
      <w:color w:val="000000"/>
      <w:sz w:val="18"/>
      <w:szCs w:val="18"/>
      <w:u w:val="none"/>
    </w:rPr>
  </w:style>
  <w:style w:type="character" w:customStyle="1" w:styleId="67">
    <w:name w:val="font31"/>
    <w:qFormat/>
    <w:uiPriority w:val="0"/>
    <w:rPr>
      <w:rFonts w:hint="default" w:ascii="Times New Roman" w:hAnsi="Times New Roman" w:cs="Times New Roman"/>
      <w:color w:val="000000"/>
      <w:sz w:val="18"/>
      <w:szCs w:val="18"/>
      <w:u w:val="none"/>
      <w:vertAlign w:val="superscript"/>
    </w:rPr>
  </w:style>
  <w:style w:type="character" w:customStyle="1" w:styleId="68">
    <w:name w:val="文本框样式 Char"/>
    <w:link w:val="69"/>
    <w:qFormat/>
    <w:uiPriority w:val="0"/>
    <w:rPr>
      <w:sz w:val="21"/>
    </w:rPr>
  </w:style>
  <w:style w:type="paragraph" w:customStyle="1" w:styleId="69">
    <w:name w:val="文本框样式"/>
    <w:basedOn w:val="1"/>
    <w:link w:val="68"/>
    <w:qFormat/>
    <w:uiPriority w:val="0"/>
    <w:pPr>
      <w:adjustRightInd/>
      <w:snapToGrid/>
      <w:spacing w:line="240" w:lineRule="auto"/>
      <w:jc w:val="center"/>
    </w:pPr>
    <w:rPr>
      <w:kern w:val="0"/>
      <w:szCs w:val="20"/>
    </w:rPr>
  </w:style>
  <w:style w:type="character" w:customStyle="1" w:styleId="70">
    <w:name w:val="0正文 Char"/>
    <w:link w:val="71"/>
    <w:qFormat/>
    <w:uiPriority w:val="0"/>
    <w:rPr>
      <w:sz w:val="24"/>
      <w:szCs w:val="24"/>
    </w:rPr>
  </w:style>
  <w:style w:type="paragraph" w:customStyle="1" w:styleId="71">
    <w:name w:val="0正文"/>
    <w:basedOn w:val="1"/>
    <w:link w:val="70"/>
    <w:qFormat/>
    <w:uiPriority w:val="0"/>
    <w:pPr>
      <w:ind w:firstLine="480" w:firstLineChars="200"/>
    </w:pPr>
    <w:rPr>
      <w:kern w:val="0"/>
      <w:sz w:val="24"/>
    </w:rPr>
  </w:style>
  <w:style w:type="character" w:customStyle="1" w:styleId="72">
    <w:name w:val="页脚 字符"/>
    <w:qFormat/>
    <w:uiPriority w:val="99"/>
  </w:style>
  <w:style w:type="character" w:customStyle="1" w:styleId="73">
    <w:name w:val="正文首行缩进 2 Char1"/>
    <w:qFormat/>
    <w:uiPriority w:val="0"/>
    <w:rPr>
      <w:rFonts w:ascii="Times New Roman" w:hAnsi="Times New Roman" w:eastAsia="宋体"/>
      <w:kern w:val="2"/>
      <w:sz w:val="21"/>
      <w:szCs w:val="24"/>
    </w:rPr>
  </w:style>
  <w:style w:type="character" w:customStyle="1" w:styleId="74">
    <w:name w:val="正文缩进 Char1"/>
    <w:link w:val="75"/>
    <w:qFormat/>
    <w:uiPriority w:val="0"/>
    <w:rPr>
      <w:kern w:val="2"/>
      <w:sz w:val="21"/>
    </w:rPr>
  </w:style>
  <w:style w:type="paragraph" w:customStyle="1" w:styleId="75">
    <w:name w:val="图表标题"/>
    <w:basedOn w:val="1"/>
    <w:link w:val="74"/>
    <w:qFormat/>
    <w:uiPriority w:val="0"/>
    <w:pPr>
      <w:adjustRightInd/>
      <w:snapToGrid/>
      <w:spacing w:before="60" w:line="460" w:lineRule="exact"/>
      <w:ind w:firstLine="199" w:firstLineChars="199"/>
      <w:contextualSpacing/>
      <w:jc w:val="center"/>
    </w:pPr>
    <w:rPr>
      <w:szCs w:val="20"/>
      <w:shd w:val="clear" w:color="auto" w:fill="FFFFFF"/>
    </w:rPr>
  </w:style>
  <w:style w:type="character" w:customStyle="1" w:styleId="76">
    <w:name w:val="纯文本 字符2"/>
    <w:qFormat/>
    <w:uiPriority w:val="99"/>
    <w:rPr>
      <w:rFonts w:ascii="宋体" w:hAnsi="Courier New" w:cs="Courier New"/>
      <w:kern w:val="2"/>
      <w:sz w:val="21"/>
      <w:szCs w:val="21"/>
    </w:rPr>
  </w:style>
  <w:style w:type="character" w:customStyle="1" w:styleId="77">
    <w:name w:val="表格正文 Char2"/>
    <w:qFormat/>
    <w:uiPriority w:val="0"/>
    <w:rPr>
      <w:rFonts w:eastAsia="宋体"/>
      <w:kern w:val="2"/>
      <w:sz w:val="21"/>
      <w:szCs w:val="21"/>
      <w:lang w:val="en-US" w:eastAsia="zh-CN" w:bidi="ar-SA"/>
    </w:rPr>
  </w:style>
  <w:style w:type="character" w:customStyle="1" w:styleId="78">
    <w:name w:val="font81"/>
    <w:qFormat/>
    <w:uiPriority w:val="0"/>
    <w:rPr>
      <w:rFonts w:hint="default" w:ascii="Times New Roman" w:hAnsi="Times New Roman" w:cs="Times New Roman"/>
      <w:color w:val="000000"/>
      <w:sz w:val="20"/>
      <w:szCs w:val="20"/>
      <w:u w:val="none"/>
    </w:rPr>
  </w:style>
  <w:style w:type="character" w:customStyle="1" w:styleId="79">
    <w:name w:val="Default Char"/>
    <w:link w:val="80"/>
    <w:qFormat/>
    <w:uiPriority w:val="0"/>
    <w:rPr>
      <w:rFonts w:ascii="宋体" w:cs="宋体"/>
      <w:color w:val="000000"/>
      <w:kern w:val="2"/>
      <w:sz w:val="24"/>
      <w:szCs w:val="24"/>
    </w:rPr>
  </w:style>
  <w:style w:type="paragraph" w:customStyle="1" w:styleId="80">
    <w:name w:val="Default"/>
    <w:basedOn w:val="81"/>
    <w:link w:val="79"/>
    <w:qFormat/>
    <w:uiPriority w:val="0"/>
    <w:pPr>
      <w:autoSpaceDE w:val="0"/>
      <w:autoSpaceDN w:val="0"/>
      <w:adjustRightInd w:val="0"/>
    </w:pPr>
    <w:rPr>
      <w:rFonts w:ascii="宋体" w:cs="宋体"/>
      <w:sz w:val="24"/>
    </w:rPr>
  </w:style>
  <w:style w:type="paragraph" w:customStyle="1" w:styleId="81">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character" w:customStyle="1" w:styleId="82">
    <w:name w:val="表头 Char"/>
    <w:link w:val="83"/>
    <w:qFormat/>
    <w:uiPriority w:val="99"/>
    <w:rPr>
      <w:b/>
      <w:snapToGrid/>
      <w:sz w:val="24"/>
      <w:szCs w:val="24"/>
    </w:rPr>
  </w:style>
  <w:style w:type="paragraph" w:customStyle="1" w:styleId="83">
    <w:name w:val="表头"/>
    <w:basedOn w:val="84"/>
    <w:link w:val="82"/>
    <w:qFormat/>
    <w:uiPriority w:val="99"/>
    <w:pPr>
      <w:spacing w:beforeLines="50" w:line="520" w:lineRule="exact"/>
      <w:jc w:val="center"/>
    </w:pPr>
    <w:rPr>
      <w:b/>
      <w:sz w:val="24"/>
    </w:rPr>
  </w:style>
  <w:style w:type="paragraph" w:customStyle="1" w:styleId="84">
    <w:name w:val="我的样式4正文"/>
    <w:basedOn w:val="1"/>
    <w:qFormat/>
    <w:uiPriority w:val="0"/>
    <w:pPr>
      <w:spacing w:beforeLines="10"/>
      <w:ind w:firstLine="492" w:firstLineChars="205"/>
    </w:pPr>
    <w:rPr>
      <w:snapToGrid w:val="0"/>
      <w:kern w:val="0"/>
    </w:rPr>
  </w:style>
  <w:style w:type="character" w:customStyle="1" w:styleId="85">
    <w:name w:val="居中正文 Char"/>
    <w:link w:val="86"/>
    <w:qFormat/>
    <w:uiPriority w:val="0"/>
    <w:rPr>
      <w:rFonts w:ascii="宋体"/>
      <w:kern w:val="28"/>
      <w:sz w:val="24"/>
    </w:rPr>
  </w:style>
  <w:style w:type="paragraph" w:customStyle="1" w:styleId="86">
    <w:name w:val="居中正文"/>
    <w:basedOn w:val="1"/>
    <w:next w:val="1"/>
    <w:link w:val="85"/>
    <w:qFormat/>
    <w:uiPriority w:val="0"/>
    <w:pPr>
      <w:snapToGrid/>
      <w:spacing w:before="120"/>
      <w:ind w:firstLine="200" w:firstLineChars="200"/>
      <w:jc w:val="center"/>
    </w:pPr>
    <w:rPr>
      <w:rFonts w:ascii="宋体"/>
      <w:kern w:val="28"/>
      <w:szCs w:val="20"/>
    </w:rPr>
  </w:style>
  <w:style w:type="character" w:customStyle="1" w:styleId="87">
    <w:name w:val="font11"/>
    <w:qFormat/>
    <w:uiPriority w:val="0"/>
    <w:rPr>
      <w:rFonts w:hint="default" w:ascii="Times New Roman" w:hAnsi="Times New Roman" w:cs="Times New Roman"/>
      <w:color w:val="000000"/>
      <w:sz w:val="18"/>
      <w:szCs w:val="18"/>
      <w:u w:val="none"/>
      <w:vertAlign w:val="subscript"/>
    </w:rPr>
  </w:style>
  <w:style w:type="character" w:customStyle="1" w:styleId="88">
    <w:name w:val="xl26 Char"/>
    <w:link w:val="89"/>
    <w:qFormat/>
    <w:uiPriority w:val="0"/>
    <w:rPr>
      <w:rFonts w:ascii="宋体" w:hAnsi="宋体"/>
      <w:sz w:val="21"/>
      <w:szCs w:val="21"/>
      <w:lang w:val="zh-CN"/>
    </w:rPr>
  </w:style>
  <w:style w:type="paragraph" w:customStyle="1" w:styleId="89">
    <w:name w:val="xl26"/>
    <w:basedOn w:val="1"/>
    <w:link w:val="88"/>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Cs w:val="21"/>
      <w:lang w:val="zh-CN"/>
    </w:rPr>
  </w:style>
  <w:style w:type="character" w:customStyle="1" w:styleId="90">
    <w:name w:val="font01"/>
    <w:qFormat/>
    <w:uiPriority w:val="0"/>
    <w:rPr>
      <w:rFonts w:hint="eastAsia" w:ascii="宋体" w:hAnsi="宋体" w:eastAsia="宋体" w:cs="宋体"/>
      <w:b/>
      <w:bCs/>
      <w:color w:val="000000"/>
      <w:sz w:val="22"/>
      <w:szCs w:val="22"/>
      <w:u w:val="none"/>
    </w:rPr>
  </w:style>
  <w:style w:type="character" w:customStyle="1" w:styleId="91">
    <w:name w:val="纯文本 字符"/>
    <w:qFormat/>
    <w:uiPriority w:val="99"/>
    <w:rPr>
      <w:rFonts w:ascii="宋体" w:hAnsi="Courier New" w:eastAsia="宋体" w:cs="Courier New"/>
      <w:szCs w:val="21"/>
    </w:rPr>
  </w:style>
  <w:style w:type="character" w:customStyle="1" w:styleId="92">
    <w:name w:val="正文缩进 字符1"/>
    <w:qFormat/>
    <w:uiPriority w:val="99"/>
    <w:rPr>
      <w:rFonts w:ascii="Arial" w:hAnsi="Arial" w:cs="Arial"/>
      <w:spacing w:val="10"/>
      <w:kern w:val="2"/>
      <w:sz w:val="24"/>
    </w:rPr>
  </w:style>
  <w:style w:type="character" w:customStyle="1" w:styleId="93">
    <w:name w:val="font21"/>
    <w:qFormat/>
    <w:uiPriority w:val="0"/>
    <w:rPr>
      <w:rFonts w:hint="default" w:ascii="Times New Roman" w:hAnsi="Times New Roman" w:cs="Times New Roman"/>
      <w:color w:val="000000"/>
      <w:sz w:val="18"/>
      <w:szCs w:val="18"/>
      <w:u w:val="none"/>
    </w:rPr>
  </w:style>
  <w:style w:type="character" w:customStyle="1" w:styleId="94">
    <w:name w:val="正文wwwww Char"/>
    <w:link w:val="95"/>
    <w:qFormat/>
    <w:uiPriority w:val="0"/>
    <w:rPr>
      <w:rFonts w:ascii="Arial" w:hAnsi="Arial" w:cs="宋体"/>
      <w:sz w:val="24"/>
      <w:szCs w:val="22"/>
      <w:lang w:val="zh-CN"/>
    </w:rPr>
  </w:style>
  <w:style w:type="paragraph" w:customStyle="1" w:styleId="95">
    <w:name w:val="正文wwwww"/>
    <w:basedOn w:val="1"/>
    <w:next w:val="1"/>
    <w:link w:val="94"/>
    <w:qFormat/>
    <w:uiPriority w:val="0"/>
    <w:pPr>
      <w:widowControl/>
      <w:ind w:firstLine="482"/>
      <w:jc w:val="left"/>
    </w:pPr>
    <w:rPr>
      <w:rFonts w:ascii="Arial" w:hAnsi="Arial" w:cs="宋体"/>
      <w:kern w:val="0"/>
      <w:sz w:val="24"/>
      <w:lang w:val="zh-CN"/>
    </w:rPr>
  </w:style>
  <w:style w:type="character" w:customStyle="1" w:styleId="96">
    <w:name w:val="纯文本 Char1"/>
    <w:qFormat/>
    <w:uiPriority w:val="0"/>
    <w:rPr>
      <w:rFonts w:ascii="宋体" w:hAnsi="Courier New" w:cs="Courier New"/>
      <w:kern w:val="2"/>
      <w:sz w:val="21"/>
      <w:szCs w:val="21"/>
    </w:rPr>
  </w:style>
  <w:style w:type="character" w:customStyle="1" w:styleId="97">
    <w:name w:val="标题 4 字符"/>
    <w:semiHidden/>
    <w:qFormat/>
    <w:uiPriority w:val="0"/>
    <w:rPr>
      <w:rFonts w:ascii="等线 Light" w:hAnsi="等线 Light" w:eastAsia="等线 Light" w:cs="Times New Roman"/>
      <w:b/>
      <w:bCs/>
      <w:kern w:val="2"/>
      <w:sz w:val="28"/>
      <w:szCs w:val="28"/>
    </w:rPr>
  </w:style>
  <w:style w:type="character" w:customStyle="1" w:styleId="98">
    <w:name w:val="标题 字符"/>
    <w:qFormat/>
    <w:uiPriority w:val="0"/>
    <w:rPr>
      <w:rFonts w:ascii="等线 Light" w:hAnsi="等线 Light" w:cs="Times New Roman"/>
      <w:b/>
      <w:bCs/>
      <w:kern w:val="2"/>
      <w:sz w:val="32"/>
      <w:szCs w:val="32"/>
    </w:rPr>
  </w:style>
  <w:style w:type="character" w:customStyle="1" w:styleId="99">
    <w:name w:val="列表段落 字符"/>
    <w:link w:val="100"/>
    <w:qFormat/>
    <w:locked/>
    <w:uiPriority w:val="34"/>
    <w:rPr>
      <w:rFonts w:ascii="Tahoma" w:hAnsi="Tahoma" w:eastAsia="微软雅黑" w:cs="Tahoma"/>
      <w:sz w:val="22"/>
      <w:szCs w:val="22"/>
    </w:rPr>
  </w:style>
  <w:style w:type="paragraph" w:styleId="100">
    <w:name w:val="List Paragraph"/>
    <w:basedOn w:val="1"/>
    <w:link w:val="99"/>
    <w:qFormat/>
    <w:uiPriority w:val="34"/>
    <w:pPr>
      <w:widowControl/>
      <w:spacing w:after="200"/>
      <w:ind w:firstLine="420" w:firstLineChars="200"/>
      <w:jc w:val="left"/>
    </w:pPr>
    <w:rPr>
      <w:rFonts w:ascii="Tahoma" w:hAnsi="Tahoma" w:eastAsia="微软雅黑" w:cs="Tahoma"/>
      <w:kern w:val="0"/>
      <w:sz w:val="22"/>
    </w:rPr>
  </w:style>
  <w:style w:type="character" w:customStyle="1" w:styleId="101">
    <w:name w:val="font61"/>
    <w:qFormat/>
    <w:uiPriority w:val="0"/>
    <w:rPr>
      <w:rFonts w:hint="default" w:ascii="Times New Roman" w:hAnsi="Times New Roman" w:cs="Times New Roman"/>
      <w:color w:val="000000"/>
      <w:sz w:val="18"/>
      <w:szCs w:val="18"/>
      <w:u w:val="none"/>
    </w:rPr>
  </w:style>
  <w:style w:type="character" w:customStyle="1" w:styleId="102">
    <w:name w:val="批注文字 字符1"/>
    <w:semiHidden/>
    <w:qFormat/>
    <w:uiPriority w:val="0"/>
    <w:rPr>
      <w:rFonts w:ascii="Times New Roman" w:hAnsi="Times New Roman" w:eastAsia="宋体"/>
      <w:sz w:val="24"/>
    </w:rPr>
  </w:style>
  <w:style w:type="character" w:customStyle="1" w:styleId="103">
    <w:name w:val="text_tcumt"/>
    <w:qFormat/>
    <w:uiPriority w:val="0"/>
  </w:style>
  <w:style w:type="character" w:customStyle="1" w:styleId="104">
    <w:name w:val="font71"/>
    <w:qFormat/>
    <w:uiPriority w:val="0"/>
    <w:rPr>
      <w:rFonts w:hint="eastAsia" w:ascii="宋体" w:hAnsi="宋体" w:eastAsia="宋体" w:cs="宋体"/>
      <w:color w:val="000000"/>
      <w:sz w:val="18"/>
      <w:szCs w:val="18"/>
      <w:u w:val="none"/>
    </w:rPr>
  </w:style>
  <w:style w:type="character" w:customStyle="1" w:styleId="105">
    <w:name w:val="表格正文 Char"/>
    <w:link w:val="106"/>
    <w:qFormat/>
    <w:uiPriority w:val="0"/>
    <w:rPr>
      <w:kern w:val="2"/>
      <w:sz w:val="21"/>
      <w:szCs w:val="24"/>
    </w:rPr>
  </w:style>
  <w:style w:type="paragraph" w:customStyle="1" w:styleId="106">
    <w:name w:val="表格正文"/>
    <w:basedOn w:val="1"/>
    <w:next w:val="1"/>
    <w:link w:val="105"/>
    <w:qFormat/>
    <w:uiPriority w:val="0"/>
    <w:pPr>
      <w:adjustRightInd/>
      <w:snapToGrid/>
      <w:spacing w:line="360" w:lineRule="exact"/>
      <w:jc w:val="center"/>
    </w:pPr>
    <w:rPr>
      <w:szCs w:val="24"/>
    </w:rPr>
  </w:style>
  <w:style w:type="character" w:customStyle="1" w:styleId="107">
    <w:name w:val="表格内文字 Char"/>
    <w:link w:val="108"/>
    <w:qFormat/>
    <w:uiPriority w:val="0"/>
    <w:rPr>
      <w:spacing w:val="10"/>
      <w:kern w:val="2"/>
      <w:sz w:val="24"/>
    </w:rPr>
  </w:style>
  <w:style w:type="paragraph" w:customStyle="1" w:styleId="108">
    <w:name w:val="表格内文字"/>
    <w:basedOn w:val="1"/>
    <w:link w:val="107"/>
    <w:qFormat/>
    <w:uiPriority w:val="0"/>
    <w:pPr>
      <w:adjustRightInd/>
      <w:snapToGrid/>
      <w:spacing w:before="100" w:after="100" w:line="320" w:lineRule="exact"/>
      <w:jc w:val="center"/>
    </w:pPr>
    <w:rPr>
      <w:spacing w:val="10"/>
      <w:szCs w:val="20"/>
    </w:rPr>
  </w:style>
  <w:style w:type="character" w:customStyle="1" w:styleId="109">
    <w:name w:val="正文文本 字符1"/>
    <w:semiHidden/>
    <w:qFormat/>
    <w:uiPriority w:val="0"/>
    <w:rPr>
      <w:rFonts w:ascii="Times New Roman" w:hAnsi="Times New Roman" w:eastAsia="宋体"/>
      <w:sz w:val="24"/>
    </w:rPr>
  </w:style>
  <w:style w:type="character" w:customStyle="1" w:styleId="110">
    <w:name w:val="表格 Char"/>
    <w:link w:val="111"/>
    <w:qFormat/>
    <w:locked/>
    <w:uiPriority w:val="0"/>
    <w:rPr>
      <w:rFonts w:ascii="宋体"/>
      <w:sz w:val="18"/>
    </w:rPr>
  </w:style>
  <w:style w:type="paragraph" w:customStyle="1" w:styleId="111">
    <w:name w:val="表格"/>
    <w:basedOn w:val="1"/>
    <w:next w:val="1"/>
    <w:link w:val="110"/>
    <w:qFormat/>
    <w:uiPriority w:val="0"/>
    <w:pPr>
      <w:spacing w:line="240" w:lineRule="auto"/>
      <w:jc w:val="left"/>
    </w:pPr>
    <w:rPr>
      <w:rFonts w:ascii="宋体"/>
      <w:kern w:val="0"/>
      <w:sz w:val="18"/>
      <w:szCs w:val="20"/>
    </w:rPr>
  </w:style>
  <w:style w:type="paragraph" w:customStyle="1" w:styleId="112">
    <w:name w:val="et4"/>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adjustRightInd/>
      <w:snapToGrid/>
      <w:spacing w:before="100" w:beforeAutospacing="1" w:after="100" w:afterAutospacing="1" w:line="240" w:lineRule="auto"/>
      <w:jc w:val="center"/>
    </w:pPr>
    <w:rPr>
      <w:rFonts w:ascii="宋体" w:hAnsi="宋体" w:cs="宋体"/>
      <w:color w:val="000000"/>
      <w:kern w:val="0"/>
      <w:sz w:val="18"/>
      <w:szCs w:val="18"/>
    </w:rPr>
  </w:style>
  <w:style w:type="paragraph" w:customStyle="1" w:styleId="113">
    <w:name w:val="zhengwensy"/>
    <w:basedOn w:val="1"/>
    <w:qFormat/>
    <w:uiPriority w:val="0"/>
    <w:pPr>
      <w:spacing w:line="460" w:lineRule="exact"/>
      <w:ind w:firstLine="480" w:firstLineChars="200"/>
    </w:pPr>
    <w:rPr>
      <w:color w:val="000000"/>
      <w:sz w:val="24"/>
    </w:rPr>
  </w:style>
  <w:style w:type="paragraph" w:customStyle="1" w:styleId="114">
    <w:name w:val="蓝森表格内容"/>
    <w:basedOn w:val="1"/>
    <w:qFormat/>
    <w:uiPriority w:val="0"/>
    <w:pPr>
      <w:spacing w:line="360" w:lineRule="exact"/>
      <w:jc w:val="center"/>
    </w:pPr>
    <w:rPr>
      <w:rFonts w:hAnsi="宋体"/>
      <w:szCs w:val="21"/>
    </w:rPr>
  </w:style>
  <w:style w:type="paragraph" w:customStyle="1" w:styleId="115">
    <w:name w:val="BT2"/>
    <w:qFormat/>
    <w:uiPriority w:val="0"/>
    <w:pPr>
      <w:jc w:val="both"/>
    </w:pPr>
    <w:rPr>
      <w:rFonts w:ascii="Times New Roman" w:hAnsi="Times New Roman" w:eastAsia="宋体" w:cs="宋体"/>
      <w:bCs/>
      <w:sz w:val="28"/>
      <w:lang w:val="en-US" w:eastAsia="zh-CN" w:bidi="ar-SA"/>
    </w:rPr>
  </w:style>
  <w:style w:type="paragraph" w:customStyle="1" w:styleId="116">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7">
    <w:name w:val="第一章表头"/>
    <w:basedOn w:val="1"/>
    <w:qFormat/>
    <w:uiPriority w:val="0"/>
    <w:pPr>
      <w:adjustRightInd/>
      <w:snapToGrid/>
      <w:jc w:val="center"/>
    </w:pPr>
    <w:rPr>
      <w:rFonts w:eastAsia="黑体"/>
      <w:szCs w:val="21"/>
    </w:rPr>
  </w:style>
  <w:style w:type="paragraph" w:customStyle="1" w:styleId="118">
    <w:name w:val="正文(首行缩进)"/>
    <w:basedOn w:val="1"/>
    <w:qFormat/>
    <w:uiPriority w:val="0"/>
    <w:rPr>
      <w:kern w:val="0"/>
      <w:sz w:val="24"/>
      <w:szCs w:val="24"/>
    </w:rPr>
  </w:style>
  <w:style w:type="paragraph" w:customStyle="1" w:styleId="119">
    <w:name w:val="样式 首行缩进:  2 字符"/>
    <w:basedOn w:val="1"/>
    <w:qFormat/>
    <w:uiPriority w:val="0"/>
    <w:pPr>
      <w:spacing w:line="520" w:lineRule="exact"/>
      <w:ind w:firstLine="200" w:firstLineChars="200"/>
    </w:pPr>
    <w:rPr>
      <w:rFonts w:cs="宋体"/>
      <w:sz w:val="24"/>
      <w:szCs w:val="20"/>
    </w:rPr>
  </w:style>
  <w:style w:type="paragraph" w:customStyle="1" w:styleId="120">
    <w:name w:val="font1"/>
    <w:basedOn w:val="1"/>
    <w:qFormat/>
    <w:uiPriority w:val="0"/>
    <w:pPr>
      <w:widowControl/>
      <w:adjustRightInd/>
      <w:snapToGrid/>
      <w:spacing w:before="100" w:beforeAutospacing="1" w:after="100" w:afterAutospacing="1" w:line="240" w:lineRule="auto"/>
      <w:jc w:val="left"/>
    </w:pPr>
    <w:rPr>
      <w:rFonts w:ascii="宋体" w:hAnsi="宋体" w:cs="宋体"/>
      <w:color w:val="000000"/>
      <w:kern w:val="0"/>
      <w:sz w:val="18"/>
      <w:szCs w:val="18"/>
    </w:rPr>
  </w:style>
  <w:style w:type="paragraph" w:customStyle="1" w:styleId="121">
    <w:name w:val="样式17"/>
    <w:basedOn w:val="1"/>
    <w:qFormat/>
    <w:uiPriority w:val="0"/>
    <w:pPr>
      <w:keepNext/>
      <w:keepLines/>
      <w:tabs>
        <w:tab w:val="left" w:pos="0"/>
      </w:tabs>
      <w:spacing w:beforeLines="50"/>
      <w:outlineLvl w:val="0"/>
    </w:pPr>
    <w:rPr>
      <w:rFonts w:ascii="黑体" w:hAnsi="黑体" w:eastAsia="黑体"/>
      <w:kern w:val="44"/>
      <w:sz w:val="30"/>
      <w:szCs w:val="44"/>
      <w:lang w:val="zh-CN"/>
    </w:rPr>
  </w:style>
  <w:style w:type="paragraph" w:customStyle="1" w:styleId="122">
    <w:name w:val="正文样式"/>
    <w:basedOn w:val="1"/>
    <w:qFormat/>
    <w:uiPriority w:val="0"/>
    <w:pPr>
      <w:ind w:firstLine="480" w:firstLineChars="200"/>
    </w:pPr>
    <w:rPr>
      <w:sz w:val="24"/>
    </w:rPr>
  </w:style>
  <w:style w:type="paragraph" w:customStyle="1" w:styleId="123">
    <w:name w:val="6表格正文"/>
    <w:basedOn w:val="1"/>
    <w:qFormat/>
    <w:uiPriority w:val="99"/>
    <w:pPr>
      <w:spacing w:line="400" w:lineRule="exact"/>
      <w:jc w:val="center"/>
    </w:pPr>
    <w:rPr>
      <w:kern w:val="0"/>
      <w:szCs w:val="21"/>
    </w:rPr>
  </w:style>
  <w:style w:type="paragraph" w:customStyle="1" w:styleId="124">
    <w:name w:val="样式5"/>
    <w:basedOn w:val="125"/>
    <w:next w:val="1"/>
    <w:qFormat/>
    <w:uiPriority w:val="0"/>
    <w:pPr>
      <w:tabs>
        <w:tab w:val="left" w:pos="360"/>
        <w:tab w:val="left" w:pos="567"/>
      </w:tabs>
      <w:ind w:hanging="567" w:firstLineChars="0"/>
    </w:pPr>
  </w:style>
  <w:style w:type="paragraph" w:customStyle="1" w:styleId="125">
    <w:name w:val="样式12"/>
    <w:basedOn w:val="121"/>
    <w:qFormat/>
    <w:uiPriority w:val="0"/>
    <w:pPr>
      <w:tabs>
        <w:tab w:val="left" w:pos="360"/>
        <w:tab w:val="clear" w:pos="0"/>
      </w:tabs>
      <w:spacing w:before="156" w:afterLines="50"/>
      <w:ind w:left="567" w:hanging="992" w:firstLineChars="200"/>
      <w:outlineLvl w:val="1"/>
    </w:pPr>
    <w:rPr>
      <w:szCs w:val="28"/>
    </w:rPr>
  </w:style>
  <w:style w:type="paragraph" w:customStyle="1" w:styleId="126">
    <w:name w:val="表格、图表名称"/>
    <w:basedOn w:val="1"/>
    <w:qFormat/>
    <w:uiPriority w:val="0"/>
    <w:pPr>
      <w:adjustRightInd/>
      <w:snapToGrid/>
      <w:jc w:val="center"/>
    </w:pPr>
    <w:rPr>
      <w:rFonts w:cs="宋体"/>
      <w:b/>
    </w:rPr>
  </w:style>
  <w:style w:type="paragraph" w:customStyle="1" w:styleId="127">
    <w:name w:val="p0"/>
    <w:basedOn w:val="1"/>
    <w:qFormat/>
    <w:uiPriority w:val="99"/>
    <w:pPr>
      <w:widowControl/>
      <w:spacing w:line="312" w:lineRule="atLeast"/>
    </w:pPr>
    <w:rPr>
      <w:kern w:val="0"/>
      <w:sz w:val="24"/>
      <w:szCs w:val="21"/>
    </w:rPr>
  </w:style>
  <w:style w:type="paragraph" w:customStyle="1" w:styleId="128">
    <w:name w:val="et7"/>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adjustRightInd/>
      <w:snapToGrid/>
      <w:spacing w:before="100" w:beforeAutospacing="1" w:after="100" w:afterAutospacing="1" w:line="240" w:lineRule="auto"/>
      <w:jc w:val="center"/>
    </w:pPr>
    <w:rPr>
      <w:kern w:val="0"/>
      <w:sz w:val="18"/>
      <w:szCs w:val="18"/>
    </w:rPr>
  </w:style>
  <w:style w:type="paragraph" w:customStyle="1" w:styleId="129">
    <w:name w:val="1"/>
    <w:basedOn w:val="15"/>
    <w:next w:val="8"/>
    <w:qFormat/>
    <w:uiPriority w:val="0"/>
    <w:pPr>
      <w:ind w:firstLine="420" w:firstLineChars="200"/>
    </w:pPr>
    <w:rPr>
      <w:kern w:val="2"/>
      <w:szCs w:val="24"/>
    </w:rPr>
  </w:style>
  <w:style w:type="paragraph" w:customStyle="1" w:styleId="130">
    <w:name w:val="2"/>
    <w:unhideWhenUsed/>
    <w:qFormat/>
    <w:uiPriority w:val="99"/>
    <w:rPr>
      <w:rFonts w:ascii="Times New Roman" w:hAnsi="Times New Roman" w:eastAsia="宋体" w:cs="Times New Roman"/>
      <w:kern w:val="2"/>
      <w:sz w:val="24"/>
      <w:szCs w:val="22"/>
      <w:lang w:val="en-US" w:eastAsia="zh-CN" w:bidi="ar-SA"/>
    </w:rPr>
  </w:style>
  <w:style w:type="paragraph" w:customStyle="1" w:styleId="131">
    <w:name w:val="et11"/>
    <w:basedOn w:val="1"/>
    <w:qFormat/>
    <w:uiPriority w:val="0"/>
    <w:pPr>
      <w:widowControl/>
      <w:pBdr>
        <w:top w:val="single" w:color="000000" w:sz="4" w:space="0"/>
        <w:left w:val="single" w:color="000000" w:sz="4" w:space="0"/>
        <w:right w:val="single" w:color="000000" w:sz="4" w:space="0"/>
      </w:pBdr>
      <w:shd w:val="clear" w:color="auto" w:fill="FFFFFF"/>
      <w:adjustRightInd/>
      <w:snapToGrid/>
      <w:spacing w:before="100" w:beforeAutospacing="1" w:after="100" w:afterAutospacing="1" w:line="240" w:lineRule="auto"/>
      <w:jc w:val="center"/>
    </w:pPr>
    <w:rPr>
      <w:rFonts w:ascii="宋体" w:hAnsi="宋体" w:cs="宋体"/>
      <w:color w:val="000000"/>
      <w:kern w:val="0"/>
      <w:sz w:val="18"/>
      <w:szCs w:val="18"/>
    </w:rPr>
  </w:style>
  <w:style w:type="paragraph" w:customStyle="1" w:styleId="132">
    <w:name w:val="纯文本1"/>
    <w:basedOn w:val="1"/>
    <w:qFormat/>
    <w:uiPriority w:val="0"/>
    <w:rPr>
      <w:rFonts w:ascii="宋体" w:hAnsi="Courier New"/>
      <w:szCs w:val="20"/>
    </w:rPr>
  </w:style>
  <w:style w:type="paragraph" w:customStyle="1" w:styleId="133">
    <w:name w:val="正文缩进2"/>
    <w:basedOn w:val="1"/>
    <w:qFormat/>
    <w:uiPriority w:val="0"/>
    <w:pPr>
      <w:ind w:firstLine="200" w:firstLineChars="200"/>
      <w:jc w:val="left"/>
    </w:pPr>
    <w:rPr>
      <w:rFonts w:cs="Arial"/>
      <w:spacing w:val="10"/>
    </w:rPr>
  </w:style>
  <w:style w:type="paragraph" w:customStyle="1" w:styleId="134">
    <w:name w:val="表"/>
    <w:basedOn w:val="1"/>
    <w:qFormat/>
    <w:uiPriority w:val="0"/>
    <w:pPr>
      <w:spacing w:line="240" w:lineRule="auto"/>
      <w:jc w:val="center"/>
    </w:pPr>
    <w:rPr>
      <w:spacing w:val="2"/>
      <w:szCs w:val="21"/>
    </w:rPr>
  </w:style>
  <w:style w:type="paragraph" w:customStyle="1" w:styleId="135">
    <w:name w:val="表格内容"/>
    <w:basedOn w:val="1"/>
    <w:qFormat/>
    <w:uiPriority w:val="0"/>
    <w:pPr>
      <w:jc w:val="center"/>
    </w:pPr>
  </w:style>
  <w:style w:type="paragraph" w:customStyle="1" w:styleId="136">
    <w:name w:val="样式26"/>
    <w:basedOn w:val="137"/>
    <w:qFormat/>
    <w:uiPriority w:val="0"/>
    <w:pPr>
      <w:tabs>
        <w:tab w:val="left" w:pos="0"/>
        <w:tab w:val="left" w:pos="360"/>
        <w:tab w:val="left" w:pos="540"/>
      </w:tabs>
    </w:pPr>
  </w:style>
  <w:style w:type="paragraph" w:customStyle="1" w:styleId="137">
    <w:name w:val="样式21"/>
    <w:basedOn w:val="124"/>
    <w:qFormat/>
    <w:uiPriority w:val="0"/>
    <w:pPr>
      <w:tabs>
        <w:tab w:val="left" w:pos="0"/>
        <w:tab w:val="clear" w:pos="567"/>
      </w:tabs>
      <w:spacing w:beforeLines="0" w:afterLines="0"/>
      <w:ind w:hanging="992"/>
    </w:pPr>
    <w:rPr>
      <w:kern w:val="0"/>
    </w:rPr>
  </w:style>
  <w:style w:type="paragraph" w:customStyle="1" w:styleId="138">
    <w:name w:val="et13"/>
    <w:basedOn w:val="1"/>
    <w:qFormat/>
    <w:uiPriority w:val="0"/>
    <w:pPr>
      <w:widowControl/>
      <w:pBdr>
        <w:left w:val="single" w:color="000000" w:sz="4" w:space="0"/>
        <w:bottom w:val="single" w:color="000000" w:sz="4" w:space="0"/>
        <w:right w:val="single" w:color="000000" w:sz="4" w:space="0"/>
      </w:pBdr>
      <w:shd w:val="clear" w:color="auto" w:fill="FFFFFF"/>
      <w:adjustRightInd/>
      <w:snapToGrid/>
      <w:spacing w:before="100" w:beforeAutospacing="1" w:after="100" w:afterAutospacing="1" w:line="240" w:lineRule="auto"/>
      <w:jc w:val="center"/>
    </w:pPr>
    <w:rPr>
      <w:color w:val="000000"/>
      <w:kern w:val="0"/>
      <w:sz w:val="18"/>
      <w:szCs w:val="18"/>
    </w:rPr>
  </w:style>
  <w:style w:type="paragraph" w:customStyle="1" w:styleId="139">
    <w:name w:val="文本框格式"/>
    <w:basedOn w:val="1"/>
    <w:qFormat/>
    <w:uiPriority w:val="0"/>
    <w:pPr>
      <w:adjustRightInd/>
      <w:snapToGrid/>
      <w:spacing w:line="240" w:lineRule="auto"/>
      <w:jc w:val="center"/>
    </w:pPr>
    <w:rPr>
      <w:szCs w:val="24"/>
    </w:rPr>
  </w:style>
  <w:style w:type="paragraph" w:customStyle="1" w:styleId="140">
    <w:name w:val="et5"/>
    <w:basedOn w:val="1"/>
    <w:qFormat/>
    <w:uiPriority w:val="0"/>
    <w:pPr>
      <w:widowControl/>
      <w:pBdr>
        <w:top w:val="single" w:color="000000" w:sz="4" w:space="0"/>
        <w:left w:val="single" w:color="000000" w:sz="4" w:space="0"/>
        <w:bottom w:val="single" w:color="000000" w:sz="4" w:space="0"/>
        <w:right w:val="single" w:color="000000" w:sz="4" w:space="0"/>
      </w:pBdr>
      <w:shd w:val="clear" w:color="auto" w:fill="FFFFFF"/>
      <w:adjustRightInd/>
      <w:snapToGrid/>
      <w:spacing w:before="100" w:beforeAutospacing="1" w:after="100" w:afterAutospacing="1" w:line="240" w:lineRule="auto"/>
      <w:jc w:val="center"/>
    </w:pPr>
    <w:rPr>
      <w:color w:val="000000"/>
      <w:kern w:val="0"/>
      <w:sz w:val="18"/>
      <w:szCs w:val="18"/>
    </w:rPr>
  </w:style>
  <w:style w:type="paragraph" w:customStyle="1" w:styleId="141">
    <w:name w:val="0表tou"/>
    <w:basedOn w:val="1"/>
    <w:qFormat/>
    <w:uiPriority w:val="0"/>
    <w:pPr>
      <w:spacing w:line="520" w:lineRule="exact"/>
      <w:ind w:firstLine="200" w:firstLineChars="200"/>
      <w:jc w:val="center"/>
    </w:pPr>
    <w:rPr>
      <w:rFonts w:eastAsia="黑体"/>
      <w:color w:val="000000"/>
      <w:sz w:val="24"/>
      <w:szCs w:val="21"/>
    </w:rPr>
  </w:style>
  <w:style w:type="paragraph" w:customStyle="1" w:styleId="142">
    <w:name w:val="et2"/>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jc w:val="center"/>
    </w:pPr>
    <w:rPr>
      <w:rFonts w:ascii="宋体" w:hAnsi="宋体" w:cs="宋体"/>
      <w:kern w:val="0"/>
      <w:sz w:val="18"/>
      <w:szCs w:val="18"/>
    </w:rPr>
  </w:style>
  <w:style w:type="paragraph" w:customStyle="1" w:styleId="143">
    <w:name w:val="表格文字"/>
    <w:basedOn w:val="1"/>
    <w:qFormat/>
    <w:uiPriority w:val="0"/>
    <w:pPr>
      <w:widowControl/>
      <w:ind w:firstLine="200" w:firstLineChars="200"/>
      <w:jc w:val="center"/>
    </w:pPr>
    <w:rPr>
      <w:rFonts w:ascii="仿宋_GB2312" w:hAnsi="Arial Black" w:eastAsia="仿宋_GB2312"/>
      <w:kern w:val="44"/>
      <w:sz w:val="24"/>
      <w:lang w:eastAsia="en-US" w:bidi="en-US"/>
    </w:rPr>
  </w:style>
  <w:style w:type="paragraph" w:customStyle="1" w:styleId="144">
    <w:name w:val="Char1"/>
    <w:basedOn w:val="1"/>
    <w:qFormat/>
    <w:uiPriority w:val="0"/>
    <w:pPr>
      <w:ind w:firstLine="200" w:firstLineChars="200"/>
    </w:pPr>
    <w:rPr>
      <w:rFonts w:eastAsia="仿宋_GB2312"/>
      <w:sz w:val="24"/>
    </w:rPr>
  </w:style>
  <w:style w:type="paragraph" w:customStyle="1" w:styleId="145">
    <w:name w:val="样式35"/>
    <w:basedOn w:val="136"/>
    <w:next w:val="146"/>
    <w:qFormat/>
    <w:uiPriority w:val="0"/>
    <w:pPr>
      <w:tabs>
        <w:tab w:val="left" w:pos="567"/>
        <w:tab w:val="clear" w:pos="540"/>
      </w:tabs>
      <w:spacing w:line="312" w:lineRule="auto"/>
      <w:ind w:firstLine="567"/>
    </w:pPr>
    <w:rPr>
      <w:rFonts w:ascii="宋体" w:hAnsi="Calibri" w:eastAsia="宋体"/>
      <w:kern w:val="2"/>
      <w:sz w:val="21"/>
      <w:szCs w:val="22"/>
    </w:rPr>
  </w:style>
  <w:style w:type="paragraph" w:customStyle="1" w:styleId="146">
    <w:name w:val="font6"/>
    <w:next w:val="26"/>
    <w:qFormat/>
    <w:uiPriority w:val="0"/>
    <w:pPr>
      <w:spacing w:before="280" w:after="280"/>
      <w:jc w:val="both"/>
    </w:pPr>
    <w:rPr>
      <w:rFonts w:ascii="Calibri" w:hAnsi="Calibri" w:eastAsia="宋体" w:cs="Times New Roman"/>
      <w:kern w:val="2"/>
      <w:sz w:val="21"/>
      <w:szCs w:val="22"/>
      <w:lang w:val="en-US" w:eastAsia="zh-CN" w:bidi="ar-SA"/>
    </w:rPr>
  </w:style>
  <w:style w:type="paragraph" w:customStyle="1" w:styleId="147">
    <w:name w:val="et10"/>
    <w:basedOn w:val="1"/>
    <w:qFormat/>
    <w:uiPriority w:val="0"/>
    <w:pPr>
      <w:widowControl/>
      <w:pBdr>
        <w:left w:val="single" w:color="000000" w:sz="4" w:space="0"/>
        <w:bottom w:val="single" w:color="000000" w:sz="4" w:space="0"/>
        <w:right w:val="single" w:color="000000" w:sz="4" w:space="0"/>
      </w:pBdr>
      <w:shd w:val="clear" w:color="auto" w:fill="FFFFFF"/>
      <w:adjustRightInd/>
      <w:snapToGrid/>
      <w:spacing w:before="100" w:beforeAutospacing="1" w:after="100" w:afterAutospacing="1" w:line="240" w:lineRule="auto"/>
      <w:jc w:val="center"/>
    </w:pPr>
    <w:rPr>
      <w:kern w:val="0"/>
      <w:sz w:val="18"/>
      <w:szCs w:val="18"/>
    </w:rPr>
  </w:style>
  <w:style w:type="paragraph" w:customStyle="1" w:styleId="148">
    <w:name w:val="font2"/>
    <w:basedOn w:val="1"/>
    <w:qFormat/>
    <w:uiPriority w:val="0"/>
    <w:pPr>
      <w:widowControl/>
      <w:adjustRightInd/>
      <w:snapToGrid/>
      <w:spacing w:before="100" w:beforeAutospacing="1" w:after="100" w:afterAutospacing="1" w:line="240" w:lineRule="auto"/>
      <w:jc w:val="left"/>
    </w:pPr>
    <w:rPr>
      <w:color w:val="000000"/>
      <w:kern w:val="0"/>
      <w:sz w:val="18"/>
      <w:szCs w:val="18"/>
    </w:rPr>
  </w:style>
  <w:style w:type="paragraph" w:customStyle="1" w:styleId="149">
    <w:name w:val="Char"/>
    <w:basedOn w:val="1"/>
    <w:qFormat/>
    <w:uiPriority w:val="0"/>
    <w:pPr>
      <w:ind w:firstLine="200" w:firstLineChars="200"/>
    </w:pPr>
  </w:style>
  <w:style w:type="paragraph" w:customStyle="1" w:styleId="150">
    <w:name w:val="Table Paragraph"/>
    <w:basedOn w:val="1"/>
    <w:qFormat/>
    <w:uiPriority w:val="0"/>
    <w:pPr>
      <w:jc w:val="left"/>
    </w:pPr>
    <w:rPr>
      <w:rFonts w:ascii="Cambria" w:hAnsi="Cambria" w:eastAsia="Arial Unicode MS" w:cs="Tahoma"/>
      <w:kern w:val="0"/>
      <w:sz w:val="22"/>
      <w:lang w:eastAsia="en-US"/>
    </w:rPr>
  </w:style>
  <w:style w:type="paragraph" w:customStyle="1" w:styleId="151">
    <w:name w:val="et12"/>
    <w:basedOn w:val="1"/>
    <w:qFormat/>
    <w:uiPriority w:val="0"/>
    <w:pPr>
      <w:widowControl/>
      <w:pBdr>
        <w:left w:val="single" w:color="000000" w:sz="4" w:space="0"/>
        <w:right w:val="single" w:color="000000" w:sz="4" w:space="0"/>
      </w:pBdr>
      <w:shd w:val="clear" w:color="auto" w:fill="FFFFFF"/>
      <w:adjustRightInd/>
      <w:snapToGrid/>
      <w:spacing w:before="100" w:beforeAutospacing="1" w:after="100" w:afterAutospacing="1" w:line="240" w:lineRule="auto"/>
      <w:jc w:val="center"/>
    </w:pPr>
    <w:rPr>
      <w:color w:val="000000"/>
      <w:kern w:val="0"/>
      <w:sz w:val="18"/>
      <w:szCs w:val="18"/>
    </w:rPr>
  </w:style>
  <w:style w:type="paragraph" w:customStyle="1" w:styleId="152">
    <w:name w:val="et3"/>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jc w:val="center"/>
    </w:pPr>
    <w:rPr>
      <w:kern w:val="0"/>
      <w:sz w:val="18"/>
      <w:szCs w:val="18"/>
    </w:rPr>
  </w:style>
  <w:style w:type="paragraph" w:customStyle="1" w:styleId="153">
    <w:name w:val="正文01"/>
    <w:basedOn w:val="15"/>
    <w:qFormat/>
    <w:uiPriority w:val="0"/>
    <w:pPr>
      <w:spacing w:before="60" w:line="460" w:lineRule="exact"/>
      <w:ind w:firstLine="200" w:firstLineChars="200"/>
    </w:pPr>
  </w:style>
  <w:style w:type="paragraph" w:customStyle="1" w:styleId="154">
    <w:name w:val="et9"/>
    <w:basedOn w:val="1"/>
    <w:qFormat/>
    <w:uiPriority w:val="0"/>
    <w:pPr>
      <w:widowControl/>
      <w:pBdr>
        <w:left w:val="single" w:color="000000" w:sz="4" w:space="0"/>
        <w:right w:val="single" w:color="000000" w:sz="4" w:space="0"/>
      </w:pBdr>
      <w:shd w:val="clear" w:color="auto" w:fill="FFFFFF"/>
      <w:adjustRightInd/>
      <w:snapToGrid/>
      <w:spacing w:before="100" w:beforeAutospacing="1" w:after="100" w:afterAutospacing="1" w:line="240" w:lineRule="auto"/>
      <w:jc w:val="center"/>
    </w:pPr>
    <w:rPr>
      <w:kern w:val="0"/>
      <w:sz w:val="18"/>
      <w:szCs w:val="18"/>
    </w:rPr>
  </w:style>
  <w:style w:type="paragraph" w:customStyle="1" w:styleId="155">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156">
    <w:name w:val="msonormal"/>
    <w:basedOn w:val="1"/>
    <w:qFormat/>
    <w:uiPriority w:val="0"/>
    <w:pPr>
      <w:widowControl/>
      <w:adjustRightInd/>
      <w:snapToGrid/>
      <w:spacing w:before="100" w:beforeAutospacing="1" w:after="100" w:afterAutospacing="1" w:line="240" w:lineRule="auto"/>
      <w:jc w:val="left"/>
    </w:pPr>
    <w:rPr>
      <w:rFonts w:ascii="宋体" w:hAnsi="宋体" w:cs="宋体"/>
      <w:kern w:val="0"/>
      <w:szCs w:val="24"/>
    </w:rPr>
  </w:style>
  <w:style w:type="paragraph" w:customStyle="1" w:styleId="157">
    <w:name w:val="正文（缩进）"/>
    <w:basedOn w:val="118"/>
    <w:next w:val="1"/>
    <w:qFormat/>
    <w:uiPriority w:val="99"/>
    <w:pPr>
      <w:ind w:firstLine="480" w:firstLineChars="200"/>
    </w:pPr>
  </w:style>
  <w:style w:type="paragraph" w:customStyle="1" w:styleId="158">
    <w:name w:val="样式 标题 1 + 三号"/>
    <w:basedOn w:val="2"/>
    <w:qFormat/>
    <w:uiPriority w:val="0"/>
    <w:pPr>
      <w:keepLines/>
      <w:numPr>
        <w:ilvl w:val="0"/>
        <w:numId w:val="2"/>
      </w:numPr>
      <w:tabs>
        <w:tab w:val="left" w:pos="1080"/>
      </w:tabs>
      <w:overflowPunct/>
      <w:snapToGrid/>
      <w:spacing w:before="0" w:after="0" w:line="360" w:lineRule="auto"/>
      <w:ind w:left="425" w:hanging="425"/>
    </w:pPr>
    <w:rPr>
      <w:rFonts w:ascii="Arial" w:hAnsi="Arial" w:eastAsia="宋体"/>
      <w:sz w:val="32"/>
      <w:szCs w:val="44"/>
      <w:lang w:val="zh-CN"/>
    </w:rPr>
  </w:style>
  <w:style w:type="paragraph" w:customStyle="1" w:styleId="159">
    <w:name w:val="表题"/>
    <w:basedOn w:val="80"/>
    <w:qFormat/>
    <w:uiPriority w:val="0"/>
    <w:pPr>
      <w:jc w:val="center"/>
    </w:pPr>
    <w:rPr>
      <w:rFonts w:ascii="Times New Roman"/>
      <w:b/>
      <w:bCs/>
      <w:color w:val="auto"/>
      <w:sz w:val="21"/>
      <w:szCs w:val="21"/>
    </w:rPr>
  </w:style>
  <w:style w:type="paragraph" w:customStyle="1" w:styleId="160">
    <w:name w:val="font0"/>
    <w:basedOn w:val="1"/>
    <w:qFormat/>
    <w:uiPriority w:val="0"/>
    <w:pPr>
      <w:widowControl/>
      <w:adjustRightInd/>
      <w:snapToGrid/>
      <w:spacing w:before="100" w:beforeAutospacing="1" w:after="100" w:afterAutospacing="1" w:line="240" w:lineRule="auto"/>
      <w:jc w:val="left"/>
    </w:pPr>
    <w:rPr>
      <w:rFonts w:ascii="宋体" w:hAnsi="宋体" w:cs="宋体"/>
      <w:color w:val="000000"/>
      <w:kern w:val="0"/>
      <w:sz w:val="22"/>
    </w:rPr>
  </w:style>
  <w:style w:type="paragraph" w:customStyle="1" w:styleId="161">
    <w:name w:val="font4"/>
    <w:basedOn w:val="1"/>
    <w:qFormat/>
    <w:uiPriority w:val="0"/>
    <w:pPr>
      <w:widowControl/>
      <w:adjustRightInd/>
      <w:snapToGrid/>
      <w:spacing w:before="100" w:beforeAutospacing="1" w:after="100" w:afterAutospacing="1" w:line="240" w:lineRule="auto"/>
      <w:jc w:val="left"/>
    </w:pPr>
    <w:rPr>
      <w:color w:val="000000"/>
      <w:kern w:val="0"/>
      <w:sz w:val="18"/>
      <w:szCs w:val="18"/>
    </w:rPr>
  </w:style>
  <w:style w:type="paragraph" w:customStyle="1" w:styleId="162">
    <w:name w:val="font3"/>
    <w:basedOn w:val="1"/>
    <w:qFormat/>
    <w:uiPriority w:val="0"/>
    <w:pPr>
      <w:widowControl/>
      <w:adjustRightInd/>
      <w:snapToGrid/>
      <w:spacing w:before="100" w:beforeAutospacing="1" w:after="100" w:afterAutospacing="1" w:line="240" w:lineRule="auto"/>
      <w:jc w:val="left"/>
    </w:pPr>
    <w:rPr>
      <w:rFonts w:ascii="宋体" w:hAnsi="宋体" w:cs="宋体"/>
      <w:color w:val="000000"/>
      <w:kern w:val="0"/>
      <w:sz w:val="18"/>
      <w:szCs w:val="18"/>
    </w:rPr>
  </w:style>
  <w:style w:type="paragraph" w:customStyle="1" w:styleId="163">
    <w:name w:val="et8"/>
    <w:basedOn w:val="1"/>
    <w:qFormat/>
    <w:uiPriority w:val="0"/>
    <w:pPr>
      <w:widowControl/>
      <w:pBdr>
        <w:top w:val="single" w:color="000000" w:sz="4" w:space="0"/>
        <w:left w:val="single" w:color="000000" w:sz="4" w:space="0"/>
        <w:right w:val="single" w:color="000000" w:sz="4" w:space="0"/>
      </w:pBdr>
      <w:shd w:val="clear" w:color="auto" w:fill="FFFFFF"/>
      <w:adjustRightInd/>
      <w:snapToGrid/>
      <w:spacing w:before="100" w:beforeAutospacing="1" w:after="100" w:afterAutospacing="1" w:line="240" w:lineRule="auto"/>
      <w:jc w:val="center"/>
    </w:pPr>
    <w:rPr>
      <w:rFonts w:ascii="宋体" w:hAnsi="宋体" w:cs="宋体"/>
      <w:kern w:val="0"/>
      <w:sz w:val="18"/>
      <w:szCs w:val="18"/>
    </w:rPr>
  </w:style>
  <w:style w:type="paragraph" w:customStyle="1" w:styleId="164">
    <w:name w:val="font5"/>
    <w:basedOn w:val="1"/>
    <w:qFormat/>
    <w:uiPriority w:val="0"/>
    <w:pPr>
      <w:widowControl/>
      <w:adjustRightInd/>
      <w:snapToGrid/>
      <w:spacing w:before="100" w:beforeAutospacing="1" w:after="100" w:afterAutospacing="1" w:line="240" w:lineRule="auto"/>
      <w:jc w:val="left"/>
    </w:pPr>
    <w:rPr>
      <w:color w:val="000000"/>
      <w:kern w:val="0"/>
      <w:sz w:val="18"/>
      <w:szCs w:val="18"/>
      <w:vertAlign w:val="subscript"/>
    </w:rPr>
  </w:style>
  <w:style w:type="paragraph" w:customStyle="1" w:styleId="165">
    <w:name w:val="et6"/>
    <w:basedOn w:val="1"/>
    <w:qFormat/>
    <w:uiPriority w:val="0"/>
    <w:pPr>
      <w:widowControl/>
      <w:pBdr>
        <w:top w:val="single" w:color="000000" w:sz="4" w:space="0"/>
        <w:left w:val="single" w:color="000000" w:sz="4" w:space="0"/>
        <w:bottom w:val="single" w:color="000000" w:sz="4" w:space="0"/>
        <w:right w:val="single" w:color="000000" w:sz="4" w:space="0"/>
      </w:pBdr>
      <w:adjustRightInd/>
      <w:snapToGrid/>
      <w:spacing w:before="100" w:beforeAutospacing="1" w:after="100" w:afterAutospacing="1" w:line="240" w:lineRule="auto"/>
      <w:jc w:val="center"/>
    </w:pPr>
    <w:rPr>
      <w:rFonts w:ascii="宋体" w:hAnsi="宋体" w:cs="宋体"/>
      <w:color w:val="000000"/>
      <w:kern w:val="0"/>
      <w:sz w:val="18"/>
      <w:szCs w:val="18"/>
    </w:rPr>
  </w:style>
  <w:style w:type="paragraph" w:customStyle="1" w:styleId="166">
    <w:name w:val="et14"/>
    <w:basedOn w:val="1"/>
    <w:qFormat/>
    <w:uiPriority w:val="0"/>
    <w:pPr>
      <w:widowControl/>
      <w:pBdr>
        <w:left w:val="single" w:color="000000" w:sz="4" w:space="0"/>
        <w:bottom w:val="single" w:color="000000" w:sz="4" w:space="0"/>
        <w:right w:val="single" w:color="000000" w:sz="4" w:space="0"/>
      </w:pBdr>
      <w:adjustRightInd/>
      <w:snapToGrid/>
      <w:spacing w:before="100" w:beforeAutospacing="1" w:after="100" w:afterAutospacing="1" w:line="240" w:lineRule="auto"/>
      <w:jc w:val="center"/>
    </w:pPr>
    <w:rPr>
      <w:kern w:val="0"/>
      <w:sz w:val="18"/>
      <w:szCs w:val="18"/>
    </w:rPr>
  </w:style>
  <w:style w:type="paragraph" w:customStyle="1" w:styleId="167">
    <w:name w:val="三表头"/>
    <w:basedOn w:val="83"/>
    <w:qFormat/>
    <w:uiPriority w:val="0"/>
    <w:pPr>
      <w:numPr>
        <w:ilvl w:val="0"/>
        <w:numId w:val="3"/>
      </w:numPr>
      <w:adjustRightInd/>
      <w:snapToGrid/>
      <w:spacing w:before="50" w:line="240" w:lineRule="auto"/>
      <w:ind w:firstLineChars="0"/>
    </w:pPr>
    <w:rPr>
      <w:snapToGrid/>
      <w:kern w:val="2"/>
      <w:sz w:val="21"/>
      <w:szCs w:val="21"/>
      <w:lang w:val="zh-CN"/>
    </w:rPr>
  </w:style>
  <w:style w:type="paragraph" w:customStyle="1" w:styleId="168">
    <w:name w:val="四表头"/>
    <w:basedOn w:val="83"/>
    <w:qFormat/>
    <w:uiPriority w:val="0"/>
    <w:pPr>
      <w:tabs>
        <w:tab w:val="left" w:pos="0"/>
      </w:tabs>
      <w:adjustRightInd/>
      <w:snapToGrid/>
      <w:spacing w:before="50" w:line="240" w:lineRule="auto"/>
      <w:ind w:firstLine="0" w:firstLineChars="0"/>
    </w:pPr>
    <w:rPr>
      <w:snapToGrid/>
      <w:kern w:val="2"/>
      <w:sz w:val="21"/>
      <w:szCs w:val="21"/>
      <w:lang w:val="zh-CN"/>
    </w:rPr>
  </w:style>
  <w:style w:type="paragraph" w:customStyle="1" w:styleId="169">
    <w:name w:val="一表头"/>
    <w:basedOn w:val="83"/>
    <w:qFormat/>
    <w:uiPriority w:val="0"/>
    <w:pPr>
      <w:numPr>
        <w:ilvl w:val="0"/>
        <w:numId w:val="4"/>
      </w:numPr>
      <w:adjustRightInd/>
      <w:snapToGrid/>
      <w:spacing w:beforeLines="0" w:line="360" w:lineRule="auto"/>
      <w:ind w:left="0" w:firstLine="0" w:firstLineChars="0"/>
    </w:pPr>
    <w:rPr>
      <w:rFonts w:ascii="宋体" w:hAnsi="宋体"/>
      <w:snapToGrid/>
      <w:sz w:val="21"/>
      <w:szCs w:val="21"/>
      <w:lang w:val="zh-CN"/>
    </w:rPr>
  </w:style>
  <w:style w:type="paragraph" w:customStyle="1" w:styleId="170">
    <w:name w:val="二表头"/>
    <w:basedOn w:val="83"/>
    <w:qFormat/>
    <w:uiPriority w:val="0"/>
    <w:pPr>
      <w:tabs>
        <w:tab w:val="left" w:pos="0"/>
      </w:tabs>
      <w:adjustRightInd/>
      <w:snapToGrid/>
      <w:spacing w:before="50" w:line="240" w:lineRule="auto"/>
      <w:ind w:firstLine="0" w:firstLineChars="0"/>
    </w:pPr>
    <w:rPr>
      <w:snapToGrid/>
      <w:kern w:val="2"/>
      <w:sz w:val="21"/>
      <w:szCs w:val="21"/>
      <w:lang w:val="zh-CN"/>
    </w:rPr>
  </w:style>
  <w:style w:type="paragraph" w:customStyle="1" w:styleId="171">
    <w:name w:val="B正文"/>
    <w:basedOn w:val="1"/>
    <w:link w:val="172"/>
    <w:qFormat/>
    <w:uiPriority w:val="0"/>
    <w:pPr>
      <w:adjustRightInd/>
      <w:snapToGrid/>
      <w:ind w:firstLine="200" w:firstLineChars="200"/>
      <w:contextualSpacing/>
    </w:pPr>
    <w:rPr>
      <w:sz w:val="24"/>
      <w:szCs w:val="24"/>
    </w:rPr>
  </w:style>
  <w:style w:type="character" w:customStyle="1" w:styleId="172">
    <w:name w:val="B正文 Char"/>
    <w:link w:val="171"/>
    <w:qFormat/>
    <w:uiPriority w:val="0"/>
    <w:rPr>
      <w:kern w:val="2"/>
      <w:sz w:val="24"/>
      <w:szCs w:val="24"/>
    </w:rPr>
  </w:style>
  <w:style w:type="character" w:customStyle="1" w:styleId="173">
    <w:name w:val="font91"/>
    <w:qFormat/>
    <w:uiPriority w:val="0"/>
    <w:rPr>
      <w:rFonts w:hint="default" w:ascii="Times New Roman" w:hAnsi="Times New Roman" w:cs="Times New Roman"/>
      <w:color w:val="000000"/>
      <w:sz w:val="18"/>
      <w:szCs w:val="18"/>
      <w:u w:val="none"/>
      <w:vertAlign w:val="subscript"/>
    </w:rPr>
  </w:style>
  <w:style w:type="character" w:customStyle="1" w:styleId="174">
    <w:name w:val="font101"/>
    <w:qFormat/>
    <w:uiPriority w:val="0"/>
    <w:rPr>
      <w:rFonts w:hint="default" w:ascii="Times New Roman" w:hAnsi="Times New Roman" w:cs="Times New Roman"/>
      <w:color w:val="000000"/>
      <w:sz w:val="18"/>
      <w:szCs w:val="18"/>
      <w:u w:val="none"/>
      <w:vertAlign w:val="superscript"/>
    </w:rPr>
  </w:style>
  <w:style w:type="character" w:customStyle="1" w:styleId="175">
    <w:name w:val="15"/>
    <w:qFormat/>
    <w:uiPriority w:val="0"/>
    <w:rPr>
      <w:rFonts w:hint="default" w:ascii="Times New Roman" w:hAnsi="Times New Roman" w:cs="Times New Roman"/>
    </w:rPr>
  </w:style>
  <w:style w:type="character" w:customStyle="1" w:styleId="176">
    <w:name w:val="标题 1 字符"/>
    <w:link w:val="2"/>
    <w:qFormat/>
    <w:uiPriority w:val="99"/>
    <w:rPr>
      <w:rFonts w:eastAsia="黑体"/>
      <w:b/>
      <w:bCs/>
      <w:color w:val="000000"/>
      <w:kern w:val="44"/>
      <w:sz w:val="30"/>
      <w:szCs w:val="30"/>
    </w:rPr>
  </w:style>
  <w:style w:type="character" w:customStyle="1" w:styleId="177">
    <w:name w:val="正文文本首行缩进 字符"/>
    <w:link w:val="14"/>
    <w:qFormat/>
    <w:uiPriority w:val="0"/>
    <w:rPr>
      <w:sz w:val="21"/>
    </w:rPr>
  </w:style>
  <w:style w:type="character" w:customStyle="1" w:styleId="178">
    <w:name w:val="正文文本缩进 2 字符"/>
    <w:link w:val="21"/>
    <w:qFormat/>
    <w:uiPriority w:val="0"/>
    <w:rPr>
      <w:sz w:val="24"/>
    </w:rPr>
  </w:style>
  <w:style w:type="character" w:customStyle="1" w:styleId="179">
    <w:name w:val="10"/>
    <w:qFormat/>
    <w:uiPriority w:val="0"/>
    <w:rPr>
      <w:rFonts w:hint="default" w:ascii="Times New Roman" w:hAnsi="Times New Roman" w:cs="Times New Roman"/>
    </w:rPr>
  </w:style>
  <w:style w:type="character" w:customStyle="1" w:styleId="180">
    <w:name w:val="16"/>
    <w:qFormat/>
    <w:uiPriority w:val="0"/>
    <w:rPr>
      <w:rFonts w:hint="eastAsia" w:ascii="宋体" w:hAnsi="宋体" w:eastAsia="宋体"/>
      <w:color w:val="EE0000"/>
      <w:sz w:val="18"/>
      <w:szCs w:val="18"/>
    </w:rPr>
  </w:style>
  <w:style w:type="character" w:customStyle="1" w:styleId="181">
    <w:name w:val="17"/>
    <w:qFormat/>
    <w:uiPriority w:val="0"/>
    <w:rPr>
      <w:rFonts w:hint="eastAsia" w:ascii="宋体" w:hAnsi="宋体" w:eastAsia="宋体"/>
      <w:color w:val="FF0000"/>
      <w:sz w:val="18"/>
      <w:szCs w:val="18"/>
    </w:rPr>
  </w:style>
  <w:style w:type="character" w:customStyle="1" w:styleId="182">
    <w:name w:val="18"/>
    <w:qFormat/>
    <w:uiPriority w:val="0"/>
    <w:rPr>
      <w:rFonts w:hint="eastAsia" w:ascii="宋体" w:hAnsi="宋体" w:eastAsia="宋体"/>
      <w:color w:val="000000"/>
      <w:sz w:val="18"/>
      <w:szCs w:val="18"/>
    </w:rPr>
  </w:style>
  <w:style w:type="character" w:customStyle="1" w:styleId="183">
    <w:name w:val="19"/>
    <w:qFormat/>
    <w:uiPriority w:val="0"/>
    <w:rPr>
      <w:rFonts w:hint="eastAsia" w:ascii="宋体" w:hAnsi="宋体" w:eastAsia="宋体"/>
      <w:color w:val="000000"/>
      <w:sz w:val="18"/>
      <w:szCs w:val="18"/>
    </w:rPr>
  </w:style>
  <w:style w:type="character" w:customStyle="1" w:styleId="184">
    <w:name w:val="20"/>
    <w:qFormat/>
    <w:uiPriority w:val="0"/>
    <w:rPr>
      <w:rFonts w:hint="eastAsia" w:ascii="宋体" w:hAnsi="宋体" w:eastAsia="宋体"/>
      <w:color w:val="000000"/>
      <w:sz w:val="18"/>
      <w:szCs w:val="18"/>
    </w:rPr>
  </w:style>
  <w:style w:type="character" w:customStyle="1" w:styleId="185">
    <w:name w:val="21"/>
    <w:qFormat/>
    <w:uiPriority w:val="0"/>
    <w:rPr>
      <w:rFonts w:hint="default" w:ascii="Times New Roman" w:hAnsi="Times New Roman" w:cs="Times New Roman"/>
      <w:color w:val="000000"/>
      <w:sz w:val="18"/>
      <w:szCs w:val="18"/>
    </w:rPr>
  </w:style>
  <w:style w:type="character" w:customStyle="1" w:styleId="186">
    <w:name w:val="22"/>
    <w:qFormat/>
    <w:uiPriority w:val="0"/>
    <w:rPr>
      <w:rFonts w:hint="default" w:ascii="Times New Roman" w:hAnsi="Times New Roman" w:cs="Times New Roman"/>
      <w:color w:val="000000"/>
      <w:sz w:val="18"/>
      <w:szCs w:val="18"/>
      <w:vertAlign w:val="superscript"/>
    </w:rPr>
  </w:style>
  <w:style w:type="character" w:customStyle="1" w:styleId="187">
    <w:name w:val="23"/>
    <w:qFormat/>
    <w:uiPriority w:val="0"/>
    <w:rPr>
      <w:rFonts w:hint="default" w:ascii="Times New Roman" w:hAnsi="Times New Roman" w:cs="Times New Roman"/>
    </w:rPr>
  </w:style>
  <w:style w:type="paragraph" w:customStyle="1" w:styleId="188">
    <w:name w:val="表格下方正文"/>
    <w:basedOn w:val="1"/>
    <w:qFormat/>
    <w:uiPriority w:val="0"/>
    <w:pPr>
      <w:spacing w:before="300" w:after="100" w:afterAutospacing="1" w:line="460" w:lineRule="exact"/>
      <w:ind w:firstLine="482"/>
    </w:pPr>
    <w:rPr>
      <w:rFonts w:ascii="Arial" w:hAnsi="Arial" w:cs="Arial"/>
      <w:color w:val="000000"/>
      <w:kern w:val="0"/>
      <w:sz w:val="24"/>
      <w:szCs w:val="24"/>
    </w:rPr>
  </w:style>
  <w:style w:type="paragraph" w:customStyle="1" w:styleId="189">
    <w:name w:val="二级标题"/>
    <w:basedOn w:val="1"/>
    <w:qFormat/>
    <w:uiPriority w:val="0"/>
    <w:pPr>
      <w:adjustRightInd/>
      <w:snapToGrid/>
      <w:spacing w:before="60" w:after="100" w:afterAutospacing="1" w:line="460" w:lineRule="exact"/>
      <w:outlineLvl w:val="1"/>
    </w:pPr>
    <w:rPr>
      <w:b/>
      <w:bCs/>
      <w:sz w:val="28"/>
      <w:szCs w:val="28"/>
    </w:rPr>
  </w:style>
  <w:style w:type="paragraph" w:customStyle="1" w:styleId="190">
    <w:name w:val="Table Text"/>
    <w:basedOn w:val="1"/>
    <w:qFormat/>
    <w:uiPriority w:val="0"/>
    <w:pPr>
      <w:adjustRightInd/>
      <w:snapToGrid/>
      <w:spacing w:before="30" w:after="30" w:line="240" w:lineRule="auto"/>
    </w:pPr>
    <w:rPr>
      <w:rFonts w:ascii="Arial" w:hAnsi="Arial" w:cs="Arial"/>
      <w:kern w:val="0"/>
      <w:sz w:val="16"/>
      <w:szCs w:val="16"/>
    </w:rPr>
  </w:style>
  <w:style w:type="paragraph" w:customStyle="1" w:styleId="191">
    <w:name w:val="正文001"/>
    <w:basedOn w:val="1"/>
    <w:qFormat/>
    <w:uiPriority w:val="0"/>
    <w:pPr>
      <w:adjustRightInd/>
      <w:snapToGrid/>
      <w:spacing w:before="60" w:after="100" w:afterAutospacing="1" w:line="460" w:lineRule="exact"/>
      <w:ind w:firstLine="200" w:firstLineChars="200"/>
    </w:pPr>
    <w:rPr>
      <w:rFonts w:ascii="Arial" w:hAnsi="Arial" w:cs="Arial"/>
      <w:kern w:val="0"/>
      <w:sz w:val="24"/>
      <w:szCs w:val="24"/>
    </w:rPr>
  </w:style>
  <w:style w:type="table" w:customStyle="1" w:styleId="192">
    <w:name w:val="Table Normal"/>
    <w:basedOn w:val="30"/>
    <w:qFormat/>
    <w:uiPriority w:val="0"/>
    <w:rPr>
      <w:rFonts w:eastAsia="Times New Roman"/>
    </w:rPr>
    <w:tblPr>
      <w:tblCellMar>
        <w:left w:w="0" w:type="dxa"/>
        <w:right w:w="0" w:type="dxa"/>
      </w:tblCellMar>
    </w:tblPr>
  </w:style>
  <w:style w:type="paragraph" w:customStyle="1" w:styleId="193">
    <w:name w:val="修订1"/>
    <w:hidden/>
    <w:unhideWhenUsed/>
    <w:qFormat/>
    <w:uiPriority w:val="99"/>
    <w:rPr>
      <w:rFonts w:ascii="Times New Roman" w:hAnsi="Times New Roman" w:eastAsia="宋体" w:cs="Times New Roman"/>
      <w:kern w:val="2"/>
      <w:sz w:val="21"/>
      <w:szCs w:val="22"/>
      <w:lang w:val="en-US" w:eastAsia="zh-CN" w:bidi="ar-SA"/>
    </w:rPr>
  </w:style>
  <w:style w:type="paragraph" w:customStyle="1" w:styleId="194">
    <w:name w:val="修订2"/>
    <w:hidden/>
    <w:unhideWhenUsed/>
    <w:qFormat/>
    <w:uiPriority w:val="99"/>
    <w:rPr>
      <w:rFonts w:ascii="Times New Roman" w:hAnsi="Times New Roman" w:eastAsia="宋体" w:cs="Times New Roman"/>
      <w:kern w:val="2"/>
      <w:sz w:val="21"/>
      <w:szCs w:val="22"/>
      <w:lang w:val="en-US" w:eastAsia="zh-CN" w:bidi="ar-SA"/>
    </w:rPr>
  </w:style>
  <w:style w:type="paragraph" w:customStyle="1" w:styleId="195">
    <w:name w:val="表格正文8"/>
    <w:basedOn w:val="1"/>
    <w:qFormat/>
    <w:uiPriority w:val="0"/>
    <w:pPr>
      <w:adjustRightInd/>
      <w:snapToGrid/>
      <w:spacing w:line="360" w:lineRule="exact"/>
      <w:jc w:val="center"/>
    </w:pPr>
    <w:rPr>
      <w:rFonts w:ascii="Tahoma" w:hAnsi="Tahoma" w:cs="Tahoma"/>
      <w:kern w:val="0"/>
      <w:szCs w:val="21"/>
    </w:rPr>
  </w:style>
  <w:style w:type="paragraph" w:customStyle="1" w:styleId="196">
    <w:name w:val="表格正文6"/>
    <w:basedOn w:val="1"/>
    <w:qFormat/>
    <w:uiPriority w:val="0"/>
    <w:pPr>
      <w:adjustRightInd/>
      <w:snapToGrid/>
      <w:spacing w:line="360" w:lineRule="exact"/>
      <w:jc w:val="center"/>
    </w:pPr>
    <w:rPr>
      <w:rFonts w:ascii="Courier New" w:hAnsi="Courier New" w:cs="Courier New"/>
      <w:kern w:val="0"/>
      <w:szCs w:val="21"/>
    </w:rPr>
  </w:style>
  <w:style w:type="paragraph" w:customStyle="1" w:styleId="197">
    <w:name w:val="修订3"/>
    <w:hidden/>
    <w:unhideWhenUsed/>
    <w:qFormat/>
    <w:uiPriority w:val="99"/>
    <w:rPr>
      <w:rFonts w:ascii="Times New Roman" w:hAnsi="Times New Roman" w:eastAsia="宋体" w:cs="Times New Roman"/>
      <w:kern w:val="2"/>
      <w:sz w:val="21"/>
      <w:szCs w:val="22"/>
      <w:lang w:val="en-US" w:eastAsia="zh-CN" w:bidi="ar-SA"/>
    </w:rPr>
  </w:style>
  <w:style w:type="paragraph" w:customStyle="1" w:styleId="198">
    <w:name w:val="Char Char Char Char Char Char2 Char Char Char Char"/>
    <w:basedOn w:val="1"/>
    <w:qFormat/>
    <w:uiPriority w:val="0"/>
  </w:style>
  <w:style w:type="paragraph" w:customStyle="1" w:styleId="199">
    <w:name w:val="修订4"/>
    <w:hidden/>
    <w:unhideWhenUsed/>
    <w:qFormat/>
    <w:uiPriority w:val="99"/>
    <w:rPr>
      <w:rFonts w:ascii="Times New Roman" w:hAnsi="Times New Roman" w:eastAsia="宋体" w:cs="Times New Roman"/>
      <w:kern w:val="2"/>
      <w:sz w:val="21"/>
      <w:szCs w:val="22"/>
      <w:lang w:val="en-US" w:eastAsia="zh-CN" w:bidi="ar-SA"/>
    </w:rPr>
  </w:style>
  <w:style w:type="paragraph" w:customStyle="1" w:styleId="200">
    <w:name w:val="列表段落1"/>
    <w:basedOn w:val="1"/>
    <w:qFormat/>
    <w:uiPriority w:val="0"/>
    <w:pPr>
      <w:widowControl/>
      <w:kinsoku w:val="0"/>
      <w:autoSpaceDE w:val="0"/>
      <w:autoSpaceDN w:val="0"/>
      <w:ind w:firstLine="420" w:firstLineChars="200"/>
      <w:jc w:val="left"/>
      <w:textAlignment w:val="baseline"/>
    </w:pPr>
    <w:rPr>
      <w:rFonts w:ascii="仿宋_GB2312" w:hAnsi="Arial" w:eastAsia="仿宋_GB2312" w:cs="Arial"/>
      <w:color w:val="000000"/>
      <w:kern w:val="0"/>
      <w:sz w:val="28"/>
      <w:szCs w:val="28"/>
    </w:rPr>
  </w:style>
  <w:style w:type="paragraph" w:customStyle="1" w:styleId="201">
    <w:name w:val="1111正文"/>
    <w:basedOn w:val="1"/>
    <w:qFormat/>
    <w:uiPriority w:val="0"/>
    <w:pPr>
      <w:widowControl/>
      <w:kinsoku w:val="0"/>
      <w:autoSpaceDE w:val="0"/>
      <w:autoSpaceDN w:val="0"/>
      <w:ind w:firstLine="200" w:firstLineChars="200"/>
      <w:jc w:val="left"/>
      <w:textAlignment w:val="baseline"/>
    </w:pPr>
    <w:rPr>
      <w:rFonts w:ascii="Arial" w:hAnsi="Arial" w:cs="Arial"/>
      <w:color w:val="000000"/>
      <w:kern w:val="0"/>
      <w:sz w:val="24"/>
      <w:szCs w:val="24"/>
    </w:rPr>
  </w:style>
  <w:style w:type="character" w:customStyle="1" w:styleId="202">
    <w:name w:val="副标题 字符"/>
    <w:basedOn w:val="32"/>
    <w:link w:val="25"/>
    <w:qFormat/>
    <w:uiPriority w:val="99"/>
    <w:rPr>
      <w:rFonts w:ascii="Cambria" w:hAnsi="Cambria" w:cs="Arial"/>
      <w:b/>
      <w:bCs/>
      <w:color w:val="000000"/>
      <w:kern w:val="28"/>
      <w:sz w:val="32"/>
      <w:szCs w:val="32"/>
    </w:rPr>
  </w:style>
  <w:style w:type="paragraph" w:customStyle="1" w:styleId="203">
    <w:name w:val="列表段落2"/>
    <w:basedOn w:val="1"/>
    <w:qFormat/>
    <w:uiPriority w:val="0"/>
    <w:pPr>
      <w:widowControl/>
      <w:kinsoku w:val="0"/>
      <w:autoSpaceDE w:val="0"/>
      <w:autoSpaceDN w:val="0"/>
      <w:ind w:firstLine="420" w:firstLineChars="200"/>
      <w:jc w:val="left"/>
      <w:textAlignment w:val="baseline"/>
    </w:pPr>
    <w:rPr>
      <w:rFonts w:ascii="仿宋_GB2312" w:hAnsi="Arial" w:eastAsia="仿宋_GB2312" w:cs="Arial"/>
      <w:color w:val="000000"/>
      <w:kern w:val="0"/>
      <w:sz w:val="28"/>
      <w:szCs w:val="28"/>
    </w:rPr>
  </w:style>
  <w:style w:type="paragraph" w:customStyle="1" w:styleId="204">
    <w:name w:val="2级标题"/>
    <w:basedOn w:val="1"/>
    <w:qFormat/>
    <w:uiPriority w:val="0"/>
    <w:pPr>
      <w:widowControl/>
      <w:kinsoku w:val="0"/>
      <w:autoSpaceDE w:val="0"/>
      <w:autoSpaceDN w:val="0"/>
      <w:jc w:val="left"/>
      <w:textAlignment w:val="baseline"/>
      <w:outlineLvl w:val="1"/>
    </w:pPr>
    <w:rPr>
      <w:rFonts w:cs="Arial"/>
      <w:b/>
      <w:color w:val="000000"/>
      <w:kern w:val="0"/>
      <w:szCs w:val="21"/>
    </w:rPr>
  </w:style>
  <w:style w:type="paragraph" w:customStyle="1" w:styleId="205">
    <w:name w:val="样式 宋体 四号 首行缩进:  2 字符"/>
    <w:basedOn w:val="1"/>
    <w:qFormat/>
    <w:uiPriority w:val="0"/>
    <w:pPr>
      <w:widowControl/>
      <w:kinsoku w:val="0"/>
      <w:autoSpaceDE w:val="0"/>
      <w:autoSpaceDN w:val="0"/>
      <w:spacing w:line="240" w:lineRule="auto"/>
      <w:jc w:val="left"/>
      <w:textAlignment w:val="baseline"/>
    </w:pPr>
    <w:rPr>
      <w:rFonts w:ascii="Arial" w:hAnsi="Arial" w:cs="宋体"/>
      <w:color w:val="000000"/>
      <w:kern w:val="0"/>
      <w:szCs w:val="21"/>
    </w:rPr>
  </w:style>
  <w:style w:type="table" w:customStyle="1" w:styleId="206">
    <w:name w:val="网格型1"/>
    <w:basedOn w:val="30"/>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7">
    <w:name w:val="网格型2"/>
    <w:basedOn w:val="30"/>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8">
    <w:name w:val="修订5"/>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endnotes" Target="endnotes.xml"/><Relationship Id="rId59" Type="http://schemas.microsoft.com/office/2011/relationships/people" Target="people.xml"/><Relationship Id="rId58" Type="http://schemas.openxmlformats.org/officeDocument/2006/relationships/fontTable" Target="fontTable.xml"/><Relationship Id="rId57" Type="http://schemas.openxmlformats.org/officeDocument/2006/relationships/customXml" Target="../customXml/item3.xml"/><Relationship Id="rId56" Type="http://schemas.openxmlformats.org/officeDocument/2006/relationships/customXml" Target="../customXml/item2.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png"/><Relationship Id="rId50" Type="http://schemas.openxmlformats.org/officeDocument/2006/relationships/image" Target="media/image40.png"/><Relationship Id="rId5" Type="http://schemas.openxmlformats.org/officeDocument/2006/relationships/footnotes" Target="footnotes.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jpe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microsoft.com/office/2011/relationships/commentsExtended" Target="commentsExtended.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jpe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comments" Target="comment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2e6a70c8-8962-4935-9ce0-92411d4baa14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B97F320</paraID>
      <start>16</start>
      <end>17</end>
      <status>unmodified</status>
      <modifiedWord/>
      <trackRevisions>false</trackRevisions>
    </reviewItem>
    <reviewItem>
      <errorID>82405253-391f-4c47-8992-3ac6f00a4c62</errorID>
      <errorWord>[2026]120号</errorWord>
      <group>L1_Knowledge</group>
      <groupName>知识性问题</groupName>
      <ability>L2_Knowledge</ability>
      <abilityName>其他知识</abilityName>
      <candidateList>
        <item>〔2026〕120号</item>
      </candidateList>
      <explain>发文字号格式错误。</explain>
      <paraID>7DE3AC81</paraID>
      <start>9</start>
      <end>19</end>
      <status>unmodified</status>
      <modifiedWord/>
      <trackRevisions>false</trackRevisions>
    </reviewItem>
    <reviewItem>
      <errorID>2433d221-b204-4495-945b-e5906961624d</errorID>
      <errorWord>设设</errorWord>
      <group>L1_Word</group>
      <groupName>字词问题</groupName>
      <ability>L2_Typo</ability>
      <abilityName>字词错误</abilityName>
      <candidateList>
        <item>设</item>
      </candidateList>
      <explain/>
      <paraID>2D324412</paraID>
      <start>5</start>
      <end>7</end>
      <status>unmodified</status>
      <modifiedWord/>
      <trackRevisions>false</trackRevisions>
    </reviewItem>
    <reviewItem>
      <errorID>362317b8-5afe-4078-98b0-56444f0bef57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4D35E83C</paraID>
      <start>0</start>
      <end>2</end>
      <status>unmodified</status>
      <modifiedWord/>
      <trackRevisions>false</trackRevisions>
    </reviewItem>
    <reviewItem>
      <errorID>03038508-0e7e-4cfd-b9a8-f5e94cbcbc41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4D35E83C</paraID>
      <start>34</start>
      <end>35</end>
      <status>unmodified</status>
      <modifiedWord/>
      <trackRevisions>false</trackRevisions>
    </reviewItem>
    <reviewItem>
      <errorID>9c62b32f-f720-4cdd-9241-136bc94e3eb0</errorID>
      <errorWord>(</errorWord>
      <group>L1_Format</group>
      <groupName>格式问题</groupName>
      <ability>L2_HalfPunc_CN</ability>
      <abilityName>全半角问题</abilityName>
      <candidateList>
        <item>（</item>
      </candidateList>
      <explain>文本全半角错误。</explain>
      <paraID>354B8E5C</paraID>
      <start>32</start>
      <end>33</end>
      <status>unmodified</status>
      <modifiedWord/>
      <trackRevisions>false</trackRevisions>
    </reviewItem>
    <reviewItem>
      <errorID>7bc923a7-351c-4958-bf38-5ac0dd7b79b5</errorID>
      <errorWord>)</errorWord>
      <group>L1_Format</group>
      <groupName>格式问题</groupName>
      <ability>L2_HalfPunc_CN</ability>
      <abilityName>全半角问题</abilityName>
      <candidateList>
        <item>）</item>
      </candidateList>
      <explain>文本全半角错误。</explain>
      <paraID>354B8E5C</paraID>
      <start>38</start>
      <end>39</end>
      <status>unmodified</status>
      <modifiedWord/>
      <trackRevisions>false</trackRevisions>
    </reviewItem>
    <reviewItem>
      <errorID>c6478e35-2bae-4a2c-b0d5-ed64154a8463</errorID>
      <errorWord>[2018]533号</errorWord>
      <group>L1_Knowledge</group>
      <groupName>知识性问题</groupName>
      <ability>L2_Knowledge</ability>
      <abilityName>其他知识</abilityName>
      <candidateList>
        <item>〔2018〕533号</item>
      </candidateList>
      <explain>发文字号格式错误。</explain>
      <paraID>354B8E5C</paraID>
      <start>53</start>
      <end>63</end>
      <status>unmodified</status>
      <modifiedWord/>
      <trackRevisions>false</trackRevisions>
    </reviewItem>
    <reviewItem>
      <errorID>f83e9651-cb31-4b38-affb-0919be97ad32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14F1AB6C</paraID>
      <start>0</start>
      <end>2</end>
      <status>unmodified</status>
      <modifiedWord/>
      <trackRevisions>false</trackRevisions>
    </reviewItem>
    <reviewItem>
      <errorID>981db963-843e-4b13-8f2d-e3858b989968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2EA13059</paraID>
      <start>0</start>
      <end>2</end>
      <status>unmodified</status>
      <modifiedWord/>
      <trackRevisions>false</trackRevisions>
    </reviewItem>
    <reviewItem>
      <errorID>0f35d66f-0209-4e9b-a8cd-e98b437413c9</errorID>
      <errorWord>[2021]63号</errorWord>
      <group>L1_Knowledge</group>
      <groupName>知识性问题</groupName>
      <ability>L2_Knowledge</ability>
      <abilityName>其他知识</abilityName>
      <candidateList>
        <item>〔2021〕63号</item>
      </candidateList>
      <explain>发文字号格式错误。</explain>
      <paraID>3EF2C07E</paraID>
      <start>50</start>
      <end>59</end>
      <status>unmodified</status>
      <modifiedWord/>
      <trackRevisions>false</trackRevisions>
    </reviewItem>
    <reviewItem>
      <errorID>ab0b51b5-9664-47a7-9fa5-6d6062e33ea8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1238E5F4</paraID>
      <start>0</start>
      <end>2</end>
      <status>unmodified</status>
      <modifiedWord/>
      <trackRevisions>false</trackRevisions>
    </reviewItem>
    <reviewItem>
      <errorID>e2796770-dffc-4e3f-b41b-cc828d7b9622</errorID>
      <errorWord>[2018]533号</errorWord>
      <group>L1_Knowledge</group>
      <groupName>知识性问题</groupName>
      <ability>L2_Knowledge</ability>
      <abilityName>其他知识</abilityName>
      <candidateList>
        <item>〔2018〕533号</item>
      </candidateList>
      <explain>发文字号格式错误。</explain>
      <paraID>76BFF61C</paraID>
      <start>44</start>
      <end>54</end>
      <status>unmodified</status>
      <modifiedWord/>
      <trackRevisions>false</trackRevisions>
    </reviewItem>
    <reviewItem>
      <errorID>195059a7-2780-4074-8a38-ba215f18ea17</errorID>
      <errorWord>[2024]220号</errorWord>
      <group>L1_Knowledge</group>
      <groupName>知识性问题</groupName>
      <ability>L2_Knowledge</ability>
      <abilityName>其他知识</abilityName>
      <candidateList>
        <item>〔2024〕220号</item>
      </candidateList>
      <explain>发文字号格式错误。</explain>
      <paraID>2AA07FC1</paraID>
      <start>45</start>
      <end>55</end>
      <status>unmodified</status>
      <modifiedWord/>
      <trackRevisions>false</trackRevisions>
    </reviewItem>
    <reviewItem>
      <errorID>53189622-69c3-479a-a585-d6ed515c9f24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47C39F72</paraID>
      <start>29</start>
      <end>30</end>
      <status>unmodified</status>
      <modifiedWord/>
      <trackRevisions>false</trackRevisions>
    </reviewItem>
    <reviewItem>
      <errorID>237750fc-904e-44fb-92ce-7b8d248deb3d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4A884F03</paraID>
      <start>100</start>
      <end>101</end>
      <status>unmodified</status>
      <modifiedWord/>
      <trackRevisions>false</trackRevisions>
    </reviewItem>
    <reviewItem>
      <errorID>d4c1db49-04d8-4950-aeac-dbfc5344d7a1</errorID>
      <errorWord>适合于</errorWord>
      <group>L1_Word</group>
      <groupName>字词问题</groupName>
      <ability>L2_Typo</ability>
      <abilityName>字词错误</abilityName>
      <candidateList>
        <item>适合</item>
      </candidateList>
      <explain/>
      <paraID>20C13C76</paraID>
      <start>44</start>
      <end>47</end>
      <status>unmodified</status>
      <modifiedWord/>
      <trackRevisions>false</trackRevisions>
    </reviewItem>
    <reviewItem>
      <errorID>410734e8-2f66-4039-8a34-0407b12be22e</errorID>
      <errorWord>十四五期间</errorWord>
      <group>L1_Political</group>
      <groupName>政治性问题</groupName>
      <ability>L2_Keyword</ability>
      <abilityName>固定表述</abilityName>
      <candidateList>
        <item>“十四五”期间</item>
      </candidateList>
      <explain>注意检查当前固定表述标点是否使用规范。</explain>
      <paraID>  D9DCCF</paraID>
      <start>68</start>
      <end>73</end>
      <status>unmodified</status>
      <modifiedWord/>
      <trackRevisions>false</trackRevisions>
    </reviewItem>
    <reviewItem>
      <errorID>dd1b2d1f-34c6-43f0-aced-a6cf269c1948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10572CDF</paraID>
      <start>40</start>
      <end>41</end>
      <status>unmodified</status>
      <modifiedWord/>
      <trackRevisions>false</trackRevisions>
    </reviewItem>
    <reviewItem>
      <errorID>11c2de3d-2a38-46a4-8974-3bccef00c8f0</errorID>
      <errorWord>[2018]533号</errorWord>
      <group>L1_Knowledge</group>
      <groupName>知识性问题</groupName>
      <ability>L2_Knowledge</ability>
      <abilityName>其他知识</abilityName>
      <candidateList>
        <item>〔2018〕533号</item>
      </candidateList>
      <explain>发文字号格式错误。</explain>
      <paraID>10572CDF</paraID>
      <start>80</start>
      <end>90</end>
      <status>unmodified</status>
      <modifiedWord/>
      <trackRevisions>false</trackRevisions>
    </reviewItem>
    <reviewItem>
      <errorID>c3d6338b-b24b-4339-b60b-9c8b3b868998</errorID>
      <errorWord>[2024]220号</errorWord>
      <group>L1_Knowledge</group>
      <groupName>知识性问题</groupName>
      <ability>L2_Knowledge</ability>
      <abilityName>其他知识</abilityName>
      <candidateList>
        <item>〔2024〕220号</item>
      </candidateList>
      <explain>发文字号格式错误。</explain>
      <paraID>602E68FF</paraID>
      <start>51</start>
      <end>61</end>
      <status>unmodified</status>
      <modifiedWord/>
      <trackRevisions>false</trackRevisions>
    </reviewItem>
    <reviewItem>
      <errorID>b7b0094c-ce88-4d05-9721-ad5a240d55bd</errorID>
      <errorWord>规</errorWord>
      <group>L1_Word</group>
      <groupName>字词问题</groupName>
      <ability>L2_Typo</ability>
      <abilityName>字词错误</abilityName>
      <candidateList>
        <item>规和</item>
      </candidateList>
      <explain/>
      <paraID>1087FC2B</paraID>
      <start>42</start>
      <end>43</end>
      <status>unmodified</status>
      <modifiedWord/>
      <trackRevisions>false</trackRevisions>
    </reviewItem>
    <reviewItem>
      <errorID>52ce9b54-269e-42f2-a6f6-027e09dcc11c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4BE1BF8F</paraID>
      <start>31</start>
      <end>34</end>
      <status>unmodified</status>
      <modifiedWord/>
      <trackRevisions>false</trackRevisions>
    </reviewItem>
    <reviewItem>
      <errorID>11f031d2-0242-4641-8793-c1faaa302c81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4BE1BF8F</paraID>
      <start>48</start>
      <end>51</end>
      <status>unmodified</status>
      <modifiedWord/>
      <trackRevisions>false</trackRevisions>
    </reviewItem>
    <reviewItem>
      <errorID>f2036bc1-e92b-4b76-a2d2-2da6d7237acc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4BE1BF8F</paraID>
      <start>60</start>
      <end>63</end>
      <status>unmodified</status>
      <modifiedWord/>
      <trackRevisions>false</trackRevisions>
    </reviewItem>
    <reviewItem>
      <errorID>fd5c5099-52d1-43e1-944f-7ee30eb6593f</errorID>
      <errorWord>位于位于</errorWord>
      <group>L1_Word</group>
      <groupName>字词问题</groupName>
      <ability>L2_Typo</ability>
      <abilityName>字词错误</abilityName>
      <candidateList>
        <item>位于</item>
      </candidateList>
      <explain/>
      <paraID>2E7EA4CC</paraID>
      <start>23</start>
      <end>27</end>
      <status>unmodified</status>
      <modifiedWord/>
      <trackRevisions>false</trackRevisions>
    </reviewItem>
    <reviewItem>
      <errorID>a7ab7bff-6d98-45f4-8d90-8b38458c3b54</errorID>
      <errorWord>期</errorWord>
      <group>L1_Word</group>
      <groupName>字词问题</groupName>
      <ability>L2_Typo</ability>
      <abilityName>字词错误</abilityName>
      <candidateList>
        <item>期间</item>
      </candidateList>
      <explain/>
      <paraID> B227C22</paraID>
      <start>81</start>
      <end>82</end>
      <status>unmodified</status>
      <modifiedWord/>
      <trackRevisions>false</trackRevisions>
    </reviewItem>
    <reviewItem>
      <errorID>0a4240f4-8276-489e-87aa-7286df82cee2</errorID>
      <errorWord>，</errorWord>
      <group>L1_Word</group>
      <groupName>字词问题</groupName>
      <ability>L2_Typo</ability>
      <abilityName>字词错误</abilityName>
      <candidateList>
        <item>，在</item>
      </candidateList>
      <explain/>
      <paraID>32816B84</paraID>
      <start>29</start>
      <end>30</end>
      <status>unmodified</status>
      <modifiedWord/>
      <trackRevisions>false</trackRevisions>
    </reviewItem>
    <reviewItem>
      <errorID>09cbe5ba-1c6b-48d3-8849-ecdb918ab557</errorID>
      <errorWord>期</errorWord>
      <group>L1_Word</group>
      <groupName>字词问题</groupName>
      <ability>L2_Typo</ability>
      <abilityName>字词错误</abilityName>
      <candidateList>
        <item>期间</item>
      </candidateList>
      <explain/>
      <paraID>2A0672DB</paraID>
      <start>59</start>
      <end>60</end>
      <status>unmodified</status>
      <modifiedWord/>
      <trackRevisions>false</trackRevisions>
    </reviewItem>
    <reviewItem>
      <errorID>5e731ac7-7a4a-4e02-b5d3-e10a4ffb8941</errorID>
      <errorWord>）</errorWord>
      <group>L1_Word</group>
      <groupName>字词问题</groupName>
      <ability>L2_Typo</ability>
      <abilityName>字词错误</abilityName>
      <candidateList>
        <item>）对</item>
      </candidateList>
      <explain/>
      <paraID>6EBA78F4</paraID>
      <start>2</start>
      <end>3</end>
      <status>unmodified</status>
      <modifiedWord/>
      <trackRevisions>false</trackRevisions>
    </reviewItem>
    <reviewItem>
      <errorID>344d3777-bae8-4d78-8464-16d0287fba4e</errorID>
      <errorWord>将</errorWord>
      <group>L1_Word</group>
      <groupName>字词问题</groupName>
      <ability>L2_Typo</ability>
      <abilityName>字词错误</abilityName>
      <candidateList>
        <item>将采</item>
      </candidateList>
      <explain/>
      <paraID> DD20B41</paraID>
      <start>37</start>
      <end>38</end>
      <status>unmodified</status>
      <modifiedWord/>
      <trackRevisions>false</trackRevisions>
    </reviewItem>
    <reviewItem>
      <errorID>2a2c9cc3-44a3-4865-a92d-7e642656f60d</errorID>
      <errorWord>蓬布</errorWord>
      <group>L1_Word</group>
      <groupName>字词问题</groupName>
      <ability>L2_Typo</ability>
      <abilityName>字词错误</abilityName>
      <candidateList>
        <item>篷布</item>
      </candidateList>
      <explain/>
      <paraID>2A66F837</paraID>
      <start>19</start>
      <end>21</end>
      <status>unmodified</status>
      <modifiedWord/>
      <trackRevisions>false</trackRevisions>
    </reviewItem>
    <reviewItem>
      <errorID>4893d2f2-2175-492d-9388-df2b97ef2cf9</errorID>
      <errorWord>拌合站</errorWord>
      <group>L1_Word</group>
      <groupName>字词问题</groupName>
      <ability>L2_Typo</ability>
      <abilityName>字词错误</abilityName>
      <candidateList>
        <item>拌和站</item>
      </candidateList>
      <explain>存在发音相同字词的误用。</explain>
      <paraID>6B7B1999</paraID>
      <start>71</start>
      <end>74</end>
      <status>unmodified</status>
      <modifiedWord/>
      <trackRevisions>false</trackRevisions>
    </reviewItem>
    <reviewItem>
      <errorID>a1b88a93-1d50-4566-ad61-e5035be62099</errorID>
      <errorWord>必需</errorWord>
      <group>L1_Word</group>
      <groupName>字词问题</groupName>
      <ability>L2_Typo</ability>
      <abilityName>字词错误</abilityName>
      <candidateList>
        <item>必须</item>
      </candidateList>
      <explain>存在发音相同字词的误用。</explain>
      <paraID>1A93DABD</paraID>
      <start>23</start>
      <end>25</end>
      <status>unmodified</status>
      <modifiedWord/>
      <trackRevisions>false</trackRevisions>
    </reviewItem>
    <reviewItem>
      <errorID>dda3e345-f011-4291-abd8-a5ea836e0520</errorID>
      <errorWord>(</errorWord>
      <group>L1_Format</group>
      <groupName>格式问题</groupName>
      <ability>L2_HalfPunc_CN</ability>
      <abilityName>全半角问题</abilityName>
      <candidateList>
        <item>（</item>
      </candidateList>
      <explain>文本全半角错误。</explain>
      <paraID> E415DF4</paraID>
      <start>142</start>
      <end>143</end>
      <status>unmodified</status>
      <modifiedWord/>
      <trackRevisions>false</trackRevisions>
    </reviewItem>
    <reviewItem>
      <errorID>07271020-d37f-46df-99d9-bb9d7f1e9cb8</errorID>
      <errorWord>)</errorWord>
      <group>L1_Format</group>
      <groupName>格式问题</groupName>
      <ability>L2_HalfPunc_CN</ability>
      <abilityName>全半角问题</abilityName>
      <candidateList>
        <item>）</item>
      </candidateList>
      <explain>文本全半角错误。</explain>
      <paraID> E415DF4</paraID>
      <start>145</start>
      <end>146</end>
      <status>unmodified</status>
      <modifiedWord/>
      <trackRevisions>false</trackRevisions>
    </reviewItem>
    <reviewItem>
      <errorID>55e13d2c-e6b7-40fb-8966-6cd9db6dbe17</errorID>
      <errorWord>办法</errorWord>
      <group>L1_Word</group>
      <groupName>字词问题</groupName>
      <ability>L2_Typo</ability>
      <abilityName>字词错误</abilityName>
      <candidateList>
        <item>颁发</item>
      </candidateList>
      <explain/>
      <paraID>24460FD6</paraID>
      <start>23</start>
      <end>25</end>
      <status>unmodified</status>
      <modifiedWord/>
      <trackRevisions>false</trackRevisions>
    </reviewItem>
    <reviewItem>
      <errorID>112bdb93-4ba4-41c9-903c-c2f227215b1a</errorID>
      <errorWord>行使</errorWord>
      <group>L1_Word</group>
      <groupName>字词问题</groupName>
      <ability>L2_Typo</ability>
      <abilityName>字词错误</abilityName>
      <candidateList>
        <item>行驶</item>
      </candidateList>
      <explain/>
      <paraID> 8322569</paraID>
      <start>53</start>
      <end>55</end>
      <status>unmodified</status>
      <modifiedWord/>
      <trackRevisions>false</trackRevisions>
    </reviewItem>
    <reviewItem>
      <errorID>d944628b-95de-41fe-858b-4c975b048206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37FE6A62</paraID>
      <start>0</start>
      <end>3</end>
      <status>unmodified</status>
      <modifiedWord/>
      <trackRevisions>false</trackRevisions>
    </reviewItem>
    <reviewItem>
      <errorID>84f80de3-4525-415b-820d-41d240cf47ce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36441123</paraID>
      <start>0</start>
      <end>1</end>
      <status>unmodified</status>
      <modifiedWord/>
      <trackRevisions>false</trackRevisions>
    </reviewItem>
    <reviewItem>
      <errorID>c09f19c3-ce3c-4f0c-8d5a-54578b3b4eab</errorID>
      <errorWord>生态红线</errorWord>
      <group>L1_Political</group>
      <groupName>政治性问题</groupName>
      <ability>L2_Unpolitical</ability>
      <abilityName>政治敏感错误</abilityName>
      <candidateList>
        <item>生态保护红线</item>
      </candidateList>
      <explain/>
      <paraID>36441123</paraID>
      <start>4</start>
      <end>8</end>
      <status>unmodified</status>
      <modifiedWord/>
      <trackRevisions>false</trackRevisions>
    </reviewItem>
    <reviewItem>
      <errorID>24263632-97a6-4261-ab29-a4f09c2dfbfb</errorID>
      <errorWord>(</errorWord>
      <group>L1_Format</group>
      <groupName>格式问题</groupName>
      <ability>L2_HalfPunc_CN</ability>
      <abilityName>全半角问题</abilityName>
      <candidateList>
        <item>（</item>
      </candidateList>
      <explain>文本全半角错误。</explain>
      <paraID>36441123</paraID>
      <start>39</start>
      <end>40</end>
      <status>unmodified</status>
      <modifiedWord/>
      <trackRevisions>false</trackRevisions>
    </reviewItem>
    <reviewItem>
      <errorID>3f258c98-a956-44f0-89a8-7c4a9c68da10</errorID>
      <errorWord>)</errorWord>
      <group>L1_Format</group>
      <groupName>格式问题</groupName>
      <ability>L2_HalfPunc_CN</ability>
      <abilityName>全半角问题</abilityName>
      <candidateList>
        <item>）</item>
      </candidateList>
      <explain>文本全半角错误。</explain>
      <paraID>36441123</paraID>
      <start>75</start>
      <end>76</end>
      <status>unmodified</status>
      <modifiedWord/>
      <trackRevisions>false</trackRevisions>
    </reviewItem>
    <reviewItem>
      <errorID>5750d2cc-2738-4196-afc8-15e86a7794ed</errorID>
      <errorWord>(</errorWord>
      <group>L1_Format</group>
      <groupName>格式问题</groupName>
      <ability>L2_HalfPunc_CN</ability>
      <abilityName>全半角问题</abilityName>
      <candidateList>
        <item>（</item>
      </candidateList>
      <explain>文本全半角错误。</explain>
      <paraID>36441123</paraID>
      <start>169</start>
      <end>170</end>
      <status>unmodified</status>
      <modifiedWord/>
      <trackRevisions>false</trackRevisions>
    </reviewItem>
    <reviewItem>
      <errorID>2f9b5e27-95f0-4db6-bfa4-4b4846a9e227</errorID>
      <errorWord>)</errorWord>
      <group>L1_Format</group>
      <groupName>格式问题</groupName>
      <ability>L2_HalfPunc_CN</ability>
      <abilityName>全半角问题</abilityName>
      <candidateList>
        <item>）</item>
      </candidateList>
      <explain>文本全半角错误。</explain>
      <paraID>36441123</paraID>
      <start>228</start>
      <end>229</end>
      <status>unmodified</status>
      <modifiedWord/>
      <trackRevisions>false</trackRevisions>
    </reviewItem>
    <reviewItem>
      <errorID>a0fdbee5-5f00-446f-8dba-4903d1eeb254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A76337A</paraID>
      <start>29</start>
      <end>30</end>
      <status>unmodified</status>
      <modifiedWord/>
      <trackRevisions>false</trackRevisions>
    </reviewItem>
    <reviewItem>
      <errorID>9f35baa0-1b9b-41ed-9f9c-1249d27f6c33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A76337A</paraID>
      <start>43</start>
      <end>44</end>
      <status>unmodified</status>
      <modifiedWord/>
      <trackRevisions>false</trackRevisions>
    </reviewItem>
    <reviewItem>
      <errorID>d29101a7-5e5d-46ff-add8-197d8032739a</errorID>
      <errorWord>生态红线</errorWord>
      <group>L1_Political</group>
      <groupName>政治性问题</groupName>
      <ability>L2_Unpolitical</ability>
      <abilityName>政治敏感错误</abilityName>
      <candidateList>
        <item>生态保护红线</item>
      </candidateList>
      <explain/>
      <paraID> A76337A</paraID>
      <start>50</start>
      <end>54</end>
      <status>unmodified</status>
      <modifiedWord/>
      <trackRevisions>false</trackRevisions>
    </reviewItem>
    <reviewItem>
      <errorID>9134b5ff-252d-4928-b031-bb8054965771</errorID>
      <errorWord>上线</errorWord>
      <group>L1_Word</group>
      <groupName>字词问题</groupName>
      <ability>L2_Typo</ability>
      <abilityName>字词错误</abilityName>
      <candidateList>
        <item>上限</item>
      </candidateList>
      <explain>存在发音相同字词的误用。</explain>
      <paraID>469B12DF</paraID>
      <start>4</start>
      <end>6</end>
      <status>unmodified</status>
      <modifiedWord/>
      <trackRevisions>false</trackRevisions>
    </reviewItem>
    <reviewItem>
      <errorID>46917f59-dac5-4ed1-ba17-c5145835b87e</errorID>
      <errorWord>上线</errorWord>
      <group>L1_Word</group>
      <groupName>字词问题</groupName>
      <ability>L2_Typo</ability>
      <abilityName>字词错误</abilityName>
      <candidateList>
        <item>上限</item>
      </candidateList>
      <explain/>
      <paraID>462FCFE6</paraID>
      <start>4</start>
      <end>6</end>
      <status>unmodified</status>
      <modifiedWord/>
      <trackRevisions>false</trackRevisions>
    </reviewItem>
    <reviewItem>
      <errorID>71442421-8461-4bbc-9636-916be3abbf13</errorID>
      <errorWord>上线</errorWord>
      <group>L1_Word</group>
      <groupName>字词问题</groupName>
      <ability>L2_Typo</ability>
      <abilityName>字词错误</abilityName>
      <candidateList>
        <item>上限</item>
      </candidateList>
      <explain/>
      <paraID>5B4A3597</paraID>
      <start>44</start>
      <end>46</end>
      <status>unmodified</status>
      <modifiedWord/>
      <trackRevisions>false</trackRevisions>
    </reviewItem>
    <reviewItem>
      <errorID>f8ea96a6-0581-470f-82a6-50fc86324d00</errorID>
      <errorWord>上线</errorWord>
      <group>L1_Word</group>
      <groupName>字词问题</groupName>
      <ability>L2_Typo</ability>
      <abilityName>字词错误</abilityName>
      <candidateList>
        <item>上限</item>
      </candidateList>
      <explain>存在发音相同字词的误用。</explain>
      <paraID>63CBCB25</paraID>
      <start>5</start>
      <end>7</end>
      <status>unmodified</status>
      <modifiedWord/>
      <trackRevisions>false</trackRevisions>
    </reviewItem>
    <reviewItem>
      <errorID>dd03c045-8d60-4c17-b71d-4a58ad2464cf</errorID>
      <errorWord>农业灌溉水有效利用系数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词汇“农田灌溉水有效利用系数”在特定场景下为固定表述形式，请确认此处的“农业灌溉水有效利用系数”是否存在不当。</explain>
      <paraID>7296F974</paraID>
      <start>80</start>
      <end>91</end>
      <status>unmodified</status>
      <modifiedWord/>
      <trackRevisions>false</trackRevisions>
    </reviewItem>
    <reviewItem>
      <errorID>b857e0d7-a744-40c6-8dca-624f05d1c63c</errorID>
      <errorWord>上线</errorWord>
      <group>L1_Word</group>
      <groupName>字词问题</groupName>
      <ability>L2_Typo</ability>
      <abilityName>字词错误</abilityName>
      <candidateList>
        <item>上限</item>
      </candidateList>
      <explain/>
      <paraID>24ECC07E</paraID>
      <start>22</start>
      <end>24</end>
      <status>unmodified</status>
      <modifiedWord/>
      <trackRevisions>false</trackRevisions>
    </reviewItem>
    <reviewItem>
      <errorID>8f8ec307-1d68-488a-a157-c25cb36a4a3f</errorID>
      <errorWord>上线</errorWord>
      <group>L1_Word</group>
      <groupName>字词问题</groupName>
      <ability>L2_Typo</ability>
      <abilityName>字词错误</abilityName>
      <candidateList>
        <item>上限</item>
      </candidateList>
      <explain/>
      <paraID>23B7268B</paraID>
      <start>70</start>
      <end>72</end>
      <status>unmodified</status>
      <modifiedWord/>
      <trackRevisions>false</trackRevisions>
    </reviewItem>
    <reviewItem>
      <errorID>a5319656-7bb1-4cd7-817e-3b7cd520531a</errorID>
      <errorWord>（</errorWord>
      <group>L1_Punc</group>
      <groupName>标点问题</groupName>
      <ability>L2_Punc_CN</ability>
      <abilityName>标点符号问题</abilityName>
      <candidateList/>
      <explain>同一形式括号套用。</explain>
      <paraID>1FBA2D2D</paraID>
      <start>23</start>
      <end>24</end>
      <status>unmodified</status>
      <modifiedWord/>
      <trackRevisions>false</trackRevisions>
    </reviewItem>
    <reviewItem>
      <errorID>2da2a80a-15f5-4347-97b6-5bb2dbb7027d</errorID>
      <errorWord>）</errorWord>
      <group>L1_Punc</group>
      <groupName>标点问题</groupName>
      <ability>L2_Punc_CN</ability>
      <abilityName>标点符号问题</abilityName>
      <candidateList/>
      <explain>同一形式括号套用。</explain>
      <paraID>1FBA2D2D</paraID>
      <start>26</start>
      <end>27</end>
      <status>unmodified</status>
      <modifiedWord/>
      <trackRevisions>false</trackRevisions>
    </reviewItem>
    <reviewItem>
      <errorID>7ccbe49b-9600-48be-acdb-18434eaee708</errorID>
      <errorWord>颂扬</errorWord>
      <group>L1_Word</group>
      <groupName>字词问题</groupName>
      <ability>L2_Typo</ability>
      <abilityName>字词错误</abilityName>
      <candidateList>
        <item>松阳</item>
      </candidateList>
      <explain/>
      <paraID>1FBA2D2D</paraID>
      <start>308</start>
      <end>310</end>
      <status>unmodified</status>
      <modifiedWord/>
      <trackRevisions>false</trackRevisions>
    </reviewItem>
    <reviewItem>
      <errorID>725eb509-73c8-49cf-8c2a-fa0f37b2873e</errorID>
      <errorWord>(</errorWord>
      <group>L1_Format</group>
      <groupName>格式问题</groupName>
      <ability>L2_HalfPunc_CN</ability>
      <abilityName>全半角问题</abilityName>
      <candidateList>
        <item>（</item>
      </candidateList>
      <explain>文本全半角错误。</explain>
      <paraID> F0E8EC3</paraID>
      <start>65</start>
      <end>66</end>
      <status>unmodified</status>
      <modifiedWord/>
      <trackRevisions>false</trackRevisions>
    </reviewItem>
    <reviewItem>
      <errorID>9a696d28-793f-47d2-9a42-a7b756c7f3c6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F0E8EC3</paraID>
      <start>70</start>
      <end>71</end>
      <status>unmodified</status>
      <modifiedWord/>
      <trackRevisions>false</trackRevisions>
    </reviewItem>
    <reviewItem>
      <errorID>78b79fea-dfaf-4d76-84c1-773965ef7aca</errorID>
      <errorWord>)</errorWord>
      <group>L1_Format</group>
      <groupName>格式问题</groupName>
      <ability>L2_HalfPunc_CN</ability>
      <abilityName>全半角问题</abilityName>
      <candidateList>
        <item>）</item>
      </candidateList>
      <explain>文本全半角错误。</explain>
      <paraID> F0E8EC3</paraID>
      <start>76</start>
      <end>77</end>
      <status>unmodified</status>
      <modifiedWord/>
      <trackRevisions>false</trackRevisions>
    </reviewItem>
    <reviewItem>
      <errorID>08c52180-4169-4238-920b-6ef93fc614a7</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 F0E8EC3</paraID>
      <start>113</start>
      <end>117</end>
      <status>unmodified</status>
      <modifiedWord/>
      <trackRevisions>false</trackRevisions>
    </reviewItem>
    <reviewItem>
      <errorID>f5a7bebd-93bf-4cce-86e9-527bddf2b866</errorID>
      <errorWord>（</errorWord>
      <group>L1_Punc</group>
      <groupName>标点问题</groupName>
      <ability>L2_Punc_CN</ability>
      <abilityName>标点符号问题</abilityName>
      <candidateList/>
      <explain>同一形式括号套用。</explain>
      <paraID>2CF887CC</paraID>
      <start>56</start>
      <end>57</end>
      <status>unmodified</status>
      <modifiedWord/>
      <trackRevisions>false</trackRevisions>
    </reviewItem>
    <reviewItem>
      <errorID>43abf472-326e-43cd-818a-8db63f6fd27b</errorID>
      <errorWord>）</errorWord>
      <group>L1_Punc</group>
      <groupName>标点问题</groupName>
      <ability>L2_Punc_CN</ability>
      <abilityName>标点符号问题</abilityName>
      <candidateList/>
      <explain>同一形式括号套用。</explain>
      <paraID>2CF887CC</paraID>
      <start>79</start>
      <end>80</end>
      <status>unmodified</status>
      <modifiedWord/>
      <trackRevisions>false</trackRevisions>
    </reviewItem>
    <reviewItem>
      <errorID>95fac9cb-fca0-435a-b888-128b5aeaf2e3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5ECE31C2</paraID>
      <start>103</start>
      <end>106</end>
      <status>unmodified</status>
      <modifiedWord/>
      <trackRevisions>false</trackRevisions>
    </reviewItem>
    <reviewItem>
      <errorID>b07b171b-5aff-4f6f-bdcf-7fade3811ef6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2757BDBD</paraID>
      <start>0</start>
      <end>2</end>
      <status>unmodified</status>
      <modifiedWord/>
      <trackRevisions>false</trackRevisions>
    </reviewItem>
    <reviewItem>
      <errorID>a518e7a2-9479-41e5-9383-31476a564df0</errorID>
      <errorWord>IV类</errorWord>
      <group>L1_Knowledge</group>
      <groupName>知识性问题</groupName>
      <ability>L2_Knowledge</ability>
      <abilityName>其他知识</abilityName>
      <candidateList>
        <item>Ⅳ类</item>
      </candidateList>
      <explain>中文环境下罗马数字格式错误。</explain>
      <paraID>2757BDBD</paraID>
      <start>80</start>
      <end>83</end>
      <status>unmodified</status>
      <modifiedWord/>
      <trackRevisions>false</trackRevisions>
    </reviewItem>
    <reviewItem>
      <errorID>a6d2ed90-0120-4848-8399-dfba28a9c259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6C16C277</paraID>
      <start>0</start>
      <end>2</end>
      <status>unmodified</status>
      <modifiedWord/>
      <trackRevisions>false</trackRevisions>
    </reviewItem>
    <reviewItem>
      <errorID>f69bec85-329f-4039-96ca-12954ceaf8cf</errorID>
      <errorWord>品味</errorWord>
      <group>L1_Word</group>
      <groupName>字词问题</groupName>
      <ability>L2_Typo</ability>
      <abilityName>字词错误</abilityName>
      <candidateList>
        <item>品位</item>
      </candidateList>
      <explain/>
      <paraID>57EF43BC</paraID>
      <start>118</start>
      <end>120</end>
      <status>unmodified</status>
      <modifiedWord/>
      <trackRevisions>false</trackRevisions>
    </reviewItem>
    <reviewItem>
      <errorID>f0dfdc65-c6f7-4df6-a037-ec3f3b1f2fd1</errorID>
      <errorWord>部部</errorWord>
      <group>L1_Word</group>
      <groupName>字词问题</groupName>
      <ability>L2_Typo</ability>
      <abilityName>字词错误</abilityName>
      <candidateList>
        <item>部</item>
      </candidateList>
      <explain/>
      <paraID>3E29C2A0</paraID>
      <start>96</start>
      <end>98</end>
      <status>unmodified</status>
      <modifiedWord/>
      <trackRevisions>false</trackRevisions>
    </reviewItem>
    <reviewItem>
      <errorID>24201196-b4b4-415a-bcd5-948e8a5144a3</errorID>
      <errorWord>(</errorWord>
      <group>L1_Format</group>
      <groupName>格式问题</groupName>
      <ability>L2_HalfPunc_CN</ability>
      <abilityName>全半角问题</abilityName>
      <candidateList>
        <item>（</item>
      </candidateList>
      <explain>文本全半角错误。</explain>
      <paraID>655554EB</paraID>
      <start>108</start>
      <end>109</end>
      <status>unmodified</status>
      <modifiedWord/>
      <trackRevisions>false</trackRevisions>
    </reviewItem>
    <reviewItem>
      <errorID>db110f67-66fc-483a-8488-19beb5f1a03c</errorID>
      <errorWord>)(</errorWord>
      <group>L1_Format</group>
      <groupName>格式问题</groupName>
      <ability>L2_HalfPunc_CN</ability>
      <abilityName>全半角问题</abilityName>
      <candidateList>
        <item>）（</item>
      </candidateList>
      <explain>文本全半角错误。</explain>
      <paraID>655554EB</paraID>
      <start>114</start>
      <end>116</end>
      <status>unmodified</status>
      <modifiedWord/>
      <trackRevisions>false</trackRevisions>
    </reviewItem>
    <reviewItem>
      <errorID>d30104af-a404-4a28-a377-e61f3465df94</errorID>
      <errorWord>)</errorWord>
      <group>L1_Format</group>
      <groupName>格式问题</groupName>
      <ability>L2_HalfPunc_CN</ability>
      <abilityName>全半角问题</abilityName>
      <candidateList>
        <item>）</item>
      </candidateList>
      <explain>文本全半角错误。</explain>
      <paraID>655554EB</paraID>
      <start>118</start>
      <end>119</end>
      <status>unmodified</status>
      <modifiedWord/>
      <trackRevisions>false</trackRevisions>
    </reviewItem>
    <reviewItem>
      <errorID>149a57c9-c258-4b28-b9b6-d448b5a50710</errorID>
      <errorWord>,</errorWord>
      <group>L1_Format</group>
      <groupName>格式问题</groupName>
      <ability>L2_HalfPunc_CN</ability>
      <abilityName>全半角问题</abilityName>
      <candidateList>
        <item>，</item>
      </candidateList>
      <explain>文本全半角错误。</explain>
      <paraID> 2056585</paraID>
      <start>38</start>
      <end>39</end>
      <status>unmodified</status>
      <modifiedWord/>
      <trackRevisions>false</trackRevisions>
    </reviewItem>
    <reviewItem>
      <errorID>571b4f4f-c3d0-410f-8b84-d0f912905e10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6D3F30C3</paraID>
      <start>0</start>
      <end>2</end>
      <status>unmodified</status>
      <modifiedWord/>
      <trackRevisions>false</trackRevisions>
    </reviewItem>
    <reviewItem>
      <errorID>e3c3c38e-390a-48eb-abf6-cc35c9021b7b</errorID>
      <errorWord>约为</errorWord>
      <group>L1_Word</group>
      <groupName>字词问题</groupName>
      <ability>L2_Typo</ability>
      <abilityName>字词错误</abilityName>
      <candidateList>
        <item>约</item>
      </candidateList>
      <explain/>
      <paraID>2C3E8F1E</paraID>
      <start>42</start>
      <end>44</end>
      <status>unmodified</status>
      <modifiedWord/>
      <trackRevisions>false</trackRevisions>
    </reviewItem>
    <reviewItem>
      <errorID>13522b73-16b3-4543-8d76-447bdc224c6f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78AA248C</paraID>
      <start>0</start>
      <end>2</end>
      <status>unmodified</status>
      <modifiedWord/>
      <trackRevisions>false</trackRevisions>
    </reviewItem>
    <reviewItem>
      <errorID>a2a2c7d1-432e-4c03-a855-1e1f1f61d1ce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3466F214</paraID>
      <start>0</start>
      <end>2</end>
      <status>unmodified</status>
      <modifiedWord/>
      <trackRevisions>false</trackRevisions>
    </reviewItem>
    <reviewItem>
      <errorID>3a1a00b3-2fe0-4778-879e-f8695718bf9d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2A5D7F0A</paraID>
      <start>0</start>
      <end>2</end>
      <status>unmodified</status>
      <modifiedWord/>
      <trackRevisions>false</trackRevisions>
    </reviewItem>
    <reviewItem>
      <errorID>3aa23441-19e9-46d2-af40-fd27ce9348fe</errorID>
      <errorWord>根据项目可研报告显示</errorWord>
      <group>L1_Grammar</group>
      <groupName>语法问题</groupName>
      <ability>L2_Grammar</ability>
      <abilityName>语法错误</abilityName>
      <candidateList>
        <item>根据项目可研报告</item>
      </candidateList>
      <explain>该表达中的“根据项目可研报告显示”存在语义重复。</explain>
      <paraID>5FDF6145</paraID>
      <start>89</start>
      <end>99</end>
      <status>unmodified</status>
      <modifiedWord/>
      <trackRevisions>false</trackRevisions>
    </reviewItem>
    <reviewItem>
      <errorID>ab362ddb-06dd-42fe-be22-1602f3b9d9dc</errorID>
      <errorWord>：</errorWord>
      <group>L1_Format</group>
      <groupName>格式问题</groupName>
      <ability>L2_HalfPunc_CN</ability>
      <abilityName>全半角问题</abilityName>
      <candidateList>
        <item>:</item>
      </candidateList>
      <explain>文本全半角错误。</explain>
      <paraID>5FDF6145</paraID>
      <start>299</start>
      <end>300</end>
      <status>unmodified</status>
      <modifiedWord/>
      <trackRevisions>false</trackRevisions>
    </reviewItem>
    <reviewItem>
      <errorID>1a47008a-be57-4c7d-8a64-d5e4e92f3d20</errorID>
      <errorWord>：</errorWord>
      <group>L1_Format</group>
      <groupName>格式问题</groupName>
      <ability>L2_HalfPunc_CN</ability>
      <abilityName>全半角问题</abilityName>
      <candidateList>
        <item>:</item>
      </candidateList>
      <explain>文本全半角错误。</explain>
      <paraID>5FDF6145</paraID>
      <start>312</start>
      <end>313</end>
      <status>unmodified</status>
      <modifiedWord/>
      <trackRevisions>false</trackRevisions>
    </reviewItem>
    <reviewItem>
      <errorID>e4d20394-18f4-4201-992e-27e732e38500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17A38E94</paraID>
      <start>0</start>
      <end>2</end>
      <status>unmodified</status>
      <modifiedWord/>
      <trackRevisions>false</trackRevisions>
    </reviewItem>
    <reviewItem>
      <errorID>5a71b46b-212a-4005-bd18-3e578bb80c23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654E785B</paraID>
      <start>0</start>
      <end>2</end>
      <status>unmodified</status>
      <modifiedWord/>
      <trackRevisions>false</trackRevisions>
    </reviewItem>
    <reviewItem>
      <errorID>d1596cfa-6be0-4883-bf41-7d7d79a0859b</errorID>
      <errorWord>设计洪水为</errorWord>
      <group>L1_Knowledge</group>
      <groupName>知识性问题</groupName>
      <ability>L2_Term</ability>
      <abilityName>专业术语</abilityName>
      <candidateList>
        <item>设计洪水位</item>
      </candidateList>
      <explain/>
      <paraID>1C7F71E3</paraID>
      <start>59</start>
      <end>64</end>
      <status>unmodified</status>
      <modifiedWord/>
      <trackRevisions>false</trackRevisions>
    </reviewItem>
    <reviewItem>
      <errorID>21509d41-619b-49e9-9e65-581b43c125c8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716BD202</paraID>
      <start>0</start>
      <end>2</end>
      <status>unmodified</status>
      <modifiedWord/>
      <trackRevisions>false</trackRevisions>
    </reviewItem>
    <reviewItem>
      <errorID>a3bd8492-bfb2-4890-9ab4-ee99ee57ccf5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292383F7</paraID>
      <start>0</start>
      <end>2</end>
      <status>unmodified</status>
      <modifiedWord/>
      <trackRevisions>false</trackRevisions>
    </reviewItem>
    <reviewItem>
      <errorID>b6523bac-5696-48ab-9f1e-2c378ce38793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22A44DDD</paraID>
      <start>0</start>
      <end>2</end>
      <status>unmodified</status>
      <modifiedWord/>
      <trackRevisions>false</trackRevisions>
    </reviewItem>
    <reviewItem>
      <errorID>12ed9f41-7708-4c5e-9012-e567d5a55bb4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210DA0D8</paraID>
      <start>0</start>
      <end>2</end>
      <status>unmodified</status>
      <modifiedWord/>
      <trackRevisions>false</trackRevisions>
    </reviewItem>
    <reviewItem>
      <errorID>35a516c7-3c2e-4af2-a281-db41d9542c49</errorID>
      <errorWord>~</errorWord>
      <group>L1_Format</group>
      <groupName>格式问题</groupName>
      <ability>L2_HalfPunc_CN</ability>
      <abilityName>全半角问题</abilityName>
      <candidateList>
        <item>～</item>
      </candidateList>
      <explain>文本全半角错误。</explain>
      <paraID>1266AEDC</paraID>
      <start>90</start>
      <end>91</end>
      <status>unmodified</status>
      <modifiedWord/>
      <trackRevisions>false</trackRevisions>
    </reviewItem>
    <reviewItem>
      <errorID>c70b9eae-2793-41db-9342-2289c4b57955</errorID>
      <errorWord>~</errorWord>
      <group>L1_Format</group>
      <groupName>格式问题</groupName>
      <ability>L2_HalfPunc_CN</ability>
      <abilityName>全半角问题</abilityName>
      <candidateList>
        <item>～</item>
      </candidateList>
      <explain>文本全半角错误。</explain>
      <paraID>1266AEDC</paraID>
      <start>175</start>
      <end>176</end>
      <status>unmodified</status>
      <modifiedWord/>
      <trackRevisions>false</trackRevisions>
    </reviewItem>
    <reviewItem>
      <errorID>3bdf6677-44aa-4c0c-8555-57df6582b0d7</errorID>
      <errorWord>~</errorWord>
      <group>L1_Format</group>
      <groupName>格式问题</groupName>
      <ability>L2_HalfPunc_CN</ability>
      <abilityName>全半角问题</abilityName>
      <candidateList>
        <item>～</item>
      </candidateList>
      <explain>文本全半角错误。</explain>
      <paraID>1266AEDC</paraID>
      <start>280</start>
      <end>281</end>
      <status>unmodified</status>
      <modifiedWord/>
      <trackRevisions>false</trackRevisions>
    </reviewItem>
    <reviewItem>
      <errorID>141df477-676b-432a-b9e4-c36a7741601c</errorID>
      <errorWord>往往</errorWord>
      <group>L1_Word</group>
      <groupName>字词问题</groupName>
      <ability>L2_Typo</ability>
      <abilityName>字词错误</abilityName>
      <candidateList>
        <item>往</item>
      </candidateList>
      <explain/>
      <paraID>1266AEDC</paraID>
      <start>293</start>
      <end>295</end>
      <status>unmodified</status>
      <modifiedWord/>
      <trackRevisions>false</trackRevisions>
    </reviewItem>
    <reviewItem>
      <errorID>a9391963-2f16-4cef-a091-4d6a0d27f4c7</errorID>
      <errorWord>~</errorWord>
      <group>L1_Format</group>
      <groupName>格式问题</groupName>
      <ability>L2_HalfPunc_CN</ability>
      <abilityName>全半角问题</abilityName>
      <candidateList>
        <item>～</item>
      </candidateList>
      <explain>文本全半角错误。</explain>
      <paraID>53AF3DD5</paraID>
      <start>62</start>
      <end>63</end>
      <status>unmodified</status>
      <modifiedWord/>
      <trackRevisions>false</trackRevisions>
    </reviewItem>
    <reviewItem>
      <errorID>c609954a-d463-4ba5-9b42-9c730997534b</errorID>
      <errorWord>~</errorWord>
      <group>L1_Format</group>
      <groupName>格式问题</groupName>
      <ability>L2_HalfPunc_CN</ability>
      <abilityName>全半角问题</abilityName>
      <candidateList>
        <item>～</item>
      </candidateList>
      <explain>文本全半角错误。</explain>
      <paraID>53AF3DD5</paraID>
      <start>135</start>
      <end>136</end>
      <status>unmodified</status>
      <modifiedWord/>
      <trackRevisions>false</trackRevisions>
    </reviewItem>
    <reviewItem>
      <errorID>9e4dfa7f-52cf-4d86-9a84-5e8e9e667ad9</errorID>
      <errorWord>~</errorWord>
      <group>L1_Format</group>
      <groupName>格式问题</groupName>
      <ability>L2_HalfPunc_CN</ability>
      <abilityName>全半角问题</abilityName>
      <candidateList>
        <item>～</item>
      </candidateList>
      <explain>文本全半角错误。</explain>
      <paraID>53AF3DD5</paraID>
      <start>208</start>
      <end>209</end>
      <status>unmodified</status>
      <modifiedWord/>
      <trackRevisions>false</trackRevisions>
    </reviewItem>
    <reviewItem>
      <errorID>be411bea-94f9-4fbf-9774-dd1b32d1e91b</errorID>
      <errorWord>往往</errorWord>
      <group>L1_Word</group>
      <groupName>字词问题</groupName>
      <ability>L2_Typo</ability>
      <abilityName>字词错误</abilityName>
      <candidateList>
        <item>往</item>
      </candidateList>
      <explain/>
      <paraID>53AF3DD5</paraID>
      <start>221</start>
      <end>223</end>
      <status>unmodified</status>
      <modifiedWord/>
      <trackRevisions>false</trackRevisions>
    </reviewItem>
    <reviewItem>
      <errorID>f44f5c5f-be62-4644-9c53-a1134d86b5f8</errorID>
      <errorWord>外挂</errorWord>
      <group>L1_Sensitive</group>
      <groupName>敏感问题</groupName>
      <ability>L2_Prohibited</ability>
      <abilityName>违禁内容</abilityName>
      <candidateList/>
      <explain>【违禁内容】句中涉及国家法律明令禁止的违禁内容，请注意甄别。</explain>
      <paraID>5793E601</paraID>
      <start>252</start>
      <end>254</end>
      <status>unmodified</status>
      <modifiedWord/>
      <trackRevisions>false</trackRevisions>
    </reviewItem>
    <reviewItem>
      <errorID>c935990c-ca36-4cff-a706-c1187b4335f1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6B8309BB</paraID>
      <start>0</start>
      <end>2</end>
      <status>unmodified</status>
      <modifiedWord/>
      <trackRevisions>false</trackRevisions>
    </reviewItem>
    <reviewItem>
      <errorID>18bf17d6-03d9-4d31-841d-ed1805be146e</errorID>
      <errorWord>紧临</errorWord>
      <group>L1_Word</group>
      <groupName>字词问题</groupName>
      <ability>L2_Typo</ability>
      <abilityName>字词错误</abilityName>
      <candidateList>
        <item>紧邻</item>
      </candidateList>
      <explain>存在发音相同字词的误用。</explain>
      <paraID>576A6859</paraID>
      <start>204</start>
      <end>206</end>
      <status>unmodified</status>
      <modifiedWord/>
      <trackRevisions>false</trackRevisions>
    </reviewItem>
    <reviewItem>
      <errorID>502383ec-9331-492b-99e2-e7d545adb963</errorID>
      <errorWord>方</errorWord>
      <group>L1_Word</group>
      <groupName>字词问题</groupName>
      <ability>L2_Typo</ability>
      <abilityName>字词错误</abilityName>
      <candidateList>
        <item>方米</item>
      </candidateList>
      <explain/>
      <paraID>576A6859</paraID>
      <start>277</start>
      <end>278</end>
      <status>unmodified</status>
      <modifiedWord/>
      <trackRevisions>false</trackRevisions>
    </reviewItem>
    <reviewItem>
      <errorID>1d4aee7c-7b63-43e3-999d-fbce8bf8f6ce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2831F39A</paraID>
      <start>0</start>
      <end>2</end>
      <status>unmodified</status>
      <modifiedWord/>
      <trackRevisions>false</trackRevisions>
    </reviewItem>
    <reviewItem>
      <errorID>cfd5fdb7-d3a2-4dbc-8255-fa3b7ffa6887</errorID>
      <errorWord>设置有设置有</errorWord>
      <group>L1_Word</group>
      <groupName>字词问题</groupName>
      <ability>L2_Typo</ability>
      <abilityName>字词错误</abilityName>
      <candidateList>
        <item>设置有</item>
      </candidateList>
      <explain/>
      <paraID>43F925CE</paraID>
      <start>55</start>
      <end>61</end>
      <status>unmodified</status>
      <modifiedWord/>
      <trackRevisions>false</trackRevisions>
    </reviewItem>
    <reviewItem>
      <errorID>cdbb70ff-4aaa-41cb-a7fc-e946960e2c97</errorID>
      <errorWord>现代化通讯</errorWord>
      <group>L1_Word</group>
      <groupName>字词问题</groupName>
      <ability>L2_Alias</ability>
      <abilityName>也作/曾用词</abilityName>
      <candidateList>
        <item>现代化通信</item>
      </candidateList>
      <explain>词汇[现代化通讯]为不规范表述或旧称，其规范书面表述为[现代化通信]。</explain>
      <paraID>5F691498</paraID>
      <start>54</start>
      <end>59</end>
      <status>unmodified</status>
      <modifiedWord/>
      <trackRevisions>false</trackRevisions>
    </reviewItem>
    <reviewItem>
      <errorID>248d661c-24e1-40ac-ad01-4162ba148901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5D47FADC</paraID>
      <start>0</start>
      <end>2</end>
      <status>unmodified</status>
      <modifiedWord/>
      <trackRevisions>false</trackRevisions>
    </reviewItem>
    <reviewItem>
      <errorID>9987d355-a6d0-4dde-8062-b73e44f0ec77</errorID>
      <errorWord>根据土方平衡专项论证报告显示</errorWord>
      <group>L1_Grammar</group>
      <groupName>语法问题</groupName>
      <ability>L2_Grammar</ability>
      <abilityName>语法错误</abilityName>
      <candidateList>
        <item>根据土方平衡专项论证报告</item>
      </candidateList>
      <explain>该表达中的“根据土方平衡专项论证报告显示”存在语义重复。</explain>
      <paraID>3F1C57D7</paraID>
      <start>0</start>
      <end>14</end>
      <status>unmodified</status>
      <modifiedWord/>
      <trackRevisions>false</trackRevisions>
    </reviewItem>
    <reviewItem>
      <errorID>99ce3193-cc18-4a1f-b5ae-6facca2c65fa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3F951E3C</paraID>
      <start>0</start>
      <end>2</end>
      <status>unmodified</status>
      <modifiedWord/>
      <trackRevisions>false</trackRevisions>
    </reviewItem>
    <reviewItem>
      <errorID>231650ee-da33-4990-9062-58454b0b42d4</errorID>
      <errorWord>(</errorWord>
      <group>L1_Format</group>
      <groupName>格式问题</groupName>
      <ability>L2_HalfPunc_CN</ability>
      <abilityName>全半角问题</abilityName>
      <candidateList>
        <item>（</item>
      </candidateList>
      <explain>文本全半角错误。</explain>
      <paraID>56B5BE9C</paraID>
      <start>16</start>
      <end>17</end>
      <status>unmodified</status>
      <modifiedWord/>
      <trackRevisions>false</trackRevisions>
    </reviewItem>
    <reviewItem>
      <errorID>09e2301b-0b3f-4386-911e-a7628fc9d559</errorID>
      <errorWord>)</errorWord>
      <group>L1_Format</group>
      <groupName>格式问题</groupName>
      <ability>L2_HalfPunc_CN</ability>
      <abilityName>全半角问题</abilityName>
      <candidateList>
        <item>）</item>
      </candidateList>
      <explain>文本全半角错误。</explain>
      <paraID>56B5BE9C</paraID>
      <start>25</start>
      <end>26</end>
      <status>unmodified</status>
      <modifiedWord/>
      <trackRevisions>false</trackRevisions>
    </reviewItem>
    <reviewItem>
      <errorID>e1ec1ad8-68c7-4ef0-9da8-00e369f9314c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155E4635</paraID>
      <start>0</start>
      <end>2</end>
      <status>unmodified</status>
      <modifiedWord/>
      <trackRevisions>false</trackRevisions>
    </reviewItem>
    <reviewItem>
      <errorID>b712cc96-595a-4052-8e4e-00b52dbd692a</errorID>
      <errorWord>拌合站</errorWord>
      <group>L1_Word</group>
      <groupName>字词问题</groupName>
      <ability>L2_Typo</ability>
      <abilityName>字词错误</abilityName>
      <candidateList>
        <item>拌和站</item>
      </candidateList>
      <explain>存在发音相同字词的误用。</explain>
      <paraID> 46DA1AA</paraID>
      <start>8</start>
      <end>11</end>
      <status>unmodified</status>
      <modifiedWord/>
      <trackRevisions>false</trackRevisions>
    </reviewItem>
    <reviewItem>
      <errorID>87d21250-093c-4d86-b6ee-89c8cd2eca8d</errorID>
      <errorWord>拌合站</errorWord>
      <group>L1_Word</group>
      <groupName>字词问题</groupName>
      <ability>L2_Typo</ability>
      <abilityName>字词错误</abilityName>
      <candidateList>
        <item>拌和站</item>
      </candidateList>
      <explain>存在发音相同字词的误用。</explain>
      <paraID> 46DA1AA</paraID>
      <start>14</start>
      <end>17</end>
      <status>unmodified</status>
      <modifiedWord/>
      <trackRevisions>false</trackRevisions>
    </reviewItem>
    <reviewItem>
      <errorID>d81e2ee4-8d4a-4b1c-899a-1bb7fa921496</errorID>
      <errorWord>拌合站</errorWord>
      <group>L1_Word</group>
      <groupName>字词问题</groupName>
      <ability>L2_Typo</ability>
      <abilityName>字词错误</abilityName>
      <candidateList>
        <item>拌和站</item>
      </candidateList>
      <explain>存在发音相同字词的误用。</explain>
      <paraID> 46DA1AA</paraID>
      <start>20</start>
      <end>23</end>
      <status>unmodified</status>
      <modifiedWord/>
      <trackRevisions>false</trackRevisions>
    </reviewItem>
    <reviewItem>
      <errorID>da144a01-8e04-4384-a771-87f6c8511c3b</errorID>
      <errorWord>外</errorWord>
      <group>L1_Word</group>
      <groupName>字词问题</groupName>
      <ability>L2_Typo</ability>
      <abilityName>字词错误</abilityName>
      <candidateList>
        <item>处</item>
      </candidateList>
      <explain/>
      <paraID>7763BF2B</paraID>
      <start>25</start>
      <end>26</end>
      <status>unmodified</status>
      <modifiedWord/>
      <trackRevisions>false</trackRevisions>
    </reviewItem>
    <reviewItem>
      <errorID>4654a114-87eb-40ae-b84b-1f2dc825df6b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6AE1F750</paraID>
      <start>0</start>
      <end>2</end>
      <status>unmodified</status>
      <modifiedWord/>
      <trackRevisions>false</trackRevisions>
    </reviewItem>
    <reviewItem>
      <errorID>46627bdb-b457-4291-ae0f-9dfee9468410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30DAD650</paraID>
      <start>0</start>
      <end>2</end>
      <status>unmodified</status>
      <modifiedWord/>
      <trackRevisions>false</trackRevisions>
    </reviewItem>
    <reviewItem>
      <errorID>c00a52ad-323a-435b-ad1d-4aff9c58a56a</errorID>
      <errorWord>(</errorWord>
      <group>L1_Format</group>
      <groupName>格式问题</groupName>
      <ability>L2_HalfPunc_CN</ability>
      <abilityName>全半角问题</abilityName>
      <candidateList>
        <item>（</item>
      </candidateList>
      <explain>文本全半角错误。</explain>
      <paraID>  6B0040</paraID>
      <start>22</start>
      <end>23</end>
      <status>unmodified</status>
      <modifiedWord/>
      <trackRevisions>false</trackRevisions>
    </reviewItem>
    <reviewItem>
      <errorID>daf5cdac-ce9e-4834-93e0-31a3bce4fc6d</errorID>
      <errorWord>)</errorWord>
      <group>L1_Format</group>
      <groupName>格式问题</groupName>
      <ability>L2_HalfPunc_CN</ability>
      <abilityName>全半角问题</abilityName>
      <candidateList>
        <item>）</item>
      </candidateList>
      <explain>文本全半角错误。</explain>
      <paraID>  6B0040</paraID>
      <start>25</start>
      <end>26</end>
      <status>unmodified</status>
      <modifiedWord/>
      <trackRevisions>false</trackRevisions>
    </reviewItem>
    <reviewItem>
      <errorID>91d4ee09-644f-4018-bd6f-439f027cf047</errorID>
      <errorWord>(</errorWord>
      <group>L1_Format</group>
      <groupName>格式问题</groupName>
      <ability>L2_HalfPunc_CN</ability>
      <abilityName>全半角问题</abilityName>
      <candidateList>
        <item>（</item>
      </candidateList>
      <explain>文本全半角错误。</explain>
      <paraID>  6B0040</paraID>
      <start>54</start>
      <end>55</end>
      <status>unmodified</status>
      <modifiedWord/>
      <trackRevisions>false</trackRevisions>
    </reviewItem>
    <reviewItem>
      <errorID>b5f5dfa1-3d0d-49af-a261-79da56619699</errorID>
      <errorWord>)</errorWord>
      <group>L1_Format</group>
      <groupName>格式问题</groupName>
      <ability>L2_HalfPunc_CN</ability>
      <abilityName>全半角问题</abilityName>
      <candidateList>
        <item>）</item>
      </candidateList>
      <explain>文本全半角错误。</explain>
      <paraID>  6B0040</paraID>
      <start>57</start>
      <end>58</end>
      <status>unmodified</status>
      <modifiedWord/>
      <trackRevisions>false</trackRevisions>
    </reviewItem>
    <reviewItem>
      <errorID>78c04e3d-d2f5-4c01-be8d-7e0c8cb3e4be</errorID>
      <errorWord>III级</errorWord>
      <group>L1_Knowledge</group>
      <groupName>知识性问题</groupName>
      <ability>L2_Knowledge</ability>
      <abilityName>其他知识</abilityName>
      <candidateList>
        <item>Ⅲ级</item>
      </candidateList>
      <explain>中文环境下罗马数字格式错误。</explain>
      <paraID>2E2ADD2A</paraID>
      <start>18</start>
      <end>22</end>
      <status>unmodified</status>
      <modifiedWord/>
      <trackRevisions>false</trackRevisions>
    </reviewItem>
    <reviewItem>
      <errorID>3e26a7e1-0b90-4f5f-b080-1ab036c1d8a0</errorID>
      <errorWord>III级</errorWord>
      <group>L1_Knowledge</group>
      <groupName>知识性问题</groupName>
      <ability>L2_Knowledge</ability>
      <abilityName>其他知识</abilityName>
      <candidateList>
        <item>Ⅲ级</item>
      </candidateList>
      <explain>中文环境下罗马数字格式错误。</explain>
      <paraID>2E2ADD2A</paraID>
      <start>97</start>
      <end>101</end>
      <status>unmodified</status>
      <modifiedWord/>
      <trackRevisions>false</trackRevisions>
    </reviewItem>
    <reviewItem>
      <errorID>037b6abb-3589-4b9c-9910-8fef7f1ac07d</errorID>
      <errorWord>底满足</errorWord>
      <group>L1_Word</group>
      <groupName>字词问题</groupName>
      <ability>L2_Variant</ability>
      <abilityName>异形词</abilityName>
      <candidateList>
        <item>的满足</item>
      </candidateList>
      <explain>词汇[底满足]的规范词形写作[的满足]。</explain>
      <paraID>66F3C6E2</paraID>
      <start>58</start>
      <end>61</end>
      <status>unmodified</status>
      <modifiedWord/>
      <trackRevisions>false</trackRevisions>
    </reviewItem>
    <reviewItem>
      <errorID>23de9613-d7af-4356-ac00-34409c5b59c0</errorID>
      <errorWord>工程工程</errorWord>
      <group>L1_Word</group>
      <groupName>字词问题</groupName>
      <ability>L2_Typo</ability>
      <abilityName>字词错误</abilityName>
      <candidateList>
        <item>工程</item>
      </candidateList>
      <explain/>
      <paraID>7C86E4C7</paraID>
      <start>9</start>
      <end>13</end>
      <status>unmodified</status>
      <modifiedWord/>
      <trackRevisions>false</trackRevisions>
    </reviewItem>
    <reviewItem>
      <errorID>1dd9abe8-72ae-470c-801e-168b656320e6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5C32566</paraID>
      <start>0</start>
      <end>2</end>
      <status>unmodified</status>
      <modifiedWord/>
      <trackRevisions>false</trackRevisions>
    </reviewItem>
    <reviewItem>
      <errorID>aea6e047-6fb4-49a4-8f0d-4d50e91ef82d</errorID>
      <errorWord>[2013]43号</errorWord>
      <group>L1_Knowledge</group>
      <groupName>知识性问题</groupName>
      <ability>L2_Knowledge</ability>
      <abilityName>其他知识</abilityName>
      <candidateList>
        <item>〔2013〕43号</item>
      </candidateList>
      <explain>发文字号格式错误。</explain>
      <paraID>1C7EA780</paraID>
      <start>16</start>
      <end>25</end>
      <status>unmodified</status>
      <modifiedWord/>
      <trackRevisions>false</trackRevisions>
    </reviewItem>
    <reviewItem>
      <errorID>d1d6da1f-f4c7-48af-a5dc-59513508cfc8</errorID>
      <errorWord>地区</errorWord>
      <group>L1_Word</group>
      <groupName>字词问题</groupName>
      <ability>L2_Typo</ability>
      <abilityName>字词错误</abilityName>
      <candidateList>
        <item>区</item>
      </candidateList>
      <explain/>
      <paraID>1C7EA780</paraID>
      <start>146</start>
      <end>148</end>
      <status>unmodified</status>
      <modifiedWord/>
      <trackRevisions>false</trackRevisions>
    </reviewItem>
    <reviewItem>
      <errorID>90f9e067-2994-4ea3-99ac-ba2c60a9c7df</errorID>
      <errorWord>(</errorWord>
      <group>L1_Format</group>
      <groupName>格式问题</groupName>
      <ability>L2_HalfPunc_CN</ability>
      <abilityName>全半角问题</abilityName>
      <candidateList>
        <item>（</item>
      </candidateList>
      <explain>文本全半角错误。</explain>
      <paraID>6FE24CBD</paraID>
      <start>47</start>
      <end>48</end>
      <status>unmodified</status>
      <modifiedWord/>
      <trackRevisions>false</trackRevisions>
    </reviewItem>
    <reviewItem>
      <errorID>2b3f7a39-e0c2-4e98-8103-6e53fe2cb61e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6FE24CBD</paraID>
      <start>52</start>
      <end>53</end>
      <status>unmodified</status>
      <modifiedWord/>
      <trackRevisions>false</trackRevisions>
    </reviewItem>
    <reviewItem>
      <errorID>a67e60f3-a3f6-4b77-84a6-2942b3663d97</errorID>
      <errorWord>)</errorWord>
      <group>L1_Format</group>
      <groupName>格式问题</groupName>
      <ability>L2_HalfPunc_CN</ability>
      <abilityName>全半角问题</abilityName>
      <candidateList>
        <item>）</item>
      </candidateList>
      <explain>文本全半角错误。</explain>
      <paraID>6FE24CBD</paraID>
      <start>58</start>
      <end>59</end>
      <status>unmodified</status>
      <modifiedWord/>
      <trackRevisions>false</trackRevisions>
    </reviewItem>
    <reviewItem>
      <errorID>e60ebe4e-af43-4974-ad12-ebec0365db5f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6FE24CBD</paraID>
      <start>66</start>
      <end>67</end>
      <status>unmodified</status>
      <modifiedWord/>
      <trackRevisions>false</trackRevisions>
    </reviewItem>
    <reviewItem>
      <errorID>5a1168e8-9839-4627-bcc2-9dd7e2b90805</errorID>
      <errorWord>生态红线</errorWord>
      <group>L1_Political</group>
      <groupName>政治性问题</groupName>
      <ability>L2_Unpolitical</ability>
      <abilityName>政治敏感错误</abilityName>
      <candidateList>
        <item>生态保护红线</item>
      </candidateList>
      <explain/>
      <paraID>6FE24CBD</paraID>
      <start>73</start>
      <end>77</end>
      <status>unmodified</status>
      <modifiedWord/>
      <trackRevisions>false</trackRevisions>
    </reviewItem>
    <reviewItem>
      <errorID>893134db-0316-4b2a-94f7-52b93f2373df</errorID>
      <errorWord>类</errorWord>
      <group>L1_Word</group>
      <groupName>字词问题</groupName>
      <ability>L2_Typo</ability>
      <abilityName>字词错误</abilityName>
      <candidateList>
        <item>内</item>
      </candidateList>
      <explain>存在发音相近字词的误用。</explain>
      <paraID>4A663722</paraID>
      <start>39</start>
      <end>40</end>
      <status>unmodified</status>
      <modifiedWord/>
      <trackRevisions>false</trackRevisions>
    </reviewItem>
    <reviewItem>
      <errorID>53c51413-3d4c-4d8e-9e66-1146f156d796</errorID>
      <errorWord>IV类</errorWord>
      <group>L1_Knowledge</group>
      <groupName>知识性问题</groupName>
      <ability>L2_Knowledge</ability>
      <abilityName>其他知识</abilityName>
      <candidateList>
        <item>Ⅳ类</item>
      </candidateList>
      <explain>中文环境下罗马数字格式错误。</explain>
      <paraID>4A663722</paraID>
      <start>139</start>
      <end>142</end>
      <status>unmodified</status>
      <modifiedWord/>
      <trackRevisions>false</trackRevisions>
    </reviewItem>
    <reviewItem>
      <errorID>30487426-ce2e-452b-bb92-935787987430</errorID>
      <errorWord>:</errorWord>
      <group>L1_Format</group>
      <groupName>格式问题</groupName>
      <ability>L2_HalfPunc_CN</ability>
      <abilityName>全半角问题</abilityName>
      <candidateList>
        <item>：</item>
      </candidateList>
      <explain>文本全半角错误。</explain>
      <paraID>3082AC95</paraID>
      <start>59</start>
      <end>60</end>
      <status>unmodified</status>
      <modifiedWord/>
      <trackRevisions>false</trackRevisions>
    </reviewItem>
    <reviewItem>
      <errorID>97210581-1f17-4644-9f9f-6b476b43bd05</errorID>
      <errorWord>(</errorWord>
      <group>L1_Format</group>
      <groupName>格式问题</groupName>
      <ability>L2_HalfPunc_CN</ability>
      <abilityName>全半角问题</abilityName>
      <candidateList>
        <item>（</item>
      </candidateList>
      <explain>文本全半角错误。</explain>
      <paraID>48F55BFB</paraID>
      <start>64</start>
      <end>65</end>
      <status>unmodified</status>
      <modifiedWord/>
      <trackRevisions>false</trackRevisions>
    </reviewItem>
    <reviewItem>
      <errorID>caa50b9a-50b2-462e-b711-e6244855814d</errorID>
      <errorWord>)</errorWord>
      <group>L1_Format</group>
      <groupName>格式问题</groupName>
      <ability>L2_HalfPunc_CN</ability>
      <abilityName>全半角问题</abilityName>
      <candidateList>
        <item>）</item>
      </candidateList>
      <explain>文本全半角错误。</explain>
      <paraID>48F55BFB</paraID>
      <start>76</start>
      <end>77</end>
      <status>unmodified</status>
      <modifiedWord/>
      <trackRevisions>false</trackRevisions>
    </reviewItem>
    <reviewItem>
      <errorID>9af8879d-d8e1-4d7a-84db-d72bca436e3c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3CF8EE7</paraID>
      <start>96</start>
      <end>99</end>
      <status>unmodified</status>
      <modifiedWord/>
      <trackRevisions>false</trackRevisions>
    </reviewItem>
    <reviewItem>
      <errorID>690b738c-ba33-4a77-9840-d31c858fe9e1</errorID>
      <errorWord>[2022]26号</errorWord>
      <group>L1_Knowledge</group>
      <groupName>知识性问题</groupName>
      <ability>L2_Knowledge</ability>
      <abilityName>其他知识</abilityName>
      <candidateList>
        <item>〔2022〕26号</item>
      </candidateList>
      <explain>发文字号格式错误。</explain>
      <paraID> 3CF8EE7</paraID>
      <start>278</start>
      <end>287</end>
      <status>unmodified</status>
      <modifiedWord/>
      <trackRevisions>false</trackRevisions>
    </reviewItem>
    <reviewItem>
      <errorID>b03b0f1a-31a9-48ca-b6d9-46b0cd8cdd84</errorID>
      <errorWord>(</errorWord>
      <group>L1_Format</group>
      <groupName>格式问题</groupName>
      <ability>L2_HalfPunc_CN</ability>
      <abilityName>全半角问题</abilityName>
      <candidateList>
        <item>（</item>
      </candidateList>
      <explain>文本全半角错误。</explain>
      <paraID>4C1B66B1</paraID>
      <start>15</start>
      <end>16</end>
      <status>unmodified</status>
      <modifiedWord/>
      <trackRevisions>false</trackRevisions>
    </reviewItem>
    <reviewItem>
      <errorID>ffa46892-a244-40c2-b2aa-2aaf8e7b31a7</errorID>
      <errorWord>)</errorWord>
      <group>L1_Format</group>
      <groupName>格式问题</groupName>
      <ability>L2_HalfPunc_CN</ability>
      <abilityName>全半角问题</abilityName>
      <candidateList>
        <item>）</item>
      </candidateList>
      <explain>文本全半角错误。</explain>
      <paraID>4C1B66B1</paraID>
      <start>22</start>
      <end>23</end>
      <status>unmodified</status>
      <modifiedWord/>
      <trackRevisions>false</trackRevisions>
    </reviewItem>
    <reviewItem>
      <errorID>7622e4f9-5633-4cff-a3c2-4bfe2d3dbe2f</errorID>
      <errorWord>（</errorWord>
      <group>L1_Format</group>
      <groupName>格式问题</groupName>
      <ability>L2_HalfPunc_CN</ability>
      <abilityName>全半角问题</abilityName>
      <candidateList>
        <item>(</item>
      </candidateList>
      <explain>文本全半角错误。</explain>
      <paraID>7AFE4BEF</paraID>
      <start>2</start>
      <end>3</end>
      <status>unmodified</status>
      <modifiedWord/>
      <trackRevisions>false</trackRevisions>
    </reviewItem>
    <reviewItem>
      <errorID>9dc78d35-632e-42f7-b9d0-061b04b0790d</errorID>
      <errorWord>）</errorWord>
      <group>L1_Format</group>
      <groupName>格式问题</groupName>
      <ability>L2_HalfPunc_CN</ability>
      <abilityName>全半角问题</abilityName>
      <candidateList>
        <item>)</item>
      </candidateList>
      <explain>文本全半角错误。</explain>
      <paraID>7AFE4BEF</paraID>
      <start>4</start>
      <end>5</end>
      <status>unmodified</status>
      <modifiedWord/>
      <trackRevisions>false</trackRevisions>
    </reviewItem>
    <reviewItem>
      <errorID>0fcf11b7-9917-4e08-a065-99f15b3912c3</errorID>
      <errorWord>(</errorWord>
      <group>L1_Format</group>
      <groupName>格式问题</groupName>
      <ability>L2_HalfPunc_CN</ability>
      <abilityName>全半角问题</abilityName>
      <candidateList>
        <item>（</item>
      </candidateList>
      <explain>文本全半角错误。</explain>
      <paraID>1B752814</paraID>
      <start>18</start>
      <end>19</end>
      <status>unmodified</status>
      <modifiedWord/>
      <trackRevisions>false</trackRevisions>
    </reviewItem>
    <reviewItem>
      <errorID>20065132-f373-4e2d-9435-39e79141229a</errorID>
      <errorWord>)</errorWord>
      <group>L1_Format</group>
      <groupName>格式问题</groupName>
      <ability>L2_HalfPunc_CN</ability>
      <abilityName>全半角问题</abilityName>
      <candidateList>
        <item>）</item>
      </candidateList>
      <explain>文本全半角错误。</explain>
      <paraID>1B752814</paraID>
      <start>29</start>
      <end>30</end>
      <status>unmodified</status>
      <modifiedWord/>
      <trackRevisions>false</trackRevisions>
    </reviewItem>
    <reviewItem>
      <errorID>d872b268-1928-4eb8-a949-c5c183f6661a</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55ADF018</paraID>
      <start>70</start>
      <end>74</end>
      <status>unmodified</status>
      <modifiedWord/>
      <trackRevisions>false</trackRevisions>
    </reviewItem>
    <reviewItem>
      <errorID>9cd779be-0af3-4099-886d-87c2ae641159</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48DFC372</paraID>
      <start>12</start>
      <end>16</end>
      <status>unmodified</status>
      <modifiedWord/>
      <trackRevisions>false</trackRevisions>
    </reviewItem>
    <reviewItem>
      <errorID>e67a856c-5730-4c52-84ee-f2f112f07459</errorID>
      <errorWord>类</errorWord>
      <group>L1_Word</group>
      <groupName>字词问题</groupName>
      <ability>L2_Typo</ability>
      <abilityName>字词错误</abilityName>
      <candidateList>
        <item>内</item>
      </candidateList>
      <explain>存在发音相近字词的误用。</explain>
      <paraID>140544F5</paraID>
      <start>39</start>
      <end>40</end>
      <status>unmodified</status>
      <modifiedWord/>
      <trackRevisions>false</trackRevisions>
    </reviewItem>
    <reviewItem>
      <errorID>4a48ba50-05fa-4766-95fd-0480d369375c</errorID>
      <errorWord>IV类</errorWord>
      <group>L1_Knowledge</group>
      <groupName>知识性问题</groupName>
      <ability>L2_Knowledge</ability>
      <abilityName>其他知识</abilityName>
      <candidateList>
        <item>Ⅳ类</item>
      </candidateList>
      <explain>中文环境下罗马数字格式错误。</explain>
      <paraID>140544F5</paraID>
      <start>139</start>
      <end>142</end>
      <status>unmodified</status>
      <modifiedWord/>
      <trackRevisions>false</trackRevisions>
    </reviewItem>
    <reviewItem>
      <errorID>eabc5eab-3592-4356-a927-41becde67092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30346CA8</paraID>
      <start>97</start>
      <end>100</end>
      <status>unmodified</status>
      <modifiedWord/>
      <trackRevisions>false</trackRevisions>
    </reviewItem>
    <reviewItem>
      <errorID>9b0ef061-6c41-428a-abda-0c5502df4139</errorID>
      <errorWord>使用水</errorWord>
      <group>L1_Word</group>
      <groupName>字词问题</groupName>
      <ability>L2_Typo</ability>
      <abilityName>字词错误</abilityName>
      <candidateList>
        <item>饮用水</item>
      </candidateList>
      <explain/>
      <paraID> FE35212</paraID>
      <start>14</start>
      <end>17</end>
      <status>unmodified</status>
      <modifiedWord/>
      <trackRevisions>false</trackRevisions>
    </reviewItem>
    <reviewItem>
      <errorID>06bde896-06b0-4c2a-bc3e-18f5d4b6587c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8A55700</paraID>
      <start>25</start>
      <end>26</end>
      <status>unmodified</status>
      <modifiedWord/>
      <trackRevisions>false</trackRevisions>
    </reviewItem>
    <reviewItem>
      <errorID>9cc16c02-8392-44fc-9f7c-4bf68524fe6e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8A55700</paraID>
      <start>39</start>
      <end>40</end>
      <status>unmodified</status>
      <modifiedWord/>
      <trackRevisions>false</trackRevisions>
    </reviewItem>
    <reviewItem>
      <errorID>2757f462-daee-4739-aa0a-e512308d1ed3</errorID>
      <errorWord>生态红线</errorWord>
      <group>L1_Political</group>
      <groupName>政治性问题</groupName>
      <ability>L2_Unpolitical</ability>
      <abilityName>政治敏感错误</abilityName>
      <candidateList>
        <item>生态保护红线</item>
      </candidateList>
      <explain/>
      <paraID> 8A55700</paraID>
      <start>46</start>
      <end>50</end>
      <status>unmodified</status>
      <modifiedWord/>
      <trackRevisions>false</trackRevisions>
    </reviewItem>
    <reviewItem>
      <errorID>2cd2a98b-ae57-44e9-9456-0d60c0d53310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5D967393</paraID>
      <start>0</start>
      <end>2</end>
      <status>unmodified</status>
      <modifiedWord/>
      <trackRevisions>false</trackRevisions>
    </reviewItem>
    <reviewItem>
      <errorID>ede3486b-ad6d-4476-a4ab-6a67a48e92c7</errorID>
      <errorWord>～</errorWord>
      <group>L1_Format</group>
      <groupName>格式问题</groupName>
      <ability>L2_HalfPunc_CN</ability>
      <abilityName>全半角问题</abilityName>
      <candidateList>
        <item>~</item>
      </candidateList>
      <explain>文本全半角错误。</explain>
      <paraID>12ADE098</paraID>
      <start>1</start>
      <end>2</end>
      <status>unmodified</status>
      <modifiedWord/>
      <trackRevisions>false</trackRevisions>
    </reviewItem>
    <reviewItem>
      <errorID>bc4cce9c-0ba5-4541-a165-08235920886e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545B487E</paraID>
      <start>0</start>
      <end>2</end>
      <status>unmodified</status>
      <modifiedWord/>
      <trackRevisions>false</trackRevisions>
    </reviewItem>
    <reviewItem>
      <errorID>fac6f140-bf0c-458e-a321-ee5536730903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57911199</paraID>
      <start>0</start>
      <end>2</end>
      <status>unmodified</status>
      <modifiedWord/>
      <trackRevisions>false</trackRevisions>
    </reviewItem>
    <reviewItem>
      <errorID>4bfe3599-cb7a-4e43-9701-a63326cea211</errorID>
      <errorWord>(</errorWord>
      <group>L1_Format</group>
      <groupName>格式问题</groupName>
      <ability>L2_HalfPunc_CN</ability>
      <abilityName>全半角问题</abilityName>
      <candidateList>
        <item>（</item>
      </candidateList>
      <explain>文本全半角错误。</explain>
      <paraID>735CEF19</paraID>
      <start>95</start>
      <end>96</end>
      <status>unmodified</status>
      <modifiedWord/>
      <trackRevisions>false</trackRevisions>
    </reviewItem>
    <reviewItem>
      <errorID>04a0778e-a0c3-4861-a2e6-1c08aa90f764</errorID>
      <errorWord>)</errorWord>
      <group>L1_Format</group>
      <groupName>格式问题</groupName>
      <ability>L2_HalfPunc_CN</ability>
      <abilityName>全半角问题</abilityName>
      <candidateList>
        <item>）</item>
      </candidateList>
      <explain>文本全半角错误。</explain>
      <paraID>735CEF19</paraID>
      <start>99</start>
      <end>100</end>
      <status>unmodified</status>
      <modifiedWord/>
      <trackRevisions>false</trackRevisions>
    </reviewItem>
    <reviewItem>
      <errorID>fdc82012-9859-483d-9e82-7a07e5682e23</errorID>
      <errorWord>(</errorWord>
      <group>L1_Format</group>
      <groupName>格式问题</groupName>
      <ability>L2_HalfPunc_CN</ability>
      <abilityName>全半角问题</abilityName>
      <candidateList>
        <item>（</item>
      </candidateList>
      <explain>文本全半角错误。</explain>
      <paraID>735CEF19</paraID>
      <start>114</start>
      <end>115</end>
      <status>unmodified</status>
      <modifiedWord/>
      <trackRevisions>false</trackRevisions>
    </reviewItem>
    <reviewItem>
      <errorID>820957c6-bcc3-4edb-bc01-5904e635eb99</errorID>
      <errorWord>)</errorWord>
      <group>L1_Format</group>
      <groupName>格式问题</groupName>
      <ability>L2_HalfPunc_CN</ability>
      <abilityName>全半角问题</abilityName>
      <candidateList>
        <item>）</item>
      </candidateList>
      <explain>文本全半角错误。</explain>
      <paraID>735CEF19</paraID>
      <start>149</start>
      <end>150</end>
      <status>unmodified</status>
      <modifiedWord/>
      <trackRevisions>false</trackRevisions>
    </reviewItem>
    <reviewItem>
      <errorID>83a62f1e-d816-430f-9e77-7ae90596a24c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6E2527F8</paraID>
      <start>0</start>
      <end>2</end>
      <status>unmodified</status>
      <modifiedWord/>
      <trackRevisions>false</trackRevisions>
    </reviewItem>
    <reviewItem>
      <errorID>c80702b4-aca9-4de1-b887-90f517e0cee2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417E1016</paraID>
      <start>0</start>
      <end>2</end>
      <status>unmodified</status>
      <modifiedWord/>
      <trackRevisions>false</trackRevisions>
    </reviewItem>
    <reviewItem>
      <errorID>970b9330-dd08-4602-b399-3d411f5f4752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4AE030D</paraID>
      <start>0</start>
      <end>2</end>
      <status>unmodified</status>
      <modifiedWord/>
      <trackRevisions>false</trackRevisions>
    </reviewItem>
    <reviewItem>
      <errorID>08e8b8b3-c617-4ecc-860b-b96a0e408105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512B2DAC</paraID>
      <start>0</start>
      <end>2</end>
      <status>unmodified</status>
      <modifiedWord/>
      <trackRevisions>false</trackRevisions>
    </reviewItem>
    <reviewItem>
      <errorID>a4bd7e5c-804d-418a-bb26-edb44f86855b</errorID>
      <errorWord>(</errorWord>
      <group>L1_Format</group>
      <groupName>格式问题</groupName>
      <ability>L2_HalfPunc_CN</ability>
      <abilityName>全半角问题</abilityName>
      <candidateList>
        <item>（</item>
      </candidateList>
      <explain>文本全半角错误。</explain>
      <paraID>  83F0F0</paraID>
      <start>35</start>
      <end>36</end>
      <status>unmodified</status>
      <modifiedWord/>
      <trackRevisions>false</trackRevisions>
    </reviewItem>
    <reviewItem>
      <errorID>97ccff8d-9739-46e9-870e-71936bf91679</errorID>
      <errorWord>)</errorWord>
      <group>L1_Format</group>
      <groupName>格式问题</groupName>
      <ability>L2_HalfPunc_CN</ability>
      <abilityName>全半角问题</abilityName>
      <candidateList>
        <item>）</item>
      </candidateList>
      <explain>文本全半角错误。</explain>
      <paraID>  83F0F0</paraID>
      <start>48</start>
      <end>49</end>
      <status>unmodified</status>
      <modifiedWord/>
      <trackRevisions>false</trackRevisions>
    </reviewItem>
    <reviewItem>
      <errorID>77b1edd6-7a5e-46a6-8443-724dea3a8115</errorID>
      <errorWord>(</errorWord>
      <group>L1_Format</group>
      <groupName>格式问题</groupName>
      <ability>L2_HalfPunc_CN</ability>
      <abilityName>全半角问题</abilityName>
      <candidateList>
        <item>（</item>
      </candidateList>
      <explain>文本全半角错误。</explain>
      <paraID>  83F0F0</paraID>
      <start>115</start>
      <end>116</end>
      <status>unmodified</status>
      <modifiedWord/>
      <trackRevisions>false</trackRevisions>
    </reviewItem>
    <reviewItem>
      <errorID>c6d2d3ee-5f73-4b0f-9859-a8edcbe6fb1c</errorID>
      <errorWord>)</errorWord>
      <group>L1_Format</group>
      <groupName>格式问题</groupName>
      <ability>L2_HalfPunc_CN</ability>
      <abilityName>全半角问题</abilityName>
      <candidateList>
        <item>）</item>
      </candidateList>
      <explain>文本全半角错误。</explain>
      <paraID>  83F0F0</paraID>
      <start>124</start>
      <end>125</end>
      <status>unmodified</status>
      <modifiedWord/>
      <trackRevisions>false</trackRevisions>
    </reviewItem>
    <reviewItem>
      <errorID>79f2ae01-33b9-4d2d-8b1c-06054f6402d6</errorID>
      <errorWord>程</errorWord>
      <group>L1_Word</group>
      <groupName>字词问题</groupName>
      <ability>L2_Typo</ability>
      <abilityName>字词错误</abilityName>
      <candidateList>
        <item>程中</item>
      </candidateList>
      <explain/>
      <paraID>60BEC54F</paraID>
      <start>3</start>
      <end>4</end>
      <status>unmodified</status>
      <modifiedWord/>
      <trackRevisions>false</trackRevisions>
    </reviewItem>
    <reviewItem>
      <errorID>ef70cb89-014b-4b96-a425-487c329aaf7a</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6C9DBF80</paraID>
      <start>13</start>
      <end>16</end>
      <status>unmodified</status>
      <modifiedWord/>
      <trackRevisions>false</trackRevisions>
    </reviewItem>
    <reviewItem>
      <errorID>381202be-402e-4ef7-bf24-d88e688e0512</errorID>
      <errorWord>的的</errorWord>
      <group>L1_Word</group>
      <groupName>字词问题</groupName>
      <ability>L2_Typo</ability>
      <abilityName>字词错误</abilityName>
      <candidateList>
        <item>的</item>
      </candidateList>
      <explain/>
      <paraID>6C9DBF80</paraID>
      <start>52</start>
      <end>54</end>
      <status>unmodified</status>
      <modifiedWord/>
      <trackRevisions>false</trackRevisions>
    </reviewItem>
    <reviewItem>
      <errorID>918b0449-e617-42ea-8ee3-bf235e9ce3f2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7AC878BF</paraID>
      <start>0</start>
      <end>2</end>
      <status>unmodified</status>
      <modifiedWord/>
      <trackRevisions>false</trackRevisions>
    </reviewItem>
    <reviewItem>
      <errorID>70001244-a872-42ba-8c6e-1c35c8f07336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2127585D</paraID>
      <start>0</start>
      <end>2</end>
      <status>unmodified</status>
      <modifiedWord/>
      <trackRevisions>false</trackRevisions>
    </reviewItem>
    <reviewItem>
      <errorID>ee17bf55-c81e-44de-a6d2-7bc9b917785e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78FC28C3</paraID>
      <start>0</start>
      <end>2</end>
      <status>unmodified</status>
      <modifiedWord/>
      <trackRevisions>false</trackRevisions>
    </reviewItem>
    <reviewItem>
      <errorID>ad9e9a2b-85c8-4e73-8c52-8a3aa19385c9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5DC13BDF</paraID>
      <start>0</start>
      <end>2</end>
      <status>unmodified</status>
      <modifiedWord/>
      <trackRevisions>false</trackRevisions>
    </reviewItem>
    <reviewItem>
      <errorID>a06ed7e3-82c0-4041-8f2a-353facfb2cb7</errorID>
      <errorWord>工地</errorWord>
      <group>L1_Word</group>
      <groupName>字词问题</groupName>
      <ability>L2_Typo</ability>
      <abilityName>字词错误</abilityName>
      <candidateList>
        <item>场地</item>
      </candidateList>
      <explain>存在字形相近字词的误用。</explain>
      <paraID>56985AAB</paraID>
      <start>21</start>
      <end>23</end>
      <status>unmodified</status>
      <modifiedWord/>
      <trackRevisions>false</trackRevisions>
    </reviewItem>
    <reviewItem>
      <errorID>b5ecf248-dc13-42c0-bd98-7e795958d907</errorID>
      <errorWord>滞</errorWord>
      <group>L1_Word</group>
      <groupName>字词问题</groupName>
      <ability>L2_Typo</ability>
      <abilityName>字词错误</abilityName>
      <candidateList>
        <item>阻</item>
      </candidateList>
      <explain/>
      <paraID>56985AAB</paraID>
      <start>36</start>
      <end>37</end>
      <status>unmodified</status>
      <modifiedWord/>
      <trackRevisions>false</trackRevisions>
    </reviewItem>
    <reviewItem>
      <errorID>43d7e3ce-51c9-4d16-a5c8-ff8cc520eed4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2DDB4570</paraID>
      <start>0</start>
      <end>2</end>
      <status>unmodified</status>
      <modifiedWord/>
      <trackRevisions>false</trackRevisions>
    </reviewItem>
    <reviewItem>
      <errorID>c29e1d15-2742-4306-956b-ba0b4ba366aa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366D51D9</paraID>
      <start>0</start>
      <end>2</end>
      <status>unmodified</status>
      <modifiedWord/>
      <trackRevisions>false</trackRevisions>
    </reviewItem>
    <reviewItem>
      <errorID>2c7db02b-9c8a-4cd0-b2a0-0741093c77df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3A850AD3</paraID>
      <start>107</start>
      <end>108</end>
      <status>unmodified</status>
      <modifiedWord/>
      <trackRevisions>false</trackRevisions>
    </reviewItem>
    <reviewItem>
      <errorID>c4764c3e-77e8-47c3-9b60-d001eaf3b7c2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3A850AD3</paraID>
      <start>167</start>
      <end>168</end>
      <status>unmodified</status>
      <modifiedWord/>
      <trackRevisions>false</trackRevisions>
    </reviewItem>
    <reviewItem>
      <errorID>dd18cda2-6992-4e1f-8869-37f26b508b43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1CFD0FDB</paraID>
      <start>0</start>
      <end>2</end>
      <status>unmodified</status>
      <modifiedWord/>
      <trackRevisions>false</trackRevisions>
    </reviewItem>
    <reviewItem>
      <errorID>15359a35-47f0-48cd-aaaf-3639e82fb04e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410A355</paraID>
      <start>0</start>
      <end>2</end>
      <status>unmodified</status>
      <modifiedWord/>
      <trackRevisions>false</trackRevisions>
    </reviewItem>
    <reviewItem>
      <errorID>4219a230-49df-491e-9d98-8eb3e26df5e0</errorID>
      <errorWord>拌合站</errorWord>
      <group>L1_Word</group>
      <groupName>字词问题</groupName>
      <ability>L2_Typo</ability>
      <abilityName>字词错误</abilityName>
      <candidateList>
        <item>拌和站</item>
      </candidateList>
      <explain>存在发音相同字词的误用。</explain>
      <paraID> D56B346</paraID>
      <start>18</start>
      <end>21</end>
      <status>unmodified</status>
      <modifiedWord/>
      <trackRevisions>false</trackRevisions>
    </reviewItem>
    <reviewItem>
      <errorID>a3297554-3b7c-4495-9f72-c43bb0bae8ff</errorID>
      <errorWord>，。</errorWord>
      <group>L1_Punc</group>
      <groupName>标点问题</groupName>
      <ability>L2_Punc_CN</ability>
      <abilityName>标点符号问题</abilityName>
      <candidateList>
        <item>，</item>
      </candidateList>
      <explain/>
      <paraID> C04689F</paraID>
      <start>116</start>
      <end>118</end>
      <status>unmodified</status>
      <modifiedWord/>
      <trackRevisions>false</trackRevisions>
    </reviewItem>
    <reviewItem>
      <errorID>8b9a2be3-e367-40b7-b099-30dafee01d4f</errorID>
      <errorWord>程</errorWord>
      <group>L1_Word</group>
      <groupName>字词问题</groupName>
      <ability>L2_Typo</ability>
      <abilityName>字词错误</abilityName>
      <candidateList>
        <item>程中</item>
      </candidateList>
      <explain/>
      <paraID>496DA8B1</paraID>
      <start>34</start>
      <end>35</end>
      <status>unmodified</status>
      <modifiedWord/>
      <trackRevisions>false</trackRevisions>
    </reviewItem>
    <reviewItem>
      <errorID>04d366b5-c3ea-4d86-9a69-36bd87a61731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5A45902C</paraID>
      <start>0</start>
      <end>2</end>
      <status>unmodified</status>
      <modifiedWord/>
      <trackRevisions>false</trackRevisions>
    </reviewItem>
    <reviewItem>
      <errorID>67127948-70c1-455e-9ed0-66123e8446bd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1ABCCD46</paraID>
      <start>0</start>
      <end>2</end>
      <status>unmodified</status>
      <modifiedWord/>
      <trackRevisions>false</trackRevisions>
    </reviewItem>
    <reviewItem>
      <errorID>f9ef6642-2d03-4768-b7ab-4b07cf0e5883</errorID>
      <errorWord>,</errorWord>
      <group>L1_Format</group>
      <groupName>格式问题</groupName>
      <ability>L2_HalfPunc_CN</ability>
      <abilityName>全半角问题</abilityName>
      <candidateList>
        <item>，</item>
      </candidateList>
      <explain>文本全半角错误。</explain>
      <paraID> 85152F2</paraID>
      <start>68</start>
      <end>69</end>
      <status>unmodified</status>
      <modifiedWord/>
      <trackRevisions>false</trackRevisions>
    </reviewItem>
    <reviewItem>
      <errorID>37fb80dc-f35e-42bc-929e-2e99b50e46a7</errorID>
      <errorWord>在</errorWord>
      <group>L1_Word</group>
      <groupName>字词问题</groupName>
      <ability>L2_Typo</ability>
      <abilityName>字词错误</abilityName>
      <candidateList>
        <item>再</item>
      </candidateList>
      <explain/>
      <paraID> 85152F2</paraID>
      <start>102</start>
      <end>103</end>
      <status>unmodified</status>
      <modifiedWord/>
      <trackRevisions>false</trackRevisions>
    </reviewItem>
    <reviewItem>
      <errorID>c7c681f9-e9c4-401f-bd67-904de544ee86</errorID>
      <errorWord>亦</errorWord>
      <group>L1_Word</group>
      <groupName>字词问题</groupName>
      <ability>L2_Typo</ability>
      <abilityName>字词错误</abilityName>
      <candidateList>
        <item>已</item>
      </candidateList>
      <explain>存在发音相同字词的误用。</explain>
      <paraID> 85152F2</paraID>
      <start>132</start>
      <end>133</end>
      <status>unmodified</status>
      <modifiedWord/>
      <trackRevisions>false</trackRevisions>
    </reviewItem>
    <reviewItem>
      <errorID>8b6fec11-e3d5-4359-b359-a74b69556d5c</errorID>
      <errorWord>再生</errorWord>
      <group>L1_Word</group>
      <groupName>字词问题</groupName>
      <ability>L2_Typo</ability>
      <abilityName>字词错误</abilityName>
      <candidateList>
        <item>再</item>
      </candidateList>
      <explain/>
      <paraID> 85152F2</paraID>
      <start>215</start>
      <end>217</end>
      <status>unmodified</status>
      <modifiedWord/>
      <trackRevisions>false</trackRevisions>
    </reviewItem>
    <reviewItem>
      <errorID>aa102873-dd04-4e4f-9083-d77c82d4a6d3</errorID>
      <errorWord>,</errorWord>
      <group>L1_Format</group>
      <groupName>格式问题</groupName>
      <ability>L2_HalfPunc_CN</ability>
      <abilityName>全半角问题</abilityName>
      <candidateList>
        <item>，</item>
      </candidateList>
      <explain>文本全半角错误。</explain>
      <paraID> 85152F2</paraID>
      <start>246</start>
      <end>247</end>
      <status>unmodified</status>
      <modifiedWord/>
      <trackRevisions>false</trackRevisions>
    </reviewItem>
    <reviewItem>
      <errorID>713ae267-ff1f-401e-bcf7-ee564148711f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39A55B94</paraID>
      <start>0</start>
      <end>2</end>
      <status>unmodified</status>
      <modifiedWord/>
      <trackRevisions>false</trackRevisions>
    </reviewItem>
    <reviewItem>
      <errorID>d7aa7fba-a2dd-4a68-9825-ab926b353e97</errorID>
      <errorWord>程</errorWord>
      <group>L1_Word</group>
      <groupName>字词问题</groupName>
      <ability>L2_Typo</ability>
      <abilityName>字词错误</abilityName>
      <candidateList>
        <item>程中</item>
      </candidateList>
      <explain/>
      <paraID>627913B3</paraID>
      <start>24</start>
      <end>25</end>
      <status>unmodified</status>
      <modifiedWord/>
      <trackRevisions>false</trackRevisions>
    </reviewItem>
    <reviewItem>
      <errorID>358a0acf-12ef-4c45-a782-fb4b0e9b232c</errorID>
      <errorWord>程</errorWord>
      <group>L1_Word</group>
      <groupName>字词问题</groupName>
      <ability>L2_Typo</ability>
      <abilityName>字词错误</abilityName>
      <candidateList>
        <item>程中</item>
      </candidateList>
      <explain/>
      <paraID>627913B3</paraID>
      <start>43</start>
      <end>44</end>
      <status>unmodified</status>
      <modifiedWord/>
      <trackRevisions>false</trackRevisions>
    </reviewItem>
    <reviewItem>
      <errorID>5b8cb82b-4165-49c6-85b3-f0febb7d3510</errorID>
      <errorWord>间隔断</errorWord>
      <group>L1_Word</group>
      <groupName>字词问题</groupName>
      <ability>L2_Typo</ability>
      <abilityName>字词错误</abilityName>
      <candidateList>
        <item>间隔</item>
      </candidateList>
      <explain/>
      <paraID>627913B3</paraID>
      <start>219</start>
      <end>222</end>
      <status>unmodified</status>
      <modifiedWord/>
      <trackRevisions>false</trackRevisions>
    </reviewItem>
    <reviewItem>
      <errorID>622d2db2-df98-4b06-8527-1407f0625c8a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3DDA55F3</paraID>
      <start>0</start>
      <end>2</end>
      <status>unmodified</status>
      <modifiedWord/>
      <trackRevisions>false</trackRevisions>
    </reviewItem>
    <reviewItem>
      <errorID>ca05dfc9-e838-48df-9935-3a44aeae3573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77766A7E</paraID>
      <start>0</start>
      <end>2</end>
      <status>unmodified</status>
      <modifiedWord/>
      <trackRevisions>false</trackRevisions>
    </reviewItem>
    <reviewItem>
      <errorID>11505cf4-22cc-4acc-bac6-85a980497648</errorID>
      <errorWord>它</errorWord>
      <group>L1_Word</group>
      <groupName>字词问题</groupName>
      <ability>L2_Typo</ability>
      <abilityName>字词错误</abilityName>
      <candidateList>
        <item>他</item>
      </candidateList>
      <explain/>
      <paraID>28C70B54</paraID>
      <start>130</start>
      <end>131</end>
      <status>unmodified</status>
      <modifiedWord/>
      <trackRevisions>false</trackRevisions>
    </reviewItem>
    <reviewItem>
      <errorID>c064c61d-de1e-4617-9161-079e9d692e90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73DA0483</paraID>
      <start>0</start>
      <end>2</end>
      <status>unmodified</status>
      <modifiedWord/>
      <trackRevisions>false</trackRevisions>
    </reviewItem>
    <reviewItem>
      <errorID>24b703b5-ed54-4d63-880e-ac14dc27cd3e</errorID>
      <errorWord>期</errorWord>
      <group>L1_Word</group>
      <groupName>字词问题</groupName>
      <ability>L2_Typo</ability>
      <abilityName>字词错误</abilityName>
      <candidateList>
        <item>期间</item>
      </candidateList>
      <explain/>
      <paraID> DEBF8B9</paraID>
      <start>179</start>
      <end>180</end>
      <status>unmodified</status>
      <modifiedWord/>
      <trackRevisions>false</trackRevisions>
    </reviewItem>
    <reviewItem>
      <errorID>5237ba7a-e5c7-42db-8318-7f4abdfb51e0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30B190AC</paraID>
      <start>0</start>
      <end>2</end>
      <status>unmodified</status>
      <modifiedWord/>
      <trackRevisions>false</trackRevisions>
    </reviewItem>
    <reviewItem>
      <errorID>52111c1f-6871-42b6-bced-aca5333e15b9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46178E1E</paraID>
      <start>0</start>
      <end>2</end>
      <status>unmodified</status>
      <modifiedWord/>
      <trackRevisions>false</trackRevisions>
    </reviewItem>
    <reviewItem>
      <errorID>09c581c9-4687-4150-915d-fdd569967f9b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626A53DD</paraID>
      <start>0</start>
      <end>2</end>
      <status>unmodified</status>
      <modifiedWord/>
      <trackRevisions>false</trackRevisions>
    </reviewItem>
    <reviewItem>
      <errorID>46af19e9-4526-43e2-9ede-a6b3fe505592</errorID>
      <errorWord>到其它</errorWord>
      <group>L1_Word</group>
      <groupName>字词问题</groupName>
      <ability>L2_Alias</ability>
      <abilityName>也作/曾用词</abilityName>
      <candidateList>
        <item>到其他</item>
      </candidateList>
      <explain>词汇[到其它]为不规范表述或旧称，其规范书面表述为[到其他]。</explain>
      <paraID> 60B3CFC</paraID>
      <start>119</start>
      <end>122</end>
      <status>unmodified</status>
      <modifiedWord/>
      <trackRevisions>false</trackRevisions>
    </reviewItem>
    <reviewItem>
      <errorID>cb85132a-a660-4fe3-9f00-b12381e1f27d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782F45F1</paraID>
      <start>0</start>
      <end>2</end>
      <status>unmodified</status>
      <modifiedWord/>
      <trackRevisions>false</trackRevisions>
    </reviewItem>
    <reviewItem>
      <errorID>9d235ac8-1458-4ab9-89ea-5b0719927ea0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220B527F</paraID>
      <start>0</start>
      <end>2</end>
      <status>unmodified</status>
      <modifiedWord/>
      <trackRevisions>false</trackRevisions>
    </reviewItem>
    <reviewItem>
      <errorID>24b5459f-580f-4276-97c0-ff9872996711</errorID>
      <errorWord>（</errorWord>
      <group>L1_Punc</group>
      <groupName>标点问题</groupName>
      <ability>L2_Punc_CN</ability>
      <abilityName>标点符号问题</abilityName>
      <candidateList/>
      <explain>同一形式括号套用。</explain>
      <paraID>1891DBF7</paraID>
      <start>30</start>
      <end>31</end>
      <status>unmodified</status>
      <modifiedWord/>
      <trackRevisions>false</trackRevisions>
    </reviewItem>
    <reviewItem>
      <errorID>a22e8d0d-ae1e-45fe-b870-2b8bfabe8256</errorID>
      <errorWord>）</errorWord>
      <group>L1_Punc</group>
      <groupName>标点问题</groupName>
      <ability>L2_Punc_CN</ability>
      <abilityName>标点符号问题</abilityName>
      <candidateList/>
      <explain>同一形式括号套用。</explain>
      <paraID>1891DBF7</paraID>
      <start>33</start>
      <end>34</end>
      <status>unmodified</status>
      <modifiedWord/>
      <trackRevisions>false</trackRevisions>
    </reviewItem>
    <reviewItem>
      <errorID>6d6d959d-9985-4246-ba60-3bbaeaccb7c6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2EB03F8A</paraID>
      <start>0</start>
      <end>2</end>
      <status>unmodified</status>
      <modifiedWord/>
      <trackRevisions>false</trackRevisions>
    </reviewItem>
    <reviewItem>
      <errorID>dc16d6e3-04db-452d-aaaf-37af14b5edbf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3620FD38</paraID>
      <start>0</start>
      <end>2</end>
      <status>unmodified</status>
      <modifiedWord/>
      <trackRevisions>false</trackRevisions>
    </reviewItem>
    <reviewItem>
      <errorID>182ff46a-61a9-47bd-9375-7f859e519de8</errorID>
      <errorWord>车辆量</errorWord>
      <group>L1_Word</group>
      <groupName>字词问题</groupName>
      <ability>L2_Typo</ability>
      <abilityName>字词错误</abilityName>
      <candidateList>
        <item>车流量</item>
      </candidateList>
      <explain/>
      <paraID>2A9F2097</paraID>
      <start>4</start>
      <end>7</end>
      <status>unmodified</status>
      <modifiedWord/>
      <trackRevisions>false</trackRevisions>
    </reviewItem>
    <reviewItem>
      <errorID>a1b71ae8-1e95-4d8e-8e2c-1c853b054e98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35B21321</paraID>
      <start>0</start>
      <end>2</end>
      <status>unmodified</status>
      <modifiedWord/>
      <trackRevisions>false</trackRevisions>
    </reviewItem>
    <reviewItem>
      <errorID>75c1e6de-5cc0-44fc-b97b-dea99346531b</errorID>
      <errorWord>，在</errorWord>
      <group>L1_Word</group>
      <groupName>字词问题</groupName>
      <ability>L2_Typo</ability>
      <abilityName>字词错误</abilityName>
      <candidateList>
        <item>，</item>
      </candidateList>
      <explain/>
      <paraID>6144BFBF</paraID>
      <start>18</start>
      <end>20</end>
      <status>unmodified</status>
      <modifiedWord/>
      <trackRevisions>false</trackRevisions>
    </reviewItem>
    <reviewItem>
      <errorID>d78d396b-ac17-4319-ad25-b055a6600156</errorID>
      <errorWord>设</errorWord>
      <group>L1_Word</group>
      <groupName>字词问题</groupName>
      <ability>L2_Typo</ability>
      <abilityName>字词错误</abilityName>
      <candidateList>
        <item>设置</item>
      </candidateList>
      <explain/>
      <paraID>257CFE3F</paraID>
      <start>3</start>
      <end>4</end>
      <status>unmodified</status>
      <modifiedWord/>
      <trackRevisions>false</trackRevisions>
    </reviewItem>
    <reviewItem>
      <errorID>6373a8df-e9be-42e2-987a-882f01a1deb3</errorID>
      <errorWord>设警示标志</errorWord>
      <group>L1_Word</group>
      <groupName>字词问题</groupName>
      <ability>L2_Typo</ability>
      <abilityName>字词错误</abilityName>
      <candidateList>
        <item>设置警示标志</item>
      </candidateList>
      <explain/>
      <paraID>257CFE3F</paraID>
      <start>72</start>
      <end>77</end>
      <status>unmodified</status>
      <modifiedWord/>
      <trackRevisions>false</trackRevisions>
    </reviewItem>
    <reviewItem>
      <errorID>1064fcc6-5343-4368-9564-1d8822cff772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110C6F7D</paraID>
      <start>0</start>
      <end>2</end>
      <status>unmodified</status>
      <modifiedWord/>
      <trackRevisions>false</trackRevisions>
    </reviewItem>
    <reviewItem>
      <errorID>fc3e33f0-cad0-4eae-af00-86c837b36765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216EDF8</paraID>
      <start>0</start>
      <end>2</end>
      <status>unmodified</status>
      <modifiedWord/>
      <trackRevisions>false</trackRevisions>
    </reviewItem>
    <reviewItem>
      <errorID>d957645b-3da9-47d9-8699-38e865d69bb5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4540E526</paraID>
      <start>0</start>
      <end>2</end>
      <status>unmodified</status>
      <modifiedWord/>
      <trackRevisions>false</trackRevisions>
    </reviewItem>
    <reviewItem>
      <errorID>6573a565-899b-4da9-956d-e9bad2c49648</errorID>
      <errorWord>工地</errorWord>
      <group>L1_Word</group>
      <groupName>字词问题</groupName>
      <ability>L2_Typo</ability>
      <abilityName>字词错误</abilityName>
      <candidateList>
        <item>场地</item>
      </candidateList>
      <explain/>
      <paraID>7E4E963D</paraID>
      <start>70</start>
      <end>72</end>
      <status>unmodified</status>
      <modifiedWord/>
      <trackRevisions>false</trackRevisions>
    </reviewItem>
    <reviewItem>
      <errorID>d322366d-86a0-45ca-8e3d-73e03d9cd747</errorID>
      <errorWord>必需</errorWord>
      <group>L1_Word</group>
      <groupName>字词问题</groupName>
      <ability>L2_Typo</ability>
      <abilityName>字词错误</abilityName>
      <candidateList>
        <item>必须</item>
      </candidateList>
      <explain/>
      <paraID>3D103C1D</paraID>
      <start>15</start>
      <end>17</end>
      <status>unmodified</status>
      <modifiedWord/>
      <trackRevisions>false</trackRevisions>
    </reviewItem>
    <reviewItem>
      <errorID>2bb03e2c-35db-4735-9350-73ce85a2e9a1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2FE87983</paraID>
      <start>25</start>
      <end>28</end>
      <status>unmodified</status>
      <modifiedWord/>
      <trackRevisions>false</trackRevisions>
    </reviewItem>
    <reviewItem>
      <errorID>f33d6b0b-233b-48a9-b133-8c5bdbc6e74d</errorID>
      <errorWord>程</errorWord>
      <group>L1_Word</group>
      <groupName>字词问题</groupName>
      <ability>L2_Typo</ability>
      <abilityName>字词错误</abilityName>
      <candidateList>
        <item>程中</item>
      </candidateList>
      <explain/>
      <paraID>4F00FC2F</paraID>
      <start>44</start>
      <end>45</end>
      <status>unmodified</status>
      <modifiedWord/>
      <trackRevisions>false</trackRevisions>
    </reviewItem>
    <reviewItem>
      <errorID>51ac0d88-a512-4fd3-8352-0d1d3443b217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2CB73FCD</paraID>
      <start>0</start>
      <end>2</end>
      <status>unmodified</status>
      <modifiedWord/>
      <trackRevisions>false</trackRevisions>
    </reviewItem>
    <reviewItem>
      <errorID>9d7e3f63-f26b-4681-a332-0bed923c8876</errorID>
      <errorWord>的的</errorWord>
      <group>L1_Word</group>
      <groupName>字词问题</groupName>
      <ability>L2_Typo</ability>
      <abilityName>字词错误</abilityName>
      <candidateList>
        <item>的</item>
      </candidateList>
      <explain/>
      <paraID> D175AA4</paraID>
      <start>239</start>
      <end>241</end>
      <status>unmodified</status>
      <modifiedWord/>
      <trackRevisions>false</trackRevisions>
    </reviewItem>
    <reviewItem>
      <errorID>831be902-b768-4b81-8122-1e2f245a0114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53FCFDC6</paraID>
      <start>0</start>
      <end>2</end>
      <status>unmodified</status>
      <modifiedWord/>
      <trackRevisions>false</trackRevisions>
    </reviewItem>
    <reviewItem>
      <errorID>c9d0e191-797f-491e-9af7-fde392f2d694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40440458</paraID>
      <start>0</start>
      <end>2</end>
      <status>unmodified</status>
      <modifiedWord/>
      <trackRevisions>false</trackRevisions>
    </reviewItem>
    <reviewItem>
      <errorID>c7d15f12-351b-4392-a341-54892fbd00a3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6373F2F8</paraID>
      <start>58</start>
      <end>59</end>
      <status>unmodified</status>
      <modifiedWord/>
      <trackRevisions>false</trackRevisions>
    </reviewItem>
    <reviewItem>
      <errorID>13319f6b-834a-4bfa-995a-202e0fc25699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6373F2F8</paraID>
      <start>72</start>
      <end>73</end>
      <status>unmodified</status>
      <modifiedWord/>
      <trackRevisions>false</trackRevisions>
    </reviewItem>
    <reviewItem>
      <errorID>7f075df2-c38f-4c63-932e-b46da3b986a3</errorID>
      <errorWord>设警示标志</errorWord>
      <group>L1_Word</group>
      <groupName>字词问题</groupName>
      <ability>L2_Typo</ability>
      <abilityName>字词错误</abilityName>
      <candidateList>
        <item>设置警示标志</item>
      </candidateList>
      <explain/>
      <paraID>47A4C2AD</paraID>
      <start>27</start>
      <end>32</end>
      <status>unmodified</status>
      <modifiedWord/>
      <trackRevisions>false</trackRevisions>
    </reviewItem>
    <reviewItem>
      <errorID>78166db0-6bbc-4c94-ad69-30a10c4244ef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53EDDDB0</paraID>
      <start>0</start>
      <end>2</end>
      <status>unmodified</status>
      <modifiedWord/>
      <trackRevisions>false</trackRevisions>
    </reviewItem>
    <reviewItem>
      <errorID>8fbf2ff4-58e4-4bff-8e05-a1524c06302c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7FE383F4</paraID>
      <start>0</start>
      <end>2</end>
      <status>unmodified</status>
      <modifiedWord/>
      <trackRevisions>false</trackRevisions>
    </reviewItem>
    <reviewItem>
      <errorID>b67ade4b-5fc3-4425-ada2-40ae6918eac7</errorID>
      <errorWord>一</errorWord>
      <group>L1_Word</group>
      <groupName>字词问题</groupName>
      <ability>L2_Typo</ability>
      <abilityName>字词错误</abilityName>
      <candidateList>
        <item>一个</item>
      </candidateList>
      <explain/>
      <paraID>564A290A</paraID>
      <start>65</start>
      <end>66</end>
      <status>unmodified</status>
      <modifiedWord/>
      <trackRevisions>false</trackRevisions>
    </reviewItem>
    <reviewItem>
      <errorID>24240fb3-e16e-4fb2-b4a0-c8c819cb1b4d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76155925</paraID>
      <start>0</start>
      <end>2</end>
      <status>unmodified</status>
      <modifiedWord/>
      <trackRevisions>false</trackRevisions>
    </reviewItem>
    <reviewItem>
      <errorID>752eda26-28d3-47a0-a4a1-9ce28efff1f3</errorID>
      <errorWord>，</errorWord>
      <group>L1_Word</group>
      <groupName>字词问题</groupName>
      <ability>L2_Typo</ability>
      <abilityName>字词错误</abilityName>
      <candidateList>
        <item>，对</item>
      </candidateList>
      <explain/>
      <paraID>2C09CB97</paraID>
      <start>24</start>
      <end>25</end>
      <status>unmodified</status>
      <modifiedWord/>
      <trackRevisions>false</trackRevisions>
    </reviewItem>
    <reviewItem>
      <errorID>2c03cda4-9abe-47c1-b93d-2b9cb0e37c78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BA751A1</paraID>
      <start>0</start>
      <end>2</end>
      <status>unmodified</status>
      <modifiedWord/>
      <trackRevisions>false</trackRevisions>
    </reviewItem>
    <reviewItem>
      <errorID>a5cf916d-31ae-4cb0-978e-294fe318c28f</errorID>
      <errorWord>期</errorWord>
      <group>L1_Word</group>
      <groupName>字词问题</groupName>
      <ability>L2_Typo</ability>
      <abilityName>字词错误</abilityName>
      <candidateList>
        <item>期间</item>
      </candidateList>
      <explain/>
      <paraID> DA537A9</paraID>
      <start>18</start>
      <end>19</end>
      <status>unmodified</status>
      <modifiedWord/>
      <trackRevisions>false</trackRevisions>
    </reviewItem>
    <reviewItem>
      <errorID>ede6ccbd-2534-4d33-9621-3f5cedb86c9c</errorID>
      <errorWord>程</errorWord>
      <group>L1_Word</group>
      <groupName>字词问题</groupName>
      <ability>L2_Typo</ability>
      <abilityName>字词错误</abilityName>
      <candidateList>
        <item>程中</item>
      </candidateList>
      <explain/>
      <paraID>68F13838</paraID>
      <start>11</start>
      <end>12</end>
      <status>unmodified</status>
      <modifiedWord/>
      <trackRevisions>false</trackRevisions>
    </reviewItem>
    <reviewItem>
      <errorID>283f01dd-e6dc-4d88-a8fa-bd55d4726898</errorID>
      <errorWord>等和</errorWord>
      <group>L1_Word</group>
      <groupName>字词问题</groupName>
      <ability>L2_Typo</ability>
      <abilityName>字词错误</abilityName>
      <candidateList>
        <item>等</item>
      </candidateList>
      <explain/>
      <paraID>50EC666C</paraID>
      <start>18</start>
      <end>20</end>
      <status>unmodified</status>
      <modifiedWord/>
      <trackRevisions>false</trackRevisions>
    </reviewItem>
    <reviewItem>
      <errorID>1179aa2a-d36f-41e8-958a-937c5de0be31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6A1A5B78</paraID>
      <start>0</start>
      <end>2</end>
      <status>unmodified</status>
      <modifiedWord/>
      <trackRevisions>false</trackRevisions>
    </reviewItem>
    <reviewItem>
      <errorID>a80b9dbe-44ce-4cb9-87a6-92959542f313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1033EFC0</paraID>
      <start>0</start>
      <end>2</end>
      <status>unmodified</status>
      <modifiedWord/>
      <trackRevisions>false</trackRevisions>
    </reviewItem>
    <reviewItem>
      <errorID>212af108-91c4-4aab-bed3-8e0f8ef7028c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33815478</paraID>
      <start>0</start>
      <end>2</end>
      <status>unmodified</status>
      <modifiedWord/>
      <trackRevisions>false</trackRevisions>
    </reviewItem>
    <reviewItem>
      <errorID>3c634857-c269-48ba-b43a-ef39efe00f7b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3925085</paraID>
      <start>0</start>
      <end>2</end>
      <status>unmodified</status>
      <modifiedWord/>
      <trackRevisions>false</trackRevisions>
    </reviewItem>
    <reviewItem>
      <errorID>064730fe-a711-41fc-89f0-d5f530ac5410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1F27B863</paraID>
      <start>0</start>
      <end>2</end>
      <status>unmodified</status>
      <modifiedWord/>
      <trackRevisions>false</trackRevisions>
    </reviewItem>
    <reviewItem>
      <errorID>6f38a8c6-981d-4271-b849-d21413621aa9</errorID>
      <errorWord>避</errorWord>
      <group>L1_Word</group>
      <groupName>字词问题</groupName>
      <ability>L2_Typo</ability>
      <abilityName>字词错误</abilityName>
      <candidateList>
        <item>避免</item>
      </candidateList>
      <explain/>
      <paraID>1F27B863</paraID>
      <start>8</start>
      <end>9</end>
      <status>unmodified</status>
      <modifiedWord/>
      <trackRevisions>false</trackRevisions>
    </reviewItem>
    <reviewItem>
      <errorID>95495945-71ad-4eda-9e7b-8fbd0a68fe88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51D97F09</paraID>
      <start>0</start>
      <end>2</end>
      <status>unmodified</status>
      <modifiedWord/>
      <trackRevisions>false</trackRevisions>
    </reviewItem>
    <reviewItem>
      <errorID>9628324b-72f8-451f-8d49-16ece8a402fb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1FEB6AA4</paraID>
      <start>0</start>
      <end>2</end>
      <status>unmodified</status>
      <modifiedWord/>
      <trackRevisions>false</trackRevisions>
    </reviewItem>
    <reviewItem>
      <errorID>cc2b12d1-e0c7-4847-a7aa-cf97af017cd2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2566DE69</paraID>
      <start>0</start>
      <end>2</end>
      <status>unmodified</status>
      <modifiedWord/>
      <trackRevisions>false</trackRevisions>
    </reviewItem>
    <reviewItem>
      <errorID>70b6032e-f5b7-4536-b983-c7e4e7520e6c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5DF89908</paraID>
      <start>0</start>
      <end>2</end>
      <status>unmodified</status>
      <modifiedWord/>
      <trackRevisions>false</trackRevisions>
    </reviewItem>
    <reviewItem>
      <errorID>8bb2b46c-7f53-4ed1-aad8-bad2a10b9747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2513AF16</paraID>
      <start>0</start>
      <end>2</end>
      <status>unmodified</status>
      <modifiedWord/>
      <trackRevisions>false</trackRevisions>
    </reviewItem>
    <reviewItem>
      <errorID>329a22f3-d1b4-45b7-a6d9-677b25c6ff9e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61F2F61</paraID>
      <start>0</start>
      <end>2</end>
      <status>unmodified</status>
      <modifiedWord/>
      <trackRevisions>false</trackRevisions>
    </reviewItem>
    <reviewItem>
      <errorID>fd6aa577-4f27-49c4-b881-5284e213f6f4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1223AF57</paraID>
      <start>0</start>
      <end>2</end>
      <status>unmodified</status>
      <modifiedWord/>
      <trackRevisions>false</trackRevisions>
    </reviewItem>
    <reviewItem>
      <errorID>53240c70-ea8e-467d-a63b-9a6ea21de9d7</errorID>
      <errorWord>排放</errorWord>
      <group>L1_Word</group>
      <groupName>字词问题</groupName>
      <ability>L2_Typo</ability>
      <abilityName>字词错误</abilityName>
      <candidateList>
        <item>排</item>
      </candidateList>
      <explain/>
      <paraID>1223AF57</paraID>
      <start>25</start>
      <end>27</end>
      <status>unmodified</status>
      <modifiedWord/>
      <trackRevisions>false</trackRevisions>
    </reviewItem>
    <reviewItem>
      <errorID>88d6fb5e-2672-4c0a-abfe-4c74c5e0fbb2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7E0A4A88</paraID>
      <start>0</start>
      <end>2</end>
      <status>unmodified</status>
      <modifiedWord/>
      <trackRevisions>false</trackRevisions>
    </reviewItem>
    <reviewItem>
      <errorID>55ea0d00-d281-4824-ad3e-2be2ffbdeda0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6BDA50DE</paraID>
      <start>0</start>
      <end>2</end>
      <status>unmodified</status>
      <modifiedWord/>
      <trackRevisions>false</trackRevisions>
    </reviewItem>
    <reviewItem>
      <errorID>26a3e5e4-ceb4-49de-8264-42273d29b2d7</errorID>
      <errorWord>束</errorWord>
      <group>L1_Word</group>
      <groupName>字词问题</groupName>
      <ability>L2_Typo</ability>
      <abilityName>字词错误</abilityName>
      <candidateList>
        <item>束后</item>
      </candidateList>
      <explain/>
      <paraID>6BDA50DE</paraID>
      <start>5</start>
      <end>6</end>
      <status>unmodified</status>
      <modifiedWord/>
      <trackRevisions>false</trackRevisions>
    </reviewItem>
    <reviewItem>
      <errorID>a1f6786e-9595-4554-a687-965ac693d78d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315D5274</paraID>
      <start>0</start>
      <end>2</end>
      <status>unmodified</status>
      <modifiedWord/>
      <trackRevisions>false</trackRevisions>
    </reviewItem>
    <reviewItem>
      <errorID>f0788ac7-38f5-40ae-a2f7-bf8ba2b8f894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64310514</paraID>
      <start>0</start>
      <end>2</end>
      <status>unmodified</status>
      <modifiedWord/>
      <trackRevisions>false</trackRevisions>
    </reviewItem>
    <reviewItem>
      <errorID>af3789c3-495b-4640-99eb-4dd2333a4f06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479CC168</paraID>
      <start>0</start>
      <end>2</end>
      <status>unmodified</status>
      <modifiedWord/>
      <trackRevisions>false</trackRevisions>
    </reviewItem>
    <reviewItem>
      <errorID>d78f8503-b870-4c64-81b4-3e919056aa93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63B49742</paraID>
      <start>0</start>
      <end>2</end>
      <status>unmodified</status>
      <modifiedWord/>
      <trackRevisions>false</trackRevisions>
    </reviewItem>
    <reviewItem>
      <errorID>8fe4b4b7-5f9c-41f2-9f1c-ed96024a7606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221BAF12</paraID>
      <start>0</start>
      <end>2</end>
      <status>unmodified</status>
      <modifiedWord/>
      <trackRevisions>false</trackRevisions>
    </reviewItem>
    <reviewItem>
      <errorID>1f275a1c-bc92-4f19-b5a5-45a2ea13e5ff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5E9204EB</paraID>
      <start>0</start>
      <end>2</end>
      <status>unmodified</status>
      <modifiedWord/>
      <trackRevisions>false</trackRevisions>
    </reviewItem>
    <reviewItem>
      <errorID>cdeee60c-19c5-4e35-a3a8-ca3cad5d7407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22D389B5</paraID>
      <start>0</start>
      <end>2</end>
      <status>unmodified</status>
      <modifiedWord/>
      <trackRevisions>false</trackRevisions>
    </reviewItem>
    <reviewItem>
      <errorID>4e0d2586-2067-42e5-a434-ec5fb2ff4f68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117C9475</paraID>
      <start>0</start>
      <end>2</end>
      <status>unmodified</status>
      <modifiedWord/>
      <trackRevisions>false</trackRevisions>
    </reviewItem>
    <reviewItem>
      <errorID>b94a4660-bb02-4d1f-8118-46ad6f571567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2856B288</paraID>
      <start>0</start>
      <end>2</end>
      <status>unmodified</status>
      <modifiedWord/>
      <trackRevisions>false</trackRevisions>
    </reviewItem>
    <reviewItem>
      <errorID>35d5cb39-9c9d-4482-b4b3-c21d5014584b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5DC5D1D2</paraID>
      <start>0</start>
      <end>2</end>
      <status>unmodified</status>
      <modifiedWord/>
      <trackRevisions>false</trackRevisions>
    </reviewItem>
    <reviewItem>
      <errorID>f194e7cd-9e68-4e9d-8bff-aa6cf4558ad8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90F43ED</paraID>
      <start>0</start>
      <end>2</end>
      <status>unmodified</status>
      <modifiedWord/>
      <trackRevisions>false</trackRevisions>
    </reviewItem>
    <reviewItem>
      <errorID>1b5841e9-5e86-49bc-9ef0-dfcc83da4b65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29AD9E63</paraID>
      <start>0</start>
      <end>2</end>
      <status>unmodified</status>
      <modifiedWord/>
      <trackRevisions>false</trackRevisions>
    </reviewItem>
    <reviewItem>
      <errorID>31d2864b-f727-42eb-9a43-7aec042a1e2a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3EC2AA6D</paraID>
      <start>0</start>
      <end>2</end>
      <status>unmodified</status>
      <modifiedWord/>
      <trackRevisions>false</trackRevisions>
    </reviewItem>
    <reviewItem>
      <errorID>ef3bf2bf-c947-4d4e-8811-15b294e329e2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4D10ED8A</paraID>
      <start>0</start>
      <end>2</end>
      <status>unmodified</status>
      <modifiedWord/>
      <trackRevisions>false</trackRevisions>
    </reviewItem>
    <reviewItem>
      <errorID>7dd1189c-0957-4398-8ceb-e2eb8012632b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1D75AE16</paraID>
      <start>0</start>
      <end>2</end>
      <status>unmodified</status>
      <modifiedWord/>
      <trackRevisions>false</trackRevisions>
    </reviewItem>
    <reviewItem>
      <errorID>f5886cc6-cc2f-4249-af53-187edde18ca3</errorID>
      <errorWord>（</errorWord>
      <group>L1_Format</group>
      <groupName>格式问题</groupName>
      <ability>L2_HalfPunc_CN</ability>
      <abilityName>全半角问题</abilityName>
      <candidateList>
        <item>(</item>
      </candidateList>
      <explain>文本全半角错误。</explain>
      <paraID>46A44B7F</paraID>
      <start>0</start>
      <end>1</end>
      <status>unmodified</status>
      <modifiedWord/>
      <trackRevisions>false</trackRevisions>
    </reviewItem>
    <reviewItem>
      <errorID>53af6c0a-63a8-4736-bfe5-499b1c29f50c</errorID>
      <errorWord>）</errorWord>
      <group>L1_Format</group>
      <groupName>格式问题</groupName>
      <ability>L2_HalfPunc_CN</ability>
      <abilityName>全半角问题</abilityName>
      <candidateList>
        <item>)</item>
      </candidateList>
      <explain>文本全半角错误。</explain>
      <paraID>46A44B7F</paraID>
      <start>13</start>
      <end>14</end>
      <status>unmodified</status>
      <modifiedWord/>
      <trackRevisions>false</trackRevisions>
    </reviewItem>
    <reviewItem>
      <errorID>0976a773-2966-4702-bcdb-75c9198e94a4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54E97502</paraID>
      <start>0</start>
      <end>2</end>
      <status>unmodified</status>
      <modifiedWord/>
      <trackRevisions>false</trackRevisions>
    </reviewItem>
    <reviewItem>
      <errorID>6b44082b-0a1f-4e5e-b0c7-44353c43084d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27F1283F</paraID>
      <start>0</start>
      <end>2</end>
      <status>unmodified</status>
      <modifiedWord/>
      <trackRevisions>false</trackRevisions>
    </reviewItem>
    <reviewItem>
      <errorID>eda027ef-8eb8-450c-93a8-21eb60364cee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40D09920</paraID>
      <start>0</start>
      <end>2</end>
      <status>unmodified</status>
      <modifiedWord/>
      <trackRevisions>false</trackRevisions>
    </reviewItem>
    <reviewItem>
      <errorID>bb5ce4f4-fb05-4822-9542-bf6fa34c0367</errorID>
      <errorWord>,</errorWord>
      <group>L1_Format</group>
      <groupName>格式问题</groupName>
      <ability>L2_HalfPunc_CN</ability>
      <abilityName>全半角问题</abilityName>
      <candidateList>
        <item>，</item>
      </candidateList>
      <explain>文本全半角错误。</explain>
      <paraID>40D09920</paraID>
      <start>10</start>
      <end>11</end>
      <status>unmodified</status>
      <modifiedWord/>
      <trackRevisions>false</trackRevisions>
    </reviewItem>
    <reviewItem>
      <errorID>6bbbb483-5bb0-47d3-9552-ad2dfc227454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1D8F422F</paraID>
      <start>0</start>
      <end>2</end>
      <status>unmodified</status>
      <modifiedWord/>
      <trackRevisions>false</trackRevisions>
    </reviewItem>
    <reviewItem>
      <errorID>d63d4358-5793-4ef2-93fa-524f39d232ce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1BEACB96</paraID>
      <start>0</start>
      <end>2</end>
      <status>unmodified</status>
      <modifiedWord/>
      <trackRevisions>false</trackRevisions>
    </reviewItem>
    <reviewItem>
      <errorID>91dba990-aea6-49da-a75e-1254bf03fd8b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1990EA0C</paraID>
      <start>0</start>
      <end>2</end>
      <status>unmodified</status>
      <modifiedWord/>
      <trackRevisions>false</trackRevisions>
    </reviewItem>
    <reviewItem>
      <errorID>1c36a5fb-79c9-4d52-965e-b764e9baabf2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676F9CCF</paraID>
      <start>0</start>
      <end>2</end>
      <status>unmodified</status>
      <modifiedWord/>
      <trackRevisions>false</trackRevisions>
    </reviewItem>
    <reviewItem>
      <errorID>47019d65-4be8-41dd-8fc5-93f8e9633787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7EEB6488</paraID>
      <start>0</start>
      <end>2</end>
      <status>unmodified</status>
      <modifiedWord/>
      <trackRevisions>false</trackRevisions>
    </reviewItem>
    <reviewItem>
      <errorID>674a6d8c-2776-4c96-9d84-fbc340810da3</errorID>
      <errorWord>源</errorWord>
      <group>L1_Word</group>
      <groupName>字词问题</groupName>
      <ability>L2_Typo</ability>
      <abilityName>字词错误</abilityName>
      <candidateList>
        <item>源汽</item>
      </candidateList>
      <explain/>
      <paraID>7EEB6488</paraID>
      <start>35</start>
      <end>36</end>
      <status>unmodified</status>
      <modifiedWord/>
      <trackRevisions>false</trackRevisions>
    </reviewItem>
    <reviewItem>
      <errorID>fe264cfd-80e2-4c52-9be1-1abfa4f30ee0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277CBDC7</paraID>
      <start>0</start>
      <end>2</end>
      <status>unmodified</status>
      <modifiedWord/>
      <trackRevisions>false</trackRevisions>
    </reviewItem>
    <reviewItem>
      <errorID>10c3ac52-f43d-4553-afa0-874db01a182f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7789453E</paraID>
      <start>0</start>
      <end>2</end>
      <status>unmodified</status>
      <modifiedWord/>
      <trackRevisions>false</trackRevisions>
    </reviewItem>
    <reviewItem>
      <errorID>2e7deb44-095b-42ea-9401-2f06d2522251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68326670</paraID>
      <start>0</start>
      <end>2</end>
      <status>unmodified</status>
      <modifiedWord/>
      <trackRevisions>false</trackRevisions>
    </reviewItem>
    <reviewItem>
      <errorID>f56649ee-c221-4502-85aa-64f934e57d66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730FB589</paraID>
      <start>0</start>
      <end>2</end>
      <status>unmodified</status>
      <modifiedWord/>
      <trackRevisions>false</trackRevisions>
    </reviewItem>
    <reviewItem>
      <errorID>2681e4bd-c517-4929-b28e-5eb80965e658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3CB43A36</paraID>
      <start>0</start>
      <end>2</end>
      <status>unmodified</status>
      <modifiedWord/>
      <trackRevisions>false</trackRevisions>
    </reviewItem>
    <reviewItem>
      <errorID>4d986a10-148b-4b3d-881c-5ccc2d3d157b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50CACAC9</paraID>
      <start>0</start>
      <end>2</end>
      <status>unmodified</status>
      <modifiedWord/>
      <trackRevisions>false</trackRevisions>
    </reviewItem>
    <reviewItem>
      <errorID>5ad20b5d-78f8-448f-a4ea-4a6597eb24d7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692A03C1</paraID>
      <start>0</start>
      <end>2</end>
      <status>unmodified</status>
      <modifiedWord/>
      <trackRevisions>false</trackRevisions>
    </reviewItem>
    <reviewItem>
      <errorID>65599eb9-2d6c-45cd-abf9-1b2eb764504a</errorID>
      <errorWord>回</errorWord>
      <group>L1_Word</group>
      <groupName>字词问题</groupName>
      <ability>L2_Typo</ability>
      <abilityName>字词错误</abilityName>
      <candidateList>
        <item>回收</item>
      </candidateList>
      <explain/>
      <paraID>207F41D8</paraID>
      <start>100</start>
      <end>101</end>
      <status>unmodified</status>
      <modifiedWord/>
      <trackRevisions>false</trackRevisions>
    </reviewItem>
    <reviewItem>
      <errorID>4e6651c3-ae6d-4a7a-96b4-54ef044a1adf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6978A942</paraID>
      <start>0</start>
      <end>2</end>
      <status>unmodified</status>
      <modifiedWord/>
      <trackRevisions>false</trackRevisions>
    </reviewItem>
    <reviewItem>
      <errorID>b8620b89-4eee-434d-934b-2145ebb62ebf</errorID>
      <errorWord>)</errorWord>
      <group>L1_Format</group>
      <groupName>格式问题</groupName>
      <ability>L2_HalfPunc_CN</ability>
      <abilityName>全半角问题</abilityName>
      <candidateList>
        <item>）</item>
      </candidateList>
      <explain>文本全半角错误。</explain>
      <paraID>550232ED</paraID>
      <start>164</start>
      <end>165</end>
      <status>unmodified</status>
      <modifiedWord/>
      <trackRevisions>false</trackRevisions>
    </reviewItem>
    <reviewItem>
      <errorID>23c9ceed-4e53-4ee1-a7fc-f3d5bfd52aca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506881CB</paraID>
      <start>0</start>
      <end>2</end>
      <status>unmodified</status>
      <modifiedWord/>
      <trackRevisions>false</trackRevisions>
    </reviewItem>
    <reviewItem>
      <errorID>056ec2cd-491e-4325-a975-fa971bd40996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4EC9B2A9</paraID>
      <start>0</start>
      <end>2</end>
      <status>unmodified</status>
      <modifiedWord/>
      <trackRevisions>false</trackRevisions>
    </reviewItem>
    <reviewItem>
      <errorID>32559102-8b1f-4653-af37-f1aadc86e61b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365A5F9B</paraID>
      <start>0</start>
      <end>2</end>
      <status>unmodified</status>
      <modifiedWord/>
      <trackRevisions>false</trackRevisions>
    </reviewItem>
    <reviewItem>
      <errorID>f22a4fcf-1196-41e7-b137-7813efb6da3f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3EC9F5E9</paraID>
      <start>0</start>
      <end>2</end>
      <status>unmodified</status>
      <modifiedWord/>
      <trackRevisions>false</trackRevisions>
    </reviewItem>
    <reviewItem>
      <errorID>6c21f532-f3bc-4061-a34e-0fc3335b5079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64EBCD46</paraID>
      <start>59</start>
      <end>62</end>
      <status>unmodified</status>
      <modifiedWord/>
      <trackRevisions>false</trackRevisions>
    </reviewItem>
    <reviewItem>
      <errorID>8c956b56-c2b6-4143-9223-045aff16d35a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64EBCD46</paraID>
      <start>72</start>
      <end>75</end>
      <status>unmodified</status>
      <modifiedWord/>
      <trackRevisions>false</trackRevisions>
    </reviewItem>
    <reviewItem>
      <errorID>f942add7-40cc-498c-a33d-5429702ab71e</errorID>
      <errorWord>-</errorWord>
      <group>L1_Format</group>
      <groupName>格式问题</groupName>
      <ability>L2_HalfPunc_CN</ability>
      <abilityName>全半角问题</abilityName>
      <candidateList>
        <item>－</item>
      </candidateList>
      <explain>文本全半角错误。</explain>
      <paraID>4C0FE3E2</paraID>
      <start>4</start>
      <end>5</end>
      <status>unmodified</status>
      <modifiedWord/>
      <trackRevisions>false</trackRevisions>
    </reviewItem>
    <reviewItem>
      <errorID>186e7fa3-1d66-4e9e-90e6-485d7cb9e596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107C0726</paraID>
      <start>0</start>
      <end>2</end>
      <status>unmodified</status>
      <modifiedWord/>
      <trackRevisions>false</trackRevisions>
    </reviewItem>
    <reviewItem>
      <errorID>01323a7c-edcf-4a12-a5e1-22a2bb9e7eaa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35E8BC61</paraID>
      <start>0</start>
      <end>2</end>
      <status>unmodified</status>
      <modifiedWord/>
      <trackRevisions>false</trackRevisions>
    </reviewItem>
    <reviewItem>
      <errorID>67b425db-f64a-44eb-8c88-1b83f9dd510e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401EE4AD</paraID>
      <start>0</start>
      <end>2</end>
      <status>unmodified</status>
      <modifiedWord/>
      <trackRevisions>false</trackRevisions>
    </reviewItem>
    <reviewItem>
      <errorID>cef7b195-748b-4f68-bd3d-1befd8d78c0d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302A4387</paraID>
      <start>0</start>
      <end>2</end>
      <status>unmodified</status>
      <modifiedWord/>
      <trackRevisions>false</trackRevisions>
    </reviewItem>
    <reviewItem>
      <errorID>cdec3aab-be55-4e50-8c59-80477239ab0e</errorID>
      <errorWord>检测点位</errorWord>
      <group>L1_Knowledge</group>
      <groupName>知识性问题</groupName>
      <ability>L2_Term</ability>
      <abilityName>专业术语</abilityName>
      <candidateList>
        <item>监测点位</item>
      </candidateList>
      <explain/>
      <paraID> 2BD5EE8</paraID>
      <start>27</start>
      <end>32</end>
      <status>unmodified</status>
      <modifiedWord/>
      <trackRevisions>false</trackRevisions>
    </reviewItem>
    <reviewItem>
      <errorID>af4838c1-3bfc-4798-8e03-13536c2c0d61</errorID>
      <errorWord>（</errorWord>
      <group>L1_Format</group>
      <groupName>格式问题</groupName>
      <ability>L2_HalfPunc_CN</ability>
      <abilityName>全半角问题</abilityName>
      <candidateList>
        <item>(</item>
      </candidateList>
      <explain>文本全半角错误。</explain>
      <paraID>6A9105B2</paraID>
      <start>2</start>
      <end>3</end>
      <status>unmodified</status>
      <modifiedWord/>
      <trackRevisions>false</trackRevisions>
    </reviewItem>
    <reviewItem>
      <errorID>57b7040a-93da-4782-b0ea-410b5ba1cfeb</errorID>
      <errorWord>）</errorWord>
      <group>L1_Format</group>
      <groupName>格式问题</groupName>
      <ability>L2_HalfPunc_CN</ability>
      <abilityName>全半角问题</abilityName>
      <candidateList>
        <item>)</item>
      </candidateList>
      <explain>文本全半角错误。</explain>
      <paraID>6A9105B2</paraID>
      <start>4</start>
      <end>5</end>
      <status>unmodified</status>
      <modifiedWord/>
      <trackRevisions>false</trackRevisions>
    </reviewItem>
    <reviewItem>
      <errorID>5b81232c-7543-41db-a7e5-c87ac8944e5e</errorID>
      <errorWord>（</errorWord>
      <group>L1_Punc</group>
      <groupName>标点问题</groupName>
      <ability>L2_Punc_CN</ability>
      <abilityName>标点符号问题</abilityName>
      <candidateList/>
      <explain>同一形式括号套用。</explain>
      <paraID>7BCAF055</paraID>
      <start>153</start>
      <end>154</end>
      <status>unmodified</status>
      <modifiedWord/>
      <trackRevisions>false</trackRevisions>
    </reviewItem>
    <reviewItem>
      <errorID>dc737f47-bbbd-4fe3-b998-6642ebe94473</errorID>
      <errorWord>(</errorWord>
      <group>L1_Punc</group>
      <groupName>标点问题</groupName>
      <ability>L2_Punc_CN</ability>
      <abilityName>标点符号问题</abilityName>
      <candidateList/>
      <explain>同一形式括号套用。</explain>
      <paraID>7BCAF055</paraID>
      <start>161</start>
      <end>162</end>
      <status>unmodified</status>
      <modifiedWord/>
      <trackRevisions>false</trackRevisions>
    </reviewItem>
    <reviewItem>
      <errorID>e8a3f207-2e08-4715-80d3-3ea1af0f03e0</errorID>
      <errorWord>)</errorWord>
      <group>L1_Punc</group>
      <groupName>标点问题</groupName>
      <ability>L2_Punc_CN</ability>
      <abilityName>标点符号问题</abilityName>
      <candidateList/>
      <explain>同一形式括号套用。</explain>
      <paraID>7BCAF055</paraID>
      <start>163</start>
      <end>164</end>
      <status>unmodified</status>
      <modifiedWord/>
      <trackRevisions>false</trackRevisions>
    </reviewItem>
    <reviewItem>
      <errorID>bb3224ac-f4fe-4878-b8d1-75c8cd8ec261</errorID>
      <errorWord>）</errorWord>
      <group>L1_Punc</group>
      <groupName>标点问题</groupName>
      <ability>L2_Punc_CN</ability>
      <abilityName>标点符号问题</abilityName>
      <candidateList/>
      <explain>同一形式括号套用。</explain>
      <paraID>7BCAF055</paraID>
      <start>164</start>
      <end>165</end>
      <status>unmodified</status>
      <modifiedWord/>
      <trackRevisions>false</trackRevisions>
    </reviewItem>
    <reviewItem>
      <errorID>1d0efc14-d520-4c45-8afe-cdced35fa66b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5E042534</paraID>
      <start>0</start>
      <end>2</end>
      <status>unmodified</status>
      <modifiedWord/>
      <trackRevisions>false</trackRevisions>
    </reviewItem>
    <reviewItem>
      <errorID>ec336c85-970b-4fab-96d7-fe0b74507c7a</errorID>
      <errorWord>r、</errorWord>
      <group>L1_Format</group>
      <groupName>格式问题</groupName>
      <ability>L2_Ordinal</ability>
      <abilityName>序号格式</abilityName>
      <candidateList>
        <item>r.</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74A0BFF5</paraID>
      <start>0</start>
      <end>2</end>
      <status>unmodified</status>
      <modifiedWord/>
      <trackRevisions>false</trackRevisions>
    </reviewItem>
    <reviewItem>
      <errorID>26aaba5c-0f85-4eb5-93fb-2c8cf98fc529</errorID>
      <errorWord>必须</errorWord>
      <group>L1_Word</group>
      <groupName>字词问题</groupName>
      <ability>L2_Typo</ability>
      <abilityName>字词错误</abilityName>
      <candidateList>
        <item>必需</item>
      </candidateList>
      <explain/>
      <paraID>574E74D0</paraID>
      <start>190</start>
      <end>192</end>
      <status>unmodified</status>
      <modifiedWord/>
      <trackRevisions>false</trackRevisions>
    </reviewItem>
    <reviewItem>
      <errorID>6ebcee83-e12f-4ec7-a863-29f8e6e23b53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19D8E405</paraID>
      <start>0</start>
      <end>2</end>
      <status>unmodified</status>
      <modifiedWord/>
      <trackRevisions>false</trackRevisions>
    </reviewItem>
    <reviewItem>
      <errorID>01c9ce0e-4572-4fda-a0ab-6453c947ecb4</errorID>
      <errorWord>由其它</errorWord>
      <group>L1_Word</group>
      <groupName>字词问题</groupName>
      <ability>L2_Alias</ability>
      <abilityName>也作/曾用词</abilityName>
      <candidateList>
        <item>由其他</item>
      </candidateList>
      <explain>词汇[由其它]为不规范表述或旧称，其规范书面表述为[由其他]。</explain>
      <paraID> E624DEE</paraID>
      <start>2</start>
      <end>5</end>
      <status>unmodified</status>
      <modifiedWord/>
      <trackRevisions>false</trackRevisions>
    </reviewItem>
    <reviewItem>
      <errorID>b428b079-d456-45ed-94e9-77994c25e488</errorID>
      <errorWord>)</errorWord>
      <group>L1_Format</group>
      <groupName>格式问题</groupName>
      <ability>L2_HalfPunc_CN</ability>
      <abilityName>全半角问题</abilityName>
      <candidateList>
        <item>）</item>
      </candidateList>
      <explain>文本全半角错误。</explain>
      <paraID>2FE20DAA</paraID>
      <start>22</start>
      <end>23</end>
      <status>unmodified</status>
      <modifiedWord/>
      <trackRevisions>false</trackRevisions>
    </reviewItem>
    <reviewItem>
      <errorID>4f1de2a5-24a4-4a4f-91c2-b75a2fb9d1a1</errorID>
      <errorWord>)</errorWord>
      <group>L1_Format</group>
      <groupName>格式问题</groupName>
      <ability>L2_HalfPunc_CN</ability>
      <abilityName>全半角问题</abilityName>
      <candidateList>
        <item>）</item>
      </candidateList>
      <explain>文本全半角错误。</explain>
      <paraID> E32F140</paraID>
      <start>17</start>
      <end>18</end>
      <status>unmodified</status>
      <modifiedWord/>
      <trackRevisions>false</trackRevisions>
    </reviewItem>
    <reviewItem>
      <errorID>fe355148-2362-4716-add2-ed977910253e</errorID>
      <errorWord>)</errorWord>
      <group>L1_Format</group>
      <groupName>格式问题</groupName>
      <ability>L2_HalfPunc_CN</ability>
      <abilityName>全半角问题</abilityName>
      <candidateList>
        <item>）</item>
      </candidateList>
      <explain>文本全半角错误。</explain>
      <paraID>535DEA75</paraID>
      <start>22</start>
      <end>23</end>
      <status>unmodified</status>
      <modifiedWord/>
      <trackRevisions>false</trackRevisions>
    </reviewItem>
    <reviewItem>
      <errorID>84db9df1-9fab-498d-8625-d91cee1b3a06</errorID>
      <errorWord>)</errorWord>
      <group>L1_Format</group>
      <groupName>格式问题</groupName>
      <ability>L2_HalfPunc_CN</ability>
      <abilityName>全半角问题</abilityName>
      <candidateList>
        <item>）</item>
      </candidateList>
      <explain>文本全半角错误。</explain>
      <paraID>54F86BE9</paraID>
      <start>21</start>
      <end>22</end>
      <status>unmodified</status>
      <modifiedWord/>
      <trackRevisions>false</trackRevisions>
    </reviewItem>
    <reviewItem>
      <errorID>681d9958-4bec-4aff-8fe1-706f732939c8</errorID>
      <errorWord>)</errorWord>
      <group>L1_Format</group>
      <groupName>格式问题</groupName>
      <ability>L2_HalfPunc_CN</ability>
      <abilityName>全半角问题</abilityName>
      <candidateList>
        <item>）</item>
      </candidateList>
      <explain>文本全半角错误。</explain>
      <paraID>5950A894</paraID>
      <start>19</start>
      <end>20</end>
      <status>unmodified</status>
      <modifiedWord/>
      <trackRevisions>false</trackRevisions>
    </reviewItem>
    <reviewItem>
      <errorID>5ba56999-8313-4a52-8e9e-725d9ea2227a</errorID>
      <errorWord>)</errorWord>
      <group>L1_Format</group>
      <groupName>格式问题</groupName>
      <ability>L2_HalfPunc_CN</ability>
      <abilityName>全半角问题</abilityName>
      <candidateList>
        <item>）</item>
      </candidateList>
      <explain>文本全半角错误。</explain>
      <paraID> D29E007</paraID>
      <start>20</start>
      <end>21</end>
      <status>unmodified</status>
      <modifiedWord/>
      <trackRevisions>false</trackRevisions>
    </reviewItem>
    <reviewItem>
      <errorID>e8b08bcc-6293-4faa-a2bb-d88e0f9b00b7</errorID>
      <errorWord>)</errorWord>
      <group>L1_Format</group>
      <groupName>格式问题</groupName>
      <ability>L2_HalfPunc_CN</ability>
      <abilityName>全半角问题</abilityName>
      <candidateList>
        <item>）</item>
      </candidateList>
      <explain>文本全半角错误。</explain>
      <paraID>1A842471</paraID>
      <start>6</start>
      <end>7</end>
      <status>unmodified</status>
      <modifiedWord/>
      <trackRevisions>false</trackRevisions>
    </reviewItem>
    <reviewItem>
      <errorID>dd19bf1e-32ba-45cb-b247-5e0866b3d22e</errorID>
      <errorWord>)</errorWord>
      <group>L1_Format</group>
      <groupName>格式问题</groupName>
      <ability>L2_HalfPunc_CN</ability>
      <abilityName>全半角问题</abilityName>
      <candidateList>
        <item>）</item>
      </candidateList>
      <explain>文本全半角错误。</explain>
      <paraID>1A842471</paraID>
      <start>32</start>
      <end>33</end>
      <status>unmodified</status>
      <modifiedWord/>
      <trackRevisions>false</trackRevisions>
    </reviewItem>
    <reviewItem>
      <errorID>a0403079-15c9-4cde-afcb-987babb85c97</errorID>
      <errorWord>的</errorWord>
      <group>L1_Word</group>
      <groupName>字词问题</groupName>
      <ability>L2_Typo</ability>
      <abilityName>字词错误</abilityName>
      <candidateList>
        <item>的道</item>
      </candidateList>
      <explain/>
      <paraID>2928B144</paraID>
      <start>10</start>
      <end>11</end>
      <status>unmodified</status>
      <modifiedWord/>
      <trackRevisions>false</trackRevisions>
    </reviewItem>
    <reviewItem>
      <errorID>473b6d4f-f88b-41b9-a214-f255a6b9c634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34F9CE18</paraID>
      <start>1</start>
      <end>2</end>
      <status>unmodified</status>
      <modifiedWord/>
      <trackRevisions>false</trackRevisions>
    </reviewItem>
    <reviewItem>
      <errorID>92e61a69-8b9c-41c2-84ad-5f3276c3d9fe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6E643DFE</paraID>
      <start>1</start>
      <end>2</end>
      <status>unmodified</status>
      <modifiedWord/>
      <trackRevisions>false</trackRevisions>
    </reviewItem>
    <reviewItem>
      <errorID>64fa3616-0beb-48d3-8386-ef5926ca5665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16AB19DC</paraID>
      <start>1</start>
      <end>2</end>
      <status>unmodified</status>
      <modifiedWord/>
      <trackRevisions>false</trackRevisions>
    </reviewItem>
    <reviewItem>
      <errorID>cd8c8e5b-b4c2-4f2a-9b38-009141050730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79D246F5</paraID>
      <start>1</start>
      <end>2</end>
      <status>unmodified</status>
      <modifiedWord/>
      <trackRevisions>false</trackRevisions>
    </reviewItem>
    <reviewItem>
      <errorID>93214548-d8fd-4434-a30e-77065b67c1ca</errorID>
      <errorWord>（</errorWord>
      <group>L1_Format</group>
      <groupName>格式问题</groupName>
      <ability>L2_HalfPunc_CN</ability>
      <abilityName>全半角问题</abilityName>
      <candidateList>
        <item>(</item>
      </candidateList>
      <explain>文本全半角错误。</explain>
      <paraID>12B49748</paraID>
      <start>0</start>
      <end>1</end>
      <status>unmodified</status>
      <modifiedWord/>
      <trackRevisions>false</trackRevisions>
    </reviewItem>
    <reviewItem>
      <errorID>0379af6e-4583-4d75-89af-4319e9577308</errorID>
      <errorWord>）</errorWord>
      <group>L1_Format</group>
      <groupName>格式问题</groupName>
      <ability>L2_HalfPunc_CN</ability>
      <abilityName>全半角问题</abilityName>
      <candidateList>
        <item>)</item>
      </candidateList>
      <explain>文本全半角错误。</explain>
      <paraID>12B49748</paraID>
      <start>2</start>
      <end>3</end>
      <status>unmodified</status>
      <modifiedWord/>
      <trackRevisions>false</trackRevisions>
    </reviewItem>
    <reviewItem>
      <errorID>7aa878db-5f37-47c0-a1e7-f48a00ee442a</errorID>
      <errorWord>根据模拟等声线图显示</errorWord>
      <group>L1_Grammar</group>
      <groupName>语法问题</groupName>
      <ability>L2_Grammar</ability>
      <abilityName>语法错误</abilityName>
      <candidateList>
        <item>根据模拟等声线图</item>
      </candidateList>
      <explain>该表达中的“根据模拟等声线图显示”存在语义重复。</explain>
      <paraID>123D144C</paraID>
      <start>79</start>
      <end>89</end>
      <status>unmodified</status>
      <modifiedWord/>
      <trackRevisions>false</trackRevisions>
    </reviewItem>
    <reviewItem>
      <errorID>933df03a-beac-40be-aa52-c4aaec4aa6c3</errorID>
      <errorWord>为为</errorWord>
      <group>L1_Word</group>
      <groupName>字词问题</groupName>
      <ability>L2_Typo</ability>
      <abilityName>字词错误</abilityName>
      <candidateList>
        <item>为</item>
      </candidateList>
      <explain/>
      <paraID>123D144C</paraID>
      <start>192</start>
      <end>194</end>
      <status>unmodified</status>
      <modifiedWord/>
      <trackRevisions>false</trackRevisions>
    </reviewItem>
    <reviewItem>
      <errorID>b51fae04-8502-4ca0-84fd-151df1eba468</errorID>
      <errorWord>(</errorWord>
      <group>L1_Format</group>
      <groupName>格式问题</groupName>
      <ability>L2_HalfPunc_CN</ability>
      <abilityName>全半角问题</abilityName>
      <candidateList>
        <item>（</item>
      </candidateList>
      <explain>文本全半角错误。</explain>
      <paraID>7B26C2C4</paraID>
      <start>3</start>
      <end>4</end>
      <status>unmodified</status>
      <modifiedWord/>
      <trackRevisions>false</trackRevisions>
    </reviewItem>
    <reviewItem>
      <errorID>2a10b290-974a-4c87-8f40-af9fb255c327</errorID>
      <errorWord>)</errorWord>
      <group>L1_Format</group>
      <groupName>格式问题</groupName>
      <ability>L2_HalfPunc_CN</ability>
      <abilityName>全半角问题</abilityName>
      <candidateList>
        <item>）</item>
      </candidateList>
      <explain>文本全半角错误。</explain>
      <paraID>7B26C2C4</paraID>
      <start>7</start>
      <end>8</end>
      <status>unmodified</status>
      <modifiedWord/>
      <trackRevisions>false</trackRevisions>
    </reviewItem>
    <reviewItem>
      <errorID>2ae84a48-dc07-4313-9f3d-1c74ff39b2cb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21066A8B</paraID>
      <start>0</start>
      <end>2</end>
      <status>unmodified</status>
      <modifiedWord/>
      <trackRevisions>false</trackRevisions>
    </reviewItem>
    <reviewItem>
      <errorID>8507e435-1309-4b5a-a7e3-012af8101270</errorID>
      <errorWord>其它</errorWord>
      <group>L1_Word</group>
      <groupName>字词问题</groupName>
      <ability>L2_Alias</ability>
      <abilityName>也作/曾用词</abilityName>
      <candidateList>
        <item>其他</item>
      </candidateList>
      <explain>词汇[其它]为不规范表述或旧称，其规范书面表述为[其他]。</explain>
      <paraID>6531D5BE</paraID>
      <start>89</start>
      <end>91</end>
      <status>unmodified</status>
      <modifiedWord/>
      <trackRevisions>false</trackRevisions>
    </reviewItem>
    <reviewItem>
      <errorID>d3e3014e-4704-408b-bc8a-d6d965a40f88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48DFC75D</paraID>
      <start>0</start>
      <end>2</end>
      <status>unmodified</status>
      <modifiedWord/>
      <trackRevisions>false</trackRevisions>
    </reviewItem>
    <reviewItem>
      <errorID>8a02d6df-8779-4720-bdc8-ee7b75541df2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588A4388</paraID>
      <start>0</start>
      <end>2</end>
      <status>unmodified</status>
      <modifiedWord/>
      <trackRevisions>false</trackRevisions>
    </reviewItem>
    <reviewItem>
      <errorID>408d87c3-0d4a-4751-bff2-6d855173de6b</errorID>
      <errorWord>(</errorWord>
      <group>L1_Format</group>
      <groupName>格式问题</groupName>
      <ability>L2_HalfPunc_CN</ability>
      <abilityName>全半角问题</abilityName>
      <candidateList>
        <item>（</item>
      </candidateList>
      <explain>文本全半角错误。</explain>
      <paraID> C0C197A</paraID>
      <start>4</start>
      <end>5</end>
      <status>unmodified</status>
      <modifiedWord/>
      <trackRevisions>false</trackRevisions>
    </reviewItem>
    <reviewItem>
      <errorID>4015129a-28af-46e4-9623-289519235f10</errorID>
      <errorWord>)</errorWord>
      <group>L1_Format</group>
      <groupName>格式问题</groupName>
      <ability>L2_HalfPunc_CN</ability>
      <abilityName>全半角问题</abilityName>
      <candidateList>
        <item>）</item>
      </candidateList>
      <explain>文本全半角错误。</explain>
      <paraID> C0C197A</paraID>
      <start>18</start>
      <end>19</end>
      <status>unmodified</status>
      <modifiedWord/>
      <trackRevisions>false</trackRevisions>
    </reviewItem>
    <reviewItem>
      <errorID>b3fc2a65-1e62-466a-a2cf-b09b13a76693</errorID>
      <errorWord>作</errorWord>
      <group>L1_Word</group>
      <groupName>字词问题</groupName>
      <ability>L2_Typo</ability>
      <abilityName>字词错误</abilityName>
      <candidateList>
        <item>做</item>
      </candidateList>
      <explain>存在发音相同字词的误用。</explain>
      <paraID> 88921A0</paraID>
      <start>32</start>
      <end>33</end>
      <status>unmodified</status>
      <modifiedWord/>
      <trackRevisions>false</trackRevisions>
    </reviewItem>
    <reviewItem>
      <errorID>1dffe40d-6d9b-40b8-8b78-0b05cac6cfe0</errorID>
      <errorWord>[2025]</errorWord>
      <group>L1_Punc</group>
      <groupName>标点问题</groupName>
      <ability>L2_Punc_CN</ability>
      <abilityName>标点符号问题</abilityName>
      <candidateList>
        <item>〔2025〕</item>
      </candidateList>
      <explain/>
      <paraID>1E3A4823</paraID>
      <start>59</start>
      <end>65</end>
      <status>unmodified</status>
      <modifiedWord/>
      <trackRevisions>false</trackRevisions>
    </reviewItem>
    <reviewItem>
      <errorID>76986b61-71f0-402f-9b10-2df026187cc3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1E3A4823</paraID>
      <start>214</start>
      <end>215</end>
      <status>unmodified</status>
      <modifiedWord/>
      <trackRevisions>false</trackRevisions>
    </reviewItem>
    <reviewItem>
      <errorID>1b7d3d5e-5156-487e-8516-6c7c83117560</errorID>
      <errorWord>对让</errorWord>
      <group>L1_Word</group>
      <groupName>字词问题</groupName>
      <ability>L2_Typo</ability>
      <abilityName>字词错误</abilityName>
      <candidateList>
        <item>退让</item>
      </candidateList>
      <explain/>
      <paraID>19692DB2</paraID>
      <start>66</start>
      <end>68</end>
      <status>unmodified</status>
      <modifiedWord/>
      <trackRevisions>false</trackRevisions>
    </reviewItem>
    <reviewItem>
      <errorID>ed984eed-170e-4d2e-9a9f-df867dd196c4</errorID>
      <errorWord>其它</errorWord>
      <group>L1_Word</group>
      <groupName>字词问题</groupName>
      <ability>L2_Alias</ability>
      <abilityName>也作/曾用词</abilityName>
      <candidateList>
        <item>其他</item>
      </candidateList>
      <explain>词汇[其它]为不规范表述或旧称，其规范书面表述为[其他]。</explain>
      <paraID>6D3175C2</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D72955-AEF6-49E3-9375-01FC051A232E}">
  <ds:schemaRefs/>
</ds:datastoreItem>
</file>

<file path=customXml/itemProps3.xml><?xml version="1.0" encoding="utf-8"?>
<ds:datastoreItem xmlns:ds="http://schemas.openxmlformats.org/officeDocument/2006/customXml" ds:itemID="{2510311F-8776-47B4-9C54-B4A07A79425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105</Pages>
  <Words>23156</Words>
  <Characters>24865</Characters>
  <Lines>589</Lines>
  <Paragraphs>165</Paragraphs>
  <TotalTime>0</TotalTime>
  <ScaleCrop>false</ScaleCrop>
  <LinksUpToDate>false</LinksUpToDate>
  <CharactersWithSpaces>25095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2026-07-21T06:43:00Z</dcterms:created>
  <dc:creator>lhj</dc:creator>
  <cp:lastModifiedBy>Akitsuki</cp:lastModifiedBy>
  <cp:lastPrinted>2024-02-05T01:42:00Z</cp:lastPrinted>
  <dcterms:modified xsi:type="dcterms:W3CDTF">2026-09-02T07:08:25Z</dcterms:modified>
  <dc:title>附件2</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73C07FF5906E42AF8D80BC54C071534E_13</vt:lpwstr>
  </property>
  <property fmtid="{D5CDD505-2E9C-101B-9397-08002B2CF9AE}" pid="4" name="KSOTemplateDocerSaveRecord">
    <vt:lpwstr>eyJoZGlkIjoiZmE3OGNlYjdlYzIyZGI3NmRiNmNlODliNTdkYTA5OTUiLCJ1c2VySWQiOiIzNzMxMTgwNzYifQ==</vt:lpwstr>
  </property>
</Properties>
</file>